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5BCB2" w14:textId="6C7054C6" w:rsidR="00CD1ADA" w:rsidRDefault="00DF7269" w:rsidP="00DF7269">
      <w:pPr>
        <w:pStyle w:val="NormalWeb"/>
        <w:spacing w:before="0" w:beforeAutospacing="0" w:after="120" w:afterAutospacing="0" w:line="360" w:lineRule="auto"/>
        <w:rPr>
          <w:b/>
          <w:bCs/>
          <w:sz w:val="32"/>
          <w:szCs w:val="32"/>
        </w:rPr>
      </w:pPr>
      <w:r>
        <w:rPr>
          <w:noProof/>
        </w:rPr>
        <w:drawing>
          <wp:inline distT="0" distB="0" distL="0" distR="0" wp14:anchorId="7FE51B15" wp14:editId="5A3449B4">
            <wp:extent cx="2924347" cy="1181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145" cy="1186362"/>
                    </a:xfrm>
                    <a:prstGeom prst="rect">
                      <a:avLst/>
                    </a:prstGeom>
                    <a:noFill/>
                    <a:ln>
                      <a:noFill/>
                    </a:ln>
                  </pic:spPr>
                </pic:pic>
              </a:graphicData>
            </a:graphic>
          </wp:inline>
        </w:drawing>
      </w:r>
    </w:p>
    <w:p w14:paraId="48341BA4" w14:textId="77777777" w:rsidR="00CD1ADA" w:rsidRDefault="00CD1ADA" w:rsidP="007D48B4">
      <w:pPr>
        <w:pStyle w:val="NormalWeb"/>
        <w:spacing w:before="0" w:beforeAutospacing="0" w:after="120" w:afterAutospacing="0" w:line="360" w:lineRule="auto"/>
        <w:jc w:val="center"/>
        <w:rPr>
          <w:b/>
          <w:bCs/>
          <w:sz w:val="32"/>
          <w:szCs w:val="32"/>
        </w:rPr>
      </w:pPr>
    </w:p>
    <w:p w14:paraId="37584A9F" w14:textId="0DC5019C" w:rsidR="007D48B4" w:rsidRDefault="0068438D" w:rsidP="007D48B4">
      <w:pPr>
        <w:pStyle w:val="NormalWeb"/>
        <w:spacing w:before="0" w:beforeAutospacing="0" w:after="120" w:afterAutospacing="0" w:line="360" w:lineRule="auto"/>
        <w:jc w:val="center"/>
        <w:rPr>
          <w:b/>
          <w:bCs/>
          <w:sz w:val="32"/>
          <w:szCs w:val="32"/>
        </w:rPr>
      </w:pPr>
      <w:r>
        <w:rPr>
          <w:b/>
          <w:bCs/>
          <w:sz w:val="32"/>
          <w:szCs w:val="32"/>
        </w:rPr>
        <w:t xml:space="preserve">Academic </w:t>
      </w:r>
      <w:r w:rsidR="00284197">
        <w:rPr>
          <w:b/>
          <w:bCs/>
          <w:sz w:val="32"/>
          <w:szCs w:val="32"/>
        </w:rPr>
        <w:t>‘</w:t>
      </w:r>
      <w:r w:rsidR="00036F70">
        <w:rPr>
          <w:b/>
          <w:bCs/>
          <w:sz w:val="32"/>
          <w:szCs w:val="32"/>
        </w:rPr>
        <w:t>B</w:t>
      </w:r>
      <w:r>
        <w:rPr>
          <w:b/>
          <w:bCs/>
          <w:sz w:val="32"/>
          <w:szCs w:val="32"/>
        </w:rPr>
        <w:t>oundaries</w:t>
      </w:r>
      <w:r w:rsidR="00284197">
        <w:rPr>
          <w:b/>
          <w:bCs/>
          <w:sz w:val="32"/>
          <w:szCs w:val="32"/>
        </w:rPr>
        <w:t>’</w:t>
      </w:r>
      <w:r>
        <w:rPr>
          <w:b/>
          <w:bCs/>
          <w:sz w:val="32"/>
          <w:szCs w:val="32"/>
        </w:rPr>
        <w:t xml:space="preserve"> in the </w:t>
      </w:r>
      <w:r w:rsidR="00036F70">
        <w:rPr>
          <w:b/>
          <w:bCs/>
          <w:sz w:val="32"/>
          <w:szCs w:val="32"/>
        </w:rPr>
        <w:t>C</w:t>
      </w:r>
      <w:r>
        <w:rPr>
          <w:b/>
          <w:bCs/>
          <w:sz w:val="32"/>
          <w:szCs w:val="32"/>
        </w:rPr>
        <w:t xml:space="preserve">ontext of the UK </w:t>
      </w:r>
      <w:r w:rsidR="00321502">
        <w:rPr>
          <w:b/>
          <w:bCs/>
          <w:sz w:val="32"/>
          <w:szCs w:val="32"/>
        </w:rPr>
        <w:t>I</w:t>
      </w:r>
      <w:r>
        <w:rPr>
          <w:b/>
          <w:bCs/>
          <w:sz w:val="32"/>
          <w:szCs w:val="32"/>
        </w:rPr>
        <w:t xml:space="preserve">mpact </w:t>
      </w:r>
      <w:r w:rsidR="00321502">
        <w:rPr>
          <w:b/>
          <w:bCs/>
          <w:sz w:val="32"/>
          <w:szCs w:val="32"/>
        </w:rPr>
        <w:t>A</w:t>
      </w:r>
      <w:r>
        <w:rPr>
          <w:b/>
          <w:bCs/>
          <w:sz w:val="32"/>
          <w:szCs w:val="32"/>
        </w:rPr>
        <w:t>genda</w:t>
      </w:r>
      <w:r w:rsidR="003F1FAE">
        <w:rPr>
          <w:b/>
          <w:bCs/>
          <w:sz w:val="32"/>
          <w:szCs w:val="32"/>
        </w:rPr>
        <w:t>:</w:t>
      </w:r>
      <w:r w:rsidR="00801F17">
        <w:rPr>
          <w:b/>
          <w:bCs/>
          <w:sz w:val="32"/>
          <w:szCs w:val="32"/>
        </w:rPr>
        <w:t xml:space="preserve"> </w:t>
      </w:r>
      <w:r w:rsidR="00036F70">
        <w:rPr>
          <w:b/>
          <w:bCs/>
          <w:sz w:val="32"/>
          <w:szCs w:val="32"/>
        </w:rPr>
        <w:t>A</w:t>
      </w:r>
      <w:r>
        <w:rPr>
          <w:b/>
          <w:bCs/>
          <w:sz w:val="32"/>
          <w:szCs w:val="32"/>
        </w:rPr>
        <w:t xml:space="preserve"> </w:t>
      </w:r>
      <w:r w:rsidR="00036F70">
        <w:rPr>
          <w:b/>
          <w:bCs/>
          <w:sz w:val="32"/>
          <w:szCs w:val="32"/>
        </w:rPr>
        <w:t>S</w:t>
      </w:r>
      <w:r>
        <w:rPr>
          <w:b/>
          <w:bCs/>
          <w:sz w:val="32"/>
          <w:szCs w:val="32"/>
        </w:rPr>
        <w:t>tudy of ‘</w:t>
      </w:r>
      <w:r w:rsidR="00036F70">
        <w:rPr>
          <w:b/>
          <w:bCs/>
          <w:sz w:val="32"/>
          <w:szCs w:val="32"/>
        </w:rPr>
        <w:t>P</w:t>
      </w:r>
      <w:r>
        <w:rPr>
          <w:b/>
          <w:bCs/>
          <w:sz w:val="32"/>
          <w:szCs w:val="32"/>
        </w:rPr>
        <w:t>ower’ and ‘</w:t>
      </w:r>
      <w:r w:rsidR="00036F70">
        <w:rPr>
          <w:b/>
          <w:bCs/>
          <w:sz w:val="32"/>
          <w:szCs w:val="32"/>
        </w:rPr>
        <w:t>C</w:t>
      </w:r>
      <w:r>
        <w:rPr>
          <w:b/>
          <w:bCs/>
          <w:sz w:val="32"/>
          <w:szCs w:val="32"/>
        </w:rPr>
        <w:t>ontrol’ in</w:t>
      </w:r>
      <w:r w:rsidR="00825AF9">
        <w:rPr>
          <w:b/>
          <w:bCs/>
          <w:sz w:val="32"/>
          <w:szCs w:val="32"/>
        </w:rPr>
        <w:t xml:space="preserve"> </w:t>
      </w:r>
      <w:r w:rsidR="00036F70">
        <w:rPr>
          <w:b/>
          <w:bCs/>
          <w:sz w:val="32"/>
          <w:szCs w:val="32"/>
        </w:rPr>
        <w:t>A</w:t>
      </w:r>
      <w:r w:rsidR="00825AF9">
        <w:rPr>
          <w:b/>
          <w:bCs/>
          <w:sz w:val="32"/>
          <w:szCs w:val="32"/>
        </w:rPr>
        <w:t>cademic</w:t>
      </w:r>
      <w:r>
        <w:rPr>
          <w:b/>
          <w:bCs/>
          <w:sz w:val="32"/>
          <w:szCs w:val="32"/>
        </w:rPr>
        <w:t xml:space="preserve"> </w:t>
      </w:r>
      <w:r w:rsidR="00801F17">
        <w:rPr>
          <w:b/>
          <w:bCs/>
          <w:sz w:val="32"/>
          <w:szCs w:val="32"/>
        </w:rPr>
        <w:t xml:space="preserve">STEMM </w:t>
      </w:r>
      <w:r w:rsidR="00036F70">
        <w:rPr>
          <w:b/>
          <w:bCs/>
          <w:sz w:val="32"/>
          <w:szCs w:val="32"/>
        </w:rPr>
        <w:t>R</w:t>
      </w:r>
      <w:r w:rsidR="00801F17">
        <w:rPr>
          <w:b/>
          <w:bCs/>
          <w:sz w:val="32"/>
          <w:szCs w:val="32"/>
        </w:rPr>
        <w:t>esearch</w:t>
      </w:r>
    </w:p>
    <w:p w14:paraId="5EF8EFD7" w14:textId="1293F1FE" w:rsidR="00286DF4" w:rsidRDefault="00286DF4" w:rsidP="007D48B4">
      <w:pPr>
        <w:pStyle w:val="NormalWeb"/>
        <w:spacing w:before="0" w:beforeAutospacing="0" w:after="120" w:afterAutospacing="0" w:line="360" w:lineRule="auto"/>
        <w:jc w:val="center"/>
        <w:rPr>
          <w:sz w:val="32"/>
          <w:szCs w:val="32"/>
        </w:rPr>
      </w:pPr>
    </w:p>
    <w:p w14:paraId="50B752B2" w14:textId="0470B460" w:rsidR="00286DF4" w:rsidRPr="00286DF4" w:rsidRDefault="00446815" w:rsidP="007D48B4">
      <w:pPr>
        <w:pStyle w:val="NormalWeb"/>
        <w:spacing w:before="0" w:beforeAutospacing="0" w:after="120" w:afterAutospacing="0" w:line="360" w:lineRule="auto"/>
        <w:jc w:val="center"/>
        <w:rPr>
          <w:sz w:val="32"/>
          <w:szCs w:val="32"/>
        </w:rPr>
      </w:pPr>
      <w:r>
        <w:rPr>
          <w:sz w:val="32"/>
          <w:szCs w:val="32"/>
        </w:rPr>
        <w:t xml:space="preserve">By </w:t>
      </w:r>
      <w:r w:rsidR="00286DF4">
        <w:rPr>
          <w:sz w:val="32"/>
          <w:szCs w:val="32"/>
        </w:rPr>
        <w:t>Eliel Cohen</w:t>
      </w:r>
    </w:p>
    <w:p w14:paraId="290FF462" w14:textId="77777777" w:rsidR="00321A6A" w:rsidRDefault="00321A6A" w:rsidP="007D48B4">
      <w:pPr>
        <w:pStyle w:val="NormalWeb"/>
        <w:spacing w:before="0" w:beforeAutospacing="0" w:after="120" w:afterAutospacing="0" w:line="360" w:lineRule="auto"/>
        <w:jc w:val="center"/>
        <w:rPr>
          <w:sz w:val="32"/>
          <w:szCs w:val="32"/>
        </w:rPr>
      </w:pPr>
    </w:p>
    <w:p w14:paraId="34AA35F1" w14:textId="43B20C20" w:rsidR="00CD1ADA" w:rsidRDefault="00CD1ADA" w:rsidP="007D48B4">
      <w:pPr>
        <w:pStyle w:val="NormalWeb"/>
        <w:spacing w:before="0" w:beforeAutospacing="0" w:after="120" w:afterAutospacing="0" w:line="360" w:lineRule="auto"/>
        <w:jc w:val="center"/>
        <w:rPr>
          <w:sz w:val="32"/>
          <w:szCs w:val="32"/>
        </w:rPr>
      </w:pPr>
      <w:r>
        <w:rPr>
          <w:sz w:val="32"/>
          <w:szCs w:val="32"/>
        </w:rPr>
        <w:t>A thesis submitted in partial fulfilment of the requirements for the degree of Doctor of Philosophy</w:t>
      </w:r>
    </w:p>
    <w:p w14:paraId="20881061" w14:textId="1EE90A2B" w:rsidR="00CD1ADA" w:rsidRDefault="00CD1ADA" w:rsidP="007D48B4">
      <w:pPr>
        <w:pStyle w:val="NormalWeb"/>
        <w:spacing w:before="0" w:beforeAutospacing="0" w:after="120" w:afterAutospacing="0" w:line="360" w:lineRule="auto"/>
        <w:jc w:val="center"/>
        <w:rPr>
          <w:sz w:val="32"/>
          <w:szCs w:val="32"/>
        </w:rPr>
      </w:pPr>
    </w:p>
    <w:p w14:paraId="5ADF5154" w14:textId="2204E94C" w:rsidR="00286DF4" w:rsidRDefault="00CD1ADA" w:rsidP="007D48B4">
      <w:pPr>
        <w:pStyle w:val="NormalWeb"/>
        <w:spacing w:before="0" w:beforeAutospacing="0" w:after="120" w:afterAutospacing="0" w:line="360" w:lineRule="auto"/>
        <w:jc w:val="center"/>
        <w:rPr>
          <w:sz w:val="32"/>
          <w:szCs w:val="32"/>
        </w:rPr>
      </w:pPr>
      <w:r>
        <w:rPr>
          <w:sz w:val="32"/>
          <w:szCs w:val="32"/>
        </w:rPr>
        <w:t>The</w:t>
      </w:r>
      <w:r w:rsidR="00286DF4">
        <w:rPr>
          <w:sz w:val="32"/>
          <w:szCs w:val="32"/>
        </w:rPr>
        <w:t xml:space="preserve"> University of Sheffield</w:t>
      </w:r>
    </w:p>
    <w:p w14:paraId="3176CA06" w14:textId="28E7F361" w:rsidR="00CD1ADA" w:rsidRDefault="00CD1ADA" w:rsidP="007D48B4">
      <w:pPr>
        <w:pStyle w:val="NormalWeb"/>
        <w:spacing w:before="0" w:beforeAutospacing="0" w:after="120" w:afterAutospacing="0" w:line="360" w:lineRule="auto"/>
        <w:jc w:val="center"/>
        <w:rPr>
          <w:sz w:val="32"/>
          <w:szCs w:val="32"/>
        </w:rPr>
      </w:pPr>
      <w:r>
        <w:rPr>
          <w:sz w:val="32"/>
          <w:szCs w:val="32"/>
        </w:rPr>
        <w:t>Faculty of Social Sciences</w:t>
      </w:r>
    </w:p>
    <w:p w14:paraId="257AED0F" w14:textId="5CAB7A10" w:rsidR="00321A6A" w:rsidRDefault="00CD1ADA" w:rsidP="00286DF4">
      <w:pPr>
        <w:pStyle w:val="NormalWeb"/>
        <w:spacing w:before="0" w:beforeAutospacing="0" w:after="120" w:afterAutospacing="0" w:line="360" w:lineRule="auto"/>
        <w:jc w:val="center"/>
        <w:rPr>
          <w:sz w:val="32"/>
          <w:szCs w:val="32"/>
        </w:rPr>
      </w:pPr>
      <w:r>
        <w:rPr>
          <w:sz w:val="32"/>
          <w:szCs w:val="32"/>
        </w:rPr>
        <w:t>School of Education</w:t>
      </w:r>
    </w:p>
    <w:p w14:paraId="39768C7B" w14:textId="77777777" w:rsidR="00CD1ADA" w:rsidRDefault="00CD1ADA" w:rsidP="00286DF4">
      <w:pPr>
        <w:pStyle w:val="NormalWeb"/>
        <w:spacing w:before="0" w:beforeAutospacing="0" w:after="120" w:afterAutospacing="0" w:line="360" w:lineRule="auto"/>
        <w:jc w:val="center"/>
        <w:rPr>
          <w:sz w:val="32"/>
          <w:szCs w:val="32"/>
        </w:rPr>
      </w:pPr>
    </w:p>
    <w:p w14:paraId="19366FB6" w14:textId="77777777" w:rsidR="00321A6A" w:rsidRDefault="00321A6A" w:rsidP="00286DF4">
      <w:pPr>
        <w:pStyle w:val="NormalWeb"/>
        <w:spacing w:before="0" w:beforeAutospacing="0" w:after="120" w:afterAutospacing="0" w:line="360" w:lineRule="auto"/>
        <w:jc w:val="center"/>
        <w:rPr>
          <w:sz w:val="32"/>
          <w:szCs w:val="32"/>
        </w:rPr>
      </w:pPr>
    </w:p>
    <w:p w14:paraId="35F79EA7" w14:textId="0A58DCBF" w:rsidR="00286DF4" w:rsidRDefault="00547F91" w:rsidP="00286DF4">
      <w:pPr>
        <w:pStyle w:val="NormalWeb"/>
        <w:spacing w:before="0" w:beforeAutospacing="0" w:after="120" w:afterAutospacing="0" w:line="360" w:lineRule="auto"/>
        <w:jc w:val="center"/>
        <w:rPr>
          <w:sz w:val="32"/>
          <w:szCs w:val="32"/>
        </w:rPr>
      </w:pPr>
      <w:r>
        <w:rPr>
          <w:sz w:val="32"/>
          <w:szCs w:val="32"/>
        </w:rPr>
        <w:t>September</w:t>
      </w:r>
      <w:r w:rsidR="00286DF4">
        <w:rPr>
          <w:sz w:val="32"/>
          <w:szCs w:val="32"/>
        </w:rPr>
        <w:t xml:space="preserve"> 2019</w:t>
      </w:r>
    </w:p>
    <w:p w14:paraId="33837D2A" w14:textId="77777777" w:rsidR="00286DF4" w:rsidRPr="00286DF4" w:rsidRDefault="00286DF4" w:rsidP="00286DF4">
      <w:pPr>
        <w:pStyle w:val="NormalWeb"/>
        <w:spacing w:before="0" w:beforeAutospacing="0" w:after="120" w:afterAutospacing="0" w:line="360" w:lineRule="auto"/>
        <w:jc w:val="center"/>
        <w:rPr>
          <w:sz w:val="32"/>
          <w:szCs w:val="32"/>
        </w:rPr>
      </w:pPr>
    </w:p>
    <w:p w14:paraId="5133876F" w14:textId="77777777" w:rsidR="007D48B4" w:rsidRDefault="007D48B4" w:rsidP="007D48B4">
      <w:pPr>
        <w:tabs>
          <w:tab w:val="left" w:pos="3919"/>
        </w:tabs>
        <w:spacing w:after="120" w:line="360" w:lineRule="auto"/>
      </w:pPr>
      <w:bookmarkStart w:id="0" w:name="_Ref520385893"/>
      <w:r>
        <w:tab/>
      </w:r>
    </w:p>
    <w:p w14:paraId="40DF86B7" w14:textId="77777777" w:rsidR="007D48B4" w:rsidRDefault="007D48B4" w:rsidP="007D48B4">
      <w:pPr>
        <w:tabs>
          <w:tab w:val="left" w:pos="3919"/>
        </w:tabs>
        <w:spacing w:after="120" w:line="360" w:lineRule="auto"/>
        <w:rPr>
          <w:rFonts w:asciiTheme="majorHAnsi" w:eastAsiaTheme="majorEastAsia" w:hAnsiTheme="majorHAnsi" w:cstheme="majorBidi"/>
          <w:color w:val="2F5496" w:themeColor="accent1" w:themeShade="BF"/>
          <w:sz w:val="32"/>
          <w:szCs w:val="32"/>
        </w:rPr>
      </w:pPr>
      <w:r w:rsidRPr="00C61C6B">
        <w:br w:type="page"/>
      </w:r>
      <w:r>
        <w:lastRenderedPageBreak/>
        <w:tab/>
      </w:r>
    </w:p>
    <w:p w14:paraId="391F5EBD" w14:textId="1EBEB532" w:rsidR="000B66FE" w:rsidRDefault="000B66FE" w:rsidP="007D48B4">
      <w:pPr>
        <w:pStyle w:val="Heading1"/>
        <w:spacing w:before="0"/>
      </w:pPr>
      <w:bookmarkStart w:id="1" w:name="_Toc536717897"/>
      <w:bookmarkStart w:id="2" w:name="_Toc31701923"/>
      <w:r>
        <w:t>Acknowledgments</w:t>
      </w:r>
      <w:bookmarkEnd w:id="2"/>
    </w:p>
    <w:p w14:paraId="121C9462" w14:textId="147C086C" w:rsidR="006D4992" w:rsidRDefault="006D4992" w:rsidP="006D4992">
      <w:pPr>
        <w:spacing w:after="120" w:line="360" w:lineRule="auto"/>
        <w:rPr>
          <w:sz w:val="24"/>
          <w:szCs w:val="24"/>
        </w:rPr>
      </w:pPr>
      <w:r w:rsidRPr="009C0A4B">
        <w:rPr>
          <w:sz w:val="24"/>
          <w:szCs w:val="24"/>
        </w:rPr>
        <w:t>I want to acknowledge the University of Sheffield Faculty of Social Science Scholarship</w:t>
      </w:r>
      <w:r>
        <w:rPr>
          <w:sz w:val="24"/>
          <w:szCs w:val="24"/>
        </w:rPr>
        <w:t>,</w:t>
      </w:r>
      <w:r w:rsidRPr="009C0A4B">
        <w:rPr>
          <w:sz w:val="24"/>
          <w:szCs w:val="24"/>
        </w:rPr>
        <w:t xml:space="preserve"> which supported me financially during my studies.</w:t>
      </w:r>
      <w:r w:rsidR="00241E22">
        <w:rPr>
          <w:sz w:val="24"/>
          <w:szCs w:val="24"/>
        </w:rPr>
        <w:t xml:space="preserve"> </w:t>
      </w:r>
      <w:r w:rsidR="00705DDA">
        <w:rPr>
          <w:sz w:val="24"/>
          <w:szCs w:val="24"/>
        </w:rPr>
        <w:t xml:space="preserve">I am lucky to have had several excellent and supportive colleagues in the School of Education </w:t>
      </w:r>
      <w:r w:rsidR="000604CD">
        <w:rPr>
          <w:sz w:val="24"/>
          <w:szCs w:val="24"/>
        </w:rPr>
        <w:t xml:space="preserve">who </w:t>
      </w:r>
      <w:r w:rsidR="00705DDA">
        <w:rPr>
          <w:sz w:val="24"/>
          <w:szCs w:val="24"/>
        </w:rPr>
        <w:t xml:space="preserve">have helped me to grow as a </w:t>
      </w:r>
      <w:r w:rsidR="00633086">
        <w:rPr>
          <w:sz w:val="24"/>
          <w:szCs w:val="24"/>
        </w:rPr>
        <w:t>researcher, a professional and a person.</w:t>
      </w:r>
    </w:p>
    <w:p w14:paraId="6D752E31" w14:textId="7D1FE146" w:rsidR="006D4992" w:rsidRDefault="006D4992" w:rsidP="006D4992">
      <w:pPr>
        <w:spacing w:after="120" w:line="360" w:lineRule="auto"/>
        <w:rPr>
          <w:sz w:val="24"/>
          <w:szCs w:val="24"/>
        </w:rPr>
      </w:pPr>
      <w:r>
        <w:rPr>
          <w:sz w:val="24"/>
          <w:szCs w:val="24"/>
        </w:rPr>
        <w:t xml:space="preserve">I am deeply thankful to my supervisor, Dr Vassiliki Papatsiba. I know that several other of </w:t>
      </w:r>
      <w:r w:rsidR="004E74E3">
        <w:rPr>
          <w:sz w:val="24"/>
          <w:szCs w:val="24"/>
        </w:rPr>
        <w:t>her</w:t>
      </w:r>
      <w:r>
        <w:rPr>
          <w:sz w:val="24"/>
          <w:szCs w:val="24"/>
        </w:rPr>
        <w:t xml:space="preserve"> doctoral students would join me in expressing gratitude for her individualised approach to supervision – this takes an impressive commitment and shows the level of care she has for her students and the pride she takes in the supervisor role. She has also been much more than a supervisor to me. She is a mentor, collaborator and a friend. I hope I have done her proud.  </w:t>
      </w:r>
    </w:p>
    <w:p w14:paraId="437A0FA7" w14:textId="287C0257" w:rsidR="006D4992" w:rsidRDefault="006D4992" w:rsidP="006D4992">
      <w:pPr>
        <w:spacing w:after="120" w:line="360" w:lineRule="auto"/>
        <w:rPr>
          <w:sz w:val="24"/>
          <w:szCs w:val="24"/>
        </w:rPr>
      </w:pPr>
      <w:r>
        <w:rPr>
          <w:sz w:val="24"/>
          <w:szCs w:val="24"/>
        </w:rPr>
        <w:t>I also want to acknowledge other teachers over the years whose kind words and constructive feedback encouraged me to embark on postgraduate studies and researc</w:t>
      </w:r>
      <w:r w:rsidR="007444EC">
        <w:rPr>
          <w:sz w:val="24"/>
          <w:szCs w:val="24"/>
        </w:rPr>
        <w:t>h</w:t>
      </w:r>
      <w:r w:rsidR="0087191F">
        <w:rPr>
          <w:sz w:val="24"/>
          <w:szCs w:val="24"/>
        </w:rPr>
        <w:t>. T</w:t>
      </w:r>
      <w:r>
        <w:rPr>
          <w:sz w:val="24"/>
          <w:szCs w:val="24"/>
        </w:rPr>
        <w:t xml:space="preserve">hese include Dr Geoff Payne, Dr Sandra Leaton Gray, Dr Fiona Rodger, Dr Clare Brooks, Dr Simon Susen and Professor Jackie Leach Scully. </w:t>
      </w:r>
      <w:r w:rsidR="00241E22">
        <w:rPr>
          <w:sz w:val="24"/>
          <w:szCs w:val="24"/>
        </w:rPr>
        <w:t>I am also very grateful to Professor Martyn Kingsbury for giving me flexibility at work to finalise this thesis.</w:t>
      </w:r>
    </w:p>
    <w:p w14:paraId="29AB2B9E" w14:textId="77777777" w:rsidR="000604CD" w:rsidRDefault="009D2CD2" w:rsidP="007B10AB">
      <w:pPr>
        <w:spacing w:after="120" w:line="360" w:lineRule="auto"/>
        <w:rPr>
          <w:sz w:val="24"/>
          <w:szCs w:val="24"/>
        </w:rPr>
      </w:pPr>
      <w:r>
        <w:rPr>
          <w:sz w:val="24"/>
          <w:szCs w:val="24"/>
        </w:rPr>
        <w:t>L</w:t>
      </w:r>
      <w:r w:rsidR="006D4992">
        <w:rPr>
          <w:sz w:val="24"/>
          <w:szCs w:val="24"/>
        </w:rPr>
        <w:t xml:space="preserve">ove to </w:t>
      </w:r>
      <w:r>
        <w:rPr>
          <w:sz w:val="24"/>
          <w:szCs w:val="24"/>
        </w:rPr>
        <w:t xml:space="preserve">all </w:t>
      </w:r>
      <w:r w:rsidR="006D4992">
        <w:rPr>
          <w:sz w:val="24"/>
          <w:szCs w:val="24"/>
        </w:rPr>
        <w:t>my family</w:t>
      </w:r>
      <w:r w:rsidR="009602DB">
        <w:rPr>
          <w:sz w:val="24"/>
          <w:szCs w:val="24"/>
        </w:rPr>
        <w:t>. S</w:t>
      </w:r>
      <w:r>
        <w:rPr>
          <w:sz w:val="24"/>
          <w:szCs w:val="24"/>
        </w:rPr>
        <w:t>pecial thanks</w:t>
      </w:r>
      <w:r w:rsidR="00A06977">
        <w:rPr>
          <w:sz w:val="24"/>
          <w:szCs w:val="24"/>
        </w:rPr>
        <w:t xml:space="preserve"> to my wife (</w:t>
      </w:r>
      <w:r w:rsidR="00CA61EF">
        <w:rPr>
          <w:sz w:val="24"/>
          <w:szCs w:val="24"/>
        </w:rPr>
        <w:t xml:space="preserve">and </w:t>
      </w:r>
      <w:r w:rsidR="00A06977">
        <w:rPr>
          <w:sz w:val="24"/>
          <w:szCs w:val="24"/>
        </w:rPr>
        <w:t>best friend)</w:t>
      </w:r>
      <w:r w:rsidR="009528F4">
        <w:rPr>
          <w:sz w:val="24"/>
          <w:szCs w:val="24"/>
        </w:rPr>
        <w:t>,</w:t>
      </w:r>
      <w:r w:rsidR="003E480D">
        <w:rPr>
          <w:sz w:val="24"/>
          <w:szCs w:val="24"/>
        </w:rPr>
        <w:t xml:space="preserve"> to my mum</w:t>
      </w:r>
      <w:r w:rsidR="00E36B44">
        <w:rPr>
          <w:sz w:val="24"/>
          <w:szCs w:val="24"/>
        </w:rPr>
        <w:t xml:space="preserve"> </w:t>
      </w:r>
      <w:r w:rsidR="003E480D">
        <w:rPr>
          <w:sz w:val="24"/>
          <w:szCs w:val="24"/>
        </w:rPr>
        <w:t>an</w:t>
      </w:r>
      <w:r w:rsidR="00506D8E">
        <w:rPr>
          <w:sz w:val="24"/>
          <w:szCs w:val="24"/>
        </w:rPr>
        <w:t>d</w:t>
      </w:r>
      <w:r w:rsidR="00B7289B">
        <w:rPr>
          <w:sz w:val="24"/>
          <w:szCs w:val="24"/>
        </w:rPr>
        <w:t xml:space="preserve"> to</w:t>
      </w:r>
      <w:r w:rsidR="00506D8E">
        <w:rPr>
          <w:sz w:val="24"/>
          <w:szCs w:val="24"/>
        </w:rPr>
        <w:t xml:space="preserve"> my grandm</w:t>
      </w:r>
      <w:r w:rsidR="00BE6599">
        <w:rPr>
          <w:sz w:val="24"/>
          <w:szCs w:val="24"/>
        </w:rPr>
        <w:t>a</w:t>
      </w:r>
      <w:r w:rsidR="00506D8E">
        <w:rPr>
          <w:sz w:val="24"/>
          <w:szCs w:val="24"/>
        </w:rPr>
        <w:t xml:space="preserve">s. They </w:t>
      </w:r>
      <w:r w:rsidR="00302570">
        <w:rPr>
          <w:sz w:val="24"/>
          <w:szCs w:val="24"/>
        </w:rPr>
        <w:t xml:space="preserve">have all given me so much. If the world were a fairer place, this would be dedicated to </w:t>
      </w:r>
      <w:r w:rsidR="00C1023E">
        <w:rPr>
          <w:sz w:val="24"/>
          <w:szCs w:val="24"/>
        </w:rPr>
        <w:t>them</w:t>
      </w:r>
      <w:r w:rsidR="00302570">
        <w:rPr>
          <w:sz w:val="24"/>
          <w:szCs w:val="24"/>
        </w:rPr>
        <w:t xml:space="preserve">. </w:t>
      </w:r>
    </w:p>
    <w:p w14:paraId="38404213" w14:textId="64E4695E" w:rsidR="000604CD" w:rsidRDefault="00302570" w:rsidP="007B10AB">
      <w:pPr>
        <w:spacing w:after="120" w:line="360" w:lineRule="auto"/>
        <w:rPr>
          <w:sz w:val="24"/>
          <w:szCs w:val="24"/>
        </w:rPr>
      </w:pPr>
      <w:r>
        <w:rPr>
          <w:sz w:val="24"/>
          <w:szCs w:val="24"/>
        </w:rPr>
        <w:t xml:space="preserve">Sadly, </w:t>
      </w:r>
      <w:r w:rsidR="00615E54">
        <w:rPr>
          <w:sz w:val="24"/>
          <w:szCs w:val="24"/>
        </w:rPr>
        <w:t>the world is not fai</w:t>
      </w:r>
      <w:r w:rsidR="008475AD">
        <w:rPr>
          <w:sz w:val="24"/>
          <w:szCs w:val="24"/>
        </w:rPr>
        <w:t>r</w:t>
      </w:r>
      <w:r w:rsidR="00382BEF">
        <w:rPr>
          <w:sz w:val="24"/>
          <w:szCs w:val="24"/>
        </w:rPr>
        <w:t xml:space="preserve">. </w:t>
      </w:r>
    </w:p>
    <w:p w14:paraId="60BBF377" w14:textId="77777777" w:rsidR="004E560D" w:rsidRDefault="004E560D" w:rsidP="004E560D">
      <w:pPr>
        <w:spacing w:after="120" w:line="360" w:lineRule="auto"/>
        <w:jc w:val="center"/>
        <w:rPr>
          <w:sz w:val="24"/>
          <w:szCs w:val="24"/>
        </w:rPr>
      </w:pPr>
    </w:p>
    <w:p w14:paraId="405AF6D6" w14:textId="03D6C122" w:rsidR="006D4992" w:rsidRDefault="000604CD" w:rsidP="004E560D">
      <w:pPr>
        <w:spacing w:after="120" w:line="360" w:lineRule="auto"/>
        <w:jc w:val="center"/>
        <w:rPr>
          <w:sz w:val="24"/>
          <w:szCs w:val="24"/>
        </w:rPr>
      </w:pPr>
      <w:r>
        <w:rPr>
          <w:sz w:val="24"/>
          <w:szCs w:val="24"/>
        </w:rPr>
        <w:t>D</w:t>
      </w:r>
      <w:r w:rsidR="006D4992">
        <w:rPr>
          <w:sz w:val="24"/>
          <w:szCs w:val="24"/>
        </w:rPr>
        <w:t>edicate</w:t>
      </w:r>
      <w:r w:rsidR="0028081E">
        <w:rPr>
          <w:sz w:val="24"/>
          <w:szCs w:val="24"/>
        </w:rPr>
        <w:t>d</w:t>
      </w:r>
      <w:r w:rsidR="006D4992">
        <w:rPr>
          <w:sz w:val="24"/>
          <w:szCs w:val="24"/>
        </w:rPr>
        <w:t xml:space="preserve"> to </w:t>
      </w:r>
      <w:r w:rsidR="00486C4A">
        <w:rPr>
          <w:sz w:val="24"/>
          <w:szCs w:val="24"/>
        </w:rPr>
        <w:t>D</w:t>
      </w:r>
      <w:r w:rsidR="006D4992">
        <w:rPr>
          <w:sz w:val="24"/>
          <w:szCs w:val="24"/>
        </w:rPr>
        <w:t>ad</w:t>
      </w:r>
      <w:r w:rsidR="001C16E6">
        <w:rPr>
          <w:sz w:val="24"/>
          <w:szCs w:val="24"/>
        </w:rPr>
        <w:t>, wish</w:t>
      </w:r>
      <w:r w:rsidR="006D4992">
        <w:rPr>
          <w:sz w:val="24"/>
          <w:szCs w:val="24"/>
        </w:rPr>
        <w:t xml:space="preserve"> you were here.</w:t>
      </w:r>
    </w:p>
    <w:p w14:paraId="0FE1C151" w14:textId="091C4B9C" w:rsidR="000B66FE" w:rsidRPr="00BA7F9A" w:rsidRDefault="000B66FE" w:rsidP="00F94254">
      <w:pPr>
        <w:spacing w:after="120"/>
        <w:rPr>
          <w:sz w:val="24"/>
          <w:szCs w:val="24"/>
        </w:rPr>
      </w:pPr>
      <w:r w:rsidRPr="009C0A4B">
        <w:rPr>
          <w:sz w:val="24"/>
          <w:szCs w:val="24"/>
        </w:rPr>
        <w:br w:type="page"/>
      </w:r>
    </w:p>
    <w:p w14:paraId="5A3FE8B4" w14:textId="1F15FF00" w:rsidR="007D48B4" w:rsidRDefault="007D48B4" w:rsidP="007D48B4">
      <w:pPr>
        <w:pStyle w:val="Heading1"/>
        <w:spacing w:before="0"/>
      </w:pPr>
      <w:bookmarkStart w:id="3" w:name="_Toc31701924"/>
      <w:r>
        <w:lastRenderedPageBreak/>
        <w:t>Abstract</w:t>
      </w:r>
      <w:bookmarkEnd w:id="0"/>
      <w:bookmarkEnd w:id="1"/>
      <w:bookmarkEnd w:id="3"/>
    </w:p>
    <w:p w14:paraId="62E3FC9C" w14:textId="77777777" w:rsidR="00681D2F" w:rsidRDefault="00681D2F" w:rsidP="00681D2F">
      <w:pPr>
        <w:spacing w:after="120" w:line="360" w:lineRule="auto"/>
        <w:rPr>
          <w:rFonts w:eastAsia="Times New Roman"/>
          <w:sz w:val="24"/>
          <w:szCs w:val="24"/>
          <w:lang w:eastAsia="ko-KR"/>
        </w:rPr>
      </w:pPr>
      <w:r>
        <w:rPr>
          <w:rFonts w:eastAsia="Times New Roman"/>
          <w:sz w:val="24"/>
          <w:szCs w:val="24"/>
          <w:lang w:eastAsia="ko-KR"/>
        </w:rPr>
        <w:t>The ‘impact agenda’ for academic research denotes a set of policies which encourage and incentivise academic institutions and researchers to shift focus towards more societally and economically ‘relevant’ problems. This reflects how important an institution academia has become to addressing social, economic and global challenges. However, the impact agenda is perceived by some to represent a challenge to academia’s autonomy and value. This has provoked analytical and normative debate about the extent to which ‘academic boundaries’ are being/should be loosened, weakened or re-shaped to be more responsive to non-academic objectives and interests.</w:t>
      </w:r>
    </w:p>
    <w:p w14:paraId="5F5EE8D4" w14:textId="77777777" w:rsidR="00681D2F" w:rsidRDefault="00681D2F" w:rsidP="00681D2F">
      <w:pPr>
        <w:spacing w:after="120" w:line="360" w:lineRule="auto"/>
        <w:rPr>
          <w:rFonts w:eastAsia="Times New Roman"/>
          <w:sz w:val="24"/>
          <w:szCs w:val="24"/>
          <w:lang w:eastAsia="ko-KR"/>
        </w:rPr>
      </w:pPr>
      <w:r>
        <w:rPr>
          <w:rFonts w:eastAsia="Times New Roman"/>
          <w:sz w:val="24"/>
          <w:szCs w:val="24"/>
          <w:lang w:eastAsia="ko-KR"/>
        </w:rPr>
        <w:t xml:space="preserve">My study brings empirical evidence to bear on these debates. Drawing on sociologist Basil Bernstein, I use the ‘boundary’ metaphor as a lens through which to analyse the ‘power’ and ‘control’ over academic research. The sample is 19 bodies of research from ten departments across nine UK universities, covering a range of institutional contexts and a range of science, technology, engineering, mathematics and medicine (STEMM) disciplines. The analysis, based on 345 documentary sources supplemented by 10 interviews with key academics, focuses on the interaction between academic and non-academic ‘power’ and ‘control’ over research knowledge, </w:t>
      </w:r>
      <w:bookmarkStart w:id="4" w:name="_GoBack"/>
      <w:bookmarkEnd w:id="4"/>
      <w:r>
        <w:rPr>
          <w:rFonts w:eastAsia="Times New Roman"/>
          <w:sz w:val="24"/>
          <w:szCs w:val="24"/>
          <w:lang w:eastAsia="ko-KR"/>
        </w:rPr>
        <w:t xml:space="preserve">and considers the implications for ‘academic boundaries’. </w:t>
      </w:r>
    </w:p>
    <w:p w14:paraId="36F36638" w14:textId="23F92A9D" w:rsidR="004657EF" w:rsidRPr="00573415" w:rsidRDefault="00681D2F" w:rsidP="007D48B4">
      <w:pPr>
        <w:spacing w:after="120" w:line="360" w:lineRule="auto"/>
        <w:rPr>
          <w:rFonts w:eastAsia="Times New Roman"/>
          <w:sz w:val="24"/>
          <w:szCs w:val="24"/>
          <w:lang w:eastAsia="ko-KR"/>
        </w:rPr>
      </w:pPr>
      <w:r>
        <w:rPr>
          <w:rFonts w:eastAsia="Times New Roman"/>
          <w:sz w:val="24"/>
          <w:szCs w:val="24"/>
          <w:lang w:eastAsia="ko-KR"/>
        </w:rPr>
        <w:t xml:space="preserve">The analysis </w:t>
      </w:r>
      <w:r w:rsidR="0094695E">
        <w:rPr>
          <w:rFonts w:eastAsia="Times New Roman"/>
          <w:sz w:val="24"/>
          <w:szCs w:val="24"/>
          <w:lang w:eastAsia="ko-KR"/>
        </w:rPr>
        <w:t>find</w:t>
      </w:r>
      <w:r>
        <w:rPr>
          <w:rFonts w:eastAsia="Times New Roman"/>
          <w:sz w:val="24"/>
          <w:szCs w:val="24"/>
          <w:lang w:eastAsia="ko-KR"/>
        </w:rPr>
        <w:t xml:space="preserve">s greater evidence of academic boundaries being maintained and reproduced than of their being weakened, </w:t>
      </w:r>
      <w:r w:rsidR="00156519">
        <w:rPr>
          <w:rFonts w:eastAsia="Times New Roman"/>
          <w:sz w:val="24"/>
          <w:szCs w:val="24"/>
          <w:lang w:eastAsia="ko-KR"/>
        </w:rPr>
        <w:t>and</w:t>
      </w:r>
      <w:r w:rsidR="0094695E">
        <w:rPr>
          <w:rFonts w:eastAsia="Times New Roman"/>
          <w:sz w:val="24"/>
          <w:szCs w:val="24"/>
          <w:lang w:eastAsia="ko-KR"/>
        </w:rPr>
        <w:t xml:space="preserve"> that</w:t>
      </w:r>
      <w:r>
        <w:rPr>
          <w:rFonts w:eastAsia="Times New Roman"/>
          <w:sz w:val="24"/>
          <w:szCs w:val="24"/>
          <w:lang w:eastAsia="ko-KR"/>
        </w:rPr>
        <w:t xml:space="preserve"> this is largely because the non-academic ‘impact’ of academic research contributes to the perceived legitimacy of, and therefore strength of, academic ‘boundaries’. However, the findings also demonstrate that ‘power’ and ‘control’ over academic research is unevenly distributed, both within and beyond academic ‘boundaries’, so that certain types of university, discipline, and non-academic actor exhibit greater ‘power’ and ‘control’ than others, such that there remains cause to be concerned about the future </w:t>
      </w:r>
      <w:r w:rsidRPr="00573415">
        <w:rPr>
          <w:rFonts w:eastAsia="Times New Roman"/>
          <w:sz w:val="24"/>
          <w:szCs w:val="24"/>
          <w:lang w:eastAsia="ko-KR"/>
        </w:rPr>
        <w:t>integrity</w:t>
      </w:r>
      <w:r>
        <w:rPr>
          <w:rFonts w:eastAsia="Times New Roman"/>
          <w:i/>
          <w:sz w:val="24"/>
          <w:szCs w:val="24"/>
          <w:lang w:eastAsia="ko-KR"/>
        </w:rPr>
        <w:t xml:space="preserve"> </w:t>
      </w:r>
      <w:r>
        <w:rPr>
          <w:rFonts w:eastAsia="Times New Roman"/>
          <w:sz w:val="24"/>
          <w:szCs w:val="24"/>
          <w:lang w:eastAsia="ko-KR"/>
        </w:rPr>
        <w:t xml:space="preserve">of academic boundaries, and for academic researchers to resist and take ownership over the impact agenda. </w:t>
      </w:r>
    </w:p>
    <w:p w14:paraId="69B55D72" w14:textId="77777777" w:rsidR="0009161F" w:rsidRDefault="0009161F">
      <w:pPr>
        <w:rPr>
          <w:rFonts w:eastAsia="Times New Roman"/>
          <w:sz w:val="24"/>
          <w:szCs w:val="24"/>
          <w:lang w:eastAsia="ko-KR"/>
        </w:rPr>
      </w:pPr>
      <w:r>
        <w:rPr>
          <w:rFonts w:eastAsia="Times New Roman"/>
          <w:sz w:val="24"/>
          <w:szCs w:val="24"/>
          <w:lang w:eastAsia="ko-KR"/>
        </w:rPr>
        <w:br w:type="page"/>
      </w:r>
    </w:p>
    <w:bookmarkStart w:id="5" w:name="_Toc31701925" w:displacedByCustomXml="next"/>
    <w:sdt>
      <w:sdtPr>
        <w:rPr>
          <w:rFonts w:ascii="Times New Roman" w:eastAsiaTheme="minorHAnsi" w:hAnsi="Times New Roman" w:cs="Times New Roman"/>
          <w:color w:val="auto"/>
          <w:sz w:val="22"/>
          <w:szCs w:val="22"/>
        </w:rPr>
        <w:id w:val="-576364331"/>
        <w:docPartObj>
          <w:docPartGallery w:val="Table of Contents"/>
          <w:docPartUnique/>
        </w:docPartObj>
      </w:sdtPr>
      <w:sdtEndPr>
        <w:rPr>
          <w:b/>
          <w:bCs/>
          <w:noProof/>
        </w:rPr>
      </w:sdtEndPr>
      <w:sdtContent>
        <w:p w14:paraId="6DCEDA6B" w14:textId="77777777" w:rsidR="007239D9" w:rsidRPr="00943FCD" w:rsidRDefault="007239D9" w:rsidP="000E1042">
          <w:pPr>
            <w:pStyle w:val="Heading1"/>
            <w:rPr>
              <w:rStyle w:val="Heading1Char"/>
              <w:sz w:val="22"/>
              <w:szCs w:val="22"/>
            </w:rPr>
          </w:pPr>
          <w:r w:rsidRPr="00943FCD">
            <w:rPr>
              <w:rStyle w:val="Heading1Char"/>
              <w:sz w:val="22"/>
              <w:szCs w:val="22"/>
            </w:rPr>
            <w:t>Contents</w:t>
          </w:r>
          <w:bookmarkEnd w:id="5"/>
        </w:p>
        <w:p w14:paraId="3DFBF2F2" w14:textId="53D2B899" w:rsidR="0011424E" w:rsidRDefault="00233012">
          <w:pPr>
            <w:pStyle w:val="TOC1"/>
            <w:tabs>
              <w:tab w:val="right" w:leader="dot" w:pos="9514"/>
            </w:tabs>
            <w:rPr>
              <w:rFonts w:asciiTheme="minorHAnsi" w:eastAsiaTheme="minorEastAsia" w:hAnsiTheme="minorHAnsi" w:cstheme="minorBidi"/>
              <w:noProof/>
              <w:sz w:val="22"/>
              <w:szCs w:val="22"/>
              <w:lang w:eastAsia="en-GB"/>
            </w:rPr>
          </w:pPr>
          <w:r w:rsidRPr="00943FCD">
            <w:rPr>
              <w:b/>
              <w:bCs/>
              <w:noProof/>
              <w:sz w:val="22"/>
              <w:szCs w:val="22"/>
            </w:rPr>
            <w:fldChar w:fldCharType="begin"/>
          </w:r>
          <w:r w:rsidR="007239D9" w:rsidRPr="00943FCD">
            <w:rPr>
              <w:b/>
              <w:bCs/>
              <w:noProof/>
              <w:sz w:val="22"/>
              <w:szCs w:val="22"/>
            </w:rPr>
            <w:instrText xml:space="preserve"> TOC \o "1-3" \h \z \u </w:instrText>
          </w:r>
          <w:r w:rsidRPr="00943FCD">
            <w:rPr>
              <w:b/>
              <w:bCs/>
              <w:noProof/>
              <w:sz w:val="22"/>
              <w:szCs w:val="22"/>
            </w:rPr>
            <w:fldChar w:fldCharType="separate"/>
          </w:r>
          <w:hyperlink w:anchor="_Toc31701923" w:history="1">
            <w:r w:rsidR="0011424E" w:rsidRPr="00855085">
              <w:rPr>
                <w:rStyle w:val="Hyperlink"/>
                <w:noProof/>
              </w:rPr>
              <w:t>Acknowledgments</w:t>
            </w:r>
            <w:r w:rsidR="0011424E">
              <w:rPr>
                <w:noProof/>
                <w:webHidden/>
              </w:rPr>
              <w:tab/>
            </w:r>
            <w:r w:rsidR="0011424E">
              <w:rPr>
                <w:noProof/>
                <w:webHidden/>
              </w:rPr>
              <w:fldChar w:fldCharType="begin"/>
            </w:r>
            <w:r w:rsidR="0011424E">
              <w:rPr>
                <w:noProof/>
                <w:webHidden/>
              </w:rPr>
              <w:instrText xml:space="preserve"> PAGEREF _Toc31701923 \h </w:instrText>
            </w:r>
            <w:r w:rsidR="0011424E">
              <w:rPr>
                <w:noProof/>
                <w:webHidden/>
              </w:rPr>
            </w:r>
            <w:r w:rsidR="0011424E">
              <w:rPr>
                <w:noProof/>
                <w:webHidden/>
              </w:rPr>
              <w:fldChar w:fldCharType="separate"/>
            </w:r>
            <w:r w:rsidR="0011424E">
              <w:rPr>
                <w:noProof/>
                <w:webHidden/>
              </w:rPr>
              <w:t>1</w:t>
            </w:r>
            <w:r w:rsidR="0011424E">
              <w:rPr>
                <w:noProof/>
                <w:webHidden/>
              </w:rPr>
              <w:fldChar w:fldCharType="end"/>
            </w:r>
          </w:hyperlink>
        </w:p>
        <w:p w14:paraId="05A3FE04" w14:textId="707053E9"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24" w:history="1">
            <w:r w:rsidRPr="00855085">
              <w:rPr>
                <w:rStyle w:val="Hyperlink"/>
                <w:noProof/>
              </w:rPr>
              <w:t>Abstract</w:t>
            </w:r>
            <w:r>
              <w:rPr>
                <w:noProof/>
                <w:webHidden/>
              </w:rPr>
              <w:tab/>
            </w:r>
            <w:r>
              <w:rPr>
                <w:noProof/>
                <w:webHidden/>
              </w:rPr>
              <w:fldChar w:fldCharType="begin"/>
            </w:r>
            <w:r>
              <w:rPr>
                <w:noProof/>
                <w:webHidden/>
              </w:rPr>
              <w:instrText xml:space="preserve"> PAGEREF _Toc31701924 \h </w:instrText>
            </w:r>
            <w:r>
              <w:rPr>
                <w:noProof/>
                <w:webHidden/>
              </w:rPr>
            </w:r>
            <w:r>
              <w:rPr>
                <w:noProof/>
                <w:webHidden/>
              </w:rPr>
              <w:fldChar w:fldCharType="separate"/>
            </w:r>
            <w:r>
              <w:rPr>
                <w:noProof/>
                <w:webHidden/>
              </w:rPr>
              <w:t>2</w:t>
            </w:r>
            <w:r>
              <w:rPr>
                <w:noProof/>
                <w:webHidden/>
              </w:rPr>
              <w:fldChar w:fldCharType="end"/>
            </w:r>
          </w:hyperlink>
        </w:p>
        <w:p w14:paraId="7F549998" w14:textId="077687F1"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25" w:history="1">
            <w:r w:rsidRPr="00855085">
              <w:rPr>
                <w:rStyle w:val="Hyperlink"/>
                <w:noProof/>
              </w:rPr>
              <w:t>Contents</w:t>
            </w:r>
            <w:r>
              <w:rPr>
                <w:noProof/>
                <w:webHidden/>
              </w:rPr>
              <w:tab/>
            </w:r>
            <w:r>
              <w:rPr>
                <w:noProof/>
                <w:webHidden/>
              </w:rPr>
              <w:fldChar w:fldCharType="begin"/>
            </w:r>
            <w:r>
              <w:rPr>
                <w:noProof/>
                <w:webHidden/>
              </w:rPr>
              <w:instrText xml:space="preserve"> PAGEREF _Toc31701925 \h </w:instrText>
            </w:r>
            <w:r>
              <w:rPr>
                <w:noProof/>
                <w:webHidden/>
              </w:rPr>
            </w:r>
            <w:r>
              <w:rPr>
                <w:noProof/>
                <w:webHidden/>
              </w:rPr>
              <w:fldChar w:fldCharType="separate"/>
            </w:r>
            <w:r>
              <w:rPr>
                <w:noProof/>
                <w:webHidden/>
              </w:rPr>
              <w:t>3</w:t>
            </w:r>
            <w:r>
              <w:rPr>
                <w:noProof/>
                <w:webHidden/>
              </w:rPr>
              <w:fldChar w:fldCharType="end"/>
            </w:r>
          </w:hyperlink>
        </w:p>
        <w:p w14:paraId="6B955A9F" w14:textId="067C99C6"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26" w:history="1">
            <w:r w:rsidRPr="00855085">
              <w:rPr>
                <w:rStyle w:val="Hyperlink"/>
                <w:noProof/>
                <w:lang w:eastAsia="ko-KR"/>
              </w:rPr>
              <w:t>List of Tables</w:t>
            </w:r>
            <w:r>
              <w:rPr>
                <w:noProof/>
                <w:webHidden/>
              </w:rPr>
              <w:tab/>
            </w:r>
            <w:r>
              <w:rPr>
                <w:noProof/>
                <w:webHidden/>
              </w:rPr>
              <w:fldChar w:fldCharType="begin"/>
            </w:r>
            <w:r>
              <w:rPr>
                <w:noProof/>
                <w:webHidden/>
              </w:rPr>
              <w:instrText xml:space="preserve"> PAGEREF _Toc31701926 \h </w:instrText>
            </w:r>
            <w:r>
              <w:rPr>
                <w:noProof/>
                <w:webHidden/>
              </w:rPr>
            </w:r>
            <w:r>
              <w:rPr>
                <w:noProof/>
                <w:webHidden/>
              </w:rPr>
              <w:fldChar w:fldCharType="separate"/>
            </w:r>
            <w:r>
              <w:rPr>
                <w:noProof/>
                <w:webHidden/>
              </w:rPr>
              <w:t>6</w:t>
            </w:r>
            <w:r>
              <w:rPr>
                <w:noProof/>
                <w:webHidden/>
              </w:rPr>
              <w:fldChar w:fldCharType="end"/>
            </w:r>
          </w:hyperlink>
        </w:p>
        <w:p w14:paraId="5BC27015" w14:textId="4728B406"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27" w:history="1">
            <w:r w:rsidRPr="00855085">
              <w:rPr>
                <w:rStyle w:val="Hyperlink"/>
                <w:noProof/>
                <w:lang w:eastAsia="ko-KR"/>
              </w:rPr>
              <w:t>List of Figures</w:t>
            </w:r>
            <w:r>
              <w:rPr>
                <w:noProof/>
                <w:webHidden/>
              </w:rPr>
              <w:tab/>
            </w:r>
            <w:r>
              <w:rPr>
                <w:noProof/>
                <w:webHidden/>
              </w:rPr>
              <w:fldChar w:fldCharType="begin"/>
            </w:r>
            <w:r>
              <w:rPr>
                <w:noProof/>
                <w:webHidden/>
              </w:rPr>
              <w:instrText xml:space="preserve"> PAGEREF _Toc31701927 \h </w:instrText>
            </w:r>
            <w:r>
              <w:rPr>
                <w:noProof/>
                <w:webHidden/>
              </w:rPr>
            </w:r>
            <w:r>
              <w:rPr>
                <w:noProof/>
                <w:webHidden/>
              </w:rPr>
              <w:fldChar w:fldCharType="separate"/>
            </w:r>
            <w:r>
              <w:rPr>
                <w:noProof/>
                <w:webHidden/>
              </w:rPr>
              <w:t>6</w:t>
            </w:r>
            <w:r>
              <w:rPr>
                <w:noProof/>
                <w:webHidden/>
              </w:rPr>
              <w:fldChar w:fldCharType="end"/>
            </w:r>
          </w:hyperlink>
        </w:p>
        <w:p w14:paraId="4D52CC3D" w14:textId="539048C1"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28" w:history="1">
            <w:r w:rsidRPr="00855085">
              <w:rPr>
                <w:rStyle w:val="Hyperlink"/>
                <w:noProof/>
              </w:rPr>
              <w:t>Glossary</w:t>
            </w:r>
            <w:r>
              <w:rPr>
                <w:noProof/>
                <w:webHidden/>
              </w:rPr>
              <w:tab/>
            </w:r>
            <w:r>
              <w:rPr>
                <w:noProof/>
                <w:webHidden/>
              </w:rPr>
              <w:fldChar w:fldCharType="begin"/>
            </w:r>
            <w:r>
              <w:rPr>
                <w:noProof/>
                <w:webHidden/>
              </w:rPr>
              <w:instrText xml:space="preserve"> PAGEREF _Toc31701928 \h </w:instrText>
            </w:r>
            <w:r>
              <w:rPr>
                <w:noProof/>
                <w:webHidden/>
              </w:rPr>
            </w:r>
            <w:r>
              <w:rPr>
                <w:noProof/>
                <w:webHidden/>
              </w:rPr>
              <w:fldChar w:fldCharType="separate"/>
            </w:r>
            <w:r>
              <w:rPr>
                <w:noProof/>
                <w:webHidden/>
              </w:rPr>
              <w:t>8</w:t>
            </w:r>
            <w:r>
              <w:rPr>
                <w:noProof/>
                <w:webHidden/>
              </w:rPr>
              <w:fldChar w:fldCharType="end"/>
            </w:r>
          </w:hyperlink>
        </w:p>
        <w:p w14:paraId="7C722E9A" w14:textId="44626A38"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29" w:history="1">
            <w:r w:rsidRPr="00855085">
              <w:rPr>
                <w:rStyle w:val="Hyperlink"/>
                <w:noProof/>
              </w:rPr>
              <w:t>Chapter 1. Introduction</w:t>
            </w:r>
            <w:r>
              <w:rPr>
                <w:noProof/>
                <w:webHidden/>
              </w:rPr>
              <w:tab/>
            </w:r>
            <w:r>
              <w:rPr>
                <w:noProof/>
                <w:webHidden/>
              </w:rPr>
              <w:fldChar w:fldCharType="begin"/>
            </w:r>
            <w:r>
              <w:rPr>
                <w:noProof/>
                <w:webHidden/>
              </w:rPr>
              <w:instrText xml:space="preserve"> PAGEREF _Toc31701929 \h </w:instrText>
            </w:r>
            <w:r>
              <w:rPr>
                <w:noProof/>
                <w:webHidden/>
              </w:rPr>
            </w:r>
            <w:r>
              <w:rPr>
                <w:noProof/>
                <w:webHidden/>
              </w:rPr>
              <w:fldChar w:fldCharType="separate"/>
            </w:r>
            <w:r>
              <w:rPr>
                <w:noProof/>
                <w:webHidden/>
              </w:rPr>
              <w:t>13</w:t>
            </w:r>
            <w:r>
              <w:rPr>
                <w:noProof/>
                <w:webHidden/>
              </w:rPr>
              <w:fldChar w:fldCharType="end"/>
            </w:r>
          </w:hyperlink>
        </w:p>
        <w:p w14:paraId="4372C01B" w14:textId="65AB11AE"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30" w:history="1">
            <w:r w:rsidRPr="00855085">
              <w:rPr>
                <w:rStyle w:val="Hyperlink"/>
                <w:noProof/>
              </w:rPr>
              <w:t>Rationale</w:t>
            </w:r>
            <w:r>
              <w:rPr>
                <w:noProof/>
                <w:webHidden/>
              </w:rPr>
              <w:tab/>
            </w:r>
            <w:r>
              <w:rPr>
                <w:noProof/>
                <w:webHidden/>
              </w:rPr>
              <w:fldChar w:fldCharType="begin"/>
            </w:r>
            <w:r>
              <w:rPr>
                <w:noProof/>
                <w:webHidden/>
              </w:rPr>
              <w:instrText xml:space="preserve"> PAGEREF _Toc31701930 \h </w:instrText>
            </w:r>
            <w:r>
              <w:rPr>
                <w:noProof/>
                <w:webHidden/>
              </w:rPr>
            </w:r>
            <w:r>
              <w:rPr>
                <w:noProof/>
                <w:webHidden/>
              </w:rPr>
              <w:fldChar w:fldCharType="separate"/>
            </w:r>
            <w:r>
              <w:rPr>
                <w:noProof/>
                <w:webHidden/>
              </w:rPr>
              <w:t>13</w:t>
            </w:r>
            <w:r>
              <w:rPr>
                <w:noProof/>
                <w:webHidden/>
              </w:rPr>
              <w:fldChar w:fldCharType="end"/>
            </w:r>
          </w:hyperlink>
        </w:p>
        <w:p w14:paraId="2440B6E2" w14:textId="3E18A39F"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31" w:history="1">
            <w:r w:rsidRPr="00855085">
              <w:rPr>
                <w:rStyle w:val="Hyperlink"/>
                <w:noProof/>
              </w:rPr>
              <w:t>Key concepts</w:t>
            </w:r>
            <w:r>
              <w:rPr>
                <w:noProof/>
                <w:webHidden/>
              </w:rPr>
              <w:tab/>
            </w:r>
            <w:r>
              <w:rPr>
                <w:noProof/>
                <w:webHidden/>
              </w:rPr>
              <w:fldChar w:fldCharType="begin"/>
            </w:r>
            <w:r>
              <w:rPr>
                <w:noProof/>
                <w:webHidden/>
              </w:rPr>
              <w:instrText xml:space="preserve"> PAGEREF _Toc31701931 \h </w:instrText>
            </w:r>
            <w:r>
              <w:rPr>
                <w:noProof/>
                <w:webHidden/>
              </w:rPr>
            </w:r>
            <w:r>
              <w:rPr>
                <w:noProof/>
                <w:webHidden/>
              </w:rPr>
              <w:fldChar w:fldCharType="separate"/>
            </w:r>
            <w:r>
              <w:rPr>
                <w:noProof/>
                <w:webHidden/>
              </w:rPr>
              <w:t>15</w:t>
            </w:r>
            <w:r>
              <w:rPr>
                <w:noProof/>
                <w:webHidden/>
              </w:rPr>
              <w:fldChar w:fldCharType="end"/>
            </w:r>
          </w:hyperlink>
        </w:p>
        <w:p w14:paraId="61B4C53B" w14:textId="0EC4AC5C"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32" w:history="1">
            <w:r w:rsidRPr="00855085">
              <w:rPr>
                <w:rStyle w:val="Hyperlink"/>
                <w:noProof/>
              </w:rPr>
              <w:t>The ‘boundary lens’</w:t>
            </w:r>
            <w:r>
              <w:rPr>
                <w:noProof/>
                <w:webHidden/>
              </w:rPr>
              <w:tab/>
            </w:r>
            <w:r>
              <w:rPr>
                <w:noProof/>
                <w:webHidden/>
              </w:rPr>
              <w:fldChar w:fldCharType="begin"/>
            </w:r>
            <w:r>
              <w:rPr>
                <w:noProof/>
                <w:webHidden/>
              </w:rPr>
              <w:instrText xml:space="preserve"> PAGEREF _Toc31701932 \h </w:instrText>
            </w:r>
            <w:r>
              <w:rPr>
                <w:noProof/>
                <w:webHidden/>
              </w:rPr>
            </w:r>
            <w:r>
              <w:rPr>
                <w:noProof/>
                <w:webHidden/>
              </w:rPr>
              <w:fldChar w:fldCharType="separate"/>
            </w:r>
            <w:r>
              <w:rPr>
                <w:noProof/>
                <w:webHidden/>
              </w:rPr>
              <w:t>15</w:t>
            </w:r>
            <w:r>
              <w:rPr>
                <w:noProof/>
                <w:webHidden/>
              </w:rPr>
              <w:fldChar w:fldCharType="end"/>
            </w:r>
          </w:hyperlink>
        </w:p>
        <w:p w14:paraId="6EFF4D0F" w14:textId="2FDEA783"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33" w:history="1">
            <w:r w:rsidRPr="00855085">
              <w:rPr>
                <w:rStyle w:val="Hyperlink"/>
                <w:noProof/>
              </w:rPr>
              <w:t>The ‘knowledge-based’ view of the university</w:t>
            </w:r>
            <w:r>
              <w:rPr>
                <w:noProof/>
                <w:webHidden/>
              </w:rPr>
              <w:tab/>
            </w:r>
            <w:r>
              <w:rPr>
                <w:noProof/>
                <w:webHidden/>
              </w:rPr>
              <w:fldChar w:fldCharType="begin"/>
            </w:r>
            <w:r>
              <w:rPr>
                <w:noProof/>
                <w:webHidden/>
              </w:rPr>
              <w:instrText xml:space="preserve"> PAGEREF _Toc31701933 \h </w:instrText>
            </w:r>
            <w:r>
              <w:rPr>
                <w:noProof/>
                <w:webHidden/>
              </w:rPr>
            </w:r>
            <w:r>
              <w:rPr>
                <w:noProof/>
                <w:webHidden/>
              </w:rPr>
              <w:fldChar w:fldCharType="separate"/>
            </w:r>
            <w:r>
              <w:rPr>
                <w:noProof/>
                <w:webHidden/>
              </w:rPr>
              <w:t>17</w:t>
            </w:r>
            <w:r>
              <w:rPr>
                <w:noProof/>
                <w:webHidden/>
              </w:rPr>
              <w:fldChar w:fldCharType="end"/>
            </w:r>
          </w:hyperlink>
        </w:p>
        <w:p w14:paraId="533C367A" w14:textId="2BE6391F"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34" w:history="1">
            <w:r w:rsidRPr="00855085">
              <w:rPr>
                <w:rStyle w:val="Hyperlink"/>
                <w:noProof/>
              </w:rPr>
              <w:t>Contemporary context: The ‘impact agenda’ and the Research Excellence Framework</w:t>
            </w:r>
            <w:r>
              <w:rPr>
                <w:noProof/>
                <w:webHidden/>
              </w:rPr>
              <w:tab/>
            </w:r>
            <w:r>
              <w:rPr>
                <w:noProof/>
                <w:webHidden/>
              </w:rPr>
              <w:fldChar w:fldCharType="begin"/>
            </w:r>
            <w:r>
              <w:rPr>
                <w:noProof/>
                <w:webHidden/>
              </w:rPr>
              <w:instrText xml:space="preserve"> PAGEREF _Toc31701934 \h </w:instrText>
            </w:r>
            <w:r>
              <w:rPr>
                <w:noProof/>
                <w:webHidden/>
              </w:rPr>
            </w:r>
            <w:r>
              <w:rPr>
                <w:noProof/>
                <w:webHidden/>
              </w:rPr>
              <w:fldChar w:fldCharType="separate"/>
            </w:r>
            <w:r>
              <w:rPr>
                <w:noProof/>
                <w:webHidden/>
              </w:rPr>
              <w:t>19</w:t>
            </w:r>
            <w:r>
              <w:rPr>
                <w:noProof/>
                <w:webHidden/>
              </w:rPr>
              <w:fldChar w:fldCharType="end"/>
            </w:r>
          </w:hyperlink>
        </w:p>
        <w:p w14:paraId="4802D43D" w14:textId="115E84F2"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35" w:history="1">
            <w:r w:rsidRPr="00855085">
              <w:rPr>
                <w:rStyle w:val="Hyperlink"/>
                <w:noProof/>
              </w:rPr>
              <w:t>Impact in the Research Excellence Framework and its relevance to my study</w:t>
            </w:r>
            <w:r>
              <w:rPr>
                <w:noProof/>
                <w:webHidden/>
              </w:rPr>
              <w:tab/>
            </w:r>
            <w:r>
              <w:rPr>
                <w:noProof/>
                <w:webHidden/>
              </w:rPr>
              <w:fldChar w:fldCharType="begin"/>
            </w:r>
            <w:r>
              <w:rPr>
                <w:noProof/>
                <w:webHidden/>
              </w:rPr>
              <w:instrText xml:space="preserve"> PAGEREF _Toc31701935 \h </w:instrText>
            </w:r>
            <w:r>
              <w:rPr>
                <w:noProof/>
                <w:webHidden/>
              </w:rPr>
            </w:r>
            <w:r>
              <w:rPr>
                <w:noProof/>
                <w:webHidden/>
              </w:rPr>
              <w:fldChar w:fldCharType="separate"/>
            </w:r>
            <w:r>
              <w:rPr>
                <w:noProof/>
                <w:webHidden/>
              </w:rPr>
              <w:t>19</w:t>
            </w:r>
            <w:r>
              <w:rPr>
                <w:noProof/>
                <w:webHidden/>
              </w:rPr>
              <w:fldChar w:fldCharType="end"/>
            </w:r>
          </w:hyperlink>
        </w:p>
        <w:p w14:paraId="2F9513E9" w14:textId="671D96EE"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36" w:history="1">
            <w:r w:rsidRPr="00855085">
              <w:rPr>
                <w:rStyle w:val="Hyperlink"/>
                <w:noProof/>
              </w:rPr>
              <w:t>Background to and institutionalisation of the UK ‘impact agenda’</w:t>
            </w:r>
            <w:r>
              <w:rPr>
                <w:noProof/>
                <w:webHidden/>
              </w:rPr>
              <w:tab/>
            </w:r>
            <w:r>
              <w:rPr>
                <w:noProof/>
                <w:webHidden/>
              </w:rPr>
              <w:fldChar w:fldCharType="begin"/>
            </w:r>
            <w:r>
              <w:rPr>
                <w:noProof/>
                <w:webHidden/>
              </w:rPr>
              <w:instrText xml:space="preserve"> PAGEREF _Toc31701936 \h </w:instrText>
            </w:r>
            <w:r>
              <w:rPr>
                <w:noProof/>
                <w:webHidden/>
              </w:rPr>
            </w:r>
            <w:r>
              <w:rPr>
                <w:noProof/>
                <w:webHidden/>
              </w:rPr>
              <w:fldChar w:fldCharType="separate"/>
            </w:r>
            <w:r>
              <w:rPr>
                <w:noProof/>
                <w:webHidden/>
              </w:rPr>
              <w:t>22</w:t>
            </w:r>
            <w:r>
              <w:rPr>
                <w:noProof/>
                <w:webHidden/>
              </w:rPr>
              <w:fldChar w:fldCharType="end"/>
            </w:r>
          </w:hyperlink>
        </w:p>
        <w:p w14:paraId="05298CC4" w14:textId="41E2B2A0"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37" w:history="1">
            <w:r w:rsidRPr="00855085">
              <w:rPr>
                <w:rStyle w:val="Hyperlink"/>
                <w:noProof/>
              </w:rPr>
              <w:t>Analysing the impact agenda through a Bernsteinian ‘boundary’ lens</w:t>
            </w:r>
            <w:r>
              <w:rPr>
                <w:noProof/>
                <w:webHidden/>
              </w:rPr>
              <w:tab/>
            </w:r>
            <w:r>
              <w:rPr>
                <w:noProof/>
                <w:webHidden/>
              </w:rPr>
              <w:fldChar w:fldCharType="begin"/>
            </w:r>
            <w:r>
              <w:rPr>
                <w:noProof/>
                <w:webHidden/>
              </w:rPr>
              <w:instrText xml:space="preserve"> PAGEREF _Toc31701937 \h </w:instrText>
            </w:r>
            <w:r>
              <w:rPr>
                <w:noProof/>
                <w:webHidden/>
              </w:rPr>
            </w:r>
            <w:r>
              <w:rPr>
                <w:noProof/>
                <w:webHidden/>
              </w:rPr>
              <w:fldChar w:fldCharType="separate"/>
            </w:r>
            <w:r>
              <w:rPr>
                <w:noProof/>
                <w:webHidden/>
              </w:rPr>
              <w:t>25</w:t>
            </w:r>
            <w:r>
              <w:rPr>
                <w:noProof/>
                <w:webHidden/>
              </w:rPr>
              <w:fldChar w:fldCharType="end"/>
            </w:r>
          </w:hyperlink>
        </w:p>
        <w:p w14:paraId="2609FABF" w14:textId="5B4B2984"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38" w:history="1">
            <w:r w:rsidRPr="00855085">
              <w:rPr>
                <w:rStyle w:val="Hyperlink"/>
                <w:noProof/>
              </w:rPr>
              <w:t>The study</w:t>
            </w:r>
            <w:r>
              <w:rPr>
                <w:noProof/>
                <w:webHidden/>
              </w:rPr>
              <w:tab/>
            </w:r>
            <w:r>
              <w:rPr>
                <w:noProof/>
                <w:webHidden/>
              </w:rPr>
              <w:fldChar w:fldCharType="begin"/>
            </w:r>
            <w:r>
              <w:rPr>
                <w:noProof/>
                <w:webHidden/>
              </w:rPr>
              <w:instrText xml:space="preserve"> PAGEREF _Toc31701938 \h </w:instrText>
            </w:r>
            <w:r>
              <w:rPr>
                <w:noProof/>
                <w:webHidden/>
              </w:rPr>
            </w:r>
            <w:r>
              <w:rPr>
                <w:noProof/>
                <w:webHidden/>
              </w:rPr>
              <w:fldChar w:fldCharType="separate"/>
            </w:r>
            <w:r>
              <w:rPr>
                <w:noProof/>
                <w:webHidden/>
              </w:rPr>
              <w:t>26</w:t>
            </w:r>
            <w:r>
              <w:rPr>
                <w:noProof/>
                <w:webHidden/>
              </w:rPr>
              <w:fldChar w:fldCharType="end"/>
            </w:r>
          </w:hyperlink>
        </w:p>
        <w:p w14:paraId="67E5260F" w14:textId="5B94DFFC"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39" w:history="1">
            <w:r w:rsidRPr="00855085">
              <w:rPr>
                <w:rStyle w:val="Hyperlink"/>
                <w:noProof/>
              </w:rPr>
              <w:t>Research questions, assumptions and expectations</w:t>
            </w:r>
            <w:r>
              <w:rPr>
                <w:noProof/>
                <w:webHidden/>
              </w:rPr>
              <w:tab/>
            </w:r>
            <w:r>
              <w:rPr>
                <w:noProof/>
                <w:webHidden/>
              </w:rPr>
              <w:fldChar w:fldCharType="begin"/>
            </w:r>
            <w:r>
              <w:rPr>
                <w:noProof/>
                <w:webHidden/>
              </w:rPr>
              <w:instrText xml:space="preserve"> PAGEREF _Toc31701939 \h </w:instrText>
            </w:r>
            <w:r>
              <w:rPr>
                <w:noProof/>
                <w:webHidden/>
              </w:rPr>
            </w:r>
            <w:r>
              <w:rPr>
                <w:noProof/>
                <w:webHidden/>
              </w:rPr>
              <w:fldChar w:fldCharType="separate"/>
            </w:r>
            <w:r>
              <w:rPr>
                <w:noProof/>
                <w:webHidden/>
              </w:rPr>
              <w:t>26</w:t>
            </w:r>
            <w:r>
              <w:rPr>
                <w:noProof/>
                <w:webHidden/>
              </w:rPr>
              <w:fldChar w:fldCharType="end"/>
            </w:r>
          </w:hyperlink>
        </w:p>
        <w:p w14:paraId="5CF201E3" w14:textId="30CEDC23"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40" w:history="1">
            <w:r w:rsidRPr="00855085">
              <w:rPr>
                <w:rStyle w:val="Hyperlink"/>
                <w:noProof/>
              </w:rPr>
              <w:t>Approach and importance of the study</w:t>
            </w:r>
            <w:r>
              <w:rPr>
                <w:noProof/>
                <w:webHidden/>
              </w:rPr>
              <w:tab/>
            </w:r>
            <w:r>
              <w:rPr>
                <w:noProof/>
                <w:webHidden/>
              </w:rPr>
              <w:fldChar w:fldCharType="begin"/>
            </w:r>
            <w:r>
              <w:rPr>
                <w:noProof/>
                <w:webHidden/>
              </w:rPr>
              <w:instrText xml:space="preserve"> PAGEREF _Toc31701940 \h </w:instrText>
            </w:r>
            <w:r>
              <w:rPr>
                <w:noProof/>
                <w:webHidden/>
              </w:rPr>
            </w:r>
            <w:r>
              <w:rPr>
                <w:noProof/>
                <w:webHidden/>
              </w:rPr>
              <w:fldChar w:fldCharType="separate"/>
            </w:r>
            <w:r>
              <w:rPr>
                <w:noProof/>
                <w:webHidden/>
              </w:rPr>
              <w:t>28</w:t>
            </w:r>
            <w:r>
              <w:rPr>
                <w:noProof/>
                <w:webHidden/>
              </w:rPr>
              <w:fldChar w:fldCharType="end"/>
            </w:r>
          </w:hyperlink>
        </w:p>
        <w:p w14:paraId="4B3F45A5" w14:textId="511B9DCA"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41" w:history="1">
            <w:r w:rsidRPr="00855085">
              <w:rPr>
                <w:rStyle w:val="Hyperlink"/>
                <w:noProof/>
              </w:rPr>
              <w:t>Thesis structure</w:t>
            </w:r>
            <w:r>
              <w:rPr>
                <w:noProof/>
                <w:webHidden/>
              </w:rPr>
              <w:tab/>
            </w:r>
            <w:r>
              <w:rPr>
                <w:noProof/>
                <w:webHidden/>
              </w:rPr>
              <w:fldChar w:fldCharType="begin"/>
            </w:r>
            <w:r>
              <w:rPr>
                <w:noProof/>
                <w:webHidden/>
              </w:rPr>
              <w:instrText xml:space="preserve"> PAGEREF _Toc31701941 \h </w:instrText>
            </w:r>
            <w:r>
              <w:rPr>
                <w:noProof/>
                <w:webHidden/>
              </w:rPr>
            </w:r>
            <w:r>
              <w:rPr>
                <w:noProof/>
                <w:webHidden/>
              </w:rPr>
              <w:fldChar w:fldCharType="separate"/>
            </w:r>
            <w:r>
              <w:rPr>
                <w:noProof/>
                <w:webHidden/>
              </w:rPr>
              <w:t>29</w:t>
            </w:r>
            <w:r>
              <w:rPr>
                <w:noProof/>
                <w:webHidden/>
              </w:rPr>
              <w:fldChar w:fldCharType="end"/>
            </w:r>
          </w:hyperlink>
        </w:p>
        <w:p w14:paraId="555F9F29" w14:textId="7F45AFC3"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42" w:history="1">
            <w:r w:rsidRPr="00855085">
              <w:rPr>
                <w:rStyle w:val="Hyperlink"/>
                <w:noProof/>
              </w:rPr>
              <w:t>Chapter 2. The ‘Boundary’ Lens: Empirical and Theoretical Literature and an Analytical Framework</w:t>
            </w:r>
            <w:r>
              <w:rPr>
                <w:noProof/>
                <w:webHidden/>
              </w:rPr>
              <w:tab/>
            </w:r>
            <w:r>
              <w:rPr>
                <w:noProof/>
                <w:webHidden/>
              </w:rPr>
              <w:fldChar w:fldCharType="begin"/>
            </w:r>
            <w:r>
              <w:rPr>
                <w:noProof/>
                <w:webHidden/>
              </w:rPr>
              <w:instrText xml:space="preserve"> PAGEREF _Toc31701942 \h </w:instrText>
            </w:r>
            <w:r>
              <w:rPr>
                <w:noProof/>
                <w:webHidden/>
              </w:rPr>
            </w:r>
            <w:r>
              <w:rPr>
                <w:noProof/>
                <w:webHidden/>
              </w:rPr>
              <w:fldChar w:fldCharType="separate"/>
            </w:r>
            <w:r>
              <w:rPr>
                <w:noProof/>
                <w:webHidden/>
              </w:rPr>
              <w:t>32</w:t>
            </w:r>
            <w:r>
              <w:rPr>
                <w:noProof/>
                <w:webHidden/>
              </w:rPr>
              <w:fldChar w:fldCharType="end"/>
            </w:r>
          </w:hyperlink>
        </w:p>
        <w:p w14:paraId="5069C807" w14:textId="41D2407A"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43" w:history="1">
            <w:r w:rsidRPr="00855085">
              <w:rPr>
                <w:rStyle w:val="Hyperlink"/>
                <w:noProof/>
              </w:rPr>
              <w:t>Introduction</w:t>
            </w:r>
            <w:r>
              <w:rPr>
                <w:noProof/>
                <w:webHidden/>
              </w:rPr>
              <w:tab/>
            </w:r>
            <w:r>
              <w:rPr>
                <w:noProof/>
                <w:webHidden/>
              </w:rPr>
              <w:fldChar w:fldCharType="begin"/>
            </w:r>
            <w:r>
              <w:rPr>
                <w:noProof/>
                <w:webHidden/>
              </w:rPr>
              <w:instrText xml:space="preserve"> PAGEREF _Toc31701943 \h </w:instrText>
            </w:r>
            <w:r>
              <w:rPr>
                <w:noProof/>
                <w:webHidden/>
              </w:rPr>
            </w:r>
            <w:r>
              <w:rPr>
                <w:noProof/>
                <w:webHidden/>
              </w:rPr>
              <w:fldChar w:fldCharType="separate"/>
            </w:r>
            <w:r>
              <w:rPr>
                <w:noProof/>
                <w:webHidden/>
              </w:rPr>
              <w:t>32</w:t>
            </w:r>
            <w:r>
              <w:rPr>
                <w:noProof/>
                <w:webHidden/>
              </w:rPr>
              <w:fldChar w:fldCharType="end"/>
            </w:r>
          </w:hyperlink>
        </w:p>
        <w:p w14:paraId="052B901C" w14:textId="452EE03A"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44" w:history="1">
            <w:r w:rsidRPr="00855085">
              <w:rPr>
                <w:rStyle w:val="Hyperlink"/>
                <w:noProof/>
              </w:rPr>
              <w:t>Power and control through the ‘boundary’ lens</w:t>
            </w:r>
            <w:r>
              <w:rPr>
                <w:noProof/>
                <w:webHidden/>
              </w:rPr>
              <w:tab/>
            </w:r>
            <w:r>
              <w:rPr>
                <w:noProof/>
                <w:webHidden/>
              </w:rPr>
              <w:fldChar w:fldCharType="begin"/>
            </w:r>
            <w:r>
              <w:rPr>
                <w:noProof/>
                <w:webHidden/>
              </w:rPr>
              <w:instrText xml:space="preserve"> PAGEREF _Toc31701944 \h </w:instrText>
            </w:r>
            <w:r>
              <w:rPr>
                <w:noProof/>
                <w:webHidden/>
              </w:rPr>
            </w:r>
            <w:r>
              <w:rPr>
                <w:noProof/>
                <w:webHidden/>
              </w:rPr>
              <w:fldChar w:fldCharType="separate"/>
            </w:r>
            <w:r>
              <w:rPr>
                <w:noProof/>
                <w:webHidden/>
              </w:rPr>
              <w:t>33</w:t>
            </w:r>
            <w:r>
              <w:rPr>
                <w:noProof/>
                <w:webHidden/>
              </w:rPr>
              <w:fldChar w:fldCharType="end"/>
            </w:r>
          </w:hyperlink>
        </w:p>
        <w:p w14:paraId="7344344C" w14:textId="0AFD0707"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45" w:history="1">
            <w:r w:rsidRPr="00855085">
              <w:rPr>
                <w:rStyle w:val="Hyperlink"/>
                <w:noProof/>
              </w:rPr>
              <w:t>Boundaries and ‘power’</w:t>
            </w:r>
            <w:r>
              <w:rPr>
                <w:noProof/>
                <w:webHidden/>
              </w:rPr>
              <w:tab/>
            </w:r>
            <w:r>
              <w:rPr>
                <w:noProof/>
                <w:webHidden/>
              </w:rPr>
              <w:fldChar w:fldCharType="begin"/>
            </w:r>
            <w:r>
              <w:rPr>
                <w:noProof/>
                <w:webHidden/>
              </w:rPr>
              <w:instrText xml:space="preserve"> PAGEREF _Toc31701945 \h </w:instrText>
            </w:r>
            <w:r>
              <w:rPr>
                <w:noProof/>
                <w:webHidden/>
              </w:rPr>
            </w:r>
            <w:r>
              <w:rPr>
                <w:noProof/>
                <w:webHidden/>
              </w:rPr>
              <w:fldChar w:fldCharType="separate"/>
            </w:r>
            <w:r>
              <w:rPr>
                <w:noProof/>
                <w:webHidden/>
              </w:rPr>
              <w:t>33</w:t>
            </w:r>
            <w:r>
              <w:rPr>
                <w:noProof/>
                <w:webHidden/>
              </w:rPr>
              <w:fldChar w:fldCharType="end"/>
            </w:r>
          </w:hyperlink>
        </w:p>
        <w:p w14:paraId="1A97354F" w14:textId="486CDDF5"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46" w:history="1">
            <w:r w:rsidRPr="00855085">
              <w:rPr>
                <w:rStyle w:val="Hyperlink"/>
                <w:noProof/>
              </w:rPr>
              <w:t>‘Boundary transactions’ and ‘control’</w:t>
            </w:r>
            <w:r>
              <w:rPr>
                <w:noProof/>
                <w:webHidden/>
              </w:rPr>
              <w:tab/>
            </w:r>
            <w:r>
              <w:rPr>
                <w:noProof/>
                <w:webHidden/>
              </w:rPr>
              <w:fldChar w:fldCharType="begin"/>
            </w:r>
            <w:r>
              <w:rPr>
                <w:noProof/>
                <w:webHidden/>
              </w:rPr>
              <w:instrText xml:space="preserve"> PAGEREF _Toc31701946 \h </w:instrText>
            </w:r>
            <w:r>
              <w:rPr>
                <w:noProof/>
                <w:webHidden/>
              </w:rPr>
            </w:r>
            <w:r>
              <w:rPr>
                <w:noProof/>
                <w:webHidden/>
              </w:rPr>
              <w:fldChar w:fldCharType="separate"/>
            </w:r>
            <w:r>
              <w:rPr>
                <w:noProof/>
                <w:webHidden/>
              </w:rPr>
              <w:t>39</w:t>
            </w:r>
            <w:r>
              <w:rPr>
                <w:noProof/>
                <w:webHidden/>
              </w:rPr>
              <w:fldChar w:fldCharType="end"/>
            </w:r>
          </w:hyperlink>
        </w:p>
        <w:p w14:paraId="35E4C82E" w14:textId="6589B622"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47" w:history="1">
            <w:r w:rsidRPr="00855085">
              <w:rPr>
                <w:rStyle w:val="Hyperlink"/>
                <w:noProof/>
              </w:rPr>
              <w:t>Differential power and control: institutional and disciplinary characteristics</w:t>
            </w:r>
            <w:r>
              <w:rPr>
                <w:noProof/>
                <w:webHidden/>
              </w:rPr>
              <w:tab/>
            </w:r>
            <w:r>
              <w:rPr>
                <w:noProof/>
                <w:webHidden/>
              </w:rPr>
              <w:fldChar w:fldCharType="begin"/>
            </w:r>
            <w:r>
              <w:rPr>
                <w:noProof/>
                <w:webHidden/>
              </w:rPr>
              <w:instrText xml:space="preserve"> PAGEREF _Toc31701947 \h </w:instrText>
            </w:r>
            <w:r>
              <w:rPr>
                <w:noProof/>
                <w:webHidden/>
              </w:rPr>
            </w:r>
            <w:r>
              <w:rPr>
                <w:noProof/>
                <w:webHidden/>
              </w:rPr>
              <w:fldChar w:fldCharType="separate"/>
            </w:r>
            <w:r>
              <w:rPr>
                <w:noProof/>
                <w:webHidden/>
              </w:rPr>
              <w:t>42</w:t>
            </w:r>
            <w:r>
              <w:rPr>
                <w:noProof/>
                <w:webHidden/>
              </w:rPr>
              <w:fldChar w:fldCharType="end"/>
            </w:r>
          </w:hyperlink>
        </w:p>
        <w:p w14:paraId="24E05432" w14:textId="70C69D1A"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48" w:history="1">
            <w:r w:rsidRPr="00855085">
              <w:rPr>
                <w:rStyle w:val="Hyperlink"/>
                <w:noProof/>
              </w:rPr>
              <w:t>Forms of boundary transaction: a literature review</w:t>
            </w:r>
            <w:r>
              <w:rPr>
                <w:noProof/>
                <w:webHidden/>
              </w:rPr>
              <w:tab/>
            </w:r>
            <w:r>
              <w:rPr>
                <w:noProof/>
                <w:webHidden/>
              </w:rPr>
              <w:fldChar w:fldCharType="begin"/>
            </w:r>
            <w:r>
              <w:rPr>
                <w:noProof/>
                <w:webHidden/>
              </w:rPr>
              <w:instrText xml:space="preserve"> PAGEREF _Toc31701948 \h </w:instrText>
            </w:r>
            <w:r>
              <w:rPr>
                <w:noProof/>
                <w:webHidden/>
              </w:rPr>
            </w:r>
            <w:r>
              <w:rPr>
                <w:noProof/>
                <w:webHidden/>
              </w:rPr>
              <w:fldChar w:fldCharType="separate"/>
            </w:r>
            <w:r>
              <w:rPr>
                <w:noProof/>
                <w:webHidden/>
              </w:rPr>
              <w:t>45</w:t>
            </w:r>
            <w:r>
              <w:rPr>
                <w:noProof/>
                <w:webHidden/>
              </w:rPr>
              <w:fldChar w:fldCharType="end"/>
            </w:r>
          </w:hyperlink>
        </w:p>
        <w:p w14:paraId="4D0AC094" w14:textId="34409BE7"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49" w:history="1">
            <w:r w:rsidRPr="00855085">
              <w:rPr>
                <w:rStyle w:val="Hyperlink"/>
                <w:noProof/>
              </w:rPr>
              <w:t>Outreach: new networks and activities for the university’s ‘third mission’</w:t>
            </w:r>
            <w:r>
              <w:rPr>
                <w:noProof/>
                <w:webHidden/>
              </w:rPr>
              <w:tab/>
            </w:r>
            <w:r>
              <w:rPr>
                <w:noProof/>
                <w:webHidden/>
              </w:rPr>
              <w:fldChar w:fldCharType="begin"/>
            </w:r>
            <w:r>
              <w:rPr>
                <w:noProof/>
                <w:webHidden/>
              </w:rPr>
              <w:instrText xml:space="preserve"> PAGEREF _Toc31701949 \h </w:instrText>
            </w:r>
            <w:r>
              <w:rPr>
                <w:noProof/>
                <w:webHidden/>
              </w:rPr>
            </w:r>
            <w:r>
              <w:rPr>
                <w:noProof/>
                <w:webHidden/>
              </w:rPr>
              <w:fldChar w:fldCharType="separate"/>
            </w:r>
            <w:r>
              <w:rPr>
                <w:noProof/>
                <w:webHidden/>
              </w:rPr>
              <w:t>46</w:t>
            </w:r>
            <w:r>
              <w:rPr>
                <w:noProof/>
                <w:webHidden/>
              </w:rPr>
              <w:fldChar w:fldCharType="end"/>
            </w:r>
          </w:hyperlink>
        </w:p>
        <w:p w14:paraId="308AD35F" w14:textId="26A4836F"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50" w:history="1">
            <w:r w:rsidRPr="00855085">
              <w:rPr>
                <w:rStyle w:val="Hyperlink"/>
                <w:noProof/>
              </w:rPr>
              <w:t>Collaboration: knowledge exchange and the ‘new’ epistemologies of academic science</w:t>
            </w:r>
            <w:r>
              <w:rPr>
                <w:noProof/>
                <w:webHidden/>
              </w:rPr>
              <w:tab/>
            </w:r>
            <w:r>
              <w:rPr>
                <w:noProof/>
                <w:webHidden/>
              </w:rPr>
              <w:fldChar w:fldCharType="begin"/>
            </w:r>
            <w:r>
              <w:rPr>
                <w:noProof/>
                <w:webHidden/>
              </w:rPr>
              <w:instrText xml:space="preserve"> PAGEREF _Toc31701950 \h </w:instrText>
            </w:r>
            <w:r>
              <w:rPr>
                <w:noProof/>
                <w:webHidden/>
              </w:rPr>
            </w:r>
            <w:r>
              <w:rPr>
                <w:noProof/>
                <w:webHidden/>
              </w:rPr>
              <w:fldChar w:fldCharType="separate"/>
            </w:r>
            <w:r>
              <w:rPr>
                <w:noProof/>
                <w:webHidden/>
              </w:rPr>
              <w:t>48</w:t>
            </w:r>
            <w:r>
              <w:rPr>
                <w:noProof/>
                <w:webHidden/>
              </w:rPr>
              <w:fldChar w:fldCharType="end"/>
            </w:r>
          </w:hyperlink>
        </w:p>
        <w:p w14:paraId="58DBA2AD" w14:textId="716B8EF9"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51" w:history="1">
            <w:r w:rsidRPr="00855085">
              <w:rPr>
                <w:rStyle w:val="Hyperlink"/>
                <w:noProof/>
              </w:rPr>
              <w:t>Use-oriented outputs (‘boundary objects’)</w:t>
            </w:r>
            <w:r>
              <w:rPr>
                <w:noProof/>
                <w:webHidden/>
              </w:rPr>
              <w:tab/>
            </w:r>
            <w:r>
              <w:rPr>
                <w:noProof/>
                <w:webHidden/>
              </w:rPr>
              <w:fldChar w:fldCharType="begin"/>
            </w:r>
            <w:r>
              <w:rPr>
                <w:noProof/>
                <w:webHidden/>
              </w:rPr>
              <w:instrText xml:space="preserve"> PAGEREF _Toc31701951 \h </w:instrText>
            </w:r>
            <w:r>
              <w:rPr>
                <w:noProof/>
                <w:webHidden/>
              </w:rPr>
            </w:r>
            <w:r>
              <w:rPr>
                <w:noProof/>
                <w:webHidden/>
              </w:rPr>
              <w:fldChar w:fldCharType="separate"/>
            </w:r>
            <w:r>
              <w:rPr>
                <w:noProof/>
                <w:webHidden/>
              </w:rPr>
              <w:t>50</w:t>
            </w:r>
            <w:r>
              <w:rPr>
                <w:noProof/>
                <w:webHidden/>
              </w:rPr>
              <w:fldChar w:fldCharType="end"/>
            </w:r>
          </w:hyperlink>
        </w:p>
        <w:p w14:paraId="7CFCA567" w14:textId="391DF19E"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52" w:history="1">
            <w:r w:rsidRPr="00855085">
              <w:rPr>
                <w:rStyle w:val="Hyperlink"/>
                <w:noProof/>
              </w:rPr>
              <w:t>Boundary structures</w:t>
            </w:r>
            <w:r>
              <w:rPr>
                <w:noProof/>
                <w:webHidden/>
              </w:rPr>
              <w:tab/>
            </w:r>
            <w:r>
              <w:rPr>
                <w:noProof/>
                <w:webHidden/>
              </w:rPr>
              <w:fldChar w:fldCharType="begin"/>
            </w:r>
            <w:r>
              <w:rPr>
                <w:noProof/>
                <w:webHidden/>
              </w:rPr>
              <w:instrText xml:space="preserve"> PAGEREF _Toc31701952 \h </w:instrText>
            </w:r>
            <w:r>
              <w:rPr>
                <w:noProof/>
                <w:webHidden/>
              </w:rPr>
            </w:r>
            <w:r>
              <w:rPr>
                <w:noProof/>
                <w:webHidden/>
              </w:rPr>
              <w:fldChar w:fldCharType="separate"/>
            </w:r>
            <w:r>
              <w:rPr>
                <w:noProof/>
                <w:webHidden/>
              </w:rPr>
              <w:t>53</w:t>
            </w:r>
            <w:r>
              <w:rPr>
                <w:noProof/>
                <w:webHidden/>
              </w:rPr>
              <w:fldChar w:fldCharType="end"/>
            </w:r>
          </w:hyperlink>
        </w:p>
        <w:p w14:paraId="03626977" w14:textId="7573B402"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53" w:history="1">
            <w:r w:rsidRPr="00855085">
              <w:rPr>
                <w:rStyle w:val="Hyperlink"/>
                <w:noProof/>
              </w:rPr>
              <w:t>Boundary-spanners</w:t>
            </w:r>
            <w:r>
              <w:rPr>
                <w:noProof/>
                <w:webHidden/>
              </w:rPr>
              <w:tab/>
            </w:r>
            <w:r>
              <w:rPr>
                <w:noProof/>
                <w:webHidden/>
              </w:rPr>
              <w:fldChar w:fldCharType="begin"/>
            </w:r>
            <w:r>
              <w:rPr>
                <w:noProof/>
                <w:webHidden/>
              </w:rPr>
              <w:instrText xml:space="preserve"> PAGEREF _Toc31701953 \h </w:instrText>
            </w:r>
            <w:r>
              <w:rPr>
                <w:noProof/>
                <w:webHidden/>
              </w:rPr>
            </w:r>
            <w:r>
              <w:rPr>
                <w:noProof/>
                <w:webHidden/>
              </w:rPr>
              <w:fldChar w:fldCharType="separate"/>
            </w:r>
            <w:r>
              <w:rPr>
                <w:noProof/>
                <w:webHidden/>
              </w:rPr>
              <w:t>56</w:t>
            </w:r>
            <w:r>
              <w:rPr>
                <w:noProof/>
                <w:webHidden/>
              </w:rPr>
              <w:fldChar w:fldCharType="end"/>
            </w:r>
          </w:hyperlink>
        </w:p>
        <w:p w14:paraId="7174B63F" w14:textId="66A31C83"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54" w:history="1">
            <w:r w:rsidRPr="00855085">
              <w:rPr>
                <w:rStyle w:val="Hyperlink"/>
                <w:noProof/>
              </w:rPr>
              <w:t>Boundary transactions in context: the multi-dimensionality of research</w:t>
            </w:r>
            <w:r>
              <w:rPr>
                <w:noProof/>
                <w:webHidden/>
              </w:rPr>
              <w:tab/>
            </w:r>
            <w:r>
              <w:rPr>
                <w:noProof/>
                <w:webHidden/>
              </w:rPr>
              <w:fldChar w:fldCharType="begin"/>
            </w:r>
            <w:r>
              <w:rPr>
                <w:noProof/>
                <w:webHidden/>
              </w:rPr>
              <w:instrText xml:space="preserve"> PAGEREF _Toc31701954 \h </w:instrText>
            </w:r>
            <w:r>
              <w:rPr>
                <w:noProof/>
                <w:webHidden/>
              </w:rPr>
            </w:r>
            <w:r>
              <w:rPr>
                <w:noProof/>
                <w:webHidden/>
              </w:rPr>
              <w:fldChar w:fldCharType="separate"/>
            </w:r>
            <w:r>
              <w:rPr>
                <w:noProof/>
                <w:webHidden/>
              </w:rPr>
              <w:t>59</w:t>
            </w:r>
            <w:r>
              <w:rPr>
                <w:noProof/>
                <w:webHidden/>
              </w:rPr>
              <w:fldChar w:fldCharType="end"/>
            </w:r>
          </w:hyperlink>
        </w:p>
        <w:p w14:paraId="25807BAF" w14:textId="250F75B7"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55" w:history="1">
            <w:r w:rsidRPr="00855085">
              <w:rPr>
                <w:rStyle w:val="Hyperlink"/>
                <w:noProof/>
              </w:rPr>
              <w:t>The complexity of research and research knowledge</w:t>
            </w:r>
            <w:r>
              <w:rPr>
                <w:noProof/>
                <w:webHidden/>
              </w:rPr>
              <w:tab/>
            </w:r>
            <w:r>
              <w:rPr>
                <w:noProof/>
                <w:webHidden/>
              </w:rPr>
              <w:fldChar w:fldCharType="begin"/>
            </w:r>
            <w:r>
              <w:rPr>
                <w:noProof/>
                <w:webHidden/>
              </w:rPr>
              <w:instrText xml:space="preserve"> PAGEREF _Toc31701955 \h </w:instrText>
            </w:r>
            <w:r>
              <w:rPr>
                <w:noProof/>
                <w:webHidden/>
              </w:rPr>
            </w:r>
            <w:r>
              <w:rPr>
                <w:noProof/>
                <w:webHidden/>
              </w:rPr>
              <w:fldChar w:fldCharType="separate"/>
            </w:r>
            <w:r>
              <w:rPr>
                <w:noProof/>
                <w:webHidden/>
              </w:rPr>
              <w:t>59</w:t>
            </w:r>
            <w:r>
              <w:rPr>
                <w:noProof/>
                <w:webHidden/>
              </w:rPr>
              <w:fldChar w:fldCharType="end"/>
            </w:r>
          </w:hyperlink>
        </w:p>
        <w:p w14:paraId="4D15B886" w14:textId="47CA5BE5"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56" w:history="1">
            <w:r w:rsidRPr="00855085">
              <w:rPr>
                <w:rStyle w:val="Hyperlink"/>
                <w:noProof/>
                <w:lang w:eastAsia="zh-TW"/>
              </w:rPr>
              <w:t>The typology: fifteen attributes and activities of research and their boundary implications</w:t>
            </w:r>
            <w:r>
              <w:rPr>
                <w:noProof/>
                <w:webHidden/>
              </w:rPr>
              <w:tab/>
            </w:r>
            <w:r>
              <w:rPr>
                <w:noProof/>
                <w:webHidden/>
              </w:rPr>
              <w:fldChar w:fldCharType="begin"/>
            </w:r>
            <w:r>
              <w:rPr>
                <w:noProof/>
                <w:webHidden/>
              </w:rPr>
              <w:instrText xml:space="preserve"> PAGEREF _Toc31701956 \h </w:instrText>
            </w:r>
            <w:r>
              <w:rPr>
                <w:noProof/>
                <w:webHidden/>
              </w:rPr>
            </w:r>
            <w:r>
              <w:rPr>
                <w:noProof/>
                <w:webHidden/>
              </w:rPr>
              <w:fldChar w:fldCharType="separate"/>
            </w:r>
            <w:r>
              <w:rPr>
                <w:noProof/>
                <w:webHidden/>
              </w:rPr>
              <w:t>60</w:t>
            </w:r>
            <w:r>
              <w:rPr>
                <w:noProof/>
                <w:webHidden/>
              </w:rPr>
              <w:fldChar w:fldCharType="end"/>
            </w:r>
          </w:hyperlink>
        </w:p>
        <w:p w14:paraId="5554BF40" w14:textId="532F4078"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57" w:history="1">
            <w:r w:rsidRPr="00855085">
              <w:rPr>
                <w:rStyle w:val="Hyperlink"/>
                <w:noProof/>
              </w:rPr>
              <w:t>Analytical framework</w:t>
            </w:r>
            <w:r>
              <w:rPr>
                <w:noProof/>
                <w:webHidden/>
              </w:rPr>
              <w:tab/>
            </w:r>
            <w:r>
              <w:rPr>
                <w:noProof/>
                <w:webHidden/>
              </w:rPr>
              <w:fldChar w:fldCharType="begin"/>
            </w:r>
            <w:r>
              <w:rPr>
                <w:noProof/>
                <w:webHidden/>
              </w:rPr>
              <w:instrText xml:space="preserve"> PAGEREF _Toc31701957 \h </w:instrText>
            </w:r>
            <w:r>
              <w:rPr>
                <w:noProof/>
                <w:webHidden/>
              </w:rPr>
            </w:r>
            <w:r>
              <w:rPr>
                <w:noProof/>
                <w:webHidden/>
              </w:rPr>
              <w:fldChar w:fldCharType="separate"/>
            </w:r>
            <w:r>
              <w:rPr>
                <w:noProof/>
                <w:webHidden/>
              </w:rPr>
              <w:t>67</w:t>
            </w:r>
            <w:r>
              <w:rPr>
                <w:noProof/>
                <w:webHidden/>
              </w:rPr>
              <w:fldChar w:fldCharType="end"/>
            </w:r>
          </w:hyperlink>
        </w:p>
        <w:p w14:paraId="2F39DA89" w14:textId="57B72ECE"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58" w:history="1">
            <w:r w:rsidRPr="00855085">
              <w:rPr>
                <w:rStyle w:val="Hyperlink"/>
                <w:noProof/>
                <w:lang w:eastAsia="zh-TW"/>
              </w:rPr>
              <w:t>Chapter summary</w:t>
            </w:r>
            <w:r>
              <w:rPr>
                <w:noProof/>
                <w:webHidden/>
              </w:rPr>
              <w:tab/>
            </w:r>
            <w:r>
              <w:rPr>
                <w:noProof/>
                <w:webHidden/>
              </w:rPr>
              <w:fldChar w:fldCharType="begin"/>
            </w:r>
            <w:r>
              <w:rPr>
                <w:noProof/>
                <w:webHidden/>
              </w:rPr>
              <w:instrText xml:space="preserve"> PAGEREF _Toc31701958 \h </w:instrText>
            </w:r>
            <w:r>
              <w:rPr>
                <w:noProof/>
                <w:webHidden/>
              </w:rPr>
            </w:r>
            <w:r>
              <w:rPr>
                <w:noProof/>
                <w:webHidden/>
              </w:rPr>
              <w:fldChar w:fldCharType="separate"/>
            </w:r>
            <w:r>
              <w:rPr>
                <w:noProof/>
                <w:webHidden/>
              </w:rPr>
              <w:t>69</w:t>
            </w:r>
            <w:r>
              <w:rPr>
                <w:noProof/>
                <w:webHidden/>
              </w:rPr>
              <w:fldChar w:fldCharType="end"/>
            </w:r>
          </w:hyperlink>
        </w:p>
        <w:p w14:paraId="59817CE7" w14:textId="1B149275"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59" w:history="1">
            <w:r w:rsidRPr="00855085">
              <w:rPr>
                <w:rStyle w:val="Hyperlink"/>
                <w:noProof/>
                <w:lang w:eastAsia="ko-KR"/>
              </w:rPr>
              <w:t>Chapter 3. Methodology</w:t>
            </w:r>
            <w:r>
              <w:rPr>
                <w:noProof/>
                <w:webHidden/>
              </w:rPr>
              <w:tab/>
            </w:r>
            <w:r>
              <w:rPr>
                <w:noProof/>
                <w:webHidden/>
              </w:rPr>
              <w:fldChar w:fldCharType="begin"/>
            </w:r>
            <w:r>
              <w:rPr>
                <w:noProof/>
                <w:webHidden/>
              </w:rPr>
              <w:instrText xml:space="preserve"> PAGEREF _Toc31701959 \h </w:instrText>
            </w:r>
            <w:r>
              <w:rPr>
                <w:noProof/>
                <w:webHidden/>
              </w:rPr>
            </w:r>
            <w:r>
              <w:rPr>
                <w:noProof/>
                <w:webHidden/>
              </w:rPr>
              <w:fldChar w:fldCharType="separate"/>
            </w:r>
            <w:r>
              <w:rPr>
                <w:noProof/>
                <w:webHidden/>
              </w:rPr>
              <w:t>71</w:t>
            </w:r>
            <w:r>
              <w:rPr>
                <w:noProof/>
                <w:webHidden/>
              </w:rPr>
              <w:fldChar w:fldCharType="end"/>
            </w:r>
          </w:hyperlink>
        </w:p>
        <w:p w14:paraId="57A1A087" w14:textId="20F6A855"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60" w:history="1">
            <w:r w:rsidRPr="00855085">
              <w:rPr>
                <w:rStyle w:val="Hyperlink"/>
                <w:noProof/>
                <w:lang w:eastAsia="ko-KR"/>
              </w:rPr>
              <w:t>Introduction</w:t>
            </w:r>
            <w:r>
              <w:rPr>
                <w:noProof/>
                <w:webHidden/>
              </w:rPr>
              <w:tab/>
            </w:r>
            <w:r>
              <w:rPr>
                <w:noProof/>
                <w:webHidden/>
              </w:rPr>
              <w:fldChar w:fldCharType="begin"/>
            </w:r>
            <w:r>
              <w:rPr>
                <w:noProof/>
                <w:webHidden/>
              </w:rPr>
              <w:instrText xml:space="preserve"> PAGEREF _Toc31701960 \h </w:instrText>
            </w:r>
            <w:r>
              <w:rPr>
                <w:noProof/>
                <w:webHidden/>
              </w:rPr>
            </w:r>
            <w:r>
              <w:rPr>
                <w:noProof/>
                <w:webHidden/>
              </w:rPr>
              <w:fldChar w:fldCharType="separate"/>
            </w:r>
            <w:r>
              <w:rPr>
                <w:noProof/>
                <w:webHidden/>
              </w:rPr>
              <w:t>71</w:t>
            </w:r>
            <w:r>
              <w:rPr>
                <w:noProof/>
                <w:webHidden/>
              </w:rPr>
              <w:fldChar w:fldCharType="end"/>
            </w:r>
          </w:hyperlink>
        </w:p>
        <w:p w14:paraId="6E98497C" w14:textId="6A07A59F"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61" w:history="1">
            <w:r w:rsidRPr="00855085">
              <w:rPr>
                <w:rStyle w:val="Hyperlink"/>
                <w:noProof/>
              </w:rPr>
              <w:t>A critical realist approach to social science</w:t>
            </w:r>
            <w:r>
              <w:rPr>
                <w:noProof/>
                <w:webHidden/>
              </w:rPr>
              <w:tab/>
            </w:r>
            <w:r>
              <w:rPr>
                <w:noProof/>
                <w:webHidden/>
              </w:rPr>
              <w:fldChar w:fldCharType="begin"/>
            </w:r>
            <w:r>
              <w:rPr>
                <w:noProof/>
                <w:webHidden/>
              </w:rPr>
              <w:instrText xml:space="preserve"> PAGEREF _Toc31701961 \h </w:instrText>
            </w:r>
            <w:r>
              <w:rPr>
                <w:noProof/>
                <w:webHidden/>
              </w:rPr>
            </w:r>
            <w:r>
              <w:rPr>
                <w:noProof/>
                <w:webHidden/>
              </w:rPr>
              <w:fldChar w:fldCharType="separate"/>
            </w:r>
            <w:r>
              <w:rPr>
                <w:noProof/>
                <w:webHidden/>
              </w:rPr>
              <w:t>73</w:t>
            </w:r>
            <w:r>
              <w:rPr>
                <w:noProof/>
                <w:webHidden/>
              </w:rPr>
              <w:fldChar w:fldCharType="end"/>
            </w:r>
          </w:hyperlink>
        </w:p>
        <w:p w14:paraId="63481035" w14:textId="496C265F"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62" w:history="1">
            <w:r w:rsidRPr="00855085">
              <w:rPr>
                <w:rStyle w:val="Hyperlink"/>
                <w:noProof/>
              </w:rPr>
              <w:t>A three-layered framework of reality: the ‘empirical’, the ‘actual’ and the ‘real’</w:t>
            </w:r>
            <w:r>
              <w:rPr>
                <w:noProof/>
                <w:webHidden/>
              </w:rPr>
              <w:tab/>
            </w:r>
            <w:r>
              <w:rPr>
                <w:noProof/>
                <w:webHidden/>
              </w:rPr>
              <w:fldChar w:fldCharType="begin"/>
            </w:r>
            <w:r>
              <w:rPr>
                <w:noProof/>
                <w:webHidden/>
              </w:rPr>
              <w:instrText xml:space="preserve"> PAGEREF _Toc31701962 \h </w:instrText>
            </w:r>
            <w:r>
              <w:rPr>
                <w:noProof/>
                <w:webHidden/>
              </w:rPr>
            </w:r>
            <w:r>
              <w:rPr>
                <w:noProof/>
                <w:webHidden/>
              </w:rPr>
              <w:fldChar w:fldCharType="separate"/>
            </w:r>
            <w:r>
              <w:rPr>
                <w:noProof/>
                <w:webHidden/>
              </w:rPr>
              <w:t>73</w:t>
            </w:r>
            <w:r>
              <w:rPr>
                <w:noProof/>
                <w:webHidden/>
              </w:rPr>
              <w:fldChar w:fldCharType="end"/>
            </w:r>
          </w:hyperlink>
        </w:p>
        <w:p w14:paraId="5EA2AC53" w14:textId="42F7B19C"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63" w:history="1">
            <w:r w:rsidRPr="00855085">
              <w:rPr>
                <w:rStyle w:val="Hyperlink"/>
                <w:noProof/>
              </w:rPr>
              <w:t>A critical realist research design</w:t>
            </w:r>
            <w:r>
              <w:rPr>
                <w:noProof/>
                <w:webHidden/>
              </w:rPr>
              <w:tab/>
            </w:r>
            <w:r>
              <w:rPr>
                <w:noProof/>
                <w:webHidden/>
              </w:rPr>
              <w:fldChar w:fldCharType="begin"/>
            </w:r>
            <w:r>
              <w:rPr>
                <w:noProof/>
                <w:webHidden/>
              </w:rPr>
              <w:instrText xml:space="preserve"> PAGEREF _Toc31701963 \h </w:instrText>
            </w:r>
            <w:r>
              <w:rPr>
                <w:noProof/>
                <w:webHidden/>
              </w:rPr>
            </w:r>
            <w:r>
              <w:rPr>
                <w:noProof/>
                <w:webHidden/>
              </w:rPr>
              <w:fldChar w:fldCharType="separate"/>
            </w:r>
            <w:r>
              <w:rPr>
                <w:noProof/>
                <w:webHidden/>
              </w:rPr>
              <w:t>74</w:t>
            </w:r>
            <w:r>
              <w:rPr>
                <w:noProof/>
                <w:webHidden/>
              </w:rPr>
              <w:fldChar w:fldCharType="end"/>
            </w:r>
          </w:hyperlink>
        </w:p>
        <w:p w14:paraId="21B9DBA6" w14:textId="34261F4B"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64" w:history="1">
            <w:r w:rsidRPr="00855085">
              <w:rPr>
                <w:rStyle w:val="Hyperlink"/>
                <w:noProof/>
              </w:rPr>
              <w:t>Implications of critical realism for social science research</w:t>
            </w:r>
            <w:r>
              <w:rPr>
                <w:noProof/>
                <w:webHidden/>
              </w:rPr>
              <w:tab/>
            </w:r>
            <w:r>
              <w:rPr>
                <w:noProof/>
                <w:webHidden/>
              </w:rPr>
              <w:fldChar w:fldCharType="begin"/>
            </w:r>
            <w:r>
              <w:rPr>
                <w:noProof/>
                <w:webHidden/>
              </w:rPr>
              <w:instrText xml:space="preserve"> PAGEREF _Toc31701964 \h </w:instrText>
            </w:r>
            <w:r>
              <w:rPr>
                <w:noProof/>
                <w:webHidden/>
              </w:rPr>
            </w:r>
            <w:r>
              <w:rPr>
                <w:noProof/>
                <w:webHidden/>
              </w:rPr>
              <w:fldChar w:fldCharType="separate"/>
            </w:r>
            <w:r>
              <w:rPr>
                <w:noProof/>
                <w:webHidden/>
              </w:rPr>
              <w:t>75</w:t>
            </w:r>
            <w:r>
              <w:rPr>
                <w:noProof/>
                <w:webHidden/>
              </w:rPr>
              <w:fldChar w:fldCharType="end"/>
            </w:r>
          </w:hyperlink>
        </w:p>
        <w:p w14:paraId="722C2D91" w14:textId="705D9043"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65" w:history="1">
            <w:r w:rsidRPr="00855085">
              <w:rPr>
                <w:rStyle w:val="Hyperlink"/>
                <w:noProof/>
              </w:rPr>
              <w:t>Methods</w:t>
            </w:r>
            <w:r>
              <w:rPr>
                <w:noProof/>
                <w:webHidden/>
              </w:rPr>
              <w:tab/>
            </w:r>
            <w:r>
              <w:rPr>
                <w:noProof/>
                <w:webHidden/>
              </w:rPr>
              <w:fldChar w:fldCharType="begin"/>
            </w:r>
            <w:r>
              <w:rPr>
                <w:noProof/>
                <w:webHidden/>
              </w:rPr>
              <w:instrText xml:space="preserve"> PAGEREF _Toc31701965 \h </w:instrText>
            </w:r>
            <w:r>
              <w:rPr>
                <w:noProof/>
                <w:webHidden/>
              </w:rPr>
            </w:r>
            <w:r>
              <w:rPr>
                <w:noProof/>
                <w:webHidden/>
              </w:rPr>
              <w:fldChar w:fldCharType="separate"/>
            </w:r>
            <w:r>
              <w:rPr>
                <w:noProof/>
                <w:webHidden/>
              </w:rPr>
              <w:t>77</w:t>
            </w:r>
            <w:r>
              <w:rPr>
                <w:noProof/>
                <w:webHidden/>
              </w:rPr>
              <w:fldChar w:fldCharType="end"/>
            </w:r>
          </w:hyperlink>
        </w:p>
        <w:p w14:paraId="23DD11B5" w14:textId="3707A304"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66" w:history="1">
            <w:r w:rsidRPr="00855085">
              <w:rPr>
                <w:rStyle w:val="Hyperlink"/>
                <w:noProof/>
              </w:rPr>
              <w:t>Sample and sampling strategy</w:t>
            </w:r>
            <w:r>
              <w:rPr>
                <w:noProof/>
                <w:webHidden/>
              </w:rPr>
              <w:tab/>
            </w:r>
            <w:r>
              <w:rPr>
                <w:noProof/>
                <w:webHidden/>
              </w:rPr>
              <w:fldChar w:fldCharType="begin"/>
            </w:r>
            <w:r>
              <w:rPr>
                <w:noProof/>
                <w:webHidden/>
              </w:rPr>
              <w:instrText xml:space="preserve"> PAGEREF _Toc31701966 \h </w:instrText>
            </w:r>
            <w:r>
              <w:rPr>
                <w:noProof/>
                <w:webHidden/>
              </w:rPr>
            </w:r>
            <w:r>
              <w:rPr>
                <w:noProof/>
                <w:webHidden/>
              </w:rPr>
              <w:fldChar w:fldCharType="separate"/>
            </w:r>
            <w:r>
              <w:rPr>
                <w:noProof/>
                <w:webHidden/>
              </w:rPr>
              <w:t>77</w:t>
            </w:r>
            <w:r>
              <w:rPr>
                <w:noProof/>
                <w:webHidden/>
              </w:rPr>
              <w:fldChar w:fldCharType="end"/>
            </w:r>
          </w:hyperlink>
        </w:p>
        <w:p w14:paraId="72FD144F" w14:textId="3D9FFD51"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67" w:history="1">
            <w:r w:rsidRPr="00855085">
              <w:rPr>
                <w:rStyle w:val="Hyperlink"/>
                <w:noProof/>
              </w:rPr>
              <w:t>Data collection</w:t>
            </w:r>
            <w:r>
              <w:rPr>
                <w:noProof/>
                <w:webHidden/>
              </w:rPr>
              <w:tab/>
            </w:r>
            <w:r>
              <w:rPr>
                <w:noProof/>
                <w:webHidden/>
              </w:rPr>
              <w:fldChar w:fldCharType="begin"/>
            </w:r>
            <w:r>
              <w:rPr>
                <w:noProof/>
                <w:webHidden/>
              </w:rPr>
              <w:instrText xml:space="preserve"> PAGEREF _Toc31701967 \h </w:instrText>
            </w:r>
            <w:r>
              <w:rPr>
                <w:noProof/>
                <w:webHidden/>
              </w:rPr>
            </w:r>
            <w:r>
              <w:rPr>
                <w:noProof/>
                <w:webHidden/>
              </w:rPr>
              <w:fldChar w:fldCharType="separate"/>
            </w:r>
            <w:r>
              <w:rPr>
                <w:noProof/>
                <w:webHidden/>
              </w:rPr>
              <w:t>80</w:t>
            </w:r>
            <w:r>
              <w:rPr>
                <w:noProof/>
                <w:webHidden/>
              </w:rPr>
              <w:fldChar w:fldCharType="end"/>
            </w:r>
          </w:hyperlink>
        </w:p>
        <w:p w14:paraId="72010672" w14:textId="541341C6"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68" w:history="1">
            <w:r w:rsidRPr="00855085">
              <w:rPr>
                <w:rStyle w:val="Hyperlink"/>
                <w:noProof/>
              </w:rPr>
              <w:t>Analytical procedures</w:t>
            </w:r>
            <w:r>
              <w:rPr>
                <w:noProof/>
                <w:webHidden/>
              </w:rPr>
              <w:tab/>
            </w:r>
            <w:r>
              <w:rPr>
                <w:noProof/>
                <w:webHidden/>
              </w:rPr>
              <w:fldChar w:fldCharType="begin"/>
            </w:r>
            <w:r>
              <w:rPr>
                <w:noProof/>
                <w:webHidden/>
              </w:rPr>
              <w:instrText xml:space="preserve"> PAGEREF _Toc31701968 \h </w:instrText>
            </w:r>
            <w:r>
              <w:rPr>
                <w:noProof/>
                <w:webHidden/>
              </w:rPr>
            </w:r>
            <w:r>
              <w:rPr>
                <w:noProof/>
                <w:webHidden/>
              </w:rPr>
              <w:fldChar w:fldCharType="separate"/>
            </w:r>
            <w:r>
              <w:rPr>
                <w:noProof/>
                <w:webHidden/>
              </w:rPr>
              <w:t>84</w:t>
            </w:r>
            <w:r>
              <w:rPr>
                <w:noProof/>
                <w:webHidden/>
              </w:rPr>
              <w:fldChar w:fldCharType="end"/>
            </w:r>
          </w:hyperlink>
        </w:p>
        <w:p w14:paraId="2C61250C" w14:textId="0EAA430D"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69" w:history="1">
            <w:r w:rsidRPr="00855085">
              <w:rPr>
                <w:rStyle w:val="Hyperlink"/>
                <w:noProof/>
              </w:rPr>
              <w:t>Analysis of n=19 bodies of research (BoRs): the ‘surface-level’ of research boundedness</w:t>
            </w:r>
            <w:r>
              <w:rPr>
                <w:noProof/>
                <w:webHidden/>
              </w:rPr>
              <w:tab/>
            </w:r>
            <w:r>
              <w:rPr>
                <w:noProof/>
                <w:webHidden/>
              </w:rPr>
              <w:fldChar w:fldCharType="begin"/>
            </w:r>
            <w:r>
              <w:rPr>
                <w:noProof/>
                <w:webHidden/>
              </w:rPr>
              <w:instrText xml:space="preserve"> PAGEREF _Toc31701969 \h </w:instrText>
            </w:r>
            <w:r>
              <w:rPr>
                <w:noProof/>
                <w:webHidden/>
              </w:rPr>
            </w:r>
            <w:r>
              <w:rPr>
                <w:noProof/>
                <w:webHidden/>
              </w:rPr>
              <w:fldChar w:fldCharType="separate"/>
            </w:r>
            <w:r>
              <w:rPr>
                <w:noProof/>
                <w:webHidden/>
              </w:rPr>
              <w:t>84</w:t>
            </w:r>
            <w:r>
              <w:rPr>
                <w:noProof/>
                <w:webHidden/>
              </w:rPr>
              <w:fldChar w:fldCharType="end"/>
            </w:r>
          </w:hyperlink>
        </w:p>
        <w:p w14:paraId="25D70AE9" w14:textId="22D4E015"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70" w:history="1">
            <w:r w:rsidRPr="00855085">
              <w:rPr>
                <w:rStyle w:val="Hyperlink"/>
                <w:noProof/>
              </w:rPr>
              <w:t>Analysis of boundary transactions in the BoRs: operational mechanisms</w:t>
            </w:r>
            <w:r>
              <w:rPr>
                <w:noProof/>
                <w:webHidden/>
              </w:rPr>
              <w:tab/>
            </w:r>
            <w:r>
              <w:rPr>
                <w:noProof/>
                <w:webHidden/>
              </w:rPr>
              <w:fldChar w:fldCharType="begin"/>
            </w:r>
            <w:r>
              <w:rPr>
                <w:noProof/>
                <w:webHidden/>
              </w:rPr>
              <w:instrText xml:space="preserve"> PAGEREF _Toc31701970 \h </w:instrText>
            </w:r>
            <w:r>
              <w:rPr>
                <w:noProof/>
                <w:webHidden/>
              </w:rPr>
            </w:r>
            <w:r>
              <w:rPr>
                <w:noProof/>
                <w:webHidden/>
              </w:rPr>
              <w:fldChar w:fldCharType="separate"/>
            </w:r>
            <w:r>
              <w:rPr>
                <w:noProof/>
                <w:webHidden/>
              </w:rPr>
              <w:t>88</w:t>
            </w:r>
            <w:r>
              <w:rPr>
                <w:noProof/>
                <w:webHidden/>
              </w:rPr>
              <w:fldChar w:fldCharType="end"/>
            </w:r>
          </w:hyperlink>
        </w:p>
        <w:p w14:paraId="45CA6669" w14:textId="5AFCFC5E"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71" w:history="1">
            <w:r w:rsidRPr="00855085">
              <w:rPr>
                <w:rStyle w:val="Hyperlink"/>
                <w:noProof/>
              </w:rPr>
              <w:t>Interpretive, explanatory investigation: underpinning structures and realities</w:t>
            </w:r>
            <w:r>
              <w:rPr>
                <w:noProof/>
                <w:webHidden/>
              </w:rPr>
              <w:tab/>
            </w:r>
            <w:r>
              <w:rPr>
                <w:noProof/>
                <w:webHidden/>
              </w:rPr>
              <w:fldChar w:fldCharType="begin"/>
            </w:r>
            <w:r>
              <w:rPr>
                <w:noProof/>
                <w:webHidden/>
              </w:rPr>
              <w:instrText xml:space="preserve"> PAGEREF _Toc31701971 \h </w:instrText>
            </w:r>
            <w:r>
              <w:rPr>
                <w:noProof/>
                <w:webHidden/>
              </w:rPr>
            </w:r>
            <w:r>
              <w:rPr>
                <w:noProof/>
                <w:webHidden/>
              </w:rPr>
              <w:fldChar w:fldCharType="separate"/>
            </w:r>
            <w:r>
              <w:rPr>
                <w:noProof/>
                <w:webHidden/>
              </w:rPr>
              <w:t>90</w:t>
            </w:r>
            <w:r>
              <w:rPr>
                <w:noProof/>
                <w:webHidden/>
              </w:rPr>
              <w:fldChar w:fldCharType="end"/>
            </w:r>
          </w:hyperlink>
        </w:p>
        <w:p w14:paraId="00C794DA" w14:textId="2CA809F7"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72" w:history="1">
            <w:r w:rsidRPr="00855085">
              <w:rPr>
                <w:rStyle w:val="Hyperlink"/>
                <w:noProof/>
              </w:rPr>
              <w:t>Validity and generalisability</w:t>
            </w:r>
            <w:r>
              <w:rPr>
                <w:noProof/>
                <w:webHidden/>
              </w:rPr>
              <w:tab/>
            </w:r>
            <w:r>
              <w:rPr>
                <w:noProof/>
                <w:webHidden/>
              </w:rPr>
              <w:fldChar w:fldCharType="begin"/>
            </w:r>
            <w:r>
              <w:rPr>
                <w:noProof/>
                <w:webHidden/>
              </w:rPr>
              <w:instrText xml:space="preserve"> PAGEREF _Toc31701972 \h </w:instrText>
            </w:r>
            <w:r>
              <w:rPr>
                <w:noProof/>
                <w:webHidden/>
              </w:rPr>
            </w:r>
            <w:r>
              <w:rPr>
                <w:noProof/>
                <w:webHidden/>
              </w:rPr>
              <w:fldChar w:fldCharType="separate"/>
            </w:r>
            <w:r>
              <w:rPr>
                <w:noProof/>
                <w:webHidden/>
              </w:rPr>
              <w:t>92</w:t>
            </w:r>
            <w:r>
              <w:rPr>
                <w:noProof/>
                <w:webHidden/>
              </w:rPr>
              <w:fldChar w:fldCharType="end"/>
            </w:r>
          </w:hyperlink>
        </w:p>
        <w:p w14:paraId="03A62659" w14:textId="15715619"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73" w:history="1">
            <w:r w:rsidRPr="00855085">
              <w:rPr>
                <w:rStyle w:val="Hyperlink"/>
                <w:noProof/>
              </w:rPr>
              <w:t>Ethics</w:t>
            </w:r>
            <w:r>
              <w:rPr>
                <w:noProof/>
                <w:webHidden/>
              </w:rPr>
              <w:tab/>
            </w:r>
            <w:r>
              <w:rPr>
                <w:noProof/>
                <w:webHidden/>
              </w:rPr>
              <w:fldChar w:fldCharType="begin"/>
            </w:r>
            <w:r>
              <w:rPr>
                <w:noProof/>
                <w:webHidden/>
              </w:rPr>
              <w:instrText xml:space="preserve"> PAGEREF _Toc31701973 \h </w:instrText>
            </w:r>
            <w:r>
              <w:rPr>
                <w:noProof/>
                <w:webHidden/>
              </w:rPr>
            </w:r>
            <w:r>
              <w:rPr>
                <w:noProof/>
                <w:webHidden/>
              </w:rPr>
              <w:fldChar w:fldCharType="separate"/>
            </w:r>
            <w:r>
              <w:rPr>
                <w:noProof/>
                <w:webHidden/>
              </w:rPr>
              <w:t>94</w:t>
            </w:r>
            <w:r>
              <w:rPr>
                <w:noProof/>
                <w:webHidden/>
              </w:rPr>
              <w:fldChar w:fldCharType="end"/>
            </w:r>
          </w:hyperlink>
        </w:p>
        <w:p w14:paraId="1819CBD3" w14:textId="1D1983C9"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74" w:history="1">
            <w:r w:rsidRPr="00855085">
              <w:rPr>
                <w:rStyle w:val="Hyperlink"/>
                <w:noProof/>
              </w:rPr>
              <w:t>Demographic issues and ethics</w:t>
            </w:r>
            <w:r>
              <w:rPr>
                <w:noProof/>
                <w:webHidden/>
              </w:rPr>
              <w:tab/>
            </w:r>
            <w:r>
              <w:rPr>
                <w:noProof/>
                <w:webHidden/>
              </w:rPr>
              <w:fldChar w:fldCharType="begin"/>
            </w:r>
            <w:r>
              <w:rPr>
                <w:noProof/>
                <w:webHidden/>
              </w:rPr>
              <w:instrText xml:space="preserve"> PAGEREF _Toc31701974 \h </w:instrText>
            </w:r>
            <w:r>
              <w:rPr>
                <w:noProof/>
                <w:webHidden/>
              </w:rPr>
            </w:r>
            <w:r>
              <w:rPr>
                <w:noProof/>
                <w:webHidden/>
              </w:rPr>
              <w:fldChar w:fldCharType="separate"/>
            </w:r>
            <w:r>
              <w:rPr>
                <w:noProof/>
                <w:webHidden/>
              </w:rPr>
              <w:t>96</w:t>
            </w:r>
            <w:r>
              <w:rPr>
                <w:noProof/>
                <w:webHidden/>
              </w:rPr>
              <w:fldChar w:fldCharType="end"/>
            </w:r>
          </w:hyperlink>
        </w:p>
        <w:p w14:paraId="30AD1210" w14:textId="40FCDB92"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75" w:history="1">
            <w:r w:rsidRPr="00855085">
              <w:rPr>
                <w:rStyle w:val="Hyperlink"/>
                <w:noProof/>
              </w:rPr>
              <w:t>Chapter 4. Findings and Analysis</w:t>
            </w:r>
            <w:r>
              <w:rPr>
                <w:noProof/>
                <w:webHidden/>
              </w:rPr>
              <w:tab/>
            </w:r>
            <w:r>
              <w:rPr>
                <w:noProof/>
                <w:webHidden/>
              </w:rPr>
              <w:fldChar w:fldCharType="begin"/>
            </w:r>
            <w:r>
              <w:rPr>
                <w:noProof/>
                <w:webHidden/>
              </w:rPr>
              <w:instrText xml:space="preserve"> PAGEREF _Toc31701975 \h </w:instrText>
            </w:r>
            <w:r>
              <w:rPr>
                <w:noProof/>
                <w:webHidden/>
              </w:rPr>
            </w:r>
            <w:r>
              <w:rPr>
                <w:noProof/>
                <w:webHidden/>
              </w:rPr>
              <w:fldChar w:fldCharType="separate"/>
            </w:r>
            <w:r>
              <w:rPr>
                <w:noProof/>
                <w:webHidden/>
              </w:rPr>
              <w:t>98</w:t>
            </w:r>
            <w:r>
              <w:rPr>
                <w:noProof/>
                <w:webHidden/>
              </w:rPr>
              <w:fldChar w:fldCharType="end"/>
            </w:r>
          </w:hyperlink>
        </w:p>
        <w:p w14:paraId="7A9AB10E" w14:textId="61EC948F"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76" w:history="1">
            <w:r w:rsidRPr="00855085">
              <w:rPr>
                <w:rStyle w:val="Hyperlink"/>
                <w:noProof/>
              </w:rPr>
              <w:t>Introduction</w:t>
            </w:r>
            <w:r>
              <w:rPr>
                <w:noProof/>
                <w:webHidden/>
              </w:rPr>
              <w:tab/>
            </w:r>
            <w:r>
              <w:rPr>
                <w:noProof/>
                <w:webHidden/>
              </w:rPr>
              <w:fldChar w:fldCharType="begin"/>
            </w:r>
            <w:r>
              <w:rPr>
                <w:noProof/>
                <w:webHidden/>
              </w:rPr>
              <w:instrText xml:space="preserve"> PAGEREF _Toc31701976 \h </w:instrText>
            </w:r>
            <w:r>
              <w:rPr>
                <w:noProof/>
                <w:webHidden/>
              </w:rPr>
            </w:r>
            <w:r>
              <w:rPr>
                <w:noProof/>
                <w:webHidden/>
              </w:rPr>
              <w:fldChar w:fldCharType="separate"/>
            </w:r>
            <w:r>
              <w:rPr>
                <w:noProof/>
                <w:webHidden/>
              </w:rPr>
              <w:t>98</w:t>
            </w:r>
            <w:r>
              <w:rPr>
                <w:noProof/>
                <w:webHidden/>
              </w:rPr>
              <w:fldChar w:fldCharType="end"/>
            </w:r>
          </w:hyperlink>
        </w:p>
        <w:p w14:paraId="1B874FD0" w14:textId="6D7F7329"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77" w:history="1">
            <w:r w:rsidRPr="00855085">
              <w:rPr>
                <w:rStyle w:val="Hyperlink"/>
                <w:noProof/>
              </w:rPr>
              <w:t>Boundaries and boundary transactions in the sampled research</w:t>
            </w:r>
            <w:r>
              <w:rPr>
                <w:noProof/>
                <w:webHidden/>
              </w:rPr>
              <w:tab/>
            </w:r>
            <w:r>
              <w:rPr>
                <w:noProof/>
                <w:webHidden/>
              </w:rPr>
              <w:fldChar w:fldCharType="begin"/>
            </w:r>
            <w:r>
              <w:rPr>
                <w:noProof/>
                <w:webHidden/>
              </w:rPr>
              <w:instrText xml:space="preserve"> PAGEREF _Toc31701977 \h </w:instrText>
            </w:r>
            <w:r>
              <w:rPr>
                <w:noProof/>
                <w:webHidden/>
              </w:rPr>
            </w:r>
            <w:r>
              <w:rPr>
                <w:noProof/>
                <w:webHidden/>
              </w:rPr>
              <w:fldChar w:fldCharType="separate"/>
            </w:r>
            <w:r>
              <w:rPr>
                <w:noProof/>
                <w:webHidden/>
              </w:rPr>
              <w:t>100</w:t>
            </w:r>
            <w:r>
              <w:rPr>
                <w:noProof/>
                <w:webHidden/>
              </w:rPr>
              <w:fldChar w:fldCharType="end"/>
            </w:r>
          </w:hyperlink>
        </w:p>
        <w:p w14:paraId="310D9D6E" w14:textId="771488AE"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78" w:history="1">
            <w:r w:rsidRPr="00855085">
              <w:rPr>
                <w:rStyle w:val="Hyperlink"/>
                <w:noProof/>
              </w:rPr>
              <w:t>Analysis of the typology data</w:t>
            </w:r>
            <w:r>
              <w:rPr>
                <w:noProof/>
                <w:webHidden/>
              </w:rPr>
              <w:tab/>
            </w:r>
            <w:r>
              <w:rPr>
                <w:noProof/>
                <w:webHidden/>
              </w:rPr>
              <w:fldChar w:fldCharType="begin"/>
            </w:r>
            <w:r>
              <w:rPr>
                <w:noProof/>
                <w:webHidden/>
              </w:rPr>
              <w:instrText xml:space="preserve"> PAGEREF _Toc31701978 \h </w:instrText>
            </w:r>
            <w:r>
              <w:rPr>
                <w:noProof/>
                <w:webHidden/>
              </w:rPr>
            </w:r>
            <w:r>
              <w:rPr>
                <w:noProof/>
                <w:webHidden/>
              </w:rPr>
              <w:fldChar w:fldCharType="separate"/>
            </w:r>
            <w:r>
              <w:rPr>
                <w:noProof/>
                <w:webHidden/>
              </w:rPr>
              <w:t>100</w:t>
            </w:r>
            <w:r>
              <w:rPr>
                <w:noProof/>
                <w:webHidden/>
              </w:rPr>
              <w:fldChar w:fldCharType="end"/>
            </w:r>
          </w:hyperlink>
        </w:p>
        <w:p w14:paraId="725D47A5" w14:textId="201E4A81"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79" w:history="1">
            <w:r w:rsidRPr="00855085">
              <w:rPr>
                <w:rStyle w:val="Hyperlink"/>
                <w:noProof/>
              </w:rPr>
              <w:t>The role of boundary transactions</w:t>
            </w:r>
            <w:r>
              <w:rPr>
                <w:noProof/>
                <w:webHidden/>
              </w:rPr>
              <w:tab/>
            </w:r>
            <w:r>
              <w:rPr>
                <w:noProof/>
                <w:webHidden/>
              </w:rPr>
              <w:fldChar w:fldCharType="begin"/>
            </w:r>
            <w:r>
              <w:rPr>
                <w:noProof/>
                <w:webHidden/>
              </w:rPr>
              <w:instrText xml:space="preserve"> PAGEREF _Toc31701979 \h </w:instrText>
            </w:r>
            <w:r>
              <w:rPr>
                <w:noProof/>
                <w:webHidden/>
              </w:rPr>
            </w:r>
            <w:r>
              <w:rPr>
                <w:noProof/>
                <w:webHidden/>
              </w:rPr>
              <w:fldChar w:fldCharType="separate"/>
            </w:r>
            <w:r>
              <w:rPr>
                <w:noProof/>
                <w:webHidden/>
              </w:rPr>
              <w:t>105</w:t>
            </w:r>
            <w:r>
              <w:rPr>
                <w:noProof/>
                <w:webHidden/>
              </w:rPr>
              <w:fldChar w:fldCharType="end"/>
            </w:r>
          </w:hyperlink>
        </w:p>
        <w:p w14:paraId="7F92781A" w14:textId="646CD8A0"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80" w:history="1">
            <w:r w:rsidRPr="00855085">
              <w:rPr>
                <w:rStyle w:val="Hyperlink"/>
                <w:noProof/>
                <w:lang w:eastAsia="zh-TW"/>
              </w:rPr>
              <w:t>Summary of academic boundaries and boundary transactions in the sampled research</w:t>
            </w:r>
            <w:r>
              <w:rPr>
                <w:noProof/>
                <w:webHidden/>
              </w:rPr>
              <w:tab/>
            </w:r>
            <w:r>
              <w:rPr>
                <w:noProof/>
                <w:webHidden/>
              </w:rPr>
              <w:fldChar w:fldCharType="begin"/>
            </w:r>
            <w:r>
              <w:rPr>
                <w:noProof/>
                <w:webHidden/>
              </w:rPr>
              <w:instrText xml:space="preserve"> PAGEREF _Toc31701980 \h </w:instrText>
            </w:r>
            <w:r>
              <w:rPr>
                <w:noProof/>
                <w:webHidden/>
              </w:rPr>
            </w:r>
            <w:r>
              <w:rPr>
                <w:noProof/>
                <w:webHidden/>
              </w:rPr>
              <w:fldChar w:fldCharType="separate"/>
            </w:r>
            <w:r>
              <w:rPr>
                <w:noProof/>
                <w:webHidden/>
              </w:rPr>
              <w:t>109</w:t>
            </w:r>
            <w:r>
              <w:rPr>
                <w:noProof/>
                <w:webHidden/>
              </w:rPr>
              <w:fldChar w:fldCharType="end"/>
            </w:r>
          </w:hyperlink>
        </w:p>
        <w:p w14:paraId="311684B1" w14:textId="1EDB84FA"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81" w:history="1">
            <w:r w:rsidRPr="00855085">
              <w:rPr>
                <w:rStyle w:val="Hyperlink"/>
                <w:noProof/>
              </w:rPr>
              <w:t>In-depth illustrative analysis: three bodies of research (BoRs)</w:t>
            </w:r>
            <w:r>
              <w:rPr>
                <w:noProof/>
                <w:webHidden/>
              </w:rPr>
              <w:tab/>
            </w:r>
            <w:r>
              <w:rPr>
                <w:noProof/>
                <w:webHidden/>
              </w:rPr>
              <w:fldChar w:fldCharType="begin"/>
            </w:r>
            <w:r>
              <w:rPr>
                <w:noProof/>
                <w:webHidden/>
              </w:rPr>
              <w:instrText xml:space="preserve"> PAGEREF _Toc31701981 \h </w:instrText>
            </w:r>
            <w:r>
              <w:rPr>
                <w:noProof/>
                <w:webHidden/>
              </w:rPr>
            </w:r>
            <w:r>
              <w:rPr>
                <w:noProof/>
                <w:webHidden/>
              </w:rPr>
              <w:fldChar w:fldCharType="separate"/>
            </w:r>
            <w:r>
              <w:rPr>
                <w:noProof/>
                <w:webHidden/>
              </w:rPr>
              <w:t>109</w:t>
            </w:r>
            <w:r>
              <w:rPr>
                <w:noProof/>
                <w:webHidden/>
              </w:rPr>
              <w:fldChar w:fldCharType="end"/>
            </w:r>
          </w:hyperlink>
        </w:p>
        <w:p w14:paraId="47ED4EE5" w14:textId="386ED494"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82" w:history="1">
            <w:r w:rsidRPr="00855085">
              <w:rPr>
                <w:rStyle w:val="Hyperlink"/>
                <w:noProof/>
              </w:rPr>
              <w:t>Illustrative case 1. ‘Unbounded’ research (BoR11.1)</w:t>
            </w:r>
            <w:r>
              <w:rPr>
                <w:noProof/>
                <w:webHidden/>
              </w:rPr>
              <w:tab/>
            </w:r>
            <w:r>
              <w:rPr>
                <w:noProof/>
                <w:webHidden/>
              </w:rPr>
              <w:fldChar w:fldCharType="begin"/>
            </w:r>
            <w:r>
              <w:rPr>
                <w:noProof/>
                <w:webHidden/>
              </w:rPr>
              <w:instrText xml:space="preserve"> PAGEREF _Toc31701982 \h </w:instrText>
            </w:r>
            <w:r>
              <w:rPr>
                <w:noProof/>
                <w:webHidden/>
              </w:rPr>
            </w:r>
            <w:r>
              <w:rPr>
                <w:noProof/>
                <w:webHidden/>
              </w:rPr>
              <w:fldChar w:fldCharType="separate"/>
            </w:r>
            <w:r>
              <w:rPr>
                <w:noProof/>
                <w:webHidden/>
              </w:rPr>
              <w:t>110</w:t>
            </w:r>
            <w:r>
              <w:rPr>
                <w:noProof/>
                <w:webHidden/>
              </w:rPr>
              <w:fldChar w:fldCharType="end"/>
            </w:r>
          </w:hyperlink>
        </w:p>
        <w:p w14:paraId="75F883CD" w14:textId="1AFE65D7"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83" w:history="1">
            <w:r w:rsidRPr="00855085">
              <w:rPr>
                <w:rStyle w:val="Hyperlink"/>
                <w:noProof/>
              </w:rPr>
              <w:t>Illustrative case 2. ‘Moderately bounded’ research (BoR5)</w:t>
            </w:r>
            <w:r>
              <w:rPr>
                <w:noProof/>
                <w:webHidden/>
              </w:rPr>
              <w:tab/>
            </w:r>
            <w:r>
              <w:rPr>
                <w:noProof/>
                <w:webHidden/>
              </w:rPr>
              <w:fldChar w:fldCharType="begin"/>
            </w:r>
            <w:r>
              <w:rPr>
                <w:noProof/>
                <w:webHidden/>
              </w:rPr>
              <w:instrText xml:space="preserve"> PAGEREF _Toc31701983 \h </w:instrText>
            </w:r>
            <w:r>
              <w:rPr>
                <w:noProof/>
                <w:webHidden/>
              </w:rPr>
            </w:r>
            <w:r>
              <w:rPr>
                <w:noProof/>
                <w:webHidden/>
              </w:rPr>
              <w:fldChar w:fldCharType="separate"/>
            </w:r>
            <w:r>
              <w:rPr>
                <w:noProof/>
                <w:webHidden/>
              </w:rPr>
              <w:t>120</w:t>
            </w:r>
            <w:r>
              <w:rPr>
                <w:noProof/>
                <w:webHidden/>
              </w:rPr>
              <w:fldChar w:fldCharType="end"/>
            </w:r>
          </w:hyperlink>
        </w:p>
        <w:p w14:paraId="59E53CCB" w14:textId="6644ED9B"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84" w:history="1">
            <w:r w:rsidRPr="00855085">
              <w:rPr>
                <w:rStyle w:val="Hyperlink"/>
                <w:noProof/>
              </w:rPr>
              <w:t>Illustrative case 3. ‘Bounded’ research (BoR4.2)</w:t>
            </w:r>
            <w:r>
              <w:rPr>
                <w:noProof/>
                <w:webHidden/>
              </w:rPr>
              <w:tab/>
            </w:r>
            <w:r>
              <w:rPr>
                <w:noProof/>
                <w:webHidden/>
              </w:rPr>
              <w:fldChar w:fldCharType="begin"/>
            </w:r>
            <w:r>
              <w:rPr>
                <w:noProof/>
                <w:webHidden/>
              </w:rPr>
              <w:instrText xml:space="preserve"> PAGEREF _Toc31701984 \h </w:instrText>
            </w:r>
            <w:r>
              <w:rPr>
                <w:noProof/>
                <w:webHidden/>
              </w:rPr>
            </w:r>
            <w:r>
              <w:rPr>
                <w:noProof/>
                <w:webHidden/>
              </w:rPr>
              <w:fldChar w:fldCharType="separate"/>
            </w:r>
            <w:r>
              <w:rPr>
                <w:noProof/>
                <w:webHidden/>
              </w:rPr>
              <w:t>128</w:t>
            </w:r>
            <w:r>
              <w:rPr>
                <w:noProof/>
                <w:webHidden/>
              </w:rPr>
              <w:fldChar w:fldCharType="end"/>
            </w:r>
          </w:hyperlink>
        </w:p>
        <w:p w14:paraId="4A5A122F" w14:textId="713FB339"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85" w:history="1">
            <w:r w:rsidRPr="00855085">
              <w:rPr>
                <w:rStyle w:val="Hyperlink"/>
                <w:noProof/>
              </w:rPr>
              <w:t>Towards an explanatory analysis</w:t>
            </w:r>
            <w:r>
              <w:rPr>
                <w:noProof/>
                <w:webHidden/>
              </w:rPr>
              <w:tab/>
            </w:r>
            <w:r>
              <w:rPr>
                <w:noProof/>
                <w:webHidden/>
              </w:rPr>
              <w:fldChar w:fldCharType="begin"/>
            </w:r>
            <w:r>
              <w:rPr>
                <w:noProof/>
                <w:webHidden/>
              </w:rPr>
              <w:instrText xml:space="preserve"> PAGEREF _Toc31701985 \h </w:instrText>
            </w:r>
            <w:r>
              <w:rPr>
                <w:noProof/>
                <w:webHidden/>
              </w:rPr>
            </w:r>
            <w:r>
              <w:rPr>
                <w:noProof/>
                <w:webHidden/>
              </w:rPr>
              <w:fldChar w:fldCharType="separate"/>
            </w:r>
            <w:r>
              <w:rPr>
                <w:noProof/>
                <w:webHidden/>
              </w:rPr>
              <w:t>135</w:t>
            </w:r>
            <w:r>
              <w:rPr>
                <w:noProof/>
                <w:webHidden/>
              </w:rPr>
              <w:fldChar w:fldCharType="end"/>
            </w:r>
          </w:hyperlink>
        </w:p>
        <w:p w14:paraId="7C787820" w14:textId="2059D0D3"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86" w:history="1">
            <w:r w:rsidRPr="00855085">
              <w:rPr>
                <w:rStyle w:val="Hyperlink"/>
                <w:noProof/>
              </w:rPr>
              <w:t>Institutional context (departmental status): variation by ‘ownership’ of knowledge production</w:t>
            </w:r>
            <w:r>
              <w:rPr>
                <w:noProof/>
                <w:webHidden/>
              </w:rPr>
              <w:tab/>
            </w:r>
            <w:r>
              <w:rPr>
                <w:noProof/>
                <w:webHidden/>
              </w:rPr>
              <w:fldChar w:fldCharType="begin"/>
            </w:r>
            <w:r>
              <w:rPr>
                <w:noProof/>
                <w:webHidden/>
              </w:rPr>
              <w:instrText xml:space="preserve"> PAGEREF _Toc31701986 \h </w:instrText>
            </w:r>
            <w:r>
              <w:rPr>
                <w:noProof/>
                <w:webHidden/>
              </w:rPr>
            </w:r>
            <w:r>
              <w:rPr>
                <w:noProof/>
                <w:webHidden/>
              </w:rPr>
              <w:fldChar w:fldCharType="separate"/>
            </w:r>
            <w:r>
              <w:rPr>
                <w:noProof/>
                <w:webHidden/>
              </w:rPr>
              <w:t>136</w:t>
            </w:r>
            <w:r>
              <w:rPr>
                <w:noProof/>
                <w:webHidden/>
              </w:rPr>
              <w:fldChar w:fldCharType="end"/>
            </w:r>
          </w:hyperlink>
        </w:p>
        <w:p w14:paraId="34A568C6" w14:textId="4D27C5FA"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87" w:history="1">
            <w:r w:rsidRPr="00855085">
              <w:rPr>
                <w:rStyle w:val="Hyperlink"/>
                <w:noProof/>
              </w:rPr>
              <w:t>Epistemic context (branch of science): variation by expertise of external collaborator</w:t>
            </w:r>
            <w:r>
              <w:rPr>
                <w:noProof/>
                <w:webHidden/>
              </w:rPr>
              <w:tab/>
            </w:r>
            <w:r>
              <w:rPr>
                <w:noProof/>
                <w:webHidden/>
              </w:rPr>
              <w:fldChar w:fldCharType="begin"/>
            </w:r>
            <w:r>
              <w:rPr>
                <w:noProof/>
                <w:webHidden/>
              </w:rPr>
              <w:instrText xml:space="preserve"> PAGEREF _Toc31701987 \h </w:instrText>
            </w:r>
            <w:r>
              <w:rPr>
                <w:noProof/>
                <w:webHidden/>
              </w:rPr>
            </w:r>
            <w:r>
              <w:rPr>
                <w:noProof/>
                <w:webHidden/>
              </w:rPr>
              <w:fldChar w:fldCharType="separate"/>
            </w:r>
            <w:r>
              <w:rPr>
                <w:noProof/>
                <w:webHidden/>
              </w:rPr>
              <w:t>143</w:t>
            </w:r>
            <w:r>
              <w:rPr>
                <w:noProof/>
                <w:webHidden/>
              </w:rPr>
              <w:fldChar w:fldCharType="end"/>
            </w:r>
          </w:hyperlink>
        </w:p>
        <w:p w14:paraId="48B1453A" w14:textId="54B978B7"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88" w:history="1">
            <w:r w:rsidRPr="00855085">
              <w:rPr>
                <w:rStyle w:val="Hyperlink"/>
                <w:noProof/>
              </w:rPr>
              <w:t>Epistemic context (research orientation): various systems of knowledge (production)</w:t>
            </w:r>
            <w:r>
              <w:rPr>
                <w:noProof/>
                <w:webHidden/>
              </w:rPr>
              <w:tab/>
            </w:r>
            <w:r>
              <w:rPr>
                <w:noProof/>
                <w:webHidden/>
              </w:rPr>
              <w:fldChar w:fldCharType="begin"/>
            </w:r>
            <w:r>
              <w:rPr>
                <w:noProof/>
                <w:webHidden/>
              </w:rPr>
              <w:instrText xml:space="preserve"> PAGEREF _Toc31701988 \h </w:instrText>
            </w:r>
            <w:r>
              <w:rPr>
                <w:noProof/>
                <w:webHidden/>
              </w:rPr>
            </w:r>
            <w:r>
              <w:rPr>
                <w:noProof/>
                <w:webHidden/>
              </w:rPr>
              <w:fldChar w:fldCharType="separate"/>
            </w:r>
            <w:r>
              <w:rPr>
                <w:noProof/>
                <w:webHidden/>
              </w:rPr>
              <w:t>148</w:t>
            </w:r>
            <w:r>
              <w:rPr>
                <w:noProof/>
                <w:webHidden/>
              </w:rPr>
              <w:fldChar w:fldCharType="end"/>
            </w:r>
          </w:hyperlink>
        </w:p>
        <w:p w14:paraId="53B99EFB" w14:textId="26F46B50"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89" w:history="1">
            <w:r w:rsidRPr="00855085">
              <w:rPr>
                <w:rStyle w:val="Hyperlink"/>
                <w:noProof/>
              </w:rPr>
              <w:t>Chapter summary</w:t>
            </w:r>
            <w:r>
              <w:rPr>
                <w:noProof/>
                <w:webHidden/>
              </w:rPr>
              <w:tab/>
            </w:r>
            <w:r>
              <w:rPr>
                <w:noProof/>
                <w:webHidden/>
              </w:rPr>
              <w:fldChar w:fldCharType="begin"/>
            </w:r>
            <w:r>
              <w:rPr>
                <w:noProof/>
                <w:webHidden/>
              </w:rPr>
              <w:instrText xml:space="preserve"> PAGEREF _Toc31701989 \h </w:instrText>
            </w:r>
            <w:r>
              <w:rPr>
                <w:noProof/>
                <w:webHidden/>
              </w:rPr>
            </w:r>
            <w:r>
              <w:rPr>
                <w:noProof/>
                <w:webHidden/>
              </w:rPr>
              <w:fldChar w:fldCharType="separate"/>
            </w:r>
            <w:r>
              <w:rPr>
                <w:noProof/>
                <w:webHidden/>
              </w:rPr>
              <w:t>157</w:t>
            </w:r>
            <w:r>
              <w:rPr>
                <w:noProof/>
                <w:webHidden/>
              </w:rPr>
              <w:fldChar w:fldCharType="end"/>
            </w:r>
          </w:hyperlink>
        </w:p>
        <w:p w14:paraId="1314E604" w14:textId="5D47F5A3"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90" w:history="1">
            <w:r w:rsidRPr="00855085">
              <w:rPr>
                <w:rStyle w:val="Hyperlink"/>
                <w:noProof/>
              </w:rPr>
              <w:t>Chapter 5. Discussion</w:t>
            </w:r>
            <w:r>
              <w:rPr>
                <w:noProof/>
                <w:webHidden/>
              </w:rPr>
              <w:tab/>
            </w:r>
            <w:r>
              <w:rPr>
                <w:noProof/>
                <w:webHidden/>
              </w:rPr>
              <w:fldChar w:fldCharType="begin"/>
            </w:r>
            <w:r>
              <w:rPr>
                <w:noProof/>
                <w:webHidden/>
              </w:rPr>
              <w:instrText xml:space="preserve"> PAGEREF _Toc31701990 \h </w:instrText>
            </w:r>
            <w:r>
              <w:rPr>
                <w:noProof/>
                <w:webHidden/>
              </w:rPr>
            </w:r>
            <w:r>
              <w:rPr>
                <w:noProof/>
                <w:webHidden/>
              </w:rPr>
              <w:fldChar w:fldCharType="separate"/>
            </w:r>
            <w:r>
              <w:rPr>
                <w:noProof/>
                <w:webHidden/>
              </w:rPr>
              <w:t>160</w:t>
            </w:r>
            <w:r>
              <w:rPr>
                <w:noProof/>
                <w:webHidden/>
              </w:rPr>
              <w:fldChar w:fldCharType="end"/>
            </w:r>
          </w:hyperlink>
        </w:p>
        <w:p w14:paraId="23C8F156" w14:textId="11F2A8F2"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91" w:history="1">
            <w:r w:rsidRPr="00855085">
              <w:rPr>
                <w:rStyle w:val="Hyperlink"/>
                <w:noProof/>
              </w:rPr>
              <w:t>Introduction</w:t>
            </w:r>
            <w:r>
              <w:rPr>
                <w:noProof/>
                <w:webHidden/>
              </w:rPr>
              <w:tab/>
            </w:r>
            <w:r>
              <w:rPr>
                <w:noProof/>
                <w:webHidden/>
              </w:rPr>
              <w:fldChar w:fldCharType="begin"/>
            </w:r>
            <w:r>
              <w:rPr>
                <w:noProof/>
                <w:webHidden/>
              </w:rPr>
              <w:instrText xml:space="preserve"> PAGEREF _Toc31701991 \h </w:instrText>
            </w:r>
            <w:r>
              <w:rPr>
                <w:noProof/>
                <w:webHidden/>
              </w:rPr>
            </w:r>
            <w:r>
              <w:rPr>
                <w:noProof/>
                <w:webHidden/>
              </w:rPr>
              <w:fldChar w:fldCharType="separate"/>
            </w:r>
            <w:r>
              <w:rPr>
                <w:noProof/>
                <w:webHidden/>
              </w:rPr>
              <w:t>160</w:t>
            </w:r>
            <w:r>
              <w:rPr>
                <w:noProof/>
                <w:webHidden/>
              </w:rPr>
              <w:fldChar w:fldCharType="end"/>
            </w:r>
          </w:hyperlink>
        </w:p>
        <w:p w14:paraId="6EDF2776" w14:textId="2A260498"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92" w:history="1">
            <w:r w:rsidRPr="00855085">
              <w:rPr>
                <w:rStyle w:val="Hyperlink"/>
                <w:noProof/>
              </w:rPr>
              <w:t>Explanatory themes</w:t>
            </w:r>
            <w:r>
              <w:rPr>
                <w:noProof/>
                <w:webHidden/>
              </w:rPr>
              <w:tab/>
            </w:r>
            <w:r>
              <w:rPr>
                <w:noProof/>
                <w:webHidden/>
              </w:rPr>
              <w:fldChar w:fldCharType="begin"/>
            </w:r>
            <w:r>
              <w:rPr>
                <w:noProof/>
                <w:webHidden/>
              </w:rPr>
              <w:instrText xml:space="preserve"> PAGEREF _Toc31701992 \h </w:instrText>
            </w:r>
            <w:r>
              <w:rPr>
                <w:noProof/>
                <w:webHidden/>
              </w:rPr>
            </w:r>
            <w:r>
              <w:rPr>
                <w:noProof/>
                <w:webHidden/>
              </w:rPr>
              <w:fldChar w:fldCharType="separate"/>
            </w:r>
            <w:r>
              <w:rPr>
                <w:noProof/>
                <w:webHidden/>
              </w:rPr>
              <w:t>161</w:t>
            </w:r>
            <w:r>
              <w:rPr>
                <w:noProof/>
                <w:webHidden/>
              </w:rPr>
              <w:fldChar w:fldCharType="end"/>
            </w:r>
          </w:hyperlink>
        </w:p>
        <w:p w14:paraId="01F9D50E" w14:textId="5C4A5C53"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93" w:history="1">
            <w:r w:rsidRPr="00855085">
              <w:rPr>
                <w:rStyle w:val="Hyperlink"/>
                <w:noProof/>
              </w:rPr>
              <w:t>Educational function</w:t>
            </w:r>
            <w:r>
              <w:rPr>
                <w:noProof/>
                <w:webHidden/>
              </w:rPr>
              <w:tab/>
            </w:r>
            <w:r>
              <w:rPr>
                <w:noProof/>
                <w:webHidden/>
              </w:rPr>
              <w:fldChar w:fldCharType="begin"/>
            </w:r>
            <w:r>
              <w:rPr>
                <w:noProof/>
                <w:webHidden/>
              </w:rPr>
              <w:instrText xml:space="preserve"> PAGEREF _Toc31701993 \h </w:instrText>
            </w:r>
            <w:r>
              <w:rPr>
                <w:noProof/>
                <w:webHidden/>
              </w:rPr>
            </w:r>
            <w:r>
              <w:rPr>
                <w:noProof/>
                <w:webHidden/>
              </w:rPr>
              <w:fldChar w:fldCharType="separate"/>
            </w:r>
            <w:r>
              <w:rPr>
                <w:noProof/>
                <w:webHidden/>
              </w:rPr>
              <w:t>161</w:t>
            </w:r>
            <w:r>
              <w:rPr>
                <w:noProof/>
                <w:webHidden/>
              </w:rPr>
              <w:fldChar w:fldCharType="end"/>
            </w:r>
          </w:hyperlink>
        </w:p>
        <w:p w14:paraId="686F1EE0" w14:textId="30997E82"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94" w:history="1">
            <w:r w:rsidRPr="00855085">
              <w:rPr>
                <w:rStyle w:val="Hyperlink"/>
                <w:noProof/>
              </w:rPr>
              <w:t>The academic trajectory</w:t>
            </w:r>
            <w:r>
              <w:rPr>
                <w:noProof/>
                <w:webHidden/>
              </w:rPr>
              <w:tab/>
            </w:r>
            <w:r>
              <w:rPr>
                <w:noProof/>
                <w:webHidden/>
              </w:rPr>
              <w:fldChar w:fldCharType="begin"/>
            </w:r>
            <w:r>
              <w:rPr>
                <w:noProof/>
                <w:webHidden/>
              </w:rPr>
              <w:instrText xml:space="preserve"> PAGEREF _Toc31701994 \h </w:instrText>
            </w:r>
            <w:r>
              <w:rPr>
                <w:noProof/>
                <w:webHidden/>
              </w:rPr>
            </w:r>
            <w:r>
              <w:rPr>
                <w:noProof/>
                <w:webHidden/>
              </w:rPr>
              <w:fldChar w:fldCharType="separate"/>
            </w:r>
            <w:r>
              <w:rPr>
                <w:noProof/>
                <w:webHidden/>
              </w:rPr>
              <w:t>164</w:t>
            </w:r>
            <w:r>
              <w:rPr>
                <w:noProof/>
                <w:webHidden/>
              </w:rPr>
              <w:fldChar w:fldCharType="end"/>
            </w:r>
          </w:hyperlink>
        </w:p>
        <w:p w14:paraId="0A005857" w14:textId="4B22AC81"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95" w:history="1">
            <w:r w:rsidRPr="00855085">
              <w:rPr>
                <w:rStyle w:val="Hyperlink"/>
                <w:noProof/>
              </w:rPr>
              <w:t>Academic identity</w:t>
            </w:r>
            <w:r>
              <w:rPr>
                <w:noProof/>
                <w:webHidden/>
              </w:rPr>
              <w:tab/>
            </w:r>
            <w:r>
              <w:rPr>
                <w:noProof/>
                <w:webHidden/>
              </w:rPr>
              <w:fldChar w:fldCharType="begin"/>
            </w:r>
            <w:r>
              <w:rPr>
                <w:noProof/>
                <w:webHidden/>
              </w:rPr>
              <w:instrText xml:space="preserve"> PAGEREF _Toc31701995 \h </w:instrText>
            </w:r>
            <w:r>
              <w:rPr>
                <w:noProof/>
                <w:webHidden/>
              </w:rPr>
            </w:r>
            <w:r>
              <w:rPr>
                <w:noProof/>
                <w:webHidden/>
              </w:rPr>
              <w:fldChar w:fldCharType="separate"/>
            </w:r>
            <w:r>
              <w:rPr>
                <w:noProof/>
                <w:webHidden/>
              </w:rPr>
              <w:t>166</w:t>
            </w:r>
            <w:r>
              <w:rPr>
                <w:noProof/>
                <w:webHidden/>
              </w:rPr>
              <w:fldChar w:fldCharType="end"/>
            </w:r>
          </w:hyperlink>
        </w:p>
        <w:p w14:paraId="4A49A75E" w14:textId="5ED0C5A6"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1996" w:history="1">
            <w:r w:rsidRPr="00855085">
              <w:rPr>
                <w:rStyle w:val="Hyperlink"/>
                <w:noProof/>
              </w:rPr>
              <w:t>Power and control over (academic) science</w:t>
            </w:r>
            <w:r>
              <w:rPr>
                <w:noProof/>
                <w:webHidden/>
              </w:rPr>
              <w:tab/>
            </w:r>
            <w:r>
              <w:rPr>
                <w:noProof/>
                <w:webHidden/>
              </w:rPr>
              <w:fldChar w:fldCharType="begin"/>
            </w:r>
            <w:r>
              <w:rPr>
                <w:noProof/>
                <w:webHidden/>
              </w:rPr>
              <w:instrText xml:space="preserve"> PAGEREF _Toc31701996 \h </w:instrText>
            </w:r>
            <w:r>
              <w:rPr>
                <w:noProof/>
                <w:webHidden/>
              </w:rPr>
            </w:r>
            <w:r>
              <w:rPr>
                <w:noProof/>
                <w:webHidden/>
              </w:rPr>
              <w:fldChar w:fldCharType="separate"/>
            </w:r>
            <w:r>
              <w:rPr>
                <w:noProof/>
                <w:webHidden/>
              </w:rPr>
              <w:t>169</w:t>
            </w:r>
            <w:r>
              <w:rPr>
                <w:noProof/>
                <w:webHidden/>
              </w:rPr>
              <w:fldChar w:fldCharType="end"/>
            </w:r>
          </w:hyperlink>
        </w:p>
        <w:p w14:paraId="06A6AFF9" w14:textId="4E3A31AA"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97" w:history="1">
            <w:r w:rsidRPr="00855085">
              <w:rPr>
                <w:rStyle w:val="Hyperlink"/>
                <w:noProof/>
              </w:rPr>
              <w:t>Chapter summary</w:t>
            </w:r>
            <w:r>
              <w:rPr>
                <w:noProof/>
                <w:webHidden/>
              </w:rPr>
              <w:tab/>
            </w:r>
            <w:r>
              <w:rPr>
                <w:noProof/>
                <w:webHidden/>
              </w:rPr>
              <w:fldChar w:fldCharType="begin"/>
            </w:r>
            <w:r>
              <w:rPr>
                <w:noProof/>
                <w:webHidden/>
              </w:rPr>
              <w:instrText xml:space="preserve"> PAGEREF _Toc31701997 \h </w:instrText>
            </w:r>
            <w:r>
              <w:rPr>
                <w:noProof/>
                <w:webHidden/>
              </w:rPr>
            </w:r>
            <w:r>
              <w:rPr>
                <w:noProof/>
                <w:webHidden/>
              </w:rPr>
              <w:fldChar w:fldCharType="separate"/>
            </w:r>
            <w:r>
              <w:rPr>
                <w:noProof/>
                <w:webHidden/>
              </w:rPr>
              <w:t>173</w:t>
            </w:r>
            <w:r>
              <w:rPr>
                <w:noProof/>
                <w:webHidden/>
              </w:rPr>
              <w:fldChar w:fldCharType="end"/>
            </w:r>
          </w:hyperlink>
        </w:p>
        <w:p w14:paraId="43B9895F" w14:textId="4F5EF0C2"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1998" w:history="1">
            <w:r w:rsidRPr="00855085">
              <w:rPr>
                <w:rStyle w:val="Hyperlink"/>
                <w:noProof/>
              </w:rPr>
              <w:t>Chapter 6. Conclusion</w:t>
            </w:r>
            <w:r>
              <w:rPr>
                <w:noProof/>
                <w:webHidden/>
              </w:rPr>
              <w:tab/>
            </w:r>
            <w:r>
              <w:rPr>
                <w:noProof/>
                <w:webHidden/>
              </w:rPr>
              <w:fldChar w:fldCharType="begin"/>
            </w:r>
            <w:r>
              <w:rPr>
                <w:noProof/>
                <w:webHidden/>
              </w:rPr>
              <w:instrText xml:space="preserve"> PAGEREF _Toc31701998 \h </w:instrText>
            </w:r>
            <w:r>
              <w:rPr>
                <w:noProof/>
                <w:webHidden/>
              </w:rPr>
            </w:r>
            <w:r>
              <w:rPr>
                <w:noProof/>
                <w:webHidden/>
              </w:rPr>
              <w:fldChar w:fldCharType="separate"/>
            </w:r>
            <w:r>
              <w:rPr>
                <w:noProof/>
                <w:webHidden/>
              </w:rPr>
              <w:t>175</w:t>
            </w:r>
            <w:r>
              <w:rPr>
                <w:noProof/>
                <w:webHidden/>
              </w:rPr>
              <w:fldChar w:fldCharType="end"/>
            </w:r>
          </w:hyperlink>
        </w:p>
        <w:p w14:paraId="3FD7D7E8" w14:textId="080030F2"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1999" w:history="1">
            <w:r w:rsidRPr="00855085">
              <w:rPr>
                <w:rStyle w:val="Hyperlink"/>
                <w:noProof/>
              </w:rPr>
              <w:t>Introduction</w:t>
            </w:r>
            <w:r>
              <w:rPr>
                <w:noProof/>
                <w:webHidden/>
              </w:rPr>
              <w:tab/>
            </w:r>
            <w:r>
              <w:rPr>
                <w:noProof/>
                <w:webHidden/>
              </w:rPr>
              <w:fldChar w:fldCharType="begin"/>
            </w:r>
            <w:r>
              <w:rPr>
                <w:noProof/>
                <w:webHidden/>
              </w:rPr>
              <w:instrText xml:space="preserve"> PAGEREF _Toc31701999 \h </w:instrText>
            </w:r>
            <w:r>
              <w:rPr>
                <w:noProof/>
                <w:webHidden/>
              </w:rPr>
            </w:r>
            <w:r>
              <w:rPr>
                <w:noProof/>
                <w:webHidden/>
              </w:rPr>
              <w:fldChar w:fldCharType="separate"/>
            </w:r>
            <w:r>
              <w:rPr>
                <w:noProof/>
                <w:webHidden/>
              </w:rPr>
              <w:t>175</w:t>
            </w:r>
            <w:r>
              <w:rPr>
                <w:noProof/>
                <w:webHidden/>
              </w:rPr>
              <w:fldChar w:fldCharType="end"/>
            </w:r>
          </w:hyperlink>
        </w:p>
        <w:p w14:paraId="5682A351" w14:textId="47EAAA5C"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2000" w:history="1">
            <w:r w:rsidRPr="00855085">
              <w:rPr>
                <w:rStyle w:val="Hyperlink"/>
                <w:noProof/>
              </w:rPr>
              <w:t>Findings</w:t>
            </w:r>
            <w:r>
              <w:rPr>
                <w:noProof/>
                <w:webHidden/>
              </w:rPr>
              <w:tab/>
            </w:r>
            <w:r>
              <w:rPr>
                <w:noProof/>
                <w:webHidden/>
              </w:rPr>
              <w:fldChar w:fldCharType="begin"/>
            </w:r>
            <w:r>
              <w:rPr>
                <w:noProof/>
                <w:webHidden/>
              </w:rPr>
              <w:instrText xml:space="preserve"> PAGEREF _Toc31702000 \h </w:instrText>
            </w:r>
            <w:r>
              <w:rPr>
                <w:noProof/>
                <w:webHidden/>
              </w:rPr>
            </w:r>
            <w:r>
              <w:rPr>
                <w:noProof/>
                <w:webHidden/>
              </w:rPr>
              <w:fldChar w:fldCharType="separate"/>
            </w:r>
            <w:r>
              <w:rPr>
                <w:noProof/>
                <w:webHidden/>
              </w:rPr>
              <w:t>178</w:t>
            </w:r>
            <w:r>
              <w:rPr>
                <w:noProof/>
                <w:webHidden/>
              </w:rPr>
              <w:fldChar w:fldCharType="end"/>
            </w:r>
          </w:hyperlink>
        </w:p>
        <w:p w14:paraId="6CC03191" w14:textId="3D60F4E6"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01" w:history="1">
            <w:r w:rsidRPr="00855085">
              <w:rPr>
                <w:rStyle w:val="Hyperlink"/>
                <w:noProof/>
              </w:rPr>
              <w:t>Tensions in boundary reproduction: Non-academic sources of power and control of over science</w:t>
            </w:r>
            <w:r>
              <w:rPr>
                <w:noProof/>
                <w:webHidden/>
              </w:rPr>
              <w:tab/>
            </w:r>
            <w:r>
              <w:rPr>
                <w:noProof/>
                <w:webHidden/>
              </w:rPr>
              <w:fldChar w:fldCharType="begin"/>
            </w:r>
            <w:r>
              <w:rPr>
                <w:noProof/>
                <w:webHidden/>
              </w:rPr>
              <w:instrText xml:space="preserve"> PAGEREF _Toc31702001 \h </w:instrText>
            </w:r>
            <w:r>
              <w:rPr>
                <w:noProof/>
                <w:webHidden/>
              </w:rPr>
            </w:r>
            <w:r>
              <w:rPr>
                <w:noProof/>
                <w:webHidden/>
              </w:rPr>
              <w:fldChar w:fldCharType="separate"/>
            </w:r>
            <w:r>
              <w:rPr>
                <w:noProof/>
                <w:webHidden/>
              </w:rPr>
              <w:t>179</w:t>
            </w:r>
            <w:r>
              <w:rPr>
                <w:noProof/>
                <w:webHidden/>
              </w:rPr>
              <w:fldChar w:fldCharType="end"/>
            </w:r>
          </w:hyperlink>
        </w:p>
        <w:p w14:paraId="243A6B08" w14:textId="17B4F6E9"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02" w:history="1">
            <w:r w:rsidRPr="00855085">
              <w:rPr>
                <w:rStyle w:val="Hyperlink"/>
                <w:noProof/>
              </w:rPr>
              <w:t>Tensions in boundary reproduction: Variation and imbalance in internal sources of power</w:t>
            </w:r>
            <w:r>
              <w:rPr>
                <w:noProof/>
                <w:webHidden/>
              </w:rPr>
              <w:tab/>
            </w:r>
            <w:r>
              <w:rPr>
                <w:noProof/>
                <w:webHidden/>
              </w:rPr>
              <w:fldChar w:fldCharType="begin"/>
            </w:r>
            <w:r>
              <w:rPr>
                <w:noProof/>
                <w:webHidden/>
              </w:rPr>
              <w:instrText xml:space="preserve"> PAGEREF _Toc31702002 \h </w:instrText>
            </w:r>
            <w:r>
              <w:rPr>
                <w:noProof/>
                <w:webHidden/>
              </w:rPr>
            </w:r>
            <w:r>
              <w:rPr>
                <w:noProof/>
                <w:webHidden/>
              </w:rPr>
              <w:fldChar w:fldCharType="separate"/>
            </w:r>
            <w:r>
              <w:rPr>
                <w:noProof/>
                <w:webHidden/>
              </w:rPr>
              <w:t>180</w:t>
            </w:r>
            <w:r>
              <w:rPr>
                <w:noProof/>
                <w:webHidden/>
              </w:rPr>
              <w:fldChar w:fldCharType="end"/>
            </w:r>
          </w:hyperlink>
        </w:p>
        <w:p w14:paraId="7028E659" w14:textId="245E7037"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03" w:history="1">
            <w:r w:rsidRPr="00855085">
              <w:rPr>
                <w:rStyle w:val="Hyperlink"/>
                <w:noProof/>
              </w:rPr>
              <w:t>Boundary mechanisms and underpinning structures</w:t>
            </w:r>
            <w:r>
              <w:rPr>
                <w:noProof/>
                <w:webHidden/>
              </w:rPr>
              <w:tab/>
            </w:r>
            <w:r>
              <w:rPr>
                <w:noProof/>
                <w:webHidden/>
              </w:rPr>
              <w:fldChar w:fldCharType="begin"/>
            </w:r>
            <w:r>
              <w:rPr>
                <w:noProof/>
                <w:webHidden/>
              </w:rPr>
              <w:instrText xml:space="preserve"> PAGEREF _Toc31702003 \h </w:instrText>
            </w:r>
            <w:r>
              <w:rPr>
                <w:noProof/>
                <w:webHidden/>
              </w:rPr>
            </w:r>
            <w:r>
              <w:rPr>
                <w:noProof/>
                <w:webHidden/>
              </w:rPr>
              <w:fldChar w:fldCharType="separate"/>
            </w:r>
            <w:r>
              <w:rPr>
                <w:noProof/>
                <w:webHidden/>
              </w:rPr>
              <w:t>181</w:t>
            </w:r>
            <w:r>
              <w:rPr>
                <w:noProof/>
                <w:webHidden/>
              </w:rPr>
              <w:fldChar w:fldCharType="end"/>
            </w:r>
          </w:hyperlink>
        </w:p>
        <w:p w14:paraId="6C19D95E" w14:textId="550BC246"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2004" w:history="1">
            <w:r w:rsidRPr="00855085">
              <w:rPr>
                <w:rStyle w:val="Hyperlink"/>
                <w:noProof/>
              </w:rPr>
              <w:t>Implications</w:t>
            </w:r>
            <w:r>
              <w:rPr>
                <w:noProof/>
                <w:webHidden/>
              </w:rPr>
              <w:tab/>
            </w:r>
            <w:r>
              <w:rPr>
                <w:noProof/>
                <w:webHidden/>
              </w:rPr>
              <w:fldChar w:fldCharType="begin"/>
            </w:r>
            <w:r>
              <w:rPr>
                <w:noProof/>
                <w:webHidden/>
              </w:rPr>
              <w:instrText xml:space="preserve"> PAGEREF _Toc31702004 \h </w:instrText>
            </w:r>
            <w:r>
              <w:rPr>
                <w:noProof/>
                <w:webHidden/>
              </w:rPr>
            </w:r>
            <w:r>
              <w:rPr>
                <w:noProof/>
                <w:webHidden/>
              </w:rPr>
              <w:fldChar w:fldCharType="separate"/>
            </w:r>
            <w:r>
              <w:rPr>
                <w:noProof/>
                <w:webHidden/>
              </w:rPr>
              <w:t>184</w:t>
            </w:r>
            <w:r>
              <w:rPr>
                <w:noProof/>
                <w:webHidden/>
              </w:rPr>
              <w:fldChar w:fldCharType="end"/>
            </w:r>
          </w:hyperlink>
        </w:p>
        <w:p w14:paraId="36B4E0DD" w14:textId="1C363DC7"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05" w:history="1">
            <w:r w:rsidRPr="00855085">
              <w:rPr>
                <w:rStyle w:val="Hyperlink"/>
                <w:noProof/>
              </w:rPr>
              <w:t xml:space="preserve">Here to stay? The necessity of boundary transactions and </w:t>
            </w:r>
            <w:r w:rsidRPr="00855085">
              <w:rPr>
                <w:rStyle w:val="Hyperlink"/>
                <w:i/>
                <w:iCs/>
                <w:noProof/>
              </w:rPr>
              <w:t xml:space="preserve">some form </w:t>
            </w:r>
            <w:r w:rsidRPr="00855085">
              <w:rPr>
                <w:rStyle w:val="Hyperlink"/>
                <w:noProof/>
              </w:rPr>
              <w:t>of ‘impact agenda’</w:t>
            </w:r>
            <w:r>
              <w:rPr>
                <w:noProof/>
                <w:webHidden/>
              </w:rPr>
              <w:tab/>
            </w:r>
            <w:r>
              <w:rPr>
                <w:noProof/>
                <w:webHidden/>
              </w:rPr>
              <w:fldChar w:fldCharType="begin"/>
            </w:r>
            <w:r>
              <w:rPr>
                <w:noProof/>
                <w:webHidden/>
              </w:rPr>
              <w:instrText xml:space="preserve"> PAGEREF _Toc31702005 \h </w:instrText>
            </w:r>
            <w:r>
              <w:rPr>
                <w:noProof/>
                <w:webHidden/>
              </w:rPr>
            </w:r>
            <w:r>
              <w:rPr>
                <w:noProof/>
                <w:webHidden/>
              </w:rPr>
              <w:fldChar w:fldCharType="separate"/>
            </w:r>
            <w:r>
              <w:rPr>
                <w:noProof/>
                <w:webHidden/>
              </w:rPr>
              <w:t>184</w:t>
            </w:r>
            <w:r>
              <w:rPr>
                <w:noProof/>
                <w:webHidden/>
              </w:rPr>
              <w:fldChar w:fldCharType="end"/>
            </w:r>
          </w:hyperlink>
        </w:p>
        <w:p w14:paraId="54233F8C" w14:textId="54797831"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06" w:history="1">
            <w:r w:rsidRPr="00855085">
              <w:rPr>
                <w:rStyle w:val="Hyperlink"/>
                <w:noProof/>
              </w:rPr>
              <w:t>Challenging the impact agenda: mismanagement and ‘misrecognition’</w:t>
            </w:r>
            <w:r>
              <w:rPr>
                <w:noProof/>
                <w:webHidden/>
              </w:rPr>
              <w:tab/>
            </w:r>
            <w:r>
              <w:rPr>
                <w:noProof/>
                <w:webHidden/>
              </w:rPr>
              <w:fldChar w:fldCharType="begin"/>
            </w:r>
            <w:r>
              <w:rPr>
                <w:noProof/>
                <w:webHidden/>
              </w:rPr>
              <w:instrText xml:space="preserve"> PAGEREF _Toc31702006 \h </w:instrText>
            </w:r>
            <w:r>
              <w:rPr>
                <w:noProof/>
                <w:webHidden/>
              </w:rPr>
            </w:r>
            <w:r>
              <w:rPr>
                <w:noProof/>
                <w:webHidden/>
              </w:rPr>
              <w:fldChar w:fldCharType="separate"/>
            </w:r>
            <w:r>
              <w:rPr>
                <w:noProof/>
                <w:webHidden/>
              </w:rPr>
              <w:t>185</w:t>
            </w:r>
            <w:r>
              <w:rPr>
                <w:noProof/>
                <w:webHidden/>
              </w:rPr>
              <w:fldChar w:fldCharType="end"/>
            </w:r>
          </w:hyperlink>
        </w:p>
        <w:p w14:paraId="6749BFB7" w14:textId="654A9A15"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07" w:history="1">
            <w:r w:rsidRPr="00855085">
              <w:rPr>
                <w:rStyle w:val="Hyperlink"/>
                <w:noProof/>
              </w:rPr>
              <w:t>‘Entrepreneurial’? ‘Ecological’? Towards a “boundary-creating self-conception for the university”</w:t>
            </w:r>
            <w:r>
              <w:rPr>
                <w:noProof/>
                <w:webHidden/>
              </w:rPr>
              <w:tab/>
            </w:r>
            <w:r>
              <w:rPr>
                <w:noProof/>
                <w:webHidden/>
              </w:rPr>
              <w:fldChar w:fldCharType="begin"/>
            </w:r>
            <w:r>
              <w:rPr>
                <w:noProof/>
                <w:webHidden/>
              </w:rPr>
              <w:instrText xml:space="preserve"> PAGEREF _Toc31702007 \h </w:instrText>
            </w:r>
            <w:r>
              <w:rPr>
                <w:noProof/>
                <w:webHidden/>
              </w:rPr>
            </w:r>
            <w:r>
              <w:rPr>
                <w:noProof/>
                <w:webHidden/>
              </w:rPr>
              <w:fldChar w:fldCharType="separate"/>
            </w:r>
            <w:r>
              <w:rPr>
                <w:noProof/>
                <w:webHidden/>
              </w:rPr>
              <w:t>186</w:t>
            </w:r>
            <w:r>
              <w:rPr>
                <w:noProof/>
                <w:webHidden/>
              </w:rPr>
              <w:fldChar w:fldCharType="end"/>
            </w:r>
          </w:hyperlink>
        </w:p>
        <w:p w14:paraId="134CB1DD" w14:textId="093FAA35"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2008" w:history="1">
            <w:r w:rsidRPr="00855085">
              <w:rPr>
                <w:rStyle w:val="Hyperlink"/>
                <w:noProof/>
              </w:rPr>
              <w:t>References</w:t>
            </w:r>
            <w:r>
              <w:rPr>
                <w:noProof/>
                <w:webHidden/>
              </w:rPr>
              <w:tab/>
            </w:r>
            <w:r>
              <w:rPr>
                <w:noProof/>
                <w:webHidden/>
              </w:rPr>
              <w:fldChar w:fldCharType="begin"/>
            </w:r>
            <w:r>
              <w:rPr>
                <w:noProof/>
                <w:webHidden/>
              </w:rPr>
              <w:instrText xml:space="preserve"> PAGEREF _Toc31702008 \h </w:instrText>
            </w:r>
            <w:r>
              <w:rPr>
                <w:noProof/>
                <w:webHidden/>
              </w:rPr>
            </w:r>
            <w:r>
              <w:rPr>
                <w:noProof/>
                <w:webHidden/>
              </w:rPr>
              <w:fldChar w:fldCharType="separate"/>
            </w:r>
            <w:r>
              <w:rPr>
                <w:noProof/>
                <w:webHidden/>
              </w:rPr>
              <w:t>189</w:t>
            </w:r>
            <w:r>
              <w:rPr>
                <w:noProof/>
                <w:webHidden/>
              </w:rPr>
              <w:fldChar w:fldCharType="end"/>
            </w:r>
          </w:hyperlink>
        </w:p>
        <w:p w14:paraId="005031B9" w14:textId="47FBD44D" w:rsidR="0011424E" w:rsidRDefault="0011424E">
          <w:pPr>
            <w:pStyle w:val="TOC1"/>
            <w:tabs>
              <w:tab w:val="right" w:leader="dot" w:pos="9514"/>
            </w:tabs>
            <w:rPr>
              <w:rFonts w:asciiTheme="minorHAnsi" w:eastAsiaTheme="minorEastAsia" w:hAnsiTheme="minorHAnsi" w:cstheme="minorBidi"/>
              <w:noProof/>
              <w:sz w:val="22"/>
              <w:szCs w:val="22"/>
              <w:lang w:eastAsia="en-GB"/>
            </w:rPr>
          </w:pPr>
          <w:hyperlink w:anchor="_Toc31702009" w:history="1">
            <w:r w:rsidRPr="00855085">
              <w:rPr>
                <w:rStyle w:val="Hyperlink"/>
                <w:noProof/>
              </w:rPr>
              <w:t>Appendices</w:t>
            </w:r>
            <w:r>
              <w:rPr>
                <w:noProof/>
                <w:webHidden/>
              </w:rPr>
              <w:tab/>
            </w:r>
            <w:r>
              <w:rPr>
                <w:noProof/>
                <w:webHidden/>
              </w:rPr>
              <w:fldChar w:fldCharType="begin"/>
            </w:r>
            <w:r>
              <w:rPr>
                <w:noProof/>
                <w:webHidden/>
              </w:rPr>
              <w:instrText xml:space="preserve"> PAGEREF _Toc31702009 \h </w:instrText>
            </w:r>
            <w:r>
              <w:rPr>
                <w:noProof/>
                <w:webHidden/>
              </w:rPr>
            </w:r>
            <w:r>
              <w:rPr>
                <w:noProof/>
                <w:webHidden/>
              </w:rPr>
              <w:fldChar w:fldCharType="separate"/>
            </w:r>
            <w:r>
              <w:rPr>
                <w:noProof/>
                <w:webHidden/>
              </w:rPr>
              <w:t>199</w:t>
            </w:r>
            <w:r>
              <w:rPr>
                <w:noProof/>
                <w:webHidden/>
              </w:rPr>
              <w:fldChar w:fldCharType="end"/>
            </w:r>
          </w:hyperlink>
        </w:p>
        <w:p w14:paraId="1F902FCB" w14:textId="4F72D4B0"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2010" w:history="1">
            <w:r w:rsidRPr="00855085">
              <w:rPr>
                <w:rStyle w:val="Hyperlink"/>
                <w:noProof/>
              </w:rPr>
              <w:t>Appendix A. Definitions of REF starred ratings</w:t>
            </w:r>
            <w:r>
              <w:rPr>
                <w:noProof/>
                <w:webHidden/>
              </w:rPr>
              <w:tab/>
            </w:r>
            <w:r>
              <w:rPr>
                <w:noProof/>
                <w:webHidden/>
              </w:rPr>
              <w:fldChar w:fldCharType="begin"/>
            </w:r>
            <w:r>
              <w:rPr>
                <w:noProof/>
                <w:webHidden/>
              </w:rPr>
              <w:instrText xml:space="preserve"> PAGEREF _Toc31702010 \h </w:instrText>
            </w:r>
            <w:r>
              <w:rPr>
                <w:noProof/>
                <w:webHidden/>
              </w:rPr>
            </w:r>
            <w:r>
              <w:rPr>
                <w:noProof/>
                <w:webHidden/>
              </w:rPr>
              <w:fldChar w:fldCharType="separate"/>
            </w:r>
            <w:r>
              <w:rPr>
                <w:noProof/>
                <w:webHidden/>
              </w:rPr>
              <w:t>199</w:t>
            </w:r>
            <w:r>
              <w:rPr>
                <w:noProof/>
                <w:webHidden/>
              </w:rPr>
              <w:fldChar w:fldCharType="end"/>
            </w:r>
          </w:hyperlink>
        </w:p>
        <w:p w14:paraId="79865151" w14:textId="1BA43DD5"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2011" w:history="1">
            <w:r w:rsidRPr="00855085">
              <w:rPr>
                <w:rStyle w:val="Hyperlink"/>
                <w:noProof/>
              </w:rPr>
              <w:t>Appendix B. Methodological details</w:t>
            </w:r>
            <w:r>
              <w:rPr>
                <w:noProof/>
                <w:webHidden/>
              </w:rPr>
              <w:tab/>
            </w:r>
            <w:r>
              <w:rPr>
                <w:noProof/>
                <w:webHidden/>
              </w:rPr>
              <w:fldChar w:fldCharType="begin"/>
            </w:r>
            <w:r>
              <w:rPr>
                <w:noProof/>
                <w:webHidden/>
              </w:rPr>
              <w:instrText xml:space="preserve"> PAGEREF _Toc31702011 \h </w:instrText>
            </w:r>
            <w:r>
              <w:rPr>
                <w:noProof/>
                <w:webHidden/>
              </w:rPr>
            </w:r>
            <w:r>
              <w:rPr>
                <w:noProof/>
                <w:webHidden/>
              </w:rPr>
              <w:fldChar w:fldCharType="separate"/>
            </w:r>
            <w:r>
              <w:rPr>
                <w:noProof/>
                <w:webHidden/>
              </w:rPr>
              <w:t>200</w:t>
            </w:r>
            <w:r>
              <w:rPr>
                <w:noProof/>
                <w:webHidden/>
              </w:rPr>
              <w:fldChar w:fldCharType="end"/>
            </w:r>
          </w:hyperlink>
        </w:p>
        <w:p w14:paraId="30EA7F19" w14:textId="5958BE5E"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12" w:history="1">
            <w:r w:rsidRPr="00855085">
              <w:rPr>
                <w:rStyle w:val="Hyperlink"/>
                <w:noProof/>
              </w:rPr>
              <w:t>Appendix B.1. Sampling</w:t>
            </w:r>
            <w:r>
              <w:rPr>
                <w:noProof/>
                <w:webHidden/>
              </w:rPr>
              <w:tab/>
            </w:r>
            <w:r>
              <w:rPr>
                <w:noProof/>
                <w:webHidden/>
              </w:rPr>
              <w:fldChar w:fldCharType="begin"/>
            </w:r>
            <w:r>
              <w:rPr>
                <w:noProof/>
                <w:webHidden/>
              </w:rPr>
              <w:instrText xml:space="preserve"> PAGEREF _Toc31702012 \h </w:instrText>
            </w:r>
            <w:r>
              <w:rPr>
                <w:noProof/>
                <w:webHidden/>
              </w:rPr>
            </w:r>
            <w:r>
              <w:rPr>
                <w:noProof/>
                <w:webHidden/>
              </w:rPr>
              <w:fldChar w:fldCharType="separate"/>
            </w:r>
            <w:r>
              <w:rPr>
                <w:noProof/>
                <w:webHidden/>
              </w:rPr>
              <w:t>200</w:t>
            </w:r>
            <w:r>
              <w:rPr>
                <w:noProof/>
                <w:webHidden/>
              </w:rPr>
              <w:fldChar w:fldCharType="end"/>
            </w:r>
          </w:hyperlink>
        </w:p>
        <w:p w14:paraId="2F1AA080" w14:textId="56034F74"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13" w:history="1">
            <w:r w:rsidRPr="00855085">
              <w:rPr>
                <w:rStyle w:val="Hyperlink"/>
                <w:noProof/>
              </w:rPr>
              <w:t>Appendix B.2. Letter to potential interview participants</w:t>
            </w:r>
            <w:r>
              <w:rPr>
                <w:noProof/>
                <w:webHidden/>
              </w:rPr>
              <w:tab/>
            </w:r>
            <w:r>
              <w:rPr>
                <w:noProof/>
                <w:webHidden/>
              </w:rPr>
              <w:fldChar w:fldCharType="begin"/>
            </w:r>
            <w:r>
              <w:rPr>
                <w:noProof/>
                <w:webHidden/>
              </w:rPr>
              <w:instrText xml:space="preserve"> PAGEREF _Toc31702013 \h </w:instrText>
            </w:r>
            <w:r>
              <w:rPr>
                <w:noProof/>
                <w:webHidden/>
              </w:rPr>
            </w:r>
            <w:r>
              <w:rPr>
                <w:noProof/>
                <w:webHidden/>
              </w:rPr>
              <w:fldChar w:fldCharType="separate"/>
            </w:r>
            <w:r>
              <w:rPr>
                <w:noProof/>
                <w:webHidden/>
              </w:rPr>
              <w:t>202</w:t>
            </w:r>
            <w:r>
              <w:rPr>
                <w:noProof/>
                <w:webHidden/>
              </w:rPr>
              <w:fldChar w:fldCharType="end"/>
            </w:r>
          </w:hyperlink>
        </w:p>
        <w:p w14:paraId="2B8C0DBE" w14:textId="1C87A3EF"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14" w:history="1">
            <w:r w:rsidRPr="00855085">
              <w:rPr>
                <w:rStyle w:val="Hyperlink"/>
                <w:noProof/>
              </w:rPr>
              <w:t>Appendix B.3. Information Sheet</w:t>
            </w:r>
            <w:r>
              <w:rPr>
                <w:noProof/>
                <w:webHidden/>
              </w:rPr>
              <w:tab/>
            </w:r>
            <w:r>
              <w:rPr>
                <w:noProof/>
                <w:webHidden/>
              </w:rPr>
              <w:fldChar w:fldCharType="begin"/>
            </w:r>
            <w:r>
              <w:rPr>
                <w:noProof/>
                <w:webHidden/>
              </w:rPr>
              <w:instrText xml:space="preserve"> PAGEREF _Toc31702014 \h </w:instrText>
            </w:r>
            <w:r>
              <w:rPr>
                <w:noProof/>
                <w:webHidden/>
              </w:rPr>
            </w:r>
            <w:r>
              <w:rPr>
                <w:noProof/>
                <w:webHidden/>
              </w:rPr>
              <w:fldChar w:fldCharType="separate"/>
            </w:r>
            <w:r>
              <w:rPr>
                <w:noProof/>
                <w:webHidden/>
              </w:rPr>
              <w:t>204</w:t>
            </w:r>
            <w:r>
              <w:rPr>
                <w:noProof/>
                <w:webHidden/>
              </w:rPr>
              <w:fldChar w:fldCharType="end"/>
            </w:r>
          </w:hyperlink>
        </w:p>
        <w:p w14:paraId="36F7F130" w14:textId="2CB95573"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15" w:history="1">
            <w:r w:rsidRPr="00855085">
              <w:rPr>
                <w:rStyle w:val="Hyperlink"/>
                <w:noProof/>
              </w:rPr>
              <w:t>Appendix B.4. Consent Form</w:t>
            </w:r>
            <w:r>
              <w:rPr>
                <w:noProof/>
                <w:webHidden/>
              </w:rPr>
              <w:tab/>
            </w:r>
            <w:r>
              <w:rPr>
                <w:noProof/>
                <w:webHidden/>
              </w:rPr>
              <w:fldChar w:fldCharType="begin"/>
            </w:r>
            <w:r>
              <w:rPr>
                <w:noProof/>
                <w:webHidden/>
              </w:rPr>
              <w:instrText xml:space="preserve"> PAGEREF _Toc31702015 \h </w:instrText>
            </w:r>
            <w:r>
              <w:rPr>
                <w:noProof/>
                <w:webHidden/>
              </w:rPr>
            </w:r>
            <w:r>
              <w:rPr>
                <w:noProof/>
                <w:webHidden/>
              </w:rPr>
              <w:fldChar w:fldCharType="separate"/>
            </w:r>
            <w:r>
              <w:rPr>
                <w:noProof/>
                <w:webHidden/>
              </w:rPr>
              <w:t>206</w:t>
            </w:r>
            <w:r>
              <w:rPr>
                <w:noProof/>
                <w:webHidden/>
              </w:rPr>
              <w:fldChar w:fldCharType="end"/>
            </w:r>
          </w:hyperlink>
        </w:p>
        <w:p w14:paraId="60EC9CFF" w14:textId="5AFFA89E"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16" w:history="1">
            <w:r w:rsidRPr="00855085">
              <w:rPr>
                <w:rStyle w:val="Hyperlink"/>
                <w:noProof/>
              </w:rPr>
              <w:t>Appendix B.5 Ethics approval letter</w:t>
            </w:r>
            <w:r>
              <w:rPr>
                <w:noProof/>
                <w:webHidden/>
              </w:rPr>
              <w:tab/>
            </w:r>
            <w:r>
              <w:rPr>
                <w:noProof/>
                <w:webHidden/>
              </w:rPr>
              <w:fldChar w:fldCharType="begin"/>
            </w:r>
            <w:r>
              <w:rPr>
                <w:noProof/>
                <w:webHidden/>
              </w:rPr>
              <w:instrText xml:space="preserve"> PAGEREF _Toc31702016 \h </w:instrText>
            </w:r>
            <w:r>
              <w:rPr>
                <w:noProof/>
                <w:webHidden/>
              </w:rPr>
            </w:r>
            <w:r>
              <w:rPr>
                <w:noProof/>
                <w:webHidden/>
              </w:rPr>
              <w:fldChar w:fldCharType="separate"/>
            </w:r>
            <w:r>
              <w:rPr>
                <w:noProof/>
                <w:webHidden/>
              </w:rPr>
              <w:t>207</w:t>
            </w:r>
            <w:r>
              <w:rPr>
                <w:noProof/>
                <w:webHidden/>
              </w:rPr>
              <w:fldChar w:fldCharType="end"/>
            </w:r>
          </w:hyperlink>
        </w:p>
        <w:p w14:paraId="704FC551" w14:textId="69ED2BAE"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2017" w:history="1">
            <w:r w:rsidRPr="00855085">
              <w:rPr>
                <w:rStyle w:val="Hyperlink"/>
                <w:noProof/>
              </w:rPr>
              <w:t>Appendix C. Document and webpage database</w:t>
            </w:r>
            <w:r>
              <w:rPr>
                <w:noProof/>
                <w:webHidden/>
              </w:rPr>
              <w:tab/>
            </w:r>
            <w:r>
              <w:rPr>
                <w:noProof/>
                <w:webHidden/>
              </w:rPr>
              <w:fldChar w:fldCharType="begin"/>
            </w:r>
            <w:r>
              <w:rPr>
                <w:noProof/>
                <w:webHidden/>
              </w:rPr>
              <w:instrText xml:space="preserve"> PAGEREF _Toc31702017 \h </w:instrText>
            </w:r>
            <w:r>
              <w:rPr>
                <w:noProof/>
                <w:webHidden/>
              </w:rPr>
            </w:r>
            <w:r>
              <w:rPr>
                <w:noProof/>
                <w:webHidden/>
              </w:rPr>
              <w:fldChar w:fldCharType="separate"/>
            </w:r>
            <w:r>
              <w:rPr>
                <w:noProof/>
                <w:webHidden/>
              </w:rPr>
              <w:t>208</w:t>
            </w:r>
            <w:r>
              <w:rPr>
                <w:noProof/>
                <w:webHidden/>
              </w:rPr>
              <w:fldChar w:fldCharType="end"/>
            </w:r>
          </w:hyperlink>
        </w:p>
        <w:p w14:paraId="3F5196BB" w14:textId="7A9D1B1E"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2018" w:history="1">
            <w:r w:rsidRPr="00855085">
              <w:rPr>
                <w:rStyle w:val="Hyperlink"/>
                <w:noProof/>
              </w:rPr>
              <w:t>Appendix D. Narrative accounts and plotted typologies of sampled Bodies of Research (BoRs)</w:t>
            </w:r>
            <w:r>
              <w:rPr>
                <w:noProof/>
                <w:webHidden/>
              </w:rPr>
              <w:tab/>
            </w:r>
            <w:r>
              <w:rPr>
                <w:noProof/>
                <w:webHidden/>
              </w:rPr>
              <w:fldChar w:fldCharType="begin"/>
            </w:r>
            <w:r>
              <w:rPr>
                <w:noProof/>
                <w:webHidden/>
              </w:rPr>
              <w:instrText xml:space="preserve"> PAGEREF _Toc31702018 \h </w:instrText>
            </w:r>
            <w:r>
              <w:rPr>
                <w:noProof/>
                <w:webHidden/>
              </w:rPr>
            </w:r>
            <w:r>
              <w:rPr>
                <w:noProof/>
                <w:webHidden/>
              </w:rPr>
              <w:fldChar w:fldCharType="separate"/>
            </w:r>
            <w:r>
              <w:rPr>
                <w:noProof/>
                <w:webHidden/>
              </w:rPr>
              <w:t>223</w:t>
            </w:r>
            <w:r>
              <w:rPr>
                <w:noProof/>
                <w:webHidden/>
              </w:rPr>
              <w:fldChar w:fldCharType="end"/>
            </w:r>
          </w:hyperlink>
        </w:p>
        <w:p w14:paraId="381069C3" w14:textId="164519BD"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19" w:history="1">
            <w:r w:rsidRPr="00855085">
              <w:rPr>
                <w:rStyle w:val="Hyperlink"/>
                <w:noProof/>
              </w:rPr>
              <w:t>BoRs sampled from UoA 1</w:t>
            </w:r>
            <w:r>
              <w:rPr>
                <w:noProof/>
                <w:webHidden/>
              </w:rPr>
              <w:tab/>
            </w:r>
            <w:r>
              <w:rPr>
                <w:noProof/>
                <w:webHidden/>
              </w:rPr>
              <w:fldChar w:fldCharType="begin"/>
            </w:r>
            <w:r>
              <w:rPr>
                <w:noProof/>
                <w:webHidden/>
              </w:rPr>
              <w:instrText xml:space="preserve"> PAGEREF _Toc31702019 \h </w:instrText>
            </w:r>
            <w:r>
              <w:rPr>
                <w:noProof/>
                <w:webHidden/>
              </w:rPr>
            </w:r>
            <w:r>
              <w:rPr>
                <w:noProof/>
                <w:webHidden/>
              </w:rPr>
              <w:fldChar w:fldCharType="separate"/>
            </w:r>
            <w:r>
              <w:rPr>
                <w:noProof/>
                <w:webHidden/>
              </w:rPr>
              <w:t>223</w:t>
            </w:r>
            <w:r>
              <w:rPr>
                <w:noProof/>
                <w:webHidden/>
              </w:rPr>
              <w:fldChar w:fldCharType="end"/>
            </w:r>
          </w:hyperlink>
        </w:p>
        <w:p w14:paraId="68B631E8" w14:textId="01687BD0"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20" w:history="1">
            <w:r w:rsidRPr="00855085">
              <w:rPr>
                <w:rStyle w:val="Hyperlink"/>
                <w:noProof/>
              </w:rPr>
              <w:t>BoRs sampled from UoA 4</w:t>
            </w:r>
            <w:r>
              <w:rPr>
                <w:noProof/>
                <w:webHidden/>
              </w:rPr>
              <w:tab/>
            </w:r>
            <w:r>
              <w:rPr>
                <w:noProof/>
                <w:webHidden/>
              </w:rPr>
              <w:fldChar w:fldCharType="begin"/>
            </w:r>
            <w:r>
              <w:rPr>
                <w:noProof/>
                <w:webHidden/>
              </w:rPr>
              <w:instrText xml:space="preserve"> PAGEREF _Toc31702020 \h </w:instrText>
            </w:r>
            <w:r>
              <w:rPr>
                <w:noProof/>
                <w:webHidden/>
              </w:rPr>
            </w:r>
            <w:r>
              <w:rPr>
                <w:noProof/>
                <w:webHidden/>
              </w:rPr>
              <w:fldChar w:fldCharType="separate"/>
            </w:r>
            <w:r>
              <w:rPr>
                <w:noProof/>
                <w:webHidden/>
              </w:rPr>
              <w:t>227</w:t>
            </w:r>
            <w:r>
              <w:rPr>
                <w:noProof/>
                <w:webHidden/>
              </w:rPr>
              <w:fldChar w:fldCharType="end"/>
            </w:r>
          </w:hyperlink>
        </w:p>
        <w:p w14:paraId="30A589D8" w14:textId="71463E84"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21" w:history="1">
            <w:r w:rsidRPr="00855085">
              <w:rPr>
                <w:rStyle w:val="Hyperlink"/>
                <w:noProof/>
              </w:rPr>
              <w:t>BoRs sampled from UoA 5</w:t>
            </w:r>
            <w:r>
              <w:rPr>
                <w:noProof/>
                <w:webHidden/>
              </w:rPr>
              <w:tab/>
            </w:r>
            <w:r>
              <w:rPr>
                <w:noProof/>
                <w:webHidden/>
              </w:rPr>
              <w:fldChar w:fldCharType="begin"/>
            </w:r>
            <w:r>
              <w:rPr>
                <w:noProof/>
                <w:webHidden/>
              </w:rPr>
              <w:instrText xml:space="preserve"> PAGEREF _Toc31702021 \h </w:instrText>
            </w:r>
            <w:r>
              <w:rPr>
                <w:noProof/>
                <w:webHidden/>
              </w:rPr>
            </w:r>
            <w:r>
              <w:rPr>
                <w:noProof/>
                <w:webHidden/>
              </w:rPr>
              <w:fldChar w:fldCharType="separate"/>
            </w:r>
            <w:r>
              <w:rPr>
                <w:noProof/>
                <w:webHidden/>
              </w:rPr>
              <w:t>231</w:t>
            </w:r>
            <w:r>
              <w:rPr>
                <w:noProof/>
                <w:webHidden/>
              </w:rPr>
              <w:fldChar w:fldCharType="end"/>
            </w:r>
          </w:hyperlink>
        </w:p>
        <w:p w14:paraId="59A5E0E9" w14:textId="4D5363AB"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22" w:history="1">
            <w:r w:rsidRPr="00855085">
              <w:rPr>
                <w:rStyle w:val="Hyperlink"/>
                <w:noProof/>
              </w:rPr>
              <w:t>BoRs sampled from UoA 7</w:t>
            </w:r>
            <w:r>
              <w:rPr>
                <w:noProof/>
                <w:webHidden/>
              </w:rPr>
              <w:tab/>
            </w:r>
            <w:r>
              <w:rPr>
                <w:noProof/>
                <w:webHidden/>
              </w:rPr>
              <w:fldChar w:fldCharType="begin"/>
            </w:r>
            <w:r>
              <w:rPr>
                <w:noProof/>
                <w:webHidden/>
              </w:rPr>
              <w:instrText xml:space="preserve"> PAGEREF _Toc31702022 \h </w:instrText>
            </w:r>
            <w:r>
              <w:rPr>
                <w:noProof/>
                <w:webHidden/>
              </w:rPr>
            </w:r>
            <w:r>
              <w:rPr>
                <w:noProof/>
                <w:webHidden/>
              </w:rPr>
              <w:fldChar w:fldCharType="separate"/>
            </w:r>
            <w:r>
              <w:rPr>
                <w:noProof/>
                <w:webHidden/>
              </w:rPr>
              <w:t>234</w:t>
            </w:r>
            <w:r>
              <w:rPr>
                <w:noProof/>
                <w:webHidden/>
              </w:rPr>
              <w:fldChar w:fldCharType="end"/>
            </w:r>
          </w:hyperlink>
        </w:p>
        <w:p w14:paraId="4BB22263" w14:textId="407CFCAA"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23" w:history="1">
            <w:r w:rsidRPr="00855085">
              <w:rPr>
                <w:rStyle w:val="Hyperlink"/>
                <w:noProof/>
              </w:rPr>
              <w:t>BoRs sampled from UoA 8</w:t>
            </w:r>
            <w:r>
              <w:rPr>
                <w:noProof/>
                <w:webHidden/>
              </w:rPr>
              <w:tab/>
            </w:r>
            <w:r>
              <w:rPr>
                <w:noProof/>
                <w:webHidden/>
              </w:rPr>
              <w:fldChar w:fldCharType="begin"/>
            </w:r>
            <w:r>
              <w:rPr>
                <w:noProof/>
                <w:webHidden/>
              </w:rPr>
              <w:instrText xml:space="preserve"> PAGEREF _Toc31702023 \h </w:instrText>
            </w:r>
            <w:r>
              <w:rPr>
                <w:noProof/>
                <w:webHidden/>
              </w:rPr>
            </w:r>
            <w:r>
              <w:rPr>
                <w:noProof/>
                <w:webHidden/>
              </w:rPr>
              <w:fldChar w:fldCharType="separate"/>
            </w:r>
            <w:r>
              <w:rPr>
                <w:noProof/>
                <w:webHidden/>
              </w:rPr>
              <w:t>238</w:t>
            </w:r>
            <w:r>
              <w:rPr>
                <w:noProof/>
                <w:webHidden/>
              </w:rPr>
              <w:fldChar w:fldCharType="end"/>
            </w:r>
          </w:hyperlink>
        </w:p>
        <w:p w14:paraId="0BDDFE58" w14:textId="1154078E"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24" w:history="1">
            <w:r w:rsidRPr="00855085">
              <w:rPr>
                <w:rStyle w:val="Hyperlink"/>
                <w:noProof/>
              </w:rPr>
              <w:t>BoRs sampled from UoA 9</w:t>
            </w:r>
            <w:r>
              <w:rPr>
                <w:noProof/>
                <w:webHidden/>
              </w:rPr>
              <w:tab/>
            </w:r>
            <w:r>
              <w:rPr>
                <w:noProof/>
                <w:webHidden/>
              </w:rPr>
              <w:fldChar w:fldCharType="begin"/>
            </w:r>
            <w:r>
              <w:rPr>
                <w:noProof/>
                <w:webHidden/>
              </w:rPr>
              <w:instrText xml:space="preserve"> PAGEREF _Toc31702024 \h </w:instrText>
            </w:r>
            <w:r>
              <w:rPr>
                <w:noProof/>
                <w:webHidden/>
              </w:rPr>
            </w:r>
            <w:r>
              <w:rPr>
                <w:noProof/>
                <w:webHidden/>
              </w:rPr>
              <w:fldChar w:fldCharType="separate"/>
            </w:r>
            <w:r>
              <w:rPr>
                <w:noProof/>
                <w:webHidden/>
              </w:rPr>
              <w:t>243</w:t>
            </w:r>
            <w:r>
              <w:rPr>
                <w:noProof/>
                <w:webHidden/>
              </w:rPr>
              <w:fldChar w:fldCharType="end"/>
            </w:r>
          </w:hyperlink>
        </w:p>
        <w:p w14:paraId="5E73294B" w14:textId="74A9E579"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25" w:history="1">
            <w:r w:rsidRPr="00855085">
              <w:rPr>
                <w:rStyle w:val="Hyperlink"/>
                <w:noProof/>
              </w:rPr>
              <w:t>BoRs sampled from UoA 10</w:t>
            </w:r>
            <w:r>
              <w:rPr>
                <w:noProof/>
                <w:webHidden/>
              </w:rPr>
              <w:tab/>
            </w:r>
            <w:r>
              <w:rPr>
                <w:noProof/>
                <w:webHidden/>
              </w:rPr>
              <w:fldChar w:fldCharType="begin"/>
            </w:r>
            <w:r>
              <w:rPr>
                <w:noProof/>
                <w:webHidden/>
              </w:rPr>
              <w:instrText xml:space="preserve"> PAGEREF _Toc31702025 \h </w:instrText>
            </w:r>
            <w:r>
              <w:rPr>
                <w:noProof/>
                <w:webHidden/>
              </w:rPr>
            </w:r>
            <w:r>
              <w:rPr>
                <w:noProof/>
                <w:webHidden/>
              </w:rPr>
              <w:fldChar w:fldCharType="separate"/>
            </w:r>
            <w:r>
              <w:rPr>
                <w:noProof/>
                <w:webHidden/>
              </w:rPr>
              <w:t>247</w:t>
            </w:r>
            <w:r>
              <w:rPr>
                <w:noProof/>
                <w:webHidden/>
              </w:rPr>
              <w:fldChar w:fldCharType="end"/>
            </w:r>
          </w:hyperlink>
        </w:p>
        <w:p w14:paraId="03040C59" w14:textId="41EBBCE4"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26" w:history="1">
            <w:r w:rsidRPr="00855085">
              <w:rPr>
                <w:rStyle w:val="Hyperlink"/>
                <w:noProof/>
              </w:rPr>
              <w:t>BoRs sampled from UoA 11</w:t>
            </w:r>
            <w:r>
              <w:rPr>
                <w:noProof/>
                <w:webHidden/>
              </w:rPr>
              <w:tab/>
            </w:r>
            <w:r>
              <w:rPr>
                <w:noProof/>
                <w:webHidden/>
              </w:rPr>
              <w:fldChar w:fldCharType="begin"/>
            </w:r>
            <w:r>
              <w:rPr>
                <w:noProof/>
                <w:webHidden/>
              </w:rPr>
              <w:instrText xml:space="preserve"> PAGEREF _Toc31702026 \h </w:instrText>
            </w:r>
            <w:r>
              <w:rPr>
                <w:noProof/>
                <w:webHidden/>
              </w:rPr>
            </w:r>
            <w:r>
              <w:rPr>
                <w:noProof/>
                <w:webHidden/>
              </w:rPr>
              <w:fldChar w:fldCharType="separate"/>
            </w:r>
            <w:r>
              <w:rPr>
                <w:noProof/>
                <w:webHidden/>
              </w:rPr>
              <w:t>252</w:t>
            </w:r>
            <w:r>
              <w:rPr>
                <w:noProof/>
                <w:webHidden/>
              </w:rPr>
              <w:fldChar w:fldCharType="end"/>
            </w:r>
          </w:hyperlink>
        </w:p>
        <w:p w14:paraId="4D5A6D9A" w14:textId="4E8D4114"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27" w:history="1">
            <w:r w:rsidRPr="00855085">
              <w:rPr>
                <w:rStyle w:val="Hyperlink"/>
                <w:noProof/>
              </w:rPr>
              <w:t>BoRs sampled from UoA 13</w:t>
            </w:r>
            <w:r>
              <w:rPr>
                <w:noProof/>
                <w:webHidden/>
              </w:rPr>
              <w:tab/>
            </w:r>
            <w:r>
              <w:rPr>
                <w:noProof/>
                <w:webHidden/>
              </w:rPr>
              <w:fldChar w:fldCharType="begin"/>
            </w:r>
            <w:r>
              <w:rPr>
                <w:noProof/>
                <w:webHidden/>
              </w:rPr>
              <w:instrText xml:space="preserve"> PAGEREF _Toc31702027 \h </w:instrText>
            </w:r>
            <w:r>
              <w:rPr>
                <w:noProof/>
                <w:webHidden/>
              </w:rPr>
            </w:r>
            <w:r>
              <w:rPr>
                <w:noProof/>
                <w:webHidden/>
              </w:rPr>
              <w:fldChar w:fldCharType="separate"/>
            </w:r>
            <w:r>
              <w:rPr>
                <w:noProof/>
                <w:webHidden/>
              </w:rPr>
              <w:t>256</w:t>
            </w:r>
            <w:r>
              <w:rPr>
                <w:noProof/>
                <w:webHidden/>
              </w:rPr>
              <w:fldChar w:fldCharType="end"/>
            </w:r>
          </w:hyperlink>
        </w:p>
        <w:p w14:paraId="212B7A6D" w14:textId="43ADA530" w:rsidR="0011424E" w:rsidRDefault="0011424E">
          <w:pPr>
            <w:pStyle w:val="TOC3"/>
            <w:tabs>
              <w:tab w:val="right" w:leader="dot" w:pos="9514"/>
            </w:tabs>
            <w:rPr>
              <w:rFonts w:asciiTheme="minorHAnsi" w:eastAsiaTheme="minorEastAsia" w:hAnsiTheme="minorHAnsi" w:cstheme="minorBidi"/>
              <w:noProof/>
              <w:sz w:val="22"/>
              <w:szCs w:val="22"/>
              <w:lang w:eastAsia="en-GB"/>
            </w:rPr>
          </w:pPr>
          <w:hyperlink w:anchor="_Toc31702028" w:history="1">
            <w:r w:rsidRPr="00855085">
              <w:rPr>
                <w:rStyle w:val="Hyperlink"/>
                <w:noProof/>
              </w:rPr>
              <w:t>BoRs sampled from UoA 14</w:t>
            </w:r>
            <w:r>
              <w:rPr>
                <w:noProof/>
                <w:webHidden/>
              </w:rPr>
              <w:tab/>
            </w:r>
            <w:r>
              <w:rPr>
                <w:noProof/>
                <w:webHidden/>
              </w:rPr>
              <w:fldChar w:fldCharType="begin"/>
            </w:r>
            <w:r>
              <w:rPr>
                <w:noProof/>
                <w:webHidden/>
              </w:rPr>
              <w:instrText xml:space="preserve"> PAGEREF _Toc31702028 \h </w:instrText>
            </w:r>
            <w:r>
              <w:rPr>
                <w:noProof/>
                <w:webHidden/>
              </w:rPr>
            </w:r>
            <w:r>
              <w:rPr>
                <w:noProof/>
                <w:webHidden/>
              </w:rPr>
              <w:fldChar w:fldCharType="separate"/>
            </w:r>
            <w:r>
              <w:rPr>
                <w:noProof/>
                <w:webHidden/>
              </w:rPr>
              <w:t>260</w:t>
            </w:r>
            <w:r>
              <w:rPr>
                <w:noProof/>
                <w:webHidden/>
              </w:rPr>
              <w:fldChar w:fldCharType="end"/>
            </w:r>
          </w:hyperlink>
        </w:p>
        <w:p w14:paraId="1C046B09" w14:textId="30F74040" w:rsidR="0011424E" w:rsidRDefault="0011424E">
          <w:pPr>
            <w:pStyle w:val="TOC2"/>
            <w:tabs>
              <w:tab w:val="right" w:leader="dot" w:pos="9514"/>
            </w:tabs>
            <w:rPr>
              <w:rFonts w:asciiTheme="minorHAnsi" w:eastAsiaTheme="minorEastAsia" w:hAnsiTheme="minorHAnsi" w:cstheme="minorBidi"/>
              <w:noProof/>
              <w:sz w:val="22"/>
              <w:szCs w:val="22"/>
              <w:lang w:eastAsia="en-GB"/>
            </w:rPr>
          </w:pPr>
          <w:hyperlink w:anchor="_Toc31702029" w:history="1">
            <w:r w:rsidRPr="00855085">
              <w:rPr>
                <w:rStyle w:val="Hyperlink"/>
                <w:noProof/>
                <w:lang w:eastAsia="zh-TW"/>
              </w:rPr>
              <w:t>Appendix E. McNie, Parris and Sarewitz’s (2016) original typology</w:t>
            </w:r>
            <w:r>
              <w:rPr>
                <w:noProof/>
                <w:webHidden/>
              </w:rPr>
              <w:tab/>
            </w:r>
            <w:r>
              <w:rPr>
                <w:noProof/>
                <w:webHidden/>
              </w:rPr>
              <w:fldChar w:fldCharType="begin"/>
            </w:r>
            <w:r>
              <w:rPr>
                <w:noProof/>
                <w:webHidden/>
              </w:rPr>
              <w:instrText xml:space="preserve"> PAGEREF _Toc31702029 \h </w:instrText>
            </w:r>
            <w:r>
              <w:rPr>
                <w:noProof/>
                <w:webHidden/>
              </w:rPr>
            </w:r>
            <w:r>
              <w:rPr>
                <w:noProof/>
                <w:webHidden/>
              </w:rPr>
              <w:fldChar w:fldCharType="separate"/>
            </w:r>
            <w:r>
              <w:rPr>
                <w:noProof/>
                <w:webHidden/>
              </w:rPr>
              <w:t>264</w:t>
            </w:r>
            <w:r>
              <w:rPr>
                <w:noProof/>
                <w:webHidden/>
              </w:rPr>
              <w:fldChar w:fldCharType="end"/>
            </w:r>
          </w:hyperlink>
        </w:p>
        <w:p w14:paraId="32D97DF6" w14:textId="7259C638" w:rsidR="007239D9" w:rsidRDefault="00233012">
          <w:r w:rsidRPr="00943FCD">
            <w:rPr>
              <w:b/>
              <w:bCs/>
              <w:noProof/>
              <w:sz w:val="22"/>
              <w:szCs w:val="22"/>
            </w:rPr>
            <w:fldChar w:fldCharType="end"/>
          </w:r>
        </w:p>
      </w:sdtContent>
    </w:sdt>
    <w:p w14:paraId="0A37EE4A" w14:textId="77777777" w:rsidR="006973A0" w:rsidRDefault="006973A0">
      <w:pPr>
        <w:rPr>
          <w:rFonts w:asciiTheme="majorHAnsi" w:eastAsiaTheme="majorEastAsia" w:hAnsiTheme="majorHAnsi" w:cstheme="majorBidi"/>
          <w:color w:val="2F5496" w:themeColor="accent1" w:themeShade="BF"/>
          <w:sz w:val="32"/>
          <w:szCs w:val="32"/>
          <w:lang w:eastAsia="ko-KR"/>
        </w:rPr>
      </w:pPr>
      <w:r>
        <w:rPr>
          <w:lang w:eastAsia="ko-KR"/>
        </w:rPr>
        <w:br w:type="page"/>
      </w:r>
    </w:p>
    <w:p w14:paraId="7BC99526" w14:textId="6F25755D" w:rsidR="00A677CD" w:rsidRDefault="00A677CD" w:rsidP="00A677CD">
      <w:pPr>
        <w:pStyle w:val="Heading1"/>
        <w:rPr>
          <w:lang w:eastAsia="ko-KR"/>
        </w:rPr>
      </w:pPr>
      <w:bookmarkStart w:id="6" w:name="_Toc31701926"/>
      <w:r>
        <w:rPr>
          <w:lang w:eastAsia="ko-KR"/>
        </w:rPr>
        <w:lastRenderedPageBreak/>
        <w:t>List of Tables</w:t>
      </w:r>
      <w:bookmarkEnd w:id="6"/>
    </w:p>
    <w:p w14:paraId="344D0483" w14:textId="4B979A8C" w:rsidR="0011424E" w:rsidRDefault="00A677CD">
      <w:pPr>
        <w:pStyle w:val="TableofFigures"/>
        <w:tabs>
          <w:tab w:val="right" w:leader="dot" w:pos="9514"/>
        </w:tabs>
        <w:rPr>
          <w:rFonts w:asciiTheme="minorHAnsi" w:eastAsiaTheme="minorEastAsia" w:hAnsiTheme="minorHAnsi" w:cstheme="minorBidi"/>
          <w:noProof/>
          <w:sz w:val="22"/>
          <w:szCs w:val="22"/>
          <w:lang w:eastAsia="en-GB"/>
        </w:rPr>
      </w:pPr>
      <w:r>
        <w:rPr>
          <w:rFonts w:ascii="Calibri" w:eastAsia="Times New Roman" w:hAnsi="Calibri" w:cs="Calibri"/>
          <w:lang w:eastAsia="ko-KR"/>
        </w:rPr>
        <w:fldChar w:fldCharType="begin"/>
      </w:r>
      <w:r>
        <w:rPr>
          <w:rFonts w:ascii="Calibri" w:eastAsia="Times New Roman" w:hAnsi="Calibri" w:cs="Calibri"/>
          <w:lang w:eastAsia="ko-KR"/>
        </w:rPr>
        <w:instrText xml:space="preserve"> TOC \h \z \c "Table" </w:instrText>
      </w:r>
      <w:r>
        <w:rPr>
          <w:rFonts w:ascii="Calibri" w:eastAsia="Times New Roman" w:hAnsi="Calibri" w:cs="Calibri"/>
          <w:lang w:eastAsia="ko-KR"/>
        </w:rPr>
        <w:fldChar w:fldCharType="separate"/>
      </w:r>
      <w:hyperlink w:anchor="_Toc31702030" w:history="1">
        <w:r w:rsidR="0011424E" w:rsidRPr="00E360DB">
          <w:rPr>
            <w:rStyle w:val="Hyperlink"/>
            <w:noProof/>
          </w:rPr>
          <w:t>Table 1. Example of REF2014 submission result (all figures are percentages)</w:t>
        </w:r>
        <w:r w:rsidR="0011424E">
          <w:rPr>
            <w:noProof/>
            <w:webHidden/>
          </w:rPr>
          <w:tab/>
        </w:r>
        <w:r w:rsidR="0011424E">
          <w:rPr>
            <w:noProof/>
            <w:webHidden/>
          </w:rPr>
          <w:fldChar w:fldCharType="begin"/>
        </w:r>
        <w:r w:rsidR="0011424E">
          <w:rPr>
            <w:noProof/>
            <w:webHidden/>
          </w:rPr>
          <w:instrText xml:space="preserve"> PAGEREF _Toc31702030 \h </w:instrText>
        </w:r>
        <w:r w:rsidR="0011424E">
          <w:rPr>
            <w:noProof/>
            <w:webHidden/>
          </w:rPr>
        </w:r>
        <w:r w:rsidR="0011424E">
          <w:rPr>
            <w:noProof/>
            <w:webHidden/>
          </w:rPr>
          <w:fldChar w:fldCharType="separate"/>
        </w:r>
        <w:r w:rsidR="0011424E">
          <w:rPr>
            <w:noProof/>
            <w:webHidden/>
          </w:rPr>
          <w:t>20</w:t>
        </w:r>
        <w:r w:rsidR="0011424E">
          <w:rPr>
            <w:noProof/>
            <w:webHidden/>
          </w:rPr>
          <w:fldChar w:fldCharType="end"/>
        </w:r>
      </w:hyperlink>
    </w:p>
    <w:p w14:paraId="09B2DFD9" w14:textId="6074F683"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31" w:history="1">
        <w:r w:rsidRPr="00E360DB">
          <w:rPr>
            <w:rStyle w:val="Hyperlink"/>
            <w:noProof/>
          </w:rPr>
          <w:t>Table 2. ‘Low’ and ‘high’ value descriptors adapted from McNie et al.’s (2016) typology</w:t>
        </w:r>
        <w:r>
          <w:rPr>
            <w:noProof/>
            <w:webHidden/>
          </w:rPr>
          <w:tab/>
        </w:r>
        <w:r>
          <w:rPr>
            <w:noProof/>
            <w:webHidden/>
          </w:rPr>
          <w:fldChar w:fldCharType="begin"/>
        </w:r>
        <w:r>
          <w:rPr>
            <w:noProof/>
            <w:webHidden/>
          </w:rPr>
          <w:instrText xml:space="preserve"> PAGEREF _Toc31702031 \h </w:instrText>
        </w:r>
        <w:r>
          <w:rPr>
            <w:noProof/>
            <w:webHidden/>
          </w:rPr>
        </w:r>
        <w:r>
          <w:rPr>
            <w:noProof/>
            <w:webHidden/>
          </w:rPr>
          <w:fldChar w:fldCharType="separate"/>
        </w:r>
        <w:r>
          <w:rPr>
            <w:noProof/>
            <w:webHidden/>
          </w:rPr>
          <w:t>61</w:t>
        </w:r>
        <w:r>
          <w:rPr>
            <w:noProof/>
            <w:webHidden/>
          </w:rPr>
          <w:fldChar w:fldCharType="end"/>
        </w:r>
      </w:hyperlink>
    </w:p>
    <w:p w14:paraId="2E423B89" w14:textId="0A82A538"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32" w:history="1">
        <w:r w:rsidRPr="00E360DB">
          <w:rPr>
            <w:rStyle w:val="Hyperlink"/>
            <w:noProof/>
          </w:rPr>
          <w:t>Table 3. Characteristics of sampled departments</w:t>
        </w:r>
        <w:r>
          <w:rPr>
            <w:noProof/>
            <w:webHidden/>
          </w:rPr>
          <w:tab/>
        </w:r>
        <w:r>
          <w:rPr>
            <w:noProof/>
            <w:webHidden/>
          </w:rPr>
          <w:fldChar w:fldCharType="begin"/>
        </w:r>
        <w:r>
          <w:rPr>
            <w:noProof/>
            <w:webHidden/>
          </w:rPr>
          <w:instrText xml:space="preserve"> PAGEREF _Toc31702032 \h </w:instrText>
        </w:r>
        <w:r>
          <w:rPr>
            <w:noProof/>
            <w:webHidden/>
          </w:rPr>
        </w:r>
        <w:r>
          <w:rPr>
            <w:noProof/>
            <w:webHidden/>
          </w:rPr>
          <w:fldChar w:fldCharType="separate"/>
        </w:r>
        <w:r>
          <w:rPr>
            <w:noProof/>
            <w:webHidden/>
          </w:rPr>
          <w:t>80</w:t>
        </w:r>
        <w:r>
          <w:rPr>
            <w:noProof/>
            <w:webHidden/>
          </w:rPr>
          <w:fldChar w:fldCharType="end"/>
        </w:r>
      </w:hyperlink>
    </w:p>
    <w:p w14:paraId="3DF2B6FC" w14:textId="4E861C50"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33" w:history="1">
        <w:r w:rsidRPr="00E360DB">
          <w:rPr>
            <w:rStyle w:val="Hyperlink"/>
            <w:noProof/>
          </w:rPr>
          <w:t>Table 4. Main forms and sub-forms of boundary transaction</w:t>
        </w:r>
        <w:r>
          <w:rPr>
            <w:noProof/>
            <w:webHidden/>
          </w:rPr>
          <w:tab/>
        </w:r>
        <w:r>
          <w:rPr>
            <w:noProof/>
            <w:webHidden/>
          </w:rPr>
          <w:fldChar w:fldCharType="begin"/>
        </w:r>
        <w:r>
          <w:rPr>
            <w:noProof/>
            <w:webHidden/>
          </w:rPr>
          <w:instrText xml:space="preserve"> PAGEREF _Toc31702033 \h </w:instrText>
        </w:r>
        <w:r>
          <w:rPr>
            <w:noProof/>
            <w:webHidden/>
          </w:rPr>
        </w:r>
        <w:r>
          <w:rPr>
            <w:noProof/>
            <w:webHidden/>
          </w:rPr>
          <w:fldChar w:fldCharType="separate"/>
        </w:r>
        <w:r>
          <w:rPr>
            <w:noProof/>
            <w:webHidden/>
          </w:rPr>
          <w:t>89</w:t>
        </w:r>
        <w:r>
          <w:rPr>
            <w:noProof/>
            <w:webHidden/>
          </w:rPr>
          <w:fldChar w:fldCharType="end"/>
        </w:r>
      </w:hyperlink>
    </w:p>
    <w:p w14:paraId="2362AE93" w14:textId="0F3069F0"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34" w:history="1">
        <w:r w:rsidRPr="00E360DB">
          <w:rPr>
            <w:rStyle w:val="Hyperlink"/>
            <w:noProof/>
          </w:rPr>
          <w:t>Table 5. Average values for the fifteen attributes</w:t>
        </w:r>
        <w:r>
          <w:rPr>
            <w:noProof/>
            <w:webHidden/>
          </w:rPr>
          <w:tab/>
        </w:r>
        <w:r>
          <w:rPr>
            <w:noProof/>
            <w:webHidden/>
          </w:rPr>
          <w:fldChar w:fldCharType="begin"/>
        </w:r>
        <w:r>
          <w:rPr>
            <w:noProof/>
            <w:webHidden/>
          </w:rPr>
          <w:instrText xml:space="preserve"> PAGEREF _Toc31702034 \h </w:instrText>
        </w:r>
        <w:r>
          <w:rPr>
            <w:noProof/>
            <w:webHidden/>
          </w:rPr>
        </w:r>
        <w:r>
          <w:rPr>
            <w:noProof/>
            <w:webHidden/>
          </w:rPr>
          <w:fldChar w:fldCharType="separate"/>
        </w:r>
        <w:r>
          <w:rPr>
            <w:noProof/>
            <w:webHidden/>
          </w:rPr>
          <w:t>101</w:t>
        </w:r>
        <w:r>
          <w:rPr>
            <w:noProof/>
            <w:webHidden/>
          </w:rPr>
          <w:fldChar w:fldCharType="end"/>
        </w:r>
      </w:hyperlink>
    </w:p>
    <w:p w14:paraId="1BD00CC1" w14:textId="157E8CFF"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35" w:history="1">
        <w:r w:rsidRPr="00E360DB">
          <w:rPr>
            <w:rStyle w:val="Hyperlink"/>
            <w:noProof/>
          </w:rPr>
          <w:t>Table 6. Typology values (averages) by contextual dimension (institutional and epistemic context) and research practice dimensions ('social context', 'knowledge content' and 'intermediary' attributes/activities)</w:t>
        </w:r>
        <w:r>
          <w:rPr>
            <w:noProof/>
            <w:webHidden/>
          </w:rPr>
          <w:tab/>
        </w:r>
        <w:r>
          <w:rPr>
            <w:noProof/>
            <w:webHidden/>
          </w:rPr>
          <w:fldChar w:fldCharType="begin"/>
        </w:r>
        <w:r>
          <w:rPr>
            <w:noProof/>
            <w:webHidden/>
          </w:rPr>
          <w:instrText xml:space="preserve"> PAGEREF _Toc31702035 \h </w:instrText>
        </w:r>
        <w:r>
          <w:rPr>
            <w:noProof/>
            <w:webHidden/>
          </w:rPr>
        </w:r>
        <w:r>
          <w:rPr>
            <w:noProof/>
            <w:webHidden/>
          </w:rPr>
          <w:fldChar w:fldCharType="separate"/>
        </w:r>
        <w:r>
          <w:rPr>
            <w:noProof/>
            <w:webHidden/>
          </w:rPr>
          <w:t>104</w:t>
        </w:r>
        <w:r>
          <w:rPr>
            <w:noProof/>
            <w:webHidden/>
          </w:rPr>
          <w:fldChar w:fldCharType="end"/>
        </w:r>
      </w:hyperlink>
    </w:p>
    <w:p w14:paraId="1786094E" w14:textId="1097D886"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36" w:history="1">
        <w:r w:rsidRPr="00E360DB">
          <w:rPr>
            <w:rStyle w:val="Hyperlink"/>
            <w:noProof/>
          </w:rPr>
          <w:t>Table 7. No. of BoRs exhibiting each form of boundary transaction</w:t>
        </w:r>
        <w:r>
          <w:rPr>
            <w:noProof/>
            <w:webHidden/>
          </w:rPr>
          <w:tab/>
        </w:r>
        <w:r>
          <w:rPr>
            <w:noProof/>
            <w:webHidden/>
          </w:rPr>
          <w:fldChar w:fldCharType="begin"/>
        </w:r>
        <w:r>
          <w:rPr>
            <w:noProof/>
            <w:webHidden/>
          </w:rPr>
          <w:instrText xml:space="preserve"> PAGEREF _Toc31702036 \h </w:instrText>
        </w:r>
        <w:r>
          <w:rPr>
            <w:noProof/>
            <w:webHidden/>
          </w:rPr>
        </w:r>
        <w:r>
          <w:rPr>
            <w:noProof/>
            <w:webHidden/>
          </w:rPr>
          <w:fldChar w:fldCharType="separate"/>
        </w:r>
        <w:r>
          <w:rPr>
            <w:noProof/>
            <w:webHidden/>
          </w:rPr>
          <w:t>106</w:t>
        </w:r>
        <w:r>
          <w:rPr>
            <w:noProof/>
            <w:webHidden/>
          </w:rPr>
          <w:fldChar w:fldCharType="end"/>
        </w:r>
      </w:hyperlink>
    </w:p>
    <w:p w14:paraId="0C1FA9DD" w14:textId="2FB97A54"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37" w:history="1">
        <w:r w:rsidRPr="00E360DB">
          <w:rPr>
            <w:rStyle w:val="Hyperlink"/>
            <w:noProof/>
          </w:rPr>
          <w:t>Table 8. Average typology values by 'Phase'</w:t>
        </w:r>
        <w:r>
          <w:rPr>
            <w:noProof/>
            <w:webHidden/>
          </w:rPr>
          <w:tab/>
        </w:r>
        <w:r>
          <w:rPr>
            <w:noProof/>
            <w:webHidden/>
          </w:rPr>
          <w:fldChar w:fldCharType="begin"/>
        </w:r>
        <w:r>
          <w:rPr>
            <w:noProof/>
            <w:webHidden/>
          </w:rPr>
          <w:instrText xml:space="preserve"> PAGEREF _Toc31702037 \h </w:instrText>
        </w:r>
        <w:r>
          <w:rPr>
            <w:noProof/>
            <w:webHidden/>
          </w:rPr>
        </w:r>
        <w:r>
          <w:rPr>
            <w:noProof/>
            <w:webHidden/>
          </w:rPr>
          <w:fldChar w:fldCharType="separate"/>
        </w:r>
        <w:r>
          <w:rPr>
            <w:noProof/>
            <w:webHidden/>
          </w:rPr>
          <w:t>107</w:t>
        </w:r>
        <w:r>
          <w:rPr>
            <w:noProof/>
            <w:webHidden/>
          </w:rPr>
          <w:fldChar w:fldCharType="end"/>
        </w:r>
      </w:hyperlink>
    </w:p>
    <w:p w14:paraId="35C4436D" w14:textId="13C48FF8"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38" w:history="1">
        <w:r w:rsidRPr="00E360DB">
          <w:rPr>
            <w:rStyle w:val="Hyperlink"/>
            <w:noProof/>
          </w:rPr>
          <w:t>Table 9. BoR overall typology values</w:t>
        </w:r>
        <w:r>
          <w:rPr>
            <w:noProof/>
            <w:webHidden/>
          </w:rPr>
          <w:tab/>
        </w:r>
        <w:r>
          <w:rPr>
            <w:noProof/>
            <w:webHidden/>
          </w:rPr>
          <w:fldChar w:fldCharType="begin"/>
        </w:r>
        <w:r>
          <w:rPr>
            <w:noProof/>
            <w:webHidden/>
          </w:rPr>
          <w:instrText xml:space="preserve"> PAGEREF _Toc31702038 \h </w:instrText>
        </w:r>
        <w:r>
          <w:rPr>
            <w:noProof/>
            <w:webHidden/>
          </w:rPr>
        </w:r>
        <w:r>
          <w:rPr>
            <w:noProof/>
            <w:webHidden/>
          </w:rPr>
          <w:fldChar w:fldCharType="separate"/>
        </w:r>
        <w:r>
          <w:rPr>
            <w:noProof/>
            <w:webHidden/>
          </w:rPr>
          <w:t>110</w:t>
        </w:r>
        <w:r>
          <w:rPr>
            <w:noProof/>
            <w:webHidden/>
          </w:rPr>
          <w:fldChar w:fldCharType="end"/>
        </w:r>
      </w:hyperlink>
    </w:p>
    <w:p w14:paraId="455B72A8" w14:textId="5BEDD2C3"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39" w:history="1">
        <w:r w:rsidRPr="00E360DB">
          <w:rPr>
            <w:rStyle w:val="Hyperlink"/>
            <w:noProof/>
          </w:rPr>
          <w:t>Table 10. BoR11.1 typology values by 'research dimension' (with comparator values)</w:t>
        </w:r>
        <w:r>
          <w:rPr>
            <w:noProof/>
            <w:webHidden/>
          </w:rPr>
          <w:tab/>
        </w:r>
        <w:r>
          <w:rPr>
            <w:noProof/>
            <w:webHidden/>
          </w:rPr>
          <w:fldChar w:fldCharType="begin"/>
        </w:r>
        <w:r>
          <w:rPr>
            <w:noProof/>
            <w:webHidden/>
          </w:rPr>
          <w:instrText xml:space="preserve"> PAGEREF _Toc31702039 \h </w:instrText>
        </w:r>
        <w:r>
          <w:rPr>
            <w:noProof/>
            <w:webHidden/>
          </w:rPr>
        </w:r>
        <w:r>
          <w:rPr>
            <w:noProof/>
            <w:webHidden/>
          </w:rPr>
          <w:fldChar w:fldCharType="separate"/>
        </w:r>
        <w:r>
          <w:rPr>
            <w:noProof/>
            <w:webHidden/>
          </w:rPr>
          <w:t>111</w:t>
        </w:r>
        <w:r>
          <w:rPr>
            <w:noProof/>
            <w:webHidden/>
          </w:rPr>
          <w:fldChar w:fldCharType="end"/>
        </w:r>
      </w:hyperlink>
    </w:p>
    <w:p w14:paraId="604A6A80" w14:textId="14A19150"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0" w:history="1">
        <w:r w:rsidRPr="00E360DB">
          <w:rPr>
            <w:rStyle w:val="Hyperlink"/>
            <w:noProof/>
          </w:rPr>
          <w:t>Table 11. BoR11.1 'social context' values - Phase 1</w:t>
        </w:r>
        <w:r>
          <w:rPr>
            <w:noProof/>
            <w:webHidden/>
          </w:rPr>
          <w:tab/>
        </w:r>
        <w:r>
          <w:rPr>
            <w:noProof/>
            <w:webHidden/>
          </w:rPr>
          <w:fldChar w:fldCharType="begin"/>
        </w:r>
        <w:r>
          <w:rPr>
            <w:noProof/>
            <w:webHidden/>
          </w:rPr>
          <w:instrText xml:space="preserve"> PAGEREF _Toc31702040 \h </w:instrText>
        </w:r>
        <w:r>
          <w:rPr>
            <w:noProof/>
            <w:webHidden/>
          </w:rPr>
        </w:r>
        <w:r>
          <w:rPr>
            <w:noProof/>
            <w:webHidden/>
          </w:rPr>
          <w:fldChar w:fldCharType="separate"/>
        </w:r>
        <w:r>
          <w:rPr>
            <w:noProof/>
            <w:webHidden/>
          </w:rPr>
          <w:t>112</w:t>
        </w:r>
        <w:r>
          <w:rPr>
            <w:noProof/>
            <w:webHidden/>
          </w:rPr>
          <w:fldChar w:fldCharType="end"/>
        </w:r>
      </w:hyperlink>
    </w:p>
    <w:p w14:paraId="21E497AE" w14:textId="0A1D3AD6"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1" w:history="1">
        <w:r w:rsidRPr="00E360DB">
          <w:rPr>
            <w:rStyle w:val="Hyperlink"/>
            <w:noProof/>
          </w:rPr>
          <w:t>Table 12. BoR11.1 'social context' values – Phases 1 &amp; 2</w:t>
        </w:r>
        <w:r>
          <w:rPr>
            <w:noProof/>
            <w:webHidden/>
          </w:rPr>
          <w:tab/>
        </w:r>
        <w:r>
          <w:rPr>
            <w:noProof/>
            <w:webHidden/>
          </w:rPr>
          <w:fldChar w:fldCharType="begin"/>
        </w:r>
        <w:r>
          <w:rPr>
            <w:noProof/>
            <w:webHidden/>
          </w:rPr>
          <w:instrText xml:space="preserve"> PAGEREF _Toc31702041 \h </w:instrText>
        </w:r>
        <w:r>
          <w:rPr>
            <w:noProof/>
            <w:webHidden/>
          </w:rPr>
        </w:r>
        <w:r>
          <w:rPr>
            <w:noProof/>
            <w:webHidden/>
          </w:rPr>
          <w:fldChar w:fldCharType="separate"/>
        </w:r>
        <w:r>
          <w:rPr>
            <w:noProof/>
            <w:webHidden/>
          </w:rPr>
          <w:t>113</w:t>
        </w:r>
        <w:r>
          <w:rPr>
            <w:noProof/>
            <w:webHidden/>
          </w:rPr>
          <w:fldChar w:fldCharType="end"/>
        </w:r>
      </w:hyperlink>
    </w:p>
    <w:p w14:paraId="599BA642" w14:textId="07E23AE6"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2" w:history="1">
        <w:r w:rsidRPr="00E360DB">
          <w:rPr>
            <w:rStyle w:val="Hyperlink"/>
            <w:noProof/>
          </w:rPr>
          <w:t>Table 13. BoR11.1 'social context' values – Phases 1-3</w:t>
        </w:r>
        <w:r>
          <w:rPr>
            <w:noProof/>
            <w:webHidden/>
          </w:rPr>
          <w:tab/>
        </w:r>
        <w:r>
          <w:rPr>
            <w:noProof/>
            <w:webHidden/>
          </w:rPr>
          <w:fldChar w:fldCharType="begin"/>
        </w:r>
        <w:r>
          <w:rPr>
            <w:noProof/>
            <w:webHidden/>
          </w:rPr>
          <w:instrText xml:space="preserve"> PAGEREF _Toc31702042 \h </w:instrText>
        </w:r>
        <w:r>
          <w:rPr>
            <w:noProof/>
            <w:webHidden/>
          </w:rPr>
        </w:r>
        <w:r>
          <w:rPr>
            <w:noProof/>
            <w:webHidden/>
          </w:rPr>
          <w:fldChar w:fldCharType="separate"/>
        </w:r>
        <w:r>
          <w:rPr>
            <w:noProof/>
            <w:webHidden/>
          </w:rPr>
          <w:t>113</w:t>
        </w:r>
        <w:r>
          <w:rPr>
            <w:noProof/>
            <w:webHidden/>
          </w:rPr>
          <w:fldChar w:fldCharType="end"/>
        </w:r>
      </w:hyperlink>
    </w:p>
    <w:p w14:paraId="434606B8" w14:textId="788719B1"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3" w:history="1">
        <w:r w:rsidRPr="00E360DB">
          <w:rPr>
            <w:rStyle w:val="Hyperlink"/>
            <w:noProof/>
          </w:rPr>
          <w:t>Table 14. BoR11.1 'knowledge content' values - Phase 1</w:t>
        </w:r>
        <w:r>
          <w:rPr>
            <w:noProof/>
            <w:webHidden/>
          </w:rPr>
          <w:tab/>
        </w:r>
        <w:r>
          <w:rPr>
            <w:noProof/>
            <w:webHidden/>
          </w:rPr>
          <w:fldChar w:fldCharType="begin"/>
        </w:r>
        <w:r>
          <w:rPr>
            <w:noProof/>
            <w:webHidden/>
          </w:rPr>
          <w:instrText xml:space="preserve"> PAGEREF _Toc31702043 \h </w:instrText>
        </w:r>
        <w:r>
          <w:rPr>
            <w:noProof/>
            <w:webHidden/>
          </w:rPr>
        </w:r>
        <w:r>
          <w:rPr>
            <w:noProof/>
            <w:webHidden/>
          </w:rPr>
          <w:fldChar w:fldCharType="separate"/>
        </w:r>
        <w:r>
          <w:rPr>
            <w:noProof/>
            <w:webHidden/>
          </w:rPr>
          <w:t>114</w:t>
        </w:r>
        <w:r>
          <w:rPr>
            <w:noProof/>
            <w:webHidden/>
          </w:rPr>
          <w:fldChar w:fldCharType="end"/>
        </w:r>
      </w:hyperlink>
    </w:p>
    <w:p w14:paraId="707CAB64" w14:textId="56DD2031"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4" w:history="1">
        <w:r w:rsidRPr="00E360DB">
          <w:rPr>
            <w:rStyle w:val="Hyperlink"/>
            <w:noProof/>
          </w:rPr>
          <w:t>Table 15. BoR11.1 'knowledge content' values – Phases 1 &amp; 2</w:t>
        </w:r>
        <w:r>
          <w:rPr>
            <w:noProof/>
            <w:webHidden/>
          </w:rPr>
          <w:tab/>
        </w:r>
        <w:r>
          <w:rPr>
            <w:noProof/>
            <w:webHidden/>
          </w:rPr>
          <w:fldChar w:fldCharType="begin"/>
        </w:r>
        <w:r>
          <w:rPr>
            <w:noProof/>
            <w:webHidden/>
          </w:rPr>
          <w:instrText xml:space="preserve"> PAGEREF _Toc31702044 \h </w:instrText>
        </w:r>
        <w:r>
          <w:rPr>
            <w:noProof/>
            <w:webHidden/>
          </w:rPr>
        </w:r>
        <w:r>
          <w:rPr>
            <w:noProof/>
            <w:webHidden/>
          </w:rPr>
          <w:fldChar w:fldCharType="separate"/>
        </w:r>
        <w:r>
          <w:rPr>
            <w:noProof/>
            <w:webHidden/>
          </w:rPr>
          <w:t>114</w:t>
        </w:r>
        <w:r>
          <w:rPr>
            <w:noProof/>
            <w:webHidden/>
          </w:rPr>
          <w:fldChar w:fldCharType="end"/>
        </w:r>
      </w:hyperlink>
    </w:p>
    <w:p w14:paraId="79C80067" w14:textId="06CE85BD"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5" w:history="1">
        <w:r w:rsidRPr="00E360DB">
          <w:rPr>
            <w:rStyle w:val="Hyperlink"/>
            <w:noProof/>
          </w:rPr>
          <w:t>Table 16. BoR11.1 'knowledge content' values – Phases 1-3</w:t>
        </w:r>
        <w:r>
          <w:rPr>
            <w:noProof/>
            <w:webHidden/>
          </w:rPr>
          <w:tab/>
        </w:r>
        <w:r>
          <w:rPr>
            <w:noProof/>
            <w:webHidden/>
          </w:rPr>
          <w:fldChar w:fldCharType="begin"/>
        </w:r>
        <w:r>
          <w:rPr>
            <w:noProof/>
            <w:webHidden/>
          </w:rPr>
          <w:instrText xml:space="preserve"> PAGEREF _Toc31702045 \h </w:instrText>
        </w:r>
        <w:r>
          <w:rPr>
            <w:noProof/>
            <w:webHidden/>
          </w:rPr>
        </w:r>
        <w:r>
          <w:rPr>
            <w:noProof/>
            <w:webHidden/>
          </w:rPr>
          <w:fldChar w:fldCharType="separate"/>
        </w:r>
        <w:r>
          <w:rPr>
            <w:noProof/>
            <w:webHidden/>
          </w:rPr>
          <w:t>115</w:t>
        </w:r>
        <w:r>
          <w:rPr>
            <w:noProof/>
            <w:webHidden/>
          </w:rPr>
          <w:fldChar w:fldCharType="end"/>
        </w:r>
      </w:hyperlink>
    </w:p>
    <w:p w14:paraId="08C470F9" w14:textId="617AE0C2"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6" w:history="1">
        <w:r w:rsidRPr="00E360DB">
          <w:rPr>
            <w:rStyle w:val="Hyperlink"/>
            <w:noProof/>
          </w:rPr>
          <w:t>Table 17. BoR11.1 'intermediary' values - Phase 1</w:t>
        </w:r>
        <w:r>
          <w:rPr>
            <w:noProof/>
            <w:webHidden/>
          </w:rPr>
          <w:tab/>
        </w:r>
        <w:r>
          <w:rPr>
            <w:noProof/>
            <w:webHidden/>
          </w:rPr>
          <w:fldChar w:fldCharType="begin"/>
        </w:r>
        <w:r>
          <w:rPr>
            <w:noProof/>
            <w:webHidden/>
          </w:rPr>
          <w:instrText xml:space="preserve"> PAGEREF _Toc31702046 \h </w:instrText>
        </w:r>
        <w:r>
          <w:rPr>
            <w:noProof/>
            <w:webHidden/>
          </w:rPr>
        </w:r>
        <w:r>
          <w:rPr>
            <w:noProof/>
            <w:webHidden/>
          </w:rPr>
          <w:fldChar w:fldCharType="separate"/>
        </w:r>
        <w:r>
          <w:rPr>
            <w:noProof/>
            <w:webHidden/>
          </w:rPr>
          <w:t>116</w:t>
        </w:r>
        <w:r>
          <w:rPr>
            <w:noProof/>
            <w:webHidden/>
          </w:rPr>
          <w:fldChar w:fldCharType="end"/>
        </w:r>
      </w:hyperlink>
    </w:p>
    <w:p w14:paraId="732EB62E" w14:textId="793F07D9"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7" w:history="1">
        <w:r w:rsidRPr="00E360DB">
          <w:rPr>
            <w:rStyle w:val="Hyperlink"/>
            <w:noProof/>
          </w:rPr>
          <w:t>Table 18. BoR11.1 'intermediary' values – Phases 1 &amp; 2</w:t>
        </w:r>
        <w:r>
          <w:rPr>
            <w:noProof/>
            <w:webHidden/>
          </w:rPr>
          <w:tab/>
        </w:r>
        <w:r>
          <w:rPr>
            <w:noProof/>
            <w:webHidden/>
          </w:rPr>
          <w:fldChar w:fldCharType="begin"/>
        </w:r>
        <w:r>
          <w:rPr>
            <w:noProof/>
            <w:webHidden/>
          </w:rPr>
          <w:instrText xml:space="preserve"> PAGEREF _Toc31702047 \h </w:instrText>
        </w:r>
        <w:r>
          <w:rPr>
            <w:noProof/>
            <w:webHidden/>
          </w:rPr>
        </w:r>
        <w:r>
          <w:rPr>
            <w:noProof/>
            <w:webHidden/>
          </w:rPr>
          <w:fldChar w:fldCharType="separate"/>
        </w:r>
        <w:r>
          <w:rPr>
            <w:noProof/>
            <w:webHidden/>
          </w:rPr>
          <w:t>117</w:t>
        </w:r>
        <w:r>
          <w:rPr>
            <w:noProof/>
            <w:webHidden/>
          </w:rPr>
          <w:fldChar w:fldCharType="end"/>
        </w:r>
      </w:hyperlink>
    </w:p>
    <w:p w14:paraId="620FE59D" w14:textId="6F59EC26"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8" w:history="1">
        <w:r w:rsidRPr="00E360DB">
          <w:rPr>
            <w:rStyle w:val="Hyperlink"/>
            <w:noProof/>
          </w:rPr>
          <w:t>Table 19. BoR11.1 'intermediary' values – Phases 1-3</w:t>
        </w:r>
        <w:r>
          <w:rPr>
            <w:noProof/>
            <w:webHidden/>
          </w:rPr>
          <w:tab/>
        </w:r>
        <w:r>
          <w:rPr>
            <w:noProof/>
            <w:webHidden/>
          </w:rPr>
          <w:fldChar w:fldCharType="begin"/>
        </w:r>
        <w:r>
          <w:rPr>
            <w:noProof/>
            <w:webHidden/>
          </w:rPr>
          <w:instrText xml:space="preserve"> PAGEREF _Toc31702048 \h </w:instrText>
        </w:r>
        <w:r>
          <w:rPr>
            <w:noProof/>
            <w:webHidden/>
          </w:rPr>
        </w:r>
        <w:r>
          <w:rPr>
            <w:noProof/>
            <w:webHidden/>
          </w:rPr>
          <w:fldChar w:fldCharType="separate"/>
        </w:r>
        <w:r>
          <w:rPr>
            <w:noProof/>
            <w:webHidden/>
          </w:rPr>
          <w:t>118</w:t>
        </w:r>
        <w:r>
          <w:rPr>
            <w:noProof/>
            <w:webHidden/>
          </w:rPr>
          <w:fldChar w:fldCharType="end"/>
        </w:r>
      </w:hyperlink>
    </w:p>
    <w:p w14:paraId="16E8AF40" w14:textId="2B4B3B3B"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49" w:history="1">
        <w:r w:rsidRPr="00E360DB">
          <w:rPr>
            <w:rStyle w:val="Hyperlink"/>
            <w:noProof/>
          </w:rPr>
          <w:t>Table 20. BoR5 typology values by 'research dimension' (with comparator values)</w:t>
        </w:r>
        <w:r>
          <w:rPr>
            <w:noProof/>
            <w:webHidden/>
          </w:rPr>
          <w:tab/>
        </w:r>
        <w:r>
          <w:rPr>
            <w:noProof/>
            <w:webHidden/>
          </w:rPr>
          <w:fldChar w:fldCharType="begin"/>
        </w:r>
        <w:r>
          <w:rPr>
            <w:noProof/>
            <w:webHidden/>
          </w:rPr>
          <w:instrText xml:space="preserve"> PAGEREF _Toc31702049 \h </w:instrText>
        </w:r>
        <w:r>
          <w:rPr>
            <w:noProof/>
            <w:webHidden/>
          </w:rPr>
        </w:r>
        <w:r>
          <w:rPr>
            <w:noProof/>
            <w:webHidden/>
          </w:rPr>
          <w:fldChar w:fldCharType="separate"/>
        </w:r>
        <w:r>
          <w:rPr>
            <w:noProof/>
            <w:webHidden/>
          </w:rPr>
          <w:t>120</w:t>
        </w:r>
        <w:r>
          <w:rPr>
            <w:noProof/>
            <w:webHidden/>
          </w:rPr>
          <w:fldChar w:fldCharType="end"/>
        </w:r>
      </w:hyperlink>
    </w:p>
    <w:p w14:paraId="7797DD59" w14:textId="67EE356A"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0" w:history="1">
        <w:r w:rsidRPr="00E360DB">
          <w:rPr>
            <w:rStyle w:val="Hyperlink"/>
            <w:noProof/>
          </w:rPr>
          <w:t>Table 21. BoR5 'social context' values - Phase 1</w:t>
        </w:r>
        <w:r>
          <w:rPr>
            <w:noProof/>
            <w:webHidden/>
          </w:rPr>
          <w:tab/>
        </w:r>
        <w:r>
          <w:rPr>
            <w:noProof/>
            <w:webHidden/>
          </w:rPr>
          <w:fldChar w:fldCharType="begin"/>
        </w:r>
        <w:r>
          <w:rPr>
            <w:noProof/>
            <w:webHidden/>
          </w:rPr>
          <w:instrText xml:space="preserve"> PAGEREF _Toc31702050 \h </w:instrText>
        </w:r>
        <w:r>
          <w:rPr>
            <w:noProof/>
            <w:webHidden/>
          </w:rPr>
        </w:r>
        <w:r>
          <w:rPr>
            <w:noProof/>
            <w:webHidden/>
          </w:rPr>
          <w:fldChar w:fldCharType="separate"/>
        </w:r>
        <w:r>
          <w:rPr>
            <w:noProof/>
            <w:webHidden/>
          </w:rPr>
          <w:t>121</w:t>
        </w:r>
        <w:r>
          <w:rPr>
            <w:noProof/>
            <w:webHidden/>
          </w:rPr>
          <w:fldChar w:fldCharType="end"/>
        </w:r>
      </w:hyperlink>
    </w:p>
    <w:p w14:paraId="18139AE4" w14:textId="6C764658"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1" w:history="1">
        <w:r w:rsidRPr="00E360DB">
          <w:rPr>
            <w:rStyle w:val="Hyperlink"/>
            <w:noProof/>
          </w:rPr>
          <w:t>Table 22. BoR5 'social context' values – Phases 1 &amp; 2</w:t>
        </w:r>
        <w:r>
          <w:rPr>
            <w:noProof/>
            <w:webHidden/>
          </w:rPr>
          <w:tab/>
        </w:r>
        <w:r>
          <w:rPr>
            <w:noProof/>
            <w:webHidden/>
          </w:rPr>
          <w:fldChar w:fldCharType="begin"/>
        </w:r>
        <w:r>
          <w:rPr>
            <w:noProof/>
            <w:webHidden/>
          </w:rPr>
          <w:instrText xml:space="preserve"> PAGEREF _Toc31702051 \h </w:instrText>
        </w:r>
        <w:r>
          <w:rPr>
            <w:noProof/>
            <w:webHidden/>
          </w:rPr>
        </w:r>
        <w:r>
          <w:rPr>
            <w:noProof/>
            <w:webHidden/>
          </w:rPr>
          <w:fldChar w:fldCharType="separate"/>
        </w:r>
        <w:r>
          <w:rPr>
            <w:noProof/>
            <w:webHidden/>
          </w:rPr>
          <w:t>122</w:t>
        </w:r>
        <w:r>
          <w:rPr>
            <w:noProof/>
            <w:webHidden/>
          </w:rPr>
          <w:fldChar w:fldCharType="end"/>
        </w:r>
      </w:hyperlink>
    </w:p>
    <w:p w14:paraId="4329E489" w14:textId="5CC8D60A"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2" w:history="1">
        <w:r w:rsidRPr="00E360DB">
          <w:rPr>
            <w:rStyle w:val="Hyperlink"/>
            <w:noProof/>
          </w:rPr>
          <w:t>Table 23. BoR5 'social context' values – Phases 1-3</w:t>
        </w:r>
        <w:r>
          <w:rPr>
            <w:noProof/>
            <w:webHidden/>
          </w:rPr>
          <w:tab/>
        </w:r>
        <w:r>
          <w:rPr>
            <w:noProof/>
            <w:webHidden/>
          </w:rPr>
          <w:fldChar w:fldCharType="begin"/>
        </w:r>
        <w:r>
          <w:rPr>
            <w:noProof/>
            <w:webHidden/>
          </w:rPr>
          <w:instrText xml:space="preserve"> PAGEREF _Toc31702052 \h </w:instrText>
        </w:r>
        <w:r>
          <w:rPr>
            <w:noProof/>
            <w:webHidden/>
          </w:rPr>
        </w:r>
        <w:r>
          <w:rPr>
            <w:noProof/>
            <w:webHidden/>
          </w:rPr>
          <w:fldChar w:fldCharType="separate"/>
        </w:r>
        <w:r>
          <w:rPr>
            <w:noProof/>
            <w:webHidden/>
          </w:rPr>
          <w:t>122</w:t>
        </w:r>
        <w:r>
          <w:rPr>
            <w:noProof/>
            <w:webHidden/>
          </w:rPr>
          <w:fldChar w:fldCharType="end"/>
        </w:r>
      </w:hyperlink>
    </w:p>
    <w:p w14:paraId="39312F17" w14:textId="71BF48E0"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3" w:history="1">
        <w:r w:rsidRPr="00E360DB">
          <w:rPr>
            <w:rStyle w:val="Hyperlink"/>
            <w:noProof/>
          </w:rPr>
          <w:t>Table 24. BoR5 'social context' values - Phases 1-3</w:t>
        </w:r>
        <w:r>
          <w:rPr>
            <w:noProof/>
            <w:webHidden/>
          </w:rPr>
          <w:tab/>
        </w:r>
        <w:r>
          <w:rPr>
            <w:noProof/>
            <w:webHidden/>
          </w:rPr>
          <w:fldChar w:fldCharType="begin"/>
        </w:r>
        <w:r>
          <w:rPr>
            <w:noProof/>
            <w:webHidden/>
          </w:rPr>
          <w:instrText xml:space="preserve"> PAGEREF _Toc31702053 \h </w:instrText>
        </w:r>
        <w:r>
          <w:rPr>
            <w:noProof/>
            <w:webHidden/>
          </w:rPr>
        </w:r>
        <w:r>
          <w:rPr>
            <w:noProof/>
            <w:webHidden/>
          </w:rPr>
          <w:fldChar w:fldCharType="separate"/>
        </w:r>
        <w:r>
          <w:rPr>
            <w:noProof/>
            <w:webHidden/>
          </w:rPr>
          <w:t>123</w:t>
        </w:r>
        <w:r>
          <w:rPr>
            <w:noProof/>
            <w:webHidden/>
          </w:rPr>
          <w:fldChar w:fldCharType="end"/>
        </w:r>
      </w:hyperlink>
    </w:p>
    <w:p w14:paraId="2EE85E99" w14:textId="36BF2634"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4" w:history="1">
        <w:r w:rsidRPr="00E360DB">
          <w:rPr>
            <w:rStyle w:val="Hyperlink"/>
            <w:noProof/>
          </w:rPr>
          <w:t>Table 25. BoR5 ‘intermediary’ values – Phase 1</w:t>
        </w:r>
        <w:r>
          <w:rPr>
            <w:noProof/>
            <w:webHidden/>
          </w:rPr>
          <w:tab/>
        </w:r>
        <w:r>
          <w:rPr>
            <w:noProof/>
            <w:webHidden/>
          </w:rPr>
          <w:fldChar w:fldCharType="begin"/>
        </w:r>
        <w:r>
          <w:rPr>
            <w:noProof/>
            <w:webHidden/>
          </w:rPr>
          <w:instrText xml:space="preserve"> PAGEREF _Toc31702054 \h </w:instrText>
        </w:r>
        <w:r>
          <w:rPr>
            <w:noProof/>
            <w:webHidden/>
          </w:rPr>
        </w:r>
        <w:r>
          <w:rPr>
            <w:noProof/>
            <w:webHidden/>
          </w:rPr>
          <w:fldChar w:fldCharType="separate"/>
        </w:r>
        <w:r>
          <w:rPr>
            <w:noProof/>
            <w:webHidden/>
          </w:rPr>
          <w:t>125</w:t>
        </w:r>
        <w:r>
          <w:rPr>
            <w:noProof/>
            <w:webHidden/>
          </w:rPr>
          <w:fldChar w:fldCharType="end"/>
        </w:r>
      </w:hyperlink>
    </w:p>
    <w:p w14:paraId="2381D3DF" w14:textId="519FC7BB"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5" w:history="1">
        <w:r w:rsidRPr="00E360DB">
          <w:rPr>
            <w:rStyle w:val="Hyperlink"/>
            <w:noProof/>
          </w:rPr>
          <w:t>Table 26. BoR5 ‘intermediary’ values – Phases 1 &amp; 2</w:t>
        </w:r>
        <w:r>
          <w:rPr>
            <w:noProof/>
            <w:webHidden/>
          </w:rPr>
          <w:tab/>
        </w:r>
        <w:r>
          <w:rPr>
            <w:noProof/>
            <w:webHidden/>
          </w:rPr>
          <w:fldChar w:fldCharType="begin"/>
        </w:r>
        <w:r>
          <w:rPr>
            <w:noProof/>
            <w:webHidden/>
          </w:rPr>
          <w:instrText xml:space="preserve"> PAGEREF _Toc31702055 \h </w:instrText>
        </w:r>
        <w:r>
          <w:rPr>
            <w:noProof/>
            <w:webHidden/>
          </w:rPr>
        </w:r>
        <w:r>
          <w:rPr>
            <w:noProof/>
            <w:webHidden/>
          </w:rPr>
          <w:fldChar w:fldCharType="separate"/>
        </w:r>
        <w:r>
          <w:rPr>
            <w:noProof/>
            <w:webHidden/>
          </w:rPr>
          <w:t>126</w:t>
        </w:r>
        <w:r>
          <w:rPr>
            <w:noProof/>
            <w:webHidden/>
          </w:rPr>
          <w:fldChar w:fldCharType="end"/>
        </w:r>
      </w:hyperlink>
    </w:p>
    <w:p w14:paraId="46A9E602" w14:textId="3857C816"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6" w:history="1">
        <w:r w:rsidRPr="00E360DB">
          <w:rPr>
            <w:rStyle w:val="Hyperlink"/>
            <w:noProof/>
          </w:rPr>
          <w:t>Table 27. BoR5 ‘intermediary’ values – Phases 1-3</w:t>
        </w:r>
        <w:r>
          <w:rPr>
            <w:noProof/>
            <w:webHidden/>
          </w:rPr>
          <w:tab/>
        </w:r>
        <w:r>
          <w:rPr>
            <w:noProof/>
            <w:webHidden/>
          </w:rPr>
          <w:fldChar w:fldCharType="begin"/>
        </w:r>
        <w:r>
          <w:rPr>
            <w:noProof/>
            <w:webHidden/>
          </w:rPr>
          <w:instrText xml:space="preserve"> PAGEREF _Toc31702056 \h </w:instrText>
        </w:r>
        <w:r>
          <w:rPr>
            <w:noProof/>
            <w:webHidden/>
          </w:rPr>
        </w:r>
        <w:r>
          <w:rPr>
            <w:noProof/>
            <w:webHidden/>
          </w:rPr>
          <w:fldChar w:fldCharType="separate"/>
        </w:r>
        <w:r>
          <w:rPr>
            <w:noProof/>
            <w:webHidden/>
          </w:rPr>
          <w:t>126</w:t>
        </w:r>
        <w:r>
          <w:rPr>
            <w:noProof/>
            <w:webHidden/>
          </w:rPr>
          <w:fldChar w:fldCharType="end"/>
        </w:r>
      </w:hyperlink>
    </w:p>
    <w:p w14:paraId="7EE9A5F3" w14:textId="7B3F6D11"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7" w:history="1">
        <w:r w:rsidRPr="00E360DB">
          <w:rPr>
            <w:rStyle w:val="Hyperlink"/>
            <w:noProof/>
          </w:rPr>
          <w:t>Table 28. BoR4.2 typology values by 'research dimension' (with comparator values)</w:t>
        </w:r>
        <w:r>
          <w:rPr>
            <w:noProof/>
            <w:webHidden/>
          </w:rPr>
          <w:tab/>
        </w:r>
        <w:r>
          <w:rPr>
            <w:noProof/>
            <w:webHidden/>
          </w:rPr>
          <w:fldChar w:fldCharType="begin"/>
        </w:r>
        <w:r>
          <w:rPr>
            <w:noProof/>
            <w:webHidden/>
          </w:rPr>
          <w:instrText xml:space="preserve"> PAGEREF _Toc31702057 \h </w:instrText>
        </w:r>
        <w:r>
          <w:rPr>
            <w:noProof/>
            <w:webHidden/>
          </w:rPr>
        </w:r>
        <w:r>
          <w:rPr>
            <w:noProof/>
            <w:webHidden/>
          </w:rPr>
          <w:fldChar w:fldCharType="separate"/>
        </w:r>
        <w:r>
          <w:rPr>
            <w:noProof/>
            <w:webHidden/>
          </w:rPr>
          <w:t>128</w:t>
        </w:r>
        <w:r>
          <w:rPr>
            <w:noProof/>
            <w:webHidden/>
          </w:rPr>
          <w:fldChar w:fldCharType="end"/>
        </w:r>
      </w:hyperlink>
    </w:p>
    <w:p w14:paraId="64906990" w14:textId="34455AF3"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8" w:history="1">
        <w:r w:rsidRPr="00E360DB">
          <w:rPr>
            <w:rStyle w:val="Hyperlink"/>
            <w:noProof/>
          </w:rPr>
          <w:t>Table 29. BoR4.2 'social context' values - Phase 1</w:t>
        </w:r>
        <w:r>
          <w:rPr>
            <w:noProof/>
            <w:webHidden/>
          </w:rPr>
          <w:tab/>
        </w:r>
        <w:r>
          <w:rPr>
            <w:noProof/>
            <w:webHidden/>
          </w:rPr>
          <w:fldChar w:fldCharType="begin"/>
        </w:r>
        <w:r>
          <w:rPr>
            <w:noProof/>
            <w:webHidden/>
          </w:rPr>
          <w:instrText xml:space="preserve"> PAGEREF _Toc31702058 \h </w:instrText>
        </w:r>
        <w:r>
          <w:rPr>
            <w:noProof/>
            <w:webHidden/>
          </w:rPr>
        </w:r>
        <w:r>
          <w:rPr>
            <w:noProof/>
            <w:webHidden/>
          </w:rPr>
          <w:fldChar w:fldCharType="separate"/>
        </w:r>
        <w:r>
          <w:rPr>
            <w:noProof/>
            <w:webHidden/>
          </w:rPr>
          <w:t>129</w:t>
        </w:r>
        <w:r>
          <w:rPr>
            <w:noProof/>
            <w:webHidden/>
          </w:rPr>
          <w:fldChar w:fldCharType="end"/>
        </w:r>
      </w:hyperlink>
    </w:p>
    <w:p w14:paraId="132EB71F" w14:textId="786D3E3E"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59" w:history="1">
        <w:r w:rsidRPr="00E360DB">
          <w:rPr>
            <w:rStyle w:val="Hyperlink"/>
            <w:noProof/>
          </w:rPr>
          <w:t>Table 30. BoR4.2 'social context' values – Phases 1 &amp; 2</w:t>
        </w:r>
        <w:r>
          <w:rPr>
            <w:noProof/>
            <w:webHidden/>
          </w:rPr>
          <w:tab/>
        </w:r>
        <w:r>
          <w:rPr>
            <w:noProof/>
            <w:webHidden/>
          </w:rPr>
          <w:fldChar w:fldCharType="begin"/>
        </w:r>
        <w:r>
          <w:rPr>
            <w:noProof/>
            <w:webHidden/>
          </w:rPr>
          <w:instrText xml:space="preserve"> PAGEREF _Toc31702059 \h </w:instrText>
        </w:r>
        <w:r>
          <w:rPr>
            <w:noProof/>
            <w:webHidden/>
          </w:rPr>
        </w:r>
        <w:r>
          <w:rPr>
            <w:noProof/>
            <w:webHidden/>
          </w:rPr>
          <w:fldChar w:fldCharType="separate"/>
        </w:r>
        <w:r>
          <w:rPr>
            <w:noProof/>
            <w:webHidden/>
          </w:rPr>
          <w:t>130</w:t>
        </w:r>
        <w:r>
          <w:rPr>
            <w:noProof/>
            <w:webHidden/>
          </w:rPr>
          <w:fldChar w:fldCharType="end"/>
        </w:r>
      </w:hyperlink>
    </w:p>
    <w:p w14:paraId="0233D2C4" w14:textId="7F18E538"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0" w:history="1">
        <w:r w:rsidRPr="00E360DB">
          <w:rPr>
            <w:rStyle w:val="Hyperlink"/>
            <w:noProof/>
          </w:rPr>
          <w:t>Table 31. BoR4.2 'social context' values – Phases 1-3</w:t>
        </w:r>
        <w:r>
          <w:rPr>
            <w:noProof/>
            <w:webHidden/>
          </w:rPr>
          <w:tab/>
        </w:r>
        <w:r>
          <w:rPr>
            <w:noProof/>
            <w:webHidden/>
          </w:rPr>
          <w:fldChar w:fldCharType="begin"/>
        </w:r>
        <w:r>
          <w:rPr>
            <w:noProof/>
            <w:webHidden/>
          </w:rPr>
          <w:instrText xml:space="preserve"> PAGEREF _Toc31702060 \h </w:instrText>
        </w:r>
        <w:r>
          <w:rPr>
            <w:noProof/>
            <w:webHidden/>
          </w:rPr>
        </w:r>
        <w:r>
          <w:rPr>
            <w:noProof/>
            <w:webHidden/>
          </w:rPr>
          <w:fldChar w:fldCharType="separate"/>
        </w:r>
        <w:r>
          <w:rPr>
            <w:noProof/>
            <w:webHidden/>
          </w:rPr>
          <w:t>130</w:t>
        </w:r>
        <w:r>
          <w:rPr>
            <w:noProof/>
            <w:webHidden/>
          </w:rPr>
          <w:fldChar w:fldCharType="end"/>
        </w:r>
      </w:hyperlink>
    </w:p>
    <w:p w14:paraId="19296D04" w14:textId="1403993A"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1" w:history="1">
        <w:r w:rsidRPr="00E360DB">
          <w:rPr>
            <w:rStyle w:val="Hyperlink"/>
            <w:noProof/>
          </w:rPr>
          <w:t>Table 32. BoR4.2 ‘knowledge content’ values – Phases 1 &amp; 2</w:t>
        </w:r>
        <w:r>
          <w:rPr>
            <w:noProof/>
            <w:webHidden/>
          </w:rPr>
          <w:tab/>
        </w:r>
        <w:r>
          <w:rPr>
            <w:noProof/>
            <w:webHidden/>
          </w:rPr>
          <w:fldChar w:fldCharType="begin"/>
        </w:r>
        <w:r>
          <w:rPr>
            <w:noProof/>
            <w:webHidden/>
          </w:rPr>
          <w:instrText xml:space="preserve"> PAGEREF _Toc31702061 \h </w:instrText>
        </w:r>
        <w:r>
          <w:rPr>
            <w:noProof/>
            <w:webHidden/>
          </w:rPr>
        </w:r>
        <w:r>
          <w:rPr>
            <w:noProof/>
            <w:webHidden/>
          </w:rPr>
          <w:fldChar w:fldCharType="separate"/>
        </w:r>
        <w:r>
          <w:rPr>
            <w:noProof/>
            <w:webHidden/>
          </w:rPr>
          <w:t>131</w:t>
        </w:r>
        <w:r>
          <w:rPr>
            <w:noProof/>
            <w:webHidden/>
          </w:rPr>
          <w:fldChar w:fldCharType="end"/>
        </w:r>
      </w:hyperlink>
    </w:p>
    <w:p w14:paraId="6547F4B1" w14:textId="4BEC1137"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2" w:history="1">
        <w:r w:rsidRPr="00E360DB">
          <w:rPr>
            <w:rStyle w:val="Hyperlink"/>
            <w:noProof/>
          </w:rPr>
          <w:t>Table 33. BoR4.2 ‘knowledge content’ values – Phases 1-3</w:t>
        </w:r>
        <w:r>
          <w:rPr>
            <w:noProof/>
            <w:webHidden/>
          </w:rPr>
          <w:tab/>
        </w:r>
        <w:r>
          <w:rPr>
            <w:noProof/>
            <w:webHidden/>
          </w:rPr>
          <w:fldChar w:fldCharType="begin"/>
        </w:r>
        <w:r>
          <w:rPr>
            <w:noProof/>
            <w:webHidden/>
          </w:rPr>
          <w:instrText xml:space="preserve"> PAGEREF _Toc31702062 \h </w:instrText>
        </w:r>
        <w:r>
          <w:rPr>
            <w:noProof/>
            <w:webHidden/>
          </w:rPr>
        </w:r>
        <w:r>
          <w:rPr>
            <w:noProof/>
            <w:webHidden/>
          </w:rPr>
          <w:fldChar w:fldCharType="separate"/>
        </w:r>
        <w:r>
          <w:rPr>
            <w:noProof/>
            <w:webHidden/>
          </w:rPr>
          <w:t>131</w:t>
        </w:r>
        <w:r>
          <w:rPr>
            <w:noProof/>
            <w:webHidden/>
          </w:rPr>
          <w:fldChar w:fldCharType="end"/>
        </w:r>
      </w:hyperlink>
    </w:p>
    <w:p w14:paraId="14830AA9" w14:textId="3E925DDB"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3" w:history="1">
        <w:r w:rsidRPr="00E360DB">
          <w:rPr>
            <w:rStyle w:val="Hyperlink"/>
            <w:noProof/>
          </w:rPr>
          <w:t>Table 34. BoR4.2 ‘intermediary’ values – Phase 1</w:t>
        </w:r>
        <w:r>
          <w:rPr>
            <w:noProof/>
            <w:webHidden/>
          </w:rPr>
          <w:tab/>
        </w:r>
        <w:r>
          <w:rPr>
            <w:noProof/>
            <w:webHidden/>
          </w:rPr>
          <w:fldChar w:fldCharType="begin"/>
        </w:r>
        <w:r>
          <w:rPr>
            <w:noProof/>
            <w:webHidden/>
          </w:rPr>
          <w:instrText xml:space="preserve"> PAGEREF _Toc31702063 \h </w:instrText>
        </w:r>
        <w:r>
          <w:rPr>
            <w:noProof/>
            <w:webHidden/>
          </w:rPr>
        </w:r>
        <w:r>
          <w:rPr>
            <w:noProof/>
            <w:webHidden/>
          </w:rPr>
          <w:fldChar w:fldCharType="separate"/>
        </w:r>
        <w:r>
          <w:rPr>
            <w:noProof/>
            <w:webHidden/>
          </w:rPr>
          <w:t>132</w:t>
        </w:r>
        <w:r>
          <w:rPr>
            <w:noProof/>
            <w:webHidden/>
          </w:rPr>
          <w:fldChar w:fldCharType="end"/>
        </w:r>
      </w:hyperlink>
    </w:p>
    <w:p w14:paraId="023CBF81" w14:textId="1C41F609"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4" w:history="1">
        <w:r w:rsidRPr="00E360DB">
          <w:rPr>
            <w:rStyle w:val="Hyperlink"/>
            <w:noProof/>
          </w:rPr>
          <w:t>Table 35. BoR4.2 ‘intermediary’ values – Phases 1 &amp; 2</w:t>
        </w:r>
        <w:r>
          <w:rPr>
            <w:noProof/>
            <w:webHidden/>
          </w:rPr>
          <w:tab/>
        </w:r>
        <w:r>
          <w:rPr>
            <w:noProof/>
            <w:webHidden/>
          </w:rPr>
          <w:fldChar w:fldCharType="begin"/>
        </w:r>
        <w:r>
          <w:rPr>
            <w:noProof/>
            <w:webHidden/>
          </w:rPr>
          <w:instrText xml:space="preserve"> PAGEREF _Toc31702064 \h </w:instrText>
        </w:r>
        <w:r>
          <w:rPr>
            <w:noProof/>
            <w:webHidden/>
          </w:rPr>
        </w:r>
        <w:r>
          <w:rPr>
            <w:noProof/>
            <w:webHidden/>
          </w:rPr>
          <w:fldChar w:fldCharType="separate"/>
        </w:r>
        <w:r>
          <w:rPr>
            <w:noProof/>
            <w:webHidden/>
          </w:rPr>
          <w:t>133</w:t>
        </w:r>
        <w:r>
          <w:rPr>
            <w:noProof/>
            <w:webHidden/>
          </w:rPr>
          <w:fldChar w:fldCharType="end"/>
        </w:r>
      </w:hyperlink>
    </w:p>
    <w:p w14:paraId="6F8B5DA0" w14:textId="47B64BB9"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5" w:history="1">
        <w:r w:rsidRPr="00E360DB">
          <w:rPr>
            <w:rStyle w:val="Hyperlink"/>
            <w:noProof/>
          </w:rPr>
          <w:t>Table 36. BoR4.2 ‘intermediary’ values – Phases 1-3</w:t>
        </w:r>
        <w:r>
          <w:rPr>
            <w:noProof/>
            <w:webHidden/>
          </w:rPr>
          <w:tab/>
        </w:r>
        <w:r>
          <w:rPr>
            <w:noProof/>
            <w:webHidden/>
          </w:rPr>
          <w:fldChar w:fldCharType="begin"/>
        </w:r>
        <w:r>
          <w:rPr>
            <w:noProof/>
            <w:webHidden/>
          </w:rPr>
          <w:instrText xml:space="preserve"> PAGEREF _Toc31702065 \h </w:instrText>
        </w:r>
        <w:r>
          <w:rPr>
            <w:noProof/>
            <w:webHidden/>
          </w:rPr>
        </w:r>
        <w:r>
          <w:rPr>
            <w:noProof/>
            <w:webHidden/>
          </w:rPr>
          <w:fldChar w:fldCharType="separate"/>
        </w:r>
        <w:r>
          <w:rPr>
            <w:noProof/>
            <w:webHidden/>
          </w:rPr>
          <w:t>133</w:t>
        </w:r>
        <w:r>
          <w:rPr>
            <w:noProof/>
            <w:webHidden/>
          </w:rPr>
          <w:fldChar w:fldCharType="end"/>
        </w:r>
      </w:hyperlink>
    </w:p>
    <w:p w14:paraId="5093B1F2" w14:textId="2FAC8554"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6" w:history="1">
        <w:r w:rsidRPr="00E360DB">
          <w:rPr>
            <w:rStyle w:val="Hyperlink"/>
            <w:noProof/>
          </w:rPr>
          <w:t>Table 37. Typology values by contextual dimension/categories and research dimensions</w:t>
        </w:r>
        <w:r>
          <w:rPr>
            <w:noProof/>
            <w:webHidden/>
          </w:rPr>
          <w:tab/>
        </w:r>
        <w:r>
          <w:rPr>
            <w:noProof/>
            <w:webHidden/>
          </w:rPr>
          <w:fldChar w:fldCharType="begin"/>
        </w:r>
        <w:r>
          <w:rPr>
            <w:noProof/>
            <w:webHidden/>
          </w:rPr>
          <w:instrText xml:space="preserve"> PAGEREF _Toc31702066 \h </w:instrText>
        </w:r>
        <w:r>
          <w:rPr>
            <w:noProof/>
            <w:webHidden/>
          </w:rPr>
        </w:r>
        <w:r>
          <w:rPr>
            <w:noProof/>
            <w:webHidden/>
          </w:rPr>
          <w:fldChar w:fldCharType="separate"/>
        </w:r>
        <w:r>
          <w:rPr>
            <w:noProof/>
            <w:webHidden/>
          </w:rPr>
          <w:t>136</w:t>
        </w:r>
        <w:r>
          <w:rPr>
            <w:noProof/>
            <w:webHidden/>
          </w:rPr>
          <w:fldChar w:fldCharType="end"/>
        </w:r>
      </w:hyperlink>
    </w:p>
    <w:p w14:paraId="4D1E7432" w14:textId="5C670009"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7" w:history="1">
        <w:r w:rsidRPr="00E360DB">
          <w:rPr>
            <w:rStyle w:val="Hyperlink"/>
            <w:noProof/>
          </w:rPr>
          <w:t>Table 38. Total Case Studies and Sampled Case Studies from the ten submissions</w:t>
        </w:r>
        <w:r>
          <w:rPr>
            <w:noProof/>
            <w:webHidden/>
          </w:rPr>
          <w:tab/>
        </w:r>
        <w:r>
          <w:rPr>
            <w:noProof/>
            <w:webHidden/>
          </w:rPr>
          <w:fldChar w:fldCharType="begin"/>
        </w:r>
        <w:r>
          <w:rPr>
            <w:noProof/>
            <w:webHidden/>
          </w:rPr>
          <w:instrText xml:space="preserve"> PAGEREF _Toc31702067 \h </w:instrText>
        </w:r>
        <w:r>
          <w:rPr>
            <w:noProof/>
            <w:webHidden/>
          </w:rPr>
        </w:r>
        <w:r>
          <w:rPr>
            <w:noProof/>
            <w:webHidden/>
          </w:rPr>
          <w:fldChar w:fldCharType="separate"/>
        </w:r>
        <w:r>
          <w:rPr>
            <w:noProof/>
            <w:webHidden/>
          </w:rPr>
          <w:t>200</w:t>
        </w:r>
        <w:r>
          <w:rPr>
            <w:noProof/>
            <w:webHidden/>
          </w:rPr>
          <w:fldChar w:fldCharType="end"/>
        </w:r>
      </w:hyperlink>
    </w:p>
    <w:p w14:paraId="245C6F7E" w14:textId="1410D01D"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8" w:history="1">
        <w:r w:rsidRPr="00E360DB">
          <w:rPr>
            <w:rStyle w:val="Hyperlink"/>
            <w:noProof/>
          </w:rPr>
          <w:t>Table 39. Relative representation (%) of each parameter/category in sampled Case Studies</w:t>
        </w:r>
        <w:r>
          <w:rPr>
            <w:noProof/>
            <w:webHidden/>
          </w:rPr>
          <w:tab/>
        </w:r>
        <w:r>
          <w:rPr>
            <w:noProof/>
            <w:webHidden/>
          </w:rPr>
          <w:fldChar w:fldCharType="begin"/>
        </w:r>
        <w:r>
          <w:rPr>
            <w:noProof/>
            <w:webHidden/>
          </w:rPr>
          <w:instrText xml:space="preserve"> PAGEREF _Toc31702068 \h </w:instrText>
        </w:r>
        <w:r>
          <w:rPr>
            <w:noProof/>
            <w:webHidden/>
          </w:rPr>
        </w:r>
        <w:r>
          <w:rPr>
            <w:noProof/>
            <w:webHidden/>
          </w:rPr>
          <w:fldChar w:fldCharType="separate"/>
        </w:r>
        <w:r>
          <w:rPr>
            <w:noProof/>
            <w:webHidden/>
          </w:rPr>
          <w:t>201</w:t>
        </w:r>
        <w:r>
          <w:rPr>
            <w:noProof/>
            <w:webHidden/>
          </w:rPr>
          <w:fldChar w:fldCharType="end"/>
        </w:r>
      </w:hyperlink>
    </w:p>
    <w:p w14:paraId="092DF9A3" w14:textId="604B9D19"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69" w:history="1">
        <w:r w:rsidRPr="00E360DB">
          <w:rPr>
            <w:rStyle w:val="Hyperlink"/>
            <w:noProof/>
          </w:rPr>
          <w:t>Table 40. Relative representation (%) of each parameter/category among sampled interviewees</w:t>
        </w:r>
        <w:r>
          <w:rPr>
            <w:noProof/>
            <w:webHidden/>
          </w:rPr>
          <w:tab/>
        </w:r>
        <w:r>
          <w:rPr>
            <w:noProof/>
            <w:webHidden/>
          </w:rPr>
          <w:fldChar w:fldCharType="begin"/>
        </w:r>
        <w:r>
          <w:rPr>
            <w:noProof/>
            <w:webHidden/>
          </w:rPr>
          <w:instrText xml:space="preserve"> PAGEREF _Toc31702069 \h </w:instrText>
        </w:r>
        <w:r>
          <w:rPr>
            <w:noProof/>
            <w:webHidden/>
          </w:rPr>
        </w:r>
        <w:r>
          <w:rPr>
            <w:noProof/>
            <w:webHidden/>
          </w:rPr>
          <w:fldChar w:fldCharType="separate"/>
        </w:r>
        <w:r>
          <w:rPr>
            <w:noProof/>
            <w:webHidden/>
          </w:rPr>
          <w:t>201</w:t>
        </w:r>
        <w:r>
          <w:rPr>
            <w:noProof/>
            <w:webHidden/>
          </w:rPr>
          <w:fldChar w:fldCharType="end"/>
        </w:r>
      </w:hyperlink>
    </w:p>
    <w:p w14:paraId="31309E5E" w14:textId="6C4715A5" w:rsidR="0011424E" w:rsidRDefault="00A677CD" w:rsidP="00A677CD">
      <w:pPr>
        <w:pStyle w:val="Heading1"/>
        <w:rPr>
          <w:noProof/>
        </w:rPr>
      </w:pPr>
      <w:r>
        <w:rPr>
          <w:lang w:eastAsia="ko-KR"/>
        </w:rPr>
        <w:fldChar w:fldCharType="end"/>
      </w:r>
      <w:bookmarkStart w:id="7" w:name="_Toc31701927"/>
      <w:r>
        <w:rPr>
          <w:lang w:eastAsia="ko-KR"/>
        </w:rPr>
        <w:t>List of Figures</w:t>
      </w:r>
      <w:bookmarkEnd w:id="7"/>
      <w:r>
        <w:rPr>
          <w:lang w:eastAsia="ko-KR"/>
        </w:rPr>
        <w:fldChar w:fldCharType="begin"/>
      </w:r>
      <w:r>
        <w:rPr>
          <w:lang w:eastAsia="ko-KR"/>
        </w:rPr>
        <w:instrText xml:space="preserve"> TOC \h \z \c "Figure" </w:instrText>
      </w:r>
      <w:r>
        <w:rPr>
          <w:lang w:eastAsia="ko-KR"/>
        </w:rPr>
        <w:fldChar w:fldCharType="separate"/>
      </w:r>
    </w:p>
    <w:p w14:paraId="3138595C" w14:textId="57EE4F92"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0" w:history="1">
        <w:r w:rsidRPr="00615DD9">
          <w:rPr>
            <w:rStyle w:val="Hyperlink"/>
            <w:noProof/>
          </w:rPr>
          <w:t>Figure 1. Conceptual framework of the functioning of research-related boundary transactions</w:t>
        </w:r>
        <w:r>
          <w:rPr>
            <w:noProof/>
            <w:webHidden/>
          </w:rPr>
          <w:tab/>
        </w:r>
        <w:r>
          <w:rPr>
            <w:noProof/>
            <w:webHidden/>
          </w:rPr>
          <w:fldChar w:fldCharType="begin"/>
        </w:r>
        <w:r>
          <w:rPr>
            <w:noProof/>
            <w:webHidden/>
          </w:rPr>
          <w:instrText xml:space="preserve"> PAGEREF _Toc31702070 \h </w:instrText>
        </w:r>
        <w:r>
          <w:rPr>
            <w:noProof/>
            <w:webHidden/>
          </w:rPr>
        </w:r>
        <w:r>
          <w:rPr>
            <w:noProof/>
            <w:webHidden/>
          </w:rPr>
          <w:fldChar w:fldCharType="separate"/>
        </w:r>
        <w:r>
          <w:rPr>
            <w:noProof/>
            <w:webHidden/>
          </w:rPr>
          <w:t>69</w:t>
        </w:r>
        <w:r>
          <w:rPr>
            <w:noProof/>
            <w:webHidden/>
          </w:rPr>
          <w:fldChar w:fldCharType="end"/>
        </w:r>
      </w:hyperlink>
    </w:p>
    <w:p w14:paraId="59C8F6C3" w14:textId="38AE9036"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1" w:history="1">
        <w:r w:rsidRPr="00615DD9">
          <w:rPr>
            <w:rStyle w:val="Hyperlink"/>
            <w:noProof/>
          </w:rPr>
          <w:t>Figure 2. Example plotted typology</w:t>
        </w:r>
        <w:r>
          <w:rPr>
            <w:noProof/>
            <w:webHidden/>
          </w:rPr>
          <w:tab/>
        </w:r>
        <w:r>
          <w:rPr>
            <w:noProof/>
            <w:webHidden/>
          </w:rPr>
          <w:fldChar w:fldCharType="begin"/>
        </w:r>
        <w:r>
          <w:rPr>
            <w:noProof/>
            <w:webHidden/>
          </w:rPr>
          <w:instrText xml:space="preserve"> PAGEREF _Toc31702071 \h </w:instrText>
        </w:r>
        <w:r>
          <w:rPr>
            <w:noProof/>
            <w:webHidden/>
          </w:rPr>
        </w:r>
        <w:r>
          <w:rPr>
            <w:noProof/>
            <w:webHidden/>
          </w:rPr>
          <w:fldChar w:fldCharType="separate"/>
        </w:r>
        <w:r>
          <w:rPr>
            <w:noProof/>
            <w:webHidden/>
          </w:rPr>
          <w:t>72</w:t>
        </w:r>
        <w:r>
          <w:rPr>
            <w:noProof/>
            <w:webHidden/>
          </w:rPr>
          <w:fldChar w:fldCharType="end"/>
        </w:r>
      </w:hyperlink>
    </w:p>
    <w:p w14:paraId="0DAF769A" w14:textId="42B18832"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2" w:history="1">
        <w:r w:rsidRPr="00615DD9">
          <w:rPr>
            <w:rStyle w:val="Hyperlink"/>
            <w:noProof/>
          </w:rPr>
          <w:t>Figure 3. Visualisation of epistemic categories of sampled REF2014 UoAs</w:t>
        </w:r>
        <w:r>
          <w:rPr>
            <w:noProof/>
            <w:webHidden/>
          </w:rPr>
          <w:tab/>
        </w:r>
        <w:r>
          <w:rPr>
            <w:noProof/>
            <w:webHidden/>
          </w:rPr>
          <w:fldChar w:fldCharType="begin"/>
        </w:r>
        <w:r>
          <w:rPr>
            <w:noProof/>
            <w:webHidden/>
          </w:rPr>
          <w:instrText xml:space="preserve"> PAGEREF _Toc31702072 \h </w:instrText>
        </w:r>
        <w:r>
          <w:rPr>
            <w:noProof/>
            <w:webHidden/>
          </w:rPr>
        </w:r>
        <w:r>
          <w:rPr>
            <w:noProof/>
            <w:webHidden/>
          </w:rPr>
          <w:fldChar w:fldCharType="separate"/>
        </w:r>
        <w:r>
          <w:rPr>
            <w:noProof/>
            <w:webHidden/>
          </w:rPr>
          <w:t>79</w:t>
        </w:r>
        <w:r>
          <w:rPr>
            <w:noProof/>
            <w:webHidden/>
          </w:rPr>
          <w:fldChar w:fldCharType="end"/>
        </w:r>
      </w:hyperlink>
    </w:p>
    <w:p w14:paraId="1F65AAAB" w14:textId="49970BD6"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3" w:history="1">
        <w:r w:rsidRPr="00615DD9">
          <w:rPr>
            <w:rStyle w:val="Hyperlink"/>
            <w:noProof/>
          </w:rPr>
          <w:t>Figure 4. Documentary and web-based data sources</w:t>
        </w:r>
        <w:r>
          <w:rPr>
            <w:noProof/>
            <w:webHidden/>
          </w:rPr>
          <w:tab/>
        </w:r>
        <w:r>
          <w:rPr>
            <w:noProof/>
            <w:webHidden/>
          </w:rPr>
          <w:fldChar w:fldCharType="begin"/>
        </w:r>
        <w:r>
          <w:rPr>
            <w:noProof/>
            <w:webHidden/>
          </w:rPr>
          <w:instrText xml:space="preserve"> PAGEREF _Toc31702073 \h </w:instrText>
        </w:r>
        <w:r>
          <w:rPr>
            <w:noProof/>
            <w:webHidden/>
          </w:rPr>
        </w:r>
        <w:r>
          <w:rPr>
            <w:noProof/>
            <w:webHidden/>
          </w:rPr>
          <w:fldChar w:fldCharType="separate"/>
        </w:r>
        <w:r>
          <w:rPr>
            <w:noProof/>
            <w:webHidden/>
          </w:rPr>
          <w:t>81</w:t>
        </w:r>
        <w:r>
          <w:rPr>
            <w:noProof/>
            <w:webHidden/>
          </w:rPr>
          <w:fldChar w:fldCharType="end"/>
        </w:r>
      </w:hyperlink>
    </w:p>
    <w:p w14:paraId="1A5128DB" w14:textId="690E689B"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4" w:history="1">
        <w:r w:rsidRPr="00615DD9">
          <w:rPr>
            <w:rStyle w:val="Hyperlink"/>
            <w:noProof/>
          </w:rPr>
          <w:t>Figure 5. Conceptual framework of the functioning of research-related boundary transactions</w:t>
        </w:r>
        <w:r>
          <w:rPr>
            <w:noProof/>
            <w:webHidden/>
          </w:rPr>
          <w:tab/>
        </w:r>
        <w:r>
          <w:rPr>
            <w:noProof/>
            <w:webHidden/>
          </w:rPr>
          <w:fldChar w:fldCharType="begin"/>
        </w:r>
        <w:r>
          <w:rPr>
            <w:noProof/>
            <w:webHidden/>
          </w:rPr>
          <w:instrText xml:space="preserve"> PAGEREF _Toc31702074 \h </w:instrText>
        </w:r>
        <w:r>
          <w:rPr>
            <w:noProof/>
            <w:webHidden/>
          </w:rPr>
        </w:r>
        <w:r>
          <w:rPr>
            <w:noProof/>
            <w:webHidden/>
          </w:rPr>
          <w:fldChar w:fldCharType="separate"/>
        </w:r>
        <w:r>
          <w:rPr>
            <w:noProof/>
            <w:webHidden/>
          </w:rPr>
          <w:t>85</w:t>
        </w:r>
        <w:r>
          <w:rPr>
            <w:noProof/>
            <w:webHidden/>
          </w:rPr>
          <w:fldChar w:fldCharType="end"/>
        </w:r>
      </w:hyperlink>
    </w:p>
    <w:p w14:paraId="36991F05" w14:textId="1B501B62"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5" w:history="1">
        <w:r w:rsidRPr="00615DD9">
          <w:rPr>
            <w:rStyle w:val="Hyperlink"/>
            <w:noProof/>
          </w:rPr>
          <w:t>Figure 6. Example plotted typology</w:t>
        </w:r>
        <w:r>
          <w:rPr>
            <w:noProof/>
            <w:webHidden/>
          </w:rPr>
          <w:tab/>
        </w:r>
        <w:r>
          <w:rPr>
            <w:noProof/>
            <w:webHidden/>
          </w:rPr>
          <w:fldChar w:fldCharType="begin"/>
        </w:r>
        <w:r>
          <w:rPr>
            <w:noProof/>
            <w:webHidden/>
          </w:rPr>
          <w:instrText xml:space="preserve"> PAGEREF _Toc31702075 \h </w:instrText>
        </w:r>
        <w:r>
          <w:rPr>
            <w:noProof/>
            <w:webHidden/>
          </w:rPr>
        </w:r>
        <w:r>
          <w:rPr>
            <w:noProof/>
            <w:webHidden/>
          </w:rPr>
          <w:fldChar w:fldCharType="separate"/>
        </w:r>
        <w:r>
          <w:rPr>
            <w:noProof/>
            <w:webHidden/>
          </w:rPr>
          <w:t>86</w:t>
        </w:r>
        <w:r>
          <w:rPr>
            <w:noProof/>
            <w:webHidden/>
          </w:rPr>
          <w:fldChar w:fldCharType="end"/>
        </w:r>
      </w:hyperlink>
    </w:p>
    <w:p w14:paraId="2B47C4E8" w14:textId="58EF9FAD"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6" w:history="1">
        <w:r w:rsidRPr="00615DD9">
          <w:rPr>
            <w:rStyle w:val="Hyperlink"/>
            <w:noProof/>
          </w:rPr>
          <w:t>Figure 7. Interview participant response rate and demographic information</w:t>
        </w:r>
        <w:r>
          <w:rPr>
            <w:noProof/>
            <w:webHidden/>
          </w:rPr>
          <w:tab/>
        </w:r>
        <w:r>
          <w:rPr>
            <w:noProof/>
            <w:webHidden/>
          </w:rPr>
          <w:fldChar w:fldCharType="begin"/>
        </w:r>
        <w:r>
          <w:rPr>
            <w:noProof/>
            <w:webHidden/>
          </w:rPr>
          <w:instrText xml:space="preserve"> PAGEREF _Toc31702076 \h </w:instrText>
        </w:r>
        <w:r>
          <w:rPr>
            <w:noProof/>
            <w:webHidden/>
          </w:rPr>
        </w:r>
        <w:r>
          <w:rPr>
            <w:noProof/>
            <w:webHidden/>
          </w:rPr>
          <w:fldChar w:fldCharType="separate"/>
        </w:r>
        <w:r>
          <w:rPr>
            <w:noProof/>
            <w:webHidden/>
          </w:rPr>
          <w:t>97</w:t>
        </w:r>
        <w:r>
          <w:rPr>
            <w:noProof/>
            <w:webHidden/>
          </w:rPr>
          <w:fldChar w:fldCharType="end"/>
        </w:r>
      </w:hyperlink>
    </w:p>
    <w:p w14:paraId="7B59B3B2" w14:textId="7CE60F2C"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7" w:history="1">
        <w:r w:rsidRPr="00615DD9">
          <w:rPr>
            <w:rStyle w:val="Hyperlink"/>
            <w:noProof/>
          </w:rPr>
          <w:t>Figure 8. Relationship between the three classifications/research dimensions: the role of ‘intermediary’ activities and attributes</w:t>
        </w:r>
        <w:r>
          <w:rPr>
            <w:noProof/>
            <w:webHidden/>
          </w:rPr>
          <w:tab/>
        </w:r>
        <w:r>
          <w:rPr>
            <w:noProof/>
            <w:webHidden/>
          </w:rPr>
          <w:fldChar w:fldCharType="begin"/>
        </w:r>
        <w:r>
          <w:rPr>
            <w:noProof/>
            <w:webHidden/>
          </w:rPr>
          <w:instrText xml:space="preserve"> PAGEREF _Toc31702077 \h </w:instrText>
        </w:r>
        <w:r>
          <w:rPr>
            <w:noProof/>
            <w:webHidden/>
          </w:rPr>
        </w:r>
        <w:r>
          <w:rPr>
            <w:noProof/>
            <w:webHidden/>
          </w:rPr>
          <w:fldChar w:fldCharType="separate"/>
        </w:r>
        <w:r>
          <w:rPr>
            <w:noProof/>
            <w:webHidden/>
          </w:rPr>
          <w:t>103</w:t>
        </w:r>
        <w:r>
          <w:rPr>
            <w:noProof/>
            <w:webHidden/>
          </w:rPr>
          <w:fldChar w:fldCharType="end"/>
        </w:r>
      </w:hyperlink>
    </w:p>
    <w:p w14:paraId="3B4FB571" w14:textId="5302710F"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8" w:history="1">
        <w:r w:rsidRPr="00615DD9">
          <w:rPr>
            <w:rStyle w:val="Hyperlink"/>
            <w:noProof/>
          </w:rPr>
          <w:t>Figure 9. Frequency of 'co-authorship’ and ‘use-focused outputs’ across the three 'Phases' of the sampled BoRs</w:t>
        </w:r>
        <w:r>
          <w:rPr>
            <w:noProof/>
            <w:webHidden/>
          </w:rPr>
          <w:tab/>
        </w:r>
        <w:r>
          <w:rPr>
            <w:noProof/>
            <w:webHidden/>
          </w:rPr>
          <w:fldChar w:fldCharType="begin"/>
        </w:r>
        <w:r>
          <w:rPr>
            <w:noProof/>
            <w:webHidden/>
          </w:rPr>
          <w:instrText xml:space="preserve"> PAGEREF _Toc31702078 \h </w:instrText>
        </w:r>
        <w:r>
          <w:rPr>
            <w:noProof/>
            <w:webHidden/>
          </w:rPr>
        </w:r>
        <w:r>
          <w:rPr>
            <w:noProof/>
            <w:webHidden/>
          </w:rPr>
          <w:fldChar w:fldCharType="separate"/>
        </w:r>
        <w:r>
          <w:rPr>
            <w:noProof/>
            <w:webHidden/>
          </w:rPr>
          <w:t>107</w:t>
        </w:r>
        <w:r>
          <w:rPr>
            <w:noProof/>
            <w:webHidden/>
          </w:rPr>
          <w:fldChar w:fldCharType="end"/>
        </w:r>
      </w:hyperlink>
    </w:p>
    <w:p w14:paraId="7BF07A9A" w14:textId="296F442F"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79" w:history="1">
        <w:r w:rsidRPr="00615DD9">
          <w:rPr>
            <w:rStyle w:val="Hyperlink"/>
            <w:noProof/>
          </w:rPr>
          <w:t>Figure 10. Percentage of selected boundary transactions contributing to different university missions</w:t>
        </w:r>
        <w:r>
          <w:rPr>
            <w:noProof/>
            <w:webHidden/>
          </w:rPr>
          <w:tab/>
        </w:r>
        <w:r>
          <w:rPr>
            <w:noProof/>
            <w:webHidden/>
          </w:rPr>
          <w:fldChar w:fldCharType="begin"/>
        </w:r>
        <w:r>
          <w:rPr>
            <w:noProof/>
            <w:webHidden/>
          </w:rPr>
          <w:instrText xml:space="preserve"> PAGEREF _Toc31702079 \h </w:instrText>
        </w:r>
        <w:r>
          <w:rPr>
            <w:noProof/>
            <w:webHidden/>
          </w:rPr>
        </w:r>
        <w:r>
          <w:rPr>
            <w:noProof/>
            <w:webHidden/>
          </w:rPr>
          <w:fldChar w:fldCharType="separate"/>
        </w:r>
        <w:r>
          <w:rPr>
            <w:noProof/>
            <w:webHidden/>
          </w:rPr>
          <w:t>108</w:t>
        </w:r>
        <w:r>
          <w:rPr>
            <w:noProof/>
            <w:webHidden/>
          </w:rPr>
          <w:fldChar w:fldCharType="end"/>
        </w:r>
      </w:hyperlink>
    </w:p>
    <w:p w14:paraId="539C5BE2" w14:textId="770BC9C4"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0" w:history="1">
        <w:r w:rsidRPr="00615DD9">
          <w:rPr>
            <w:rStyle w:val="Hyperlink"/>
            <w:noProof/>
          </w:rPr>
          <w:t>Figure 11. BoR11.1 typology</w:t>
        </w:r>
        <w:r>
          <w:rPr>
            <w:noProof/>
            <w:webHidden/>
          </w:rPr>
          <w:tab/>
        </w:r>
        <w:r>
          <w:rPr>
            <w:noProof/>
            <w:webHidden/>
          </w:rPr>
          <w:fldChar w:fldCharType="begin"/>
        </w:r>
        <w:r>
          <w:rPr>
            <w:noProof/>
            <w:webHidden/>
          </w:rPr>
          <w:instrText xml:space="preserve"> PAGEREF _Toc31702080 \h </w:instrText>
        </w:r>
        <w:r>
          <w:rPr>
            <w:noProof/>
            <w:webHidden/>
          </w:rPr>
        </w:r>
        <w:r>
          <w:rPr>
            <w:noProof/>
            <w:webHidden/>
          </w:rPr>
          <w:fldChar w:fldCharType="separate"/>
        </w:r>
        <w:r>
          <w:rPr>
            <w:noProof/>
            <w:webHidden/>
          </w:rPr>
          <w:t>118</w:t>
        </w:r>
        <w:r>
          <w:rPr>
            <w:noProof/>
            <w:webHidden/>
          </w:rPr>
          <w:fldChar w:fldCharType="end"/>
        </w:r>
      </w:hyperlink>
    </w:p>
    <w:p w14:paraId="307DC358" w14:textId="54FE82B1"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1" w:history="1">
        <w:r w:rsidRPr="00615DD9">
          <w:rPr>
            <w:rStyle w:val="Hyperlink"/>
            <w:noProof/>
          </w:rPr>
          <w:t>Figure 12. BoR5 typology</w:t>
        </w:r>
        <w:r>
          <w:rPr>
            <w:noProof/>
            <w:webHidden/>
          </w:rPr>
          <w:tab/>
        </w:r>
        <w:r>
          <w:rPr>
            <w:noProof/>
            <w:webHidden/>
          </w:rPr>
          <w:fldChar w:fldCharType="begin"/>
        </w:r>
        <w:r>
          <w:rPr>
            <w:noProof/>
            <w:webHidden/>
          </w:rPr>
          <w:instrText xml:space="preserve"> PAGEREF _Toc31702081 \h </w:instrText>
        </w:r>
        <w:r>
          <w:rPr>
            <w:noProof/>
            <w:webHidden/>
          </w:rPr>
        </w:r>
        <w:r>
          <w:rPr>
            <w:noProof/>
            <w:webHidden/>
          </w:rPr>
          <w:fldChar w:fldCharType="separate"/>
        </w:r>
        <w:r>
          <w:rPr>
            <w:noProof/>
            <w:webHidden/>
          </w:rPr>
          <w:t>127</w:t>
        </w:r>
        <w:r>
          <w:rPr>
            <w:noProof/>
            <w:webHidden/>
          </w:rPr>
          <w:fldChar w:fldCharType="end"/>
        </w:r>
      </w:hyperlink>
    </w:p>
    <w:p w14:paraId="63BBE36E" w14:textId="6F707EB5"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2" w:history="1">
        <w:r w:rsidRPr="00615DD9">
          <w:rPr>
            <w:rStyle w:val="Hyperlink"/>
            <w:noProof/>
          </w:rPr>
          <w:t>Figure 13. BoR4.2 typology</w:t>
        </w:r>
        <w:r>
          <w:rPr>
            <w:noProof/>
            <w:webHidden/>
          </w:rPr>
          <w:tab/>
        </w:r>
        <w:r>
          <w:rPr>
            <w:noProof/>
            <w:webHidden/>
          </w:rPr>
          <w:fldChar w:fldCharType="begin"/>
        </w:r>
        <w:r>
          <w:rPr>
            <w:noProof/>
            <w:webHidden/>
          </w:rPr>
          <w:instrText xml:space="preserve"> PAGEREF _Toc31702082 \h </w:instrText>
        </w:r>
        <w:r>
          <w:rPr>
            <w:noProof/>
            <w:webHidden/>
          </w:rPr>
        </w:r>
        <w:r>
          <w:rPr>
            <w:noProof/>
            <w:webHidden/>
          </w:rPr>
          <w:fldChar w:fldCharType="separate"/>
        </w:r>
        <w:r>
          <w:rPr>
            <w:noProof/>
            <w:webHidden/>
          </w:rPr>
          <w:t>134</w:t>
        </w:r>
        <w:r>
          <w:rPr>
            <w:noProof/>
            <w:webHidden/>
          </w:rPr>
          <w:fldChar w:fldCharType="end"/>
        </w:r>
      </w:hyperlink>
    </w:p>
    <w:p w14:paraId="3A10D258" w14:textId="54BFEB50"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3" w:history="1">
        <w:r w:rsidRPr="00615DD9">
          <w:rPr>
            <w:rStyle w:val="Hyperlink"/>
            <w:noProof/>
          </w:rPr>
          <w:t>Figure 14. Percentage of ‘co-authorship’ and ‘use-focused outputs’ by departmental status</w:t>
        </w:r>
        <w:r>
          <w:rPr>
            <w:noProof/>
            <w:webHidden/>
          </w:rPr>
          <w:tab/>
        </w:r>
        <w:r>
          <w:rPr>
            <w:noProof/>
            <w:webHidden/>
          </w:rPr>
          <w:fldChar w:fldCharType="begin"/>
        </w:r>
        <w:r>
          <w:rPr>
            <w:noProof/>
            <w:webHidden/>
          </w:rPr>
          <w:instrText xml:space="preserve"> PAGEREF _Toc31702083 \h </w:instrText>
        </w:r>
        <w:r>
          <w:rPr>
            <w:noProof/>
            <w:webHidden/>
          </w:rPr>
        </w:r>
        <w:r>
          <w:rPr>
            <w:noProof/>
            <w:webHidden/>
          </w:rPr>
          <w:fldChar w:fldCharType="separate"/>
        </w:r>
        <w:r>
          <w:rPr>
            <w:noProof/>
            <w:webHidden/>
          </w:rPr>
          <w:t>139</w:t>
        </w:r>
        <w:r>
          <w:rPr>
            <w:noProof/>
            <w:webHidden/>
          </w:rPr>
          <w:fldChar w:fldCharType="end"/>
        </w:r>
      </w:hyperlink>
    </w:p>
    <w:p w14:paraId="32625C93" w14:textId="593410AD"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4" w:history="1">
        <w:r w:rsidRPr="00615DD9">
          <w:rPr>
            <w:rStyle w:val="Hyperlink"/>
            <w:noProof/>
          </w:rPr>
          <w:t>Figure 15. Percentage (stacked) of BoRs collaborating with non-doctorate holders by branch of science</w:t>
        </w:r>
        <w:r>
          <w:rPr>
            <w:noProof/>
            <w:webHidden/>
          </w:rPr>
          <w:tab/>
        </w:r>
        <w:r>
          <w:rPr>
            <w:noProof/>
            <w:webHidden/>
          </w:rPr>
          <w:fldChar w:fldCharType="begin"/>
        </w:r>
        <w:r>
          <w:rPr>
            <w:noProof/>
            <w:webHidden/>
          </w:rPr>
          <w:instrText xml:space="preserve"> PAGEREF _Toc31702084 \h </w:instrText>
        </w:r>
        <w:r>
          <w:rPr>
            <w:noProof/>
            <w:webHidden/>
          </w:rPr>
        </w:r>
        <w:r>
          <w:rPr>
            <w:noProof/>
            <w:webHidden/>
          </w:rPr>
          <w:fldChar w:fldCharType="separate"/>
        </w:r>
        <w:r>
          <w:rPr>
            <w:noProof/>
            <w:webHidden/>
          </w:rPr>
          <w:t>147</w:t>
        </w:r>
        <w:r>
          <w:rPr>
            <w:noProof/>
            <w:webHidden/>
          </w:rPr>
          <w:fldChar w:fldCharType="end"/>
        </w:r>
      </w:hyperlink>
    </w:p>
    <w:p w14:paraId="02864EBE" w14:textId="62CE2342"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5" w:history="1">
        <w:r w:rsidRPr="00615DD9">
          <w:rPr>
            <w:rStyle w:val="Hyperlink"/>
            <w:noProof/>
          </w:rPr>
          <w:t>Figure 16. Percentage of BoRs exhibiting different forms of boundary transaction by research orientation</w:t>
        </w:r>
        <w:r>
          <w:rPr>
            <w:noProof/>
            <w:webHidden/>
          </w:rPr>
          <w:tab/>
        </w:r>
        <w:r>
          <w:rPr>
            <w:noProof/>
            <w:webHidden/>
          </w:rPr>
          <w:fldChar w:fldCharType="begin"/>
        </w:r>
        <w:r>
          <w:rPr>
            <w:noProof/>
            <w:webHidden/>
          </w:rPr>
          <w:instrText xml:space="preserve"> PAGEREF _Toc31702085 \h </w:instrText>
        </w:r>
        <w:r>
          <w:rPr>
            <w:noProof/>
            <w:webHidden/>
          </w:rPr>
        </w:r>
        <w:r>
          <w:rPr>
            <w:noProof/>
            <w:webHidden/>
          </w:rPr>
          <w:fldChar w:fldCharType="separate"/>
        </w:r>
        <w:r>
          <w:rPr>
            <w:noProof/>
            <w:webHidden/>
          </w:rPr>
          <w:t>155</w:t>
        </w:r>
        <w:r>
          <w:rPr>
            <w:noProof/>
            <w:webHidden/>
          </w:rPr>
          <w:fldChar w:fldCharType="end"/>
        </w:r>
      </w:hyperlink>
    </w:p>
    <w:p w14:paraId="7587929B" w14:textId="0278BCD9"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6" w:history="1">
        <w:r w:rsidRPr="00615DD9">
          <w:rPr>
            <w:rStyle w:val="Hyperlink"/>
            <w:noProof/>
          </w:rPr>
          <w:t>Figure 17. Plotted typology. BoR1.1</w:t>
        </w:r>
        <w:r>
          <w:rPr>
            <w:noProof/>
            <w:webHidden/>
          </w:rPr>
          <w:tab/>
        </w:r>
        <w:r>
          <w:rPr>
            <w:noProof/>
            <w:webHidden/>
          </w:rPr>
          <w:fldChar w:fldCharType="begin"/>
        </w:r>
        <w:r>
          <w:rPr>
            <w:noProof/>
            <w:webHidden/>
          </w:rPr>
          <w:instrText xml:space="preserve"> PAGEREF _Toc31702086 \h </w:instrText>
        </w:r>
        <w:r>
          <w:rPr>
            <w:noProof/>
            <w:webHidden/>
          </w:rPr>
        </w:r>
        <w:r>
          <w:rPr>
            <w:noProof/>
            <w:webHidden/>
          </w:rPr>
          <w:fldChar w:fldCharType="separate"/>
        </w:r>
        <w:r>
          <w:rPr>
            <w:noProof/>
            <w:webHidden/>
          </w:rPr>
          <w:t>225</w:t>
        </w:r>
        <w:r>
          <w:rPr>
            <w:noProof/>
            <w:webHidden/>
          </w:rPr>
          <w:fldChar w:fldCharType="end"/>
        </w:r>
      </w:hyperlink>
    </w:p>
    <w:p w14:paraId="6D103E5E" w14:textId="1C94B264"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7" w:history="1">
        <w:r w:rsidRPr="00615DD9">
          <w:rPr>
            <w:rStyle w:val="Hyperlink"/>
            <w:noProof/>
          </w:rPr>
          <w:t>Figure 18. Plotted typology. BoR1.2</w:t>
        </w:r>
        <w:r>
          <w:rPr>
            <w:noProof/>
            <w:webHidden/>
          </w:rPr>
          <w:tab/>
        </w:r>
        <w:r>
          <w:rPr>
            <w:noProof/>
            <w:webHidden/>
          </w:rPr>
          <w:fldChar w:fldCharType="begin"/>
        </w:r>
        <w:r>
          <w:rPr>
            <w:noProof/>
            <w:webHidden/>
          </w:rPr>
          <w:instrText xml:space="preserve"> PAGEREF _Toc31702087 \h </w:instrText>
        </w:r>
        <w:r>
          <w:rPr>
            <w:noProof/>
            <w:webHidden/>
          </w:rPr>
        </w:r>
        <w:r>
          <w:rPr>
            <w:noProof/>
            <w:webHidden/>
          </w:rPr>
          <w:fldChar w:fldCharType="separate"/>
        </w:r>
        <w:r>
          <w:rPr>
            <w:noProof/>
            <w:webHidden/>
          </w:rPr>
          <w:t>226</w:t>
        </w:r>
        <w:r>
          <w:rPr>
            <w:noProof/>
            <w:webHidden/>
          </w:rPr>
          <w:fldChar w:fldCharType="end"/>
        </w:r>
      </w:hyperlink>
    </w:p>
    <w:p w14:paraId="233588DF" w14:textId="2DFA9E8B"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8" w:history="1">
        <w:r w:rsidRPr="00615DD9">
          <w:rPr>
            <w:rStyle w:val="Hyperlink"/>
            <w:noProof/>
          </w:rPr>
          <w:t>Figure 19. Plotted typology. BoR4.1</w:t>
        </w:r>
        <w:r>
          <w:rPr>
            <w:noProof/>
            <w:webHidden/>
          </w:rPr>
          <w:tab/>
        </w:r>
        <w:r>
          <w:rPr>
            <w:noProof/>
            <w:webHidden/>
          </w:rPr>
          <w:fldChar w:fldCharType="begin"/>
        </w:r>
        <w:r>
          <w:rPr>
            <w:noProof/>
            <w:webHidden/>
          </w:rPr>
          <w:instrText xml:space="preserve"> PAGEREF _Toc31702088 \h </w:instrText>
        </w:r>
        <w:r>
          <w:rPr>
            <w:noProof/>
            <w:webHidden/>
          </w:rPr>
        </w:r>
        <w:r>
          <w:rPr>
            <w:noProof/>
            <w:webHidden/>
          </w:rPr>
          <w:fldChar w:fldCharType="separate"/>
        </w:r>
        <w:r>
          <w:rPr>
            <w:noProof/>
            <w:webHidden/>
          </w:rPr>
          <w:t>228</w:t>
        </w:r>
        <w:r>
          <w:rPr>
            <w:noProof/>
            <w:webHidden/>
          </w:rPr>
          <w:fldChar w:fldCharType="end"/>
        </w:r>
      </w:hyperlink>
    </w:p>
    <w:p w14:paraId="57D09C11" w14:textId="0ADC910E"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89" w:history="1">
        <w:r w:rsidRPr="00615DD9">
          <w:rPr>
            <w:rStyle w:val="Hyperlink"/>
            <w:noProof/>
          </w:rPr>
          <w:t>Figure 20. Plotted typology. BoR4.2</w:t>
        </w:r>
        <w:r>
          <w:rPr>
            <w:noProof/>
            <w:webHidden/>
          </w:rPr>
          <w:tab/>
        </w:r>
        <w:r>
          <w:rPr>
            <w:noProof/>
            <w:webHidden/>
          </w:rPr>
          <w:fldChar w:fldCharType="begin"/>
        </w:r>
        <w:r>
          <w:rPr>
            <w:noProof/>
            <w:webHidden/>
          </w:rPr>
          <w:instrText xml:space="preserve"> PAGEREF _Toc31702089 \h </w:instrText>
        </w:r>
        <w:r>
          <w:rPr>
            <w:noProof/>
            <w:webHidden/>
          </w:rPr>
        </w:r>
        <w:r>
          <w:rPr>
            <w:noProof/>
            <w:webHidden/>
          </w:rPr>
          <w:fldChar w:fldCharType="separate"/>
        </w:r>
        <w:r>
          <w:rPr>
            <w:noProof/>
            <w:webHidden/>
          </w:rPr>
          <w:t>230</w:t>
        </w:r>
        <w:r>
          <w:rPr>
            <w:noProof/>
            <w:webHidden/>
          </w:rPr>
          <w:fldChar w:fldCharType="end"/>
        </w:r>
      </w:hyperlink>
    </w:p>
    <w:p w14:paraId="790015D5" w14:textId="71D2CB45"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0" w:history="1">
        <w:r w:rsidRPr="00615DD9">
          <w:rPr>
            <w:rStyle w:val="Hyperlink"/>
            <w:noProof/>
          </w:rPr>
          <w:t>Figure 21. Plotted typology. BoR5</w:t>
        </w:r>
        <w:r>
          <w:rPr>
            <w:noProof/>
            <w:webHidden/>
          </w:rPr>
          <w:tab/>
        </w:r>
        <w:r>
          <w:rPr>
            <w:noProof/>
            <w:webHidden/>
          </w:rPr>
          <w:fldChar w:fldCharType="begin"/>
        </w:r>
        <w:r>
          <w:rPr>
            <w:noProof/>
            <w:webHidden/>
          </w:rPr>
          <w:instrText xml:space="preserve"> PAGEREF _Toc31702090 \h </w:instrText>
        </w:r>
        <w:r>
          <w:rPr>
            <w:noProof/>
            <w:webHidden/>
          </w:rPr>
        </w:r>
        <w:r>
          <w:rPr>
            <w:noProof/>
            <w:webHidden/>
          </w:rPr>
          <w:fldChar w:fldCharType="separate"/>
        </w:r>
        <w:r>
          <w:rPr>
            <w:noProof/>
            <w:webHidden/>
          </w:rPr>
          <w:t>233</w:t>
        </w:r>
        <w:r>
          <w:rPr>
            <w:noProof/>
            <w:webHidden/>
          </w:rPr>
          <w:fldChar w:fldCharType="end"/>
        </w:r>
      </w:hyperlink>
    </w:p>
    <w:p w14:paraId="13528E88" w14:textId="38F6B9EC"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1" w:history="1">
        <w:r w:rsidRPr="00615DD9">
          <w:rPr>
            <w:rStyle w:val="Hyperlink"/>
            <w:noProof/>
          </w:rPr>
          <w:t>Figure 22. Plotted typology. BoR7.1</w:t>
        </w:r>
        <w:r>
          <w:rPr>
            <w:noProof/>
            <w:webHidden/>
          </w:rPr>
          <w:tab/>
        </w:r>
        <w:r>
          <w:rPr>
            <w:noProof/>
            <w:webHidden/>
          </w:rPr>
          <w:fldChar w:fldCharType="begin"/>
        </w:r>
        <w:r>
          <w:rPr>
            <w:noProof/>
            <w:webHidden/>
          </w:rPr>
          <w:instrText xml:space="preserve"> PAGEREF _Toc31702091 \h </w:instrText>
        </w:r>
        <w:r>
          <w:rPr>
            <w:noProof/>
            <w:webHidden/>
          </w:rPr>
        </w:r>
        <w:r>
          <w:rPr>
            <w:noProof/>
            <w:webHidden/>
          </w:rPr>
          <w:fldChar w:fldCharType="separate"/>
        </w:r>
        <w:r>
          <w:rPr>
            <w:noProof/>
            <w:webHidden/>
          </w:rPr>
          <w:t>235</w:t>
        </w:r>
        <w:r>
          <w:rPr>
            <w:noProof/>
            <w:webHidden/>
          </w:rPr>
          <w:fldChar w:fldCharType="end"/>
        </w:r>
      </w:hyperlink>
    </w:p>
    <w:p w14:paraId="6132BE83" w14:textId="142B9ABA"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2" w:history="1">
        <w:r w:rsidRPr="00615DD9">
          <w:rPr>
            <w:rStyle w:val="Hyperlink"/>
            <w:noProof/>
          </w:rPr>
          <w:t>Figure 23. Plotted typology. BoR7.2</w:t>
        </w:r>
        <w:r>
          <w:rPr>
            <w:noProof/>
            <w:webHidden/>
          </w:rPr>
          <w:tab/>
        </w:r>
        <w:r>
          <w:rPr>
            <w:noProof/>
            <w:webHidden/>
          </w:rPr>
          <w:fldChar w:fldCharType="begin"/>
        </w:r>
        <w:r>
          <w:rPr>
            <w:noProof/>
            <w:webHidden/>
          </w:rPr>
          <w:instrText xml:space="preserve"> PAGEREF _Toc31702092 \h </w:instrText>
        </w:r>
        <w:r>
          <w:rPr>
            <w:noProof/>
            <w:webHidden/>
          </w:rPr>
        </w:r>
        <w:r>
          <w:rPr>
            <w:noProof/>
            <w:webHidden/>
          </w:rPr>
          <w:fldChar w:fldCharType="separate"/>
        </w:r>
        <w:r>
          <w:rPr>
            <w:noProof/>
            <w:webHidden/>
          </w:rPr>
          <w:t>237</w:t>
        </w:r>
        <w:r>
          <w:rPr>
            <w:noProof/>
            <w:webHidden/>
          </w:rPr>
          <w:fldChar w:fldCharType="end"/>
        </w:r>
      </w:hyperlink>
    </w:p>
    <w:p w14:paraId="72C38FE3" w14:textId="4D11F6E5"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3" w:history="1">
        <w:r w:rsidRPr="00615DD9">
          <w:rPr>
            <w:rStyle w:val="Hyperlink"/>
            <w:noProof/>
          </w:rPr>
          <w:t>Figure 24. Plotted typology. BoR8.1</w:t>
        </w:r>
        <w:r>
          <w:rPr>
            <w:noProof/>
            <w:webHidden/>
          </w:rPr>
          <w:tab/>
        </w:r>
        <w:r>
          <w:rPr>
            <w:noProof/>
            <w:webHidden/>
          </w:rPr>
          <w:fldChar w:fldCharType="begin"/>
        </w:r>
        <w:r>
          <w:rPr>
            <w:noProof/>
            <w:webHidden/>
          </w:rPr>
          <w:instrText xml:space="preserve"> PAGEREF _Toc31702093 \h </w:instrText>
        </w:r>
        <w:r>
          <w:rPr>
            <w:noProof/>
            <w:webHidden/>
          </w:rPr>
        </w:r>
        <w:r>
          <w:rPr>
            <w:noProof/>
            <w:webHidden/>
          </w:rPr>
          <w:fldChar w:fldCharType="separate"/>
        </w:r>
        <w:r>
          <w:rPr>
            <w:noProof/>
            <w:webHidden/>
          </w:rPr>
          <w:t>239</w:t>
        </w:r>
        <w:r>
          <w:rPr>
            <w:noProof/>
            <w:webHidden/>
          </w:rPr>
          <w:fldChar w:fldCharType="end"/>
        </w:r>
      </w:hyperlink>
    </w:p>
    <w:p w14:paraId="5373F1AC" w14:textId="55E2103D"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4" w:history="1">
        <w:r w:rsidRPr="00615DD9">
          <w:rPr>
            <w:rStyle w:val="Hyperlink"/>
            <w:noProof/>
          </w:rPr>
          <w:t>Figure 25. Plotted typology. BoR8.2</w:t>
        </w:r>
        <w:r>
          <w:rPr>
            <w:noProof/>
            <w:webHidden/>
          </w:rPr>
          <w:tab/>
        </w:r>
        <w:r>
          <w:rPr>
            <w:noProof/>
            <w:webHidden/>
          </w:rPr>
          <w:fldChar w:fldCharType="begin"/>
        </w:r>
        <w:r>
          <w:rPr>
            <w:noProof/>
            <w:webHidden/>
          </w:rPr>
          <w:instrText xml:space="preserve"> PAGEREF _Toc31702094 \h </w:instrText>
        </w:r>
        <w:r>
          <w:rPr>
            <w:noProof/>
            <w:webHidden/>
          </w:rPr>
        </w:r>
        <w:r>
          <w:rPr>
            <w:noProof/>
            <w:webHidden/>
          </w:rPr>
          <w:fldChar w:fldCharType="separate"/>
        </w:r>
        <w:r>
          <w:rPr>
            <w:noProof/>
            <w:webHidden/>
          </w:rPr>
          <w:t>241</w:t>
        </w:r>
        <w:r>
          <w:rPr>
            <w:noProof/>
            <w:webHidden/>
          </w:rPr>
          <w:fldChar w:fldCharType="end"/>
        </w:r>
      </w:hyperlink>
    </w:p>
    <w:p w14:paraId="220B3737" w14:textId="0DACCDB7"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5" w:history="1">
        <w:r w:rsidRPr="00615DD9">
          <w:rPr>
            <w:rStyle w:val="Hyperlink"/>
            <w:noProof/>
          </w:rPr>
          <w:t>Figure 26. Plotted typology. BoR8.3</w:t>
        </w:r>
        <w:r>
          <w:rPr>
            <w:noProof/>
            <w:webHidden/>
          </w:rPr>
          <w:tab/>
        </w:r>
        <w:r>
          <w:rPr>
            <w:noProof/>
            <w:webHidden/>
          </w:rPr>
          <w:fldChar w:fldCharType="begin"/>
        </w:r>
        <w:r>
          <w:rPr>
            <w:noProof/>
            <w:webHidden/>
          </w:rPr>
          <w:instrText xml:space="preserve"> PAGEREF _Toc31702095 \h </w:instrText>
        </w:r>
        <w:r>
          <w:rPr>
            <w:noProof/>
            <w:webHidden/>
          </w:rPr>
        </w:r>
        <w:r>
          <w:rPr>
            <w:noProof/>
            <w:webHidden/>
          </w:rPr>
          <w:fldChar w:fldCharType="separate"/>
        </w:r>
        <w:r>
          <w:rPr>
            <w:noProof/>
            <w:webHidden/>
          </w:rPr>
          <w:t>242</w:t>
        </w:r>
        <w:r>
          <w:rPr>
            <w:noProof/>
            <w:webHidden/>
          </w:rPr>
          <w:fldChar w:fldCharType="end"/>
        </w:r>
      </w:hyperlink>
    </w:p>
    <w:p w14:paraId="235209C1" w14:textId="14C4FFC7"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6" w:history="1">
        <w:r w:rsidRPr="00615DD9">
          <w:rPr>
            <w:rStyle w:val="Hyperlink"/>
            <w:noProof/>
          </w:rPr>
          <w:t>Figure 27. Plotted typology. BoR 9</w:t>
        </w:r>
        <w:r>
          <w:rPr>
            <w:noProof/>
            <w:webHidden/>
          </w:rPr>
          <w:tab/>
        </w:r>
        <w:r>
          <w:rPr>
            <w:noProof/>
            <w:webHidden/>
          </w:rPr>
          <w:fldChar w:fldCharType="begin"/>
        </w:r>
        <w:r>
          <w:rPr>
            <w:noProof/>
            <w:webHidden/>
          </w:rPr>
          <w:instrText xml:space="preserve"> PAGEREF _Toc31702096 \h </w:instrText>
        </w:r>
        <w:r>
          <w:rPr>
            <w:noProof/>
            <w:webHidden/>
          </w:rPr>
        </w:r>
        <w:r>
          <w:rPr>
            <w:noProof/>
            <w:webHidden/>
          </w:rPr>
          <w:fldChar w:fldCharType="separate"/>
        </w:r>
        <w:r>
          <w:rPr>
            <w:noProof/>
            <w:webHidden/>
          </w:rPr>
          <w:t>246</w:t>
        </w:r>
        <w:r>
          <w:rPr>
            <w:noProof/>
            <w:webHidden/>
          </w:rPr>
          <w:fldChar w:fldCharType="end"/>
        </w:r>
      </w:hyperlink>
    </w:p>
    <w:p w14:paraId="1D4D039D" w14:textId="092D91E5"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7" w:history="1">
        <w:r w:rsidRPr="00615DD9">
          <w:rPr>
            <w:rStyle w:val="Hyperlink"/>
            <w:noProof/>
          </w:rPr>
          <w:t>Figure 28. Plotted typology. BoR10.1</w:t>
        </w:r>
        <w:r>
          <w:rPr>
            <w:noProof/>
            <w:webHidden/>
          </w:rPr>
          <w:tab/>
        </w:r>
        <w:r>
          <w:rPr>
            <w:noProof/>
            <w:webHidden/>
          </w:rPr>
          <w:fldChar w:fldCharType="begin"/>
        </w:r>
        <w:r>
          <w:rPr>
            <w:noProof/>
            <w:webHidden/>
          </w:rPr>
          <w:instrText xml:space="preserve"> PAGEREF _Toc31702097 \h </w:instrText>
        </w:r>
        <w:r>
          <w:rPr>
            <w:noProof/>
            <w:webHidden/>
          </w:rPr>
        </w:r>
        <w:r>
          <w:rPr>
            <w:noProof/>
            <w:webHidden/>
          </w:rPr>
          <w:fldChar w:fldCharType="separate"/>
        </w:r>
        <w:r>
          <w:rPr>
            <w:noProof/>
            <w:webHidden/>
          </w:rPr>
          <w:t>248</w:t>
        </w:r>
        <w:r>
          <w:rPr>
            <w:noProof/>
            <w:webHidden/>
          </w:rPr>
          <w:fldChar w:fldCharType="end"/>
        </w:r>
      </w:hyperlink>
    </w:p>
    <w:p w14:paraId="2E9050FD" w14:textId="38719D8B"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8" w:history="1">
        <w:r w:rsidRPr="00615DD9">
          <w:rPr>
            <w:rStyle w:val="Hyperlink"/>
            <w:noProof/>
          </w:rPr>
          <w:t>Figure 29. Plotted typology. BoR10.2</w:t>
        </w:r>
        <w:r>
          <w:rPr>
            <w:noProof/>
            <w:webHidden/>
          </w:rPr>
          <w:tab/>
        </w:r>
        <w:r>
          <w:rPr>
            <w:noProof/>
            <w:webHidden/>
          </w:rPr>
          <w:fldChar w:fldCharType="begin"/>
        </w:r>
        <w:r>
          <w:rPr>
            <w:noProof/>
            <w:webHidden/>
          </w:rPr>
          <w:instrText xml:space="preserve"> PAGEREF _Toc31702098 \h </w:instrText>
        </w:r>
        <w:r>
          <w:rPr>
            <w:noProof/>
            <w:webHidden/>
          </w:rPr>
        </w:r>
        <w:r>
          <w:rPr>
            <w:noProof/>
            <w:webHidden/>
          </w:rPr>
          <w:fldChar w:fldCharType="separate"/>
        </w:r>
        <w:r>
          <w:rPr>
            <w:noProof/>
            <w:webHidden/>
          </w:rPr>
          <w:t>251</w:t>
        </w:r>
        <w:r>
          <w:rPr>
            <w:noProof/>
            <w:webHidden/>
          </w:rPr>
          <w:fldChar w:fldCharType="end"/>
        </w:r>
      </w:hyperlink>
    </w:p>
    <w:p w14:paraId="717FC12A" w14:textId="3CE91BB9"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099" w:history="1">
        <w:r w:rsidRPr="00615DD9">
          <w:rPr>
            <w:rStyle w:val="Hyperlink"/>
            <w:noProof/>
          </w:rPr>
          <w:t>Figure 30. Plotted typology. BoR11.1</w:t>
        </w:r>
        <w:r>
          <w:rPr>
            <w:noProof/>
            <w:webHidden/>
          </w:rPr>
          <w:tab/>
        </w:r>
        <w:r>
          <w:rPr>
            <w:noProof/>
            <w:webHidden/>
          </w:rPr>
          <w:fldChar w:fldCharType="begin"/>
        </w:r>
        <w:r>
          <w:rPr>
            <w:noProof/>
            <w:webHidden/>
          </w:rPr>
          <w:instrText xml:space="preserve"> PAGEREF _Toc31702099 \h </w:instrText>
        </w:r>
        <w:r>
          <w:rPr>
            <w:noProof/>
            <w:webHidden/>
          </w:rPr>
        </w:r>
        <w:r>
          <w:rPr>
            <w:noProof/>
            <w:webHidden/>
          </w:rPr>
          <w:fldChar w:fldCharType="separate"/>
        </w:r>
        <w:r>
          <w:rPr>
            <w:noProof/>
            <w:webHidden/>
          </w:rPr>
          <w:t>253</w:t>
        </w:r>
        <w:r>
          <w:rPr>
            <w:noProof/>
            <w:webHidden/>
          </w:rPr>
          <w:fldChar w:fldCharType="end"/>
        </w:r>
      </w:hyperlink>
    </w:p>
    <w:p w14:paraId="4D225E7F" w14:textId="31C45B5D"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100" w:history="1">
        <w:r w:rsidRPr="00615DD9">
          <w:rPr>
            <w:rStyle w:val="Hyperlink"/>
            <w:noProof/>
          </w:rPr>
          <w:t>Figure 31. Plotted typology. BoR11.2</w:t>
        </w:r>
        <w:r>
          <w:rPr>
            <w:noProof/>
            <w:webHidden/>
          </w:rPr>
          <w:tab/>
        </w:r>
        <w:r>
          <w:rPr>
            <w:noProof/>
            <w:webHidden/>
          </w:rPr>
          <w:fldChar w:fldCharType="begin"/>
        </w:r>
        <w:r>
          <w:rPr>
            <w:noProof/>
            <w:webHidden/>
          </w:rPr>
          <w:instrText xml:space="preserve"> PAGEREF _Toc31702100 \h </w:instrText>
        </w:r>
        <w:r>
          <w:rPr>
            <w:noProof/>
            <w:webHidden/>
          </w:rPr>
        </w:r>
        <w:r>
          <w:rPr>
            <w:noProof/>
            <w:webHidden/>
          </w:rPr>
          <w:fldChar w:fldCharType="separate"/>
        </w:r>
        <w:r>
          <w:rPr>
            <w:noProof/>
            <w:webHidden/>
          </w:rPr>
          <w:t>255</w:t>
        </w:r>
        <w:r>
          <w:rPr>
            <w:noProof/>
            <w:webHidden/>
          </w:rPr>
          <w:fldChar w:fldCharType="end"/>
        </w:r>
      </w:hyperlink>
    </w:p>
    <w:p w14:paraId="3A8FF9E4" w14:textId="1CE9ACFB"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101" w:history="1">
        <w:r w:rsidRPr="00615DD9">
          <w:rPr>
            <w:rStyle w:val="Hyperlink"/>
            <w:noProof/>
          </w:rPr>
          <w:t>Figure 32. Plotted typology. BoR13.1</w:t>
        </w:r>
        <w:r>
          <w:rPr>
            <w:noProof/>
            <w:webHidden/>
          </w:rPr>
          <w:tab/>
        </w:r>
        <w:r>
          <w:rPr>
            <w:noProof/>
            <w:webHidden/>
          </w:rPr>
          <w:fldChar w:fldCharType="begin"/>
        </w:r>
        <w:r>
          <w:rPr>
            <w:noProof/>
            <w:webHidden/>
          </w:rPr>
          <w:instrText xml:space="preserve"> PAGEREF _Toc31702101 \h </w:instrText>
        </w:r>
        <w:r>
          <w:rPr>
            <w:noProof/>
            <w:webHidden/>
          </w:rPr>
        </w:r>
        <w:r>
          <w:rPr>
            <w:noProof/>
            <w:webHidden/>
          </w:rPr>
          <w:fldChar w:fldCharType="separate"/>
        </w:r>
        <w:r>
          <w:rPr>
            <w:noProof/>
            <w:webHidden/>
          </w:rPr>
          <w:t>257</w:t>
        </w:r>
        <w:r>
          <w:rPr>
            <w:noProof/>
            <w:webHidden/>
          </w:rPr>
          <w:fldChar w:fldCharType="end"/>
        </w:r>
      </w:hyperlink>
    </w:p>
    <w:p w14:paraId="40726BCE" w14:textId="676C1663"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102" w:history="1">
        <w:r w:rsidRPr="00615DD9">
          <w:rPr>
            <w:rStyle w:val="Hyperlink"/>
            <w:noProof/>
          </w:rPr>
          <w:t>Figure 33. Plotted typology. BoR13.2</w:t>
        </w:r>
        <w:r>
          <w:rPr>
            <w:noProof/>
            <w:webHidden/>
          </w:rPr>
          <w:tab/>
        </w:r>
        <w:r>
          <w:rPr>
            <w:noProof/>
            <w:webHidden/>
          </w:rPr>
          <w:fldChar w:fldCharType="begin"/>
        </w:r>
        <w:r>
          <w:rPr>
            <w:noProof/>
            <w:webHidden/>
          </w:rPr>
          <w:instrText xml:space="preserve"> PAGEREF _Toc31702102 \h </w:instrText>
        </w:r>
        <w:r>
          <w:rPr>
            <w:noProof/>
            <w:webHidden/>
          </w:rPr>
        </w:r>
        <w:r>
          <w:rPr>
            <w:noProof/>
            <w:webHidden/>
          </w:rPr>
          <w:fldChar w:fldCharType="separate"/>
        </w:r>
        <w:r>
          <w:rPr>
            <w:noProof/>
            <w:webHidden/>
          </w:rPr>
          <w:t>259</w:t>
        </w:r>
        <w:r>
          <w:rPr>
            <w:noProof/>
            <w:webHidden/>
          </w:rPr>
          <w:fldChar w:fldCharType="end"/>
        </w:r>
      </w:hyperlink>
    </w:p>
    <w:p w14:paraId="009E9EB9" w14:textId="3C5A0EAC"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103" w:history="1">
        <w:r w:rsidRPr="00615DD9">
          <w:rPr>
            <w:rStyle w:val="Hyperlink"/>
            <w:noProof/>
          </w:rPr>
          <w:t>Figure 34. Plotted typology. BoR14.1</w:t>
        </w:r>
        <w:r>
          <w:rPr>
            <w:noProof/>
            <w:webHidden/>
          </w:rPr>
          <w:tab/>
        </w:r>
        <w:r>
          <w:rPr>
            <w:noProof/>
            <w:webHidden/>
          </w:rPr>
          <w:fldChar w:fldCharType="begin"/>
        </w:r>
        <w:r>
          <w:rPr>
            <w:noProof/>
            <w:webHidden/>
          </w:rPr>
          <w:instrText xml:space="preserve"> PAGEREF _Toc31702103 \h </w:instrText>
        </w:r>
        <w:r>
          <w:rPr>
            <w:noProof/>
            <w:webHidden/>
          </w:rPr>
        </w:r>
        <w:r>
          <w:rPr>
            <w:noProof/>
            <w:webHidden/>
          </w:rPr>
          <w:fldChar w:fldCharType="separate"/>
        </w:r>
        <w:r>
          <w:rPr>
            <w:noProof/>
            <w:webHidden/>
          </w:rPr>
          <w:t>261</w:t>
        </w:r>
        <w:r>
          <w:rPr>
            <w:noProof/>
            <w:webHidden/>
          </w:rPr>
          <w:fldChar w:fldCharType="end"/>
        </w:r>
      </w:hyperlink>
    </w:p>
    <w:p w14:paraId="603BCD5C" w14:textId="7DC37682" w:rsidR="0011424E" w:rsidRDefault="0011424E">
      <w:pPr>
        <w:pStyle w:val="TableofFigures"/>
        <w:tabs>
          <w:tab w:val="right" w:leader="dot" w:pos="9514"/>
        </w:tabs>
        <w:rPr>
          <w:rFonts w:asciiTheme="minorHAnsi" w:eastAsiaTheme="minorEastAsia" w:hAnsiTheme="minorHAnsi" w:cstheme="minorBidi"/>
          <w:noProof/>
          <w:sz w:val="22"/>
          <w:szCs w:val="22"/>
          <w:lang w:eastAsia="en-GB"/>
        </w:rPr>
      </w:pPr>
      <w:hyperlink w:anchor="_Toc31702104" w:history="1">
        <w:r w:rsidRPr="00615DD9">
          <w:rPr>
            <w:rStyle w:val="Hyperlink"/>
            <w:noProof/>
          </w:rPr>
          <w:t>Figure 35. Plotted typology. BoR14.2</w:t>
        </w:r>
        <w:r>
          <w:rPr>
            <w:noProof/>
            <w:webHidden/>
          </w:rPr>
          <w:tab/>
        </w:r>
        <w:r>
          <w:rPr>
            <w:noProof/>
            <w:webHidden/>
          </w:rPr>
          <w:fldChar w:fldCharType="begin"/>
        </w:r>
        <w:r>
          <w:rPr>
            <w:noProof/>
            <w:webHidden/>
          </w:rPr>
          <w:instrText xml:space="preserve"> PAGEREF _Toc31702104 \h </w:instrText>
        </w:r>
        <w:r>
          <w:rPr>
            <w:noProof/>
            <w:webHidden/>
          </w:rPr>
        </w:r>
        <w:r>
          <w:rPr>
            <w:noProof/>
            <w:webHidden/>
          </w:rPr>
          <w:fldChar w:fldCharType="separate"/>
        </w:r>
        <w:r>
          <w:rPr>
            <w:noProof/>
            <w:webHidden/>
          </w:rPr>
          <w:t>263</w:t>
        </w:r>
        <w:r>
          <w:rPr>
            <w:noProof/>
            <w:webHidden/>
          </w:rPr>
          <w:fldChar w:fldCharType="end"/>
        </w:r>
      </w:hyperlink>
    </w:p>
    <w:p w14:paraId="5CC207EE" w14:textId="09E0EF34" w:rsidR="007239D9" w:rsidRPr="002124AD" w:rsidRDefault="00A677CD" w:rsidP="007D48B4">
      <w:pPr>
        <w:spacing w:after="120" w:line="360" w:lineRule="auto"/>
        <w:rPr>
          <w:rFonts w:ascii="Calibri" w:eastAsia="Times New Roman" w:hAnsi="Calibri" w:cs="Calibri"/>
          <w:lang w:eastAsia="ko-KR"/>
        </w:rPr>
      </w:pPr>
      <w:r>
        <w:rPr>
          <w:rFonts w:ascii="Calibri" w:eastAsia="Times New Roman" w:hAnsi="Calibri" w:cs="Calibri"/>
          <w:lang w:eastAsia="ko-KR"/>
        </w:rPr>
        <w:fldChar w:fldCharType="end"/>
      </w:r>
    </w:p>
    <w:p w14:paraId="6339A8C5" w14:textId="77777777" w:rsidR="006973A0" w:rsidRDefault="006973A0">
      <w:pPr>
        <w:rPr>
          <w:rFonts w:asciiTheme="majorHAnsi" w:eastAsiaTheme="majorEastAsia" w:hAnsiTheme="majorHAnsi" w:cstheme="majorBidi"/>
          <w:color w:val="2F5496" w:themeColor="accent1" w:themeShade="BF"/>
          <w:sz w:val="32"/>
          <w:szCs w:val="32"/>
        </w:rPr>
      </w:pPr>
      <w:bookmarkStart w:id="8" w:name="_Toc536717900"/>
      <w:r>
        <w:br w:type="page"/>
      </w:r>
    </w:p>
    <w:p w14:paraId="1AB70CD4" w14:textId="486F20FE" w:rsidR="00965093" w:rsidRDefault="00965093" w:rsidP="00965093">
      <w:pPr>
        <w:pStyle w:val="Heading1"/>
      </w:pPr>
      <w:bookmarkStart w:id="9" w:name="_Toc31701928"/>
      <w:r>
        <w:t>Glossary</w:t>
      </w:r>
      <w:bookmarkEnd w:id="8"/>
      <w:bookmarkEnd w:id="9"/>
    </w:p>
    <w:p w14:paraId="0C747CEC" w14:textId="1F13E3AC" w:rsidR="00A6667A" w:rsidRDefault="00A6667A" w:rsidP="00965093">
      <w:pPr>
        <w:spacing w:before="120" w:after="120" w:line="360" w:lineRule="auto"/>
        <w:rPr>
          <w:b/>
          <w:sz w:val="24"/>
          <w:szCs w:val="24"/>
        </w:rPr>
      </w:pPr>
      <w:r>
        <w:rPr>
          <w:b/>
          <w:sz w:val="24"/>
          <w:szCs w:val="24"/>
        </w:rPr>
        <w:t xml:space="preserve">AHSS </w:t>
      </w:r>
      <w:r w:rsidRPr="008C57E0">
        <w:rPr>
          <w:sz w:val="24"/>
          <w:szCs w:val="24"/>
        </w:rPr>
        <w:t xml:space="preserve">(Arts, </w:t>
      </w:r>
      <w:r w:rsidR="00CD2170" w:rsidRPr="008C57E0">
        <w:rPr>
          <w:sz w:val="24"/>
          <w:szCs w:val="24"/>
        </w:rPr>
        <w:t>H</w:t>
      </w:r>
      <w:r w:rsidRPr="008C57E0">
        <w:rPr>
          <w:sz w:val="24"/>
          <w:szCs w:val="24"/>
        </w:rPr>
        <w:t xml:space="preserve">umanities, and </w:t>
      </w:r>
      <w:r w:rsidR="00CD2170" w:rsidRPr="008C57E0">
        <w:rPr>
          <w:sz w:val="24"/>
          <w:szCs w:val="24"/>
        </w:rPr>
        <w:t>S</w:t>
      </w:r>
      <w:r w:rsidRPr="008C57E0">
        <w:rPr>
          <w:sz w:val="24"/>
          <w:szCs w:val="24"/>
        </w:rPr>
        <w:t xml:space="preserve">ocial </w:t>
      </w:r>
      <w:r w:rsidR="00CD2170" w:rsidRPr="008C57E0">
        <w:rPr>
          <w:sz w:val="24"/>
          <w:szCs w:val="24"/>
        </w:rPr>
        <w:t>S</w:t>
      </w:r>
      <w:r w:rsidRPr="008C57E0">
        <w:rPr>
          <w:sz w:val="24"/>
          <w:szCs w:val="24"/>
        </w:rPr>
        <w:t>ciences)</w:t>
      </w:r>
    </w:p>
    <w:p w14:paraId="7B73F2E9" w14:textId="35C97404" w:rsidR="00965093" w:rsidRPr="00D23189" w:rsidRDefault="00965093" w:rsidP="00965093">
      <w:pPr>
        <w:spacing w:before="120" w:after="120" w:line="360" w:lineRule="auto"/>
        <w:rPr>
          <w:sz w:val="24"/>
          <w:szCs w:val="24"/>
        </w:rPr>
      </w:pPr>
      <w:r>
        <w:rPr>
          <w:b/>
          <w:sz w:val="24"/>
          <w:szCs w:val="24"/>
        </w:rPr>
        <w:t xml:space="preserve">AIG </w:t>
      </w:r>
      <w:r>
        <w:rPr>
          <w:sz w:val="24"/>
          <w:szCs w:val="24"/>
        </w:rPr>
        <w:t xml:space="preserve">(Astronomy Instrumentation Group): AIG is a research group responsible for the research sampled from Cardiff University. </w:t>
      </w:r>
    </w:p>
    <w:p w14:paraId="2A3AC2F1" w14:textId="77777777" w:rsidR="00965093" w:rsidRPr="004C2938" w:rsidRDefault="00965093" w:rsidP="00965093">
      <w:pPr>
        <w:spacing w:after="120" w:line="360" w:lineRule="auto"/>
        <w:rPr>
          <w:sz w:val="24"/>
          <w:szCs w:val="24"/>
        </w:rPr>
      </w:pPr>
      <w:r>
        <w:rPr>
          <w:b/>
          <w:sz w:val="24"/>
          <w:szCs w:val="24"/>
        </w:rPr>
        <w:t xml:space="preserve">ARG </w:t>
      </w:r>
      <w:r>
        <w:rPr>
          <w:sz w:val="24"/>
          <w:szCs w:val="24"/>
        </w:rPr>
        <w:t>(Astronomy Research Group): ARG is a research group, closely related to AIG, responsible for the research sampled from Cardiff University.</w:t>
      </w:r>
    </w:p>
    <w:p w14:paraId="04540463" w14:textId="13260194" w:rsidR="00965093" w:rsidRDefault="00965093" w:rsidP="00965093">
      <w:pPr>
        <w:spacing w:after="120" w:line="360" w:lineRule="auto"/>
        <w:rPr>
          <w:sz w:val="24"/>
          <w:szCs w:val="24"/>
        </w:rPr>
      </w:pPr>
      <w:r>
        <w:rPr>
          <w:b/>
          <w:sz w:val="24"/>
          <w:szCs w:val="24"/>
        </w:rPr>
        <w:t>B</w:t>
      </w:r>
      <w:r w:rsidR="00354EC8">
        <w:rPr>
          <w:b/>
          <w:sz w:val="24"/>
          <w:szCs w:val="24"/>
        </w:rPr>
        <w:t>o</w:t>
      </w:r>
      <w:r>
        <w:rPr>
          <w:b/>
          <w:sz w:val="24"/>
          <w:szCs w:val="24"/>
        </w:rPr>
        <w:t xml:space="preserve">R </w:t>
      </w:r>
      <w:r>
        <w:rPr>
          <w:sz w:val="24"/>
          <w:szCs w:val="24"/>
        </w:rPr>
        <w:t xml:space="preserve">(Body of Research): This is the unit of analysis adopted in my main analytical procedures. </w:t>
      </w:r>
    </w:p>
    <w:p w14:paraId="26390B61" w14:textId="362C7524" w:rsidR="00965093" w:rsidRPr="000014A1" w:rsidRDefault="00965093" w:rsidP="00965093">
      <w:pPr>
        <w:spacing w:after="120" w:line="360" w:lineRule="auto"/>
        <w:rPr>
          <w:sz w:val="24"/>
          <w:szCs w:val="24"/>
        </w:rPr>
      </w:pPr>
      <w:r>
        <w:rPr>
          <w:b/>
          <w:sz w:val="24"/>
          <w:szCs w:val="24"/>
        </w:rPr>
        <w:t>BPS</w:t>
      </w:r>
      <w:r>
        <w:rPr>
          <w:sz w:val="24"/>
          <w:szCs w:val="24"/>
        </w:rPr>
        <w:t xml:space="preserve"> (British Psychological Society) </w:t>
      </w:r>
    </w:p>
    <w:p w14:paraId="5727E742" w14:textId="77777777" w:rsidR="00965093" w:rsidRPr="007C30EF" w:rsidRDefault="00965093" w:rsidP="00965093">
      <w:pPr>
        <w:spacing w:after="120" w:line="360" w:lineRule="auto"/>
        <w:rPr>
          <w:sz w:val="24"/>
          <w:szCs w:val="24"/>
        </w:rPr>
      </w:pPr>
      <w:r>
        <w:rPr>
          <w:b/>
          <w:sz w:val="24"/>
          <w:szCs w:val="24"/>
        </w:rPr>
        <w:t xml:space="preserve">CEMaSS </w:t>
      </w:r>
      <w:r>
        <w:rPr>
          <w:sz w:val="24"/>
          <w:szCs w:val="24"/>
        </w:rPr>
        <w:t>(Centre for Environmental and Marine Sciences and Services): CEMaSS is a research group at Edinburgh Napier University responsible for research sampled in my study.</w:t>
      </w:r>
    </w:p>
    <w:p w14:paraId="30DFBC99" w14:textId="77777777" w:rsidR="00965093" w:rsidRPr="007C30EF" w:rsidRDefault="00965093" w:rsidP="00965093">
      <w:pPr>
        <w:spacing w:after="120" w:line="360" w:lineRule="auto"/>
        <w:rPr>
          <w:sz w:val="24"/>
          <w:szCs w:val="24"/>
        </w:rPr>
      </w:pPr>
      <w:r w:rsidRPr="00D74236">
        <w:rPr>
          <w:b/>
          <w:sz w:val="24"/>
          <w:szCs w:val="24"/>
        </w:rPr>
        <w:t>CenTACat</w:t>
      </w:r>
      <w:r>
        <w:rPr>
          <w:b/>
          <w:sz w:val="24"/>
          <w:szCs w:val="24"/>
        </w:rPr>
        <w:t xml:space="preserve"> </w:t>
      </w:r>
      <w:r>
        <w:rPr>
          <w:sz w:val="24"/>
          <w:szCs w:val="24"/>
        </w:rPr>
        <w:t>(Centre for Theory and Application of Catalysis): CenTACat is a research group at Queen’s University Belfast responsible for research sampled in my study.</w:t>
      </w:r>
    </w:p>
    <w:p w14:paraId="12530975" w14:textId="77777777" w:rsidR="00965093" w:rsidRPr="00942776" w:rsidRDefault="00965093" w:rsidP="00965093">
      <w:pPr>
        <w:spacing w:after="120" w:line="360" w:lineRule="auto"/>
        <w:rPr>
          <w:sz w:val="24"/>
          <w:szCs w:val="24"/>
        </w:rPr>
      </w:pPr>
      <w:r>
        <w:rPr>
          <w:b/>
          <w:sz w:val="24"/>
          <w:szCs w:val="24"/>
        </w:rPr>
        <w:t xml:space="preserve">CERI </w:t>
      </w:r>
      <w:r>
        <w:rPr>
          <w:sz w:val="24"/>
          <w:szCs w:val="24"/>
        </w:rPr>
        <w:t>(</w:t>
      </w:r>
      <w:r>
        <w:rPr>
          <w:noProof/>
          <w:sz w:val="24"/>
          <w:szCs w:val="24"/>
        </w:rPr>
        <w:t xml:space="preserve">Centre for Educational Research and Innovation): CERI is a centre of the Organisation for Economic Co-operation and Development. </w:t>
      </w:r>
    </w:p>
    <w:p w14:paraId="169E991C" w14:textId="77777777" w:rsidR="00965093" w:rsidRPr="007C30EF" w:rsidRDefault="00965093" w:rsidP="00965093">
      <w:pPr>
        <w:spacing w:after="120" w:line="360" w:lineRule="auto"/>
        <w:rPr>
          <w:sz w:val="24"/>
          <w:szCs w:val="24"/>
        </w:rPr>
      </w:pPr>
      <w:r>
        <w:rPr>
          <w:b/>
          <w:sz w:val="24"/>
          <w:szCs w:val="24"/>
        </w:rPr>
        <w:t xml:space="preserve">CHMI </w:t>
      </w:r>
      <w:r>
        <w:rPr>
          <w:sz w:val="24"/>
          <w:szCs w:val="24"/>
        </w:rPr>
        <w:t>(Centre for Healthcare Modelling and Informatics): CHMI is a research centre at the University of Portsmouth responsible for research sampled in my study.</w:t>
      </w:r>
    </w:p>
    <w:p w14:paraId="5D648536" w14:textId="77777777" w:rsidR="00965093" w:rsidRPr="006F2335" w:rsidRDefault="00965093" w:rsidP="00965093">
      <w:pPr>
        <w:spacing w:after="120" w:line="360" w:lineRule="auto"/>
        <w:rPr>
          <w:sz w:val="24"/>
          <w:szCs w:val="24"/>
        </w:rPr>
      </w:pPr>
      <w:r>
        <w:rPr>
          <w:b/>
          <w:sz w:val="24"/>
          <w:szCs w:val="24"/>
        </w:rPr>
        <w:t xml:space="preserve">DABRG </w:t>
      </w:r>
      <w:r>
        <w:rPr>
          <w:sz w:val="24"/>
          <w:szCs w:val="24"/>
        </w:rPr>
        <w:t>(Drugs and Addictive Behaviour Research Group): is a research group at the University of East London responsible for research sampled in my study.</w:t>
      </w:r>
    </w:p>
    <w:p w14:paraId="745751BD" w14:textId="77777777" w:rsidR="00965093" w:rsidRPr="007C30EF" w:rsidRDefault="00965093" w:rsidP="00965093">
      <w:pPr>
        <w:spacing w:after="120" w:line="360" w:lineRule="auto"/>
        <w:rPr>
          <w:sz w:val="24"/>
          <w:szCs w:val="24"/>
        </w:rPr>
      </w:pPr>
      <w:r>
        <w:rPr>
          <w:b/>
          <w:sz w:val="24"/>
          <w:szCs w:val="24"/>
        </w:rPr>
        <w:t>DMSM</w:t>
      </w:r>
      <w:r>
        <w:rPr>
          <w:sz w:val="24"/>
          <w:szCs w:val="24"/>
        </w:rPr>
        <w:t xml:space="preserve"> (Department for Materials Science and Metallurgy): DMSM is a department at the University of Cambridge responsible for research sampled in my study.</w:t>
      </w:r>
    </w:p>
    <w:p w14:paraId="54E7B9CB" w14:textId="77777777" w:rsidR="00965093" w:rsidRPr="00FF4139" w:rsidRDefault="00965093" w:rsidP="00965093">
      <w:pPr>
        <w:spacing w:after="120" w:line="360" w:lineRule="auto"/>
        <w:rPr>
          <w:b/>
          <w:sz w:val="24"/>
          <w:szCs w:val="24"/>
        </w:rPr>
      </w:pPr>
      <w:r>
        <w:rPr>
          <w:b/>
          <w:sz w:val="24"/>
          <w:szCs w:val="24"/>
        </w:rPr>
        <w:t xml:space="preserve">ENU </w:t>
      </w:r>
      <w:r>
        <w:rPr>
          <w:sz w:val="24"/>
          <w:szCs w:val="24"/>
        </w:rPr>
        <w:t>(Edinburgh Napier University): Edinburgh Napier University is one of the nine institutions whose research is sampled for study in this thesis. In the text, I use the abbreviated form ‘ENU’.</w:t>
      </w:r>
    </w:p>
    <w:p w14:paraId="58CF7D95" w14:textId="77777777" w:rsidR="00965093" w:rsidRPr="00B62A4E" w:rsidRDefault="00965093" w:rsidP="00965093">
      <w:pPr>
        <w:spacing w:after="120" w:line="360" w:lineRule="auto"/>
        <w:rPr>
          <w:sz w:val="24"/>
          <w:szCs w:val="24"/>
        </w:rPr>
      </w:pPr>
      <w:r>
        <w:rPr>
          <w:b/>
          <w:sz w:val="24"/>
          <w:szCs w:val="24"/>
        </w:rPr>
        <w:t xml:space="preserve">EPSRC </w:t>
      </w:r>
      <w:r>
        <w:rPr>
          <w:sz w:val="24"/>
          <w:szCs w:val="24"/>
        </w:rPr>
        <w:t xml:space="preserve">(Engineering and Physical Science Research Council): EPSRC is a UK research funding council responsible for funding some of the research sampled. </w:t>
      </w:r>
    </w:p>
    <w:p w14:paraId="2B1198FE" w14:textId="77777777" w:rsidR="00965093" w:rsidRPr="005646AF" w:rsidRDefault="00965093" w:rsidP="00965093">
      <w:pPr>
        <w:spacing w:after="120" w:line="360" w:lineRule="auto"/>
        <w:rPr>
          <w:sz w:val="24"/>
          <w:szCs w:val="24"/>
        </w:rPr>
      </w:pPr>
      <w:r>
        <w:rPr>
          <w:b/>
          <w:sz w:val="24"/>
          <w:szCs w:val="24"/>
        </w:rPr>
        <w:t xml:space="preserve">ESA </w:t>
      </w:r>
      <w:r>
        <w:rPr>
          <w:sz w:val="24"/>
          <w:szCs w:val="24"/>
        </w:rPr>
        <w:t>(European Space Agency): The ESA is an intergovernmental organisation responsible for funding the research sampled from Cardiff University.</w:t>
      </w:r>
    </w:p>
    <w:p w14:paraId="5D271646" w14:textId="77777777" w:rsidR="00965093" w:rsidRPr="002D2802" w:rsidRDefault="00965093" w:rsidP="00965093">
      <w:pPr>
        <w:spacing w:after="120" w:line="360" w:lineRule="auto"/>
        <w:rPr>
          <w:sz w:val="24"/>
          <w:szCs w:val="24"/>
        </w:rPr>
      </w:pPr>
      <w:r>
        <w:rPr>
          <w:b/>
          <w:sz w:val="24"/>
          <w:szCs w:val="24"/>
        </w:rPr>
        <w:t>EWS</w:t>
      </w:r>
      <w:r>
        <w:rPr>
          <w:sz w:val="24"/>
          <w:szCs w:val="24"/>
        </w:rPr>
        <w:t xml:space="preserve"> (Early Warning System or Early Warning Score): An EWS refers to a system for analysing the vital signs of hospital in-patients in order to provide a score whose value is an indicator for the risk of the given patient suffering a significant deterioration in their medical condition. EWS can also refer to the score, as well as to the system. </w:t>
      </w:r>
    </w:p>
    <w:p w14:paraId="3F8E58A4" w14:textId="77777777" w:rsidR="00965093" w:rsidRPr="00397DAE" w:rsidRDefault="00965093" w:rsidP="00965093">
      <w:pPr>
        <w:spacing w:after="120" w:line="360" w:lineRule="auto"/>
        <w:rPr>
          <w:sz w:val="24"/>
          <w:szCs w:val="24"/>
        </w:rPr>
      </w:pPr>
      <w:r>
        <w:rPr>
          <w:b/>
          <w:sz w:val="24"/>
          <w:szCs w:val="24"/>
        </w:rPr>
        <w:t xml:space="preserve">FSDL </w:t>
      </w:r>
      <w:r>
        <w:rPr>
          <w:sz w:val="24"/>
          <w:szCs w:val="24"/>
        </w:rPr>
        <w:t xml:space="preserve">(Full Scale Dynamics Limited): FSDL is a spin-out company associated with engineering research sampled from the University of Sheffield. </w:t>
      </w:r>
    </w:p>
    <w:p w14:paraId="52EB63EB" w14:textId="77777777" w:rsidR="00965093" w:rsidRPr="00D0602C" w:rsidRDefault="00965093" w:rsidP="00965093">
      <w:pPr>
        <w:spacing w:after="120" w:line="360" w:lineRule="auto"/>
        <w:rPr>
          <w:sz w:val="24"/>
          <w:szCs w:val="24"/>
        </w:rPr>
      </w:pPr>
      <w:r>
        <w:rPr>
          <w:b/>
          <w:sz w:val="24"/>
          <w:szCs w:val="24"/>
        </w:rPr>
        <w:t xml:space="preserve">FSNI </w:t>
      </w:r>
      <w:r>
        <w:rPr>
          <w:sz w:val="24"/>
          <w:szCs w:val="24"/>
        </w:rPr>
        <w:t xml:space="preserve">(Forensic Science Northern Ireland): FSNI is an agency of the Northern Ireland government. FSNI were collaborators in and beneficiaries of research sampled from Queen’s University Belfast. </w:t>
      </w:r>
    </w:p>
    <w:p w14:paraId="2B650E22" w14:textId="77777777" w:rsidR="00965093" w:rsidRPr="00A27575" w:rsidRDefault="00965093" w:rsidP="00965093">
      <w:pPr>
        <w:spacing w:after="120" w:line="360" w:lineRule="auto"/>
        <w:rPr>
          <w:sz w:val="24"/>
          <w:szCs w:val="24"/>
        </w:rPr>
      </w:pPr>
      <w:r>
        <w:rPr>
          <w:b/>
          <w:sz w:val="24"/>
          <w:szCs w:val="24"/>
        </w:rPr>
        <w:t xml:space="preserve">GWSDAT </w:t>
      </w:r>
      <w:r>
        <w:rPr>
          <w:sz w:val="24"/>
          <w:szCs w:val="24"/>
        </w:rPr>
        <w:t xml:space="preserve">(Groundwater Spatiotemporal Data Analysis Tool): GWSDAT is a piece of software developed associated with the impact and underpinning mathematical (statistical) research sampled from the University of Glasgow. </w:t>
      </w:r>
    </w:p>
    <w:p w14:paraId="5EDBE712" w14:textId="77777777" w:rsidR="00965093" w:rsidRDefault="00965093" w:rsidP="00965093">
      <w:pPr>
        <w:spacing w:after="120" w:line="360" w:lineRule="auto"/>
        <w:rPr>
          <w:sz w:val="24"/>
          <w:szCs w:val="24"/>
        </w:rPr>
      </w:pPr>
      <w:r w:rsidRPr="007E7BB1">
        <w:rPr>
          <w:b/>
          <w:sz w:val="24"/>
          <w:szCs w:val="24"/>
        </w:rPr>
        <w:t>HEFCE</w:t>
      </w:r>
      <w:r>
        <w:rPr>
          <w:sz w:val="24"/>
          <w:szCs w:val="24"/>
        </w:rPr>
        <w:t xml:space="preserve"> (Higher Education Funding Council for England): A defunct body responsible, among other things, for overseeing the REF. This responsibility now belongs to Research England, which is itself under the umbrella body UK Research &amp; Innovation.</w:t>
      </w:r>
    </w:p>
    <w:p w14:paraId="353C8AA3" w14:textId="77777777" w:rsidR="00965093" w:rsidRPr="00DE7BF5" w:rsidRDefault="00965093" w:rsidP="00965093">
      <w:pPr>
        <w:spacing w:after="120" w:line="360" w:lineRule="auto"/>
        <w:rPr>
          <w:sz w:val="24"/>
          <w:szCs w:val="24"/>
        </w:rPr>
      </w:pPr>
      <w:r>
        <w:rPr>
          <w:b/>
          <w:sz w:val="24"/>
          <w:szCs w:val="24"/>
        </w:rPr>
        <w:t xml:space="preserve">HESA </w:t>
      </w:r>
      <w:r>
        <w:rPr>
          <w:sz w:val="24"/>
          <w:szCs w:val="24"/>
        </w:rPr>
        <w:t xml:space="preserve">(Higher Education Statistics Agency): HESA collects official higher education statistics for the UK. </w:t>
      </w:r>
    </w:p>
    <w:p w14:paraId="6E9F54AC" w14:textId="77777777" w:rsidR="00965093" w:rsidRPr="00F0433A" w:rsidRDefault="00965093" w:rsidP="00965093">
      <w:pPr>
        <w:spacing w:after="120" w:line="360" w:lineRule="auto"/>
        <w:rPr>
          <w:sz w:val="24"/>
          <w:szCs w:val="24"/>
        </w:rPr>
      </w:pPr>
      <w:r>
        <w:rPr>
          <w:b/>
          <w:sz w:val="24"/>
          <w:szCs w:val="24"/>
        </w:rPr>
        <w:t xml:space="preserve">ICMS </w:t>
      </w:r>
      <w:r>
        <w:rPr>
          <w:sz w:val="24"/>
          <w:szCs w:val="24"/>
        </w:rPr>
        <w:t>(</w:t>
      </w:r>
      <w:r w:rsidRPr="00744AA6">
        <w:rPr>
          <w:sz w:val="24"/>
          <w:szCs w:val="24"/>
        </w:rPr>
        <w:t>Institute of Cardiovascular &amp; Medical Sciences</w:t>
      </w:r>
      <w:r>
        <w:rPr>
          <w:sz w:val="24"/>
          <w:szCs w:val="24"/>
        </w:rPr>
        <w:t xml:space="preserve">): The ICMS is responsible for research sampled from the University of Glasgow. </w:t>
      </w:r>
    </w:p>
    <w:p w14:paraId="718032EF" w14:textId="77777777" w:rsidR="00965093" w:rsidRPr="00F0433A" w:rsidRDefault="00965093" w:rsidP="00965093">
      <w:pPr>
        <w:spacing w:after="120" w:line="360" w:lineRule="auto"/>
        <w:rPr>
          <w:sz w:val="24"/>
          <w:szCs w:val="24"/>
        </w:rPr>
      </w:pPr>
      <w:r>
        <w:rPr>
          <w:b/>
          <w:sz w:val="24"/>
          <w:szCs w:val="24"/>
        </w:rPr>
        <w:t xml:space="preserve">IMMRC </w:t>
      </w:r>
      <w:r>
        <w:rPr>
          <w:sz w:val="24"/>
          <w:szCs w:val="24"/>
        </w:rPr>
        <w:t>(Innovative Molecular Materials Research Centre): IMMRC is a research centre responsible for research sampled from Queen’s University Belfast.</w:t>
      </w:r>
    </w:p>
    <w:p w14:paraId="5E2EDCC1" w14:textId="77777777" w:rsidR="00965093" w:rsidRDefault="00965093" w:rsidP="00965093">
      <w:pPr>
        <w:spacing w:after="120" w:line="360" w:lineRule="auto"/>
        <w:rPr>
          <w:sz w:val="24"/>
          <w:szCs w:val="24"/>
        </w:rPr>
      </w:pPr>
      <w:r w:rsidRPr="007E7BB1">
        <w:rPr>
          <w:b/>
          <w:sz w:val="24"/>
          <w:szCs w:val="24"/>
        </w:rPr>
        <w:t>Impact</w:t>
      </w:r>
      <w:r>
        <w:rPr>
          <w:sz w:val="24"/>
          <w:szCs w:val="24"/>
        </w:rPr>
        <w:t xml:space="preserve"> (including ‘Impact agenda’ and ‘Impact Case Study’): In the context of the Research Excellence Framework (REF – see entry in Glossary), ‘Impact’ is defined as </w:t>
      </w:r>
      <w:r w:rsidRPr="007762F7">
        <w:rPr>
          <w:sz w:val="24"/>
          <w:szCs w:val="24"/>
        </w:rPr>
        <w:t>“an effect on, change or benefit to the economy, society, culture, public policy or services, health, the environment or quality of life, beyond academia”</w:t>
      </w:r>
      <w:r>
        <w:rPr>
          <w:sz w:val="24"/>
          <w:szCs w:val="24"/>
        </w:rPr>
        <w:t>. The ‘impact agenda’ refers to the policy discourse and debates that have underpinned and led to the implementation of specific impact policies and practices, such as its introduction as an element of assessment in the REF.</w:t>
      </w:r>
    </w:p>
    <w:p w14:paraId="46D7C18A" w14:textId="77777777" w:rsidR="00965093" w:rsidRDefault="00965093" w:rsidP="00965093">
      <w:pPr>
        <w:spacing w:after="120" w:line="360" w:lineRule="auto"/>
        <w:rPr>
          <w:sz w:val="24"/>
          <w:szCs w:val="24"/>
        </w:rPr>
      </w:pPr>
      <w:r w:rsidRPr="007E7BB1">
        <w:rPr>
          <w:b/>
          <w:sz w:val="24"/>
          <w:szCs w:val="24"/>
        </w:rPr>
        <w:t>Innovate UK</w:t>
      </w:r>
      <w:r>
        <w:rPr>
          <w:sz w:val="24"/>
          <w:szCs w:val="24"/>
        </w:rPr>
        <w:t>: Innovate UK is the operating name of the Technology Strategy Board (TSB – see entry in Glossary). It is responsible for funding Knowledge Transfer Partnerships (KTP – see entry in Glossary) which were found to play important roles in research and impact sampled from the University of Portsmouth and the University of Cambridge.</w:t>
      </w:r>
    </w:p>
    <w:p w14:paraId="55D272B5" w14:textId="77777777" w:rsidR="00965093" w:rsidRPr="000D1344" w:rsidRDefault="00965093" w:rsidP="00965093">
      <w:pPr>
        <w:spacing w:after="120" w:line="360" w:lineRule="auto"/>
        <w:rPr>
          <w:sz w:val="24"/>
          <w:szCs w:val="24"/>
        </w:rPr>
      </w:pPr>
      <w:r>
        <w:rPr>
          <w:b/>
          <w:sz w:val="24"/>
          <w:szCs w:val="24"/>
        </w:rPr>
        <w:t xml:space="preserve">KMFRI </w:t>
      </w:r>
      <w:r>
        <w:rPr>
          <w:sz w:val="24"/>
          <w:szCs w:val="24"/>
        </w:rPr>
        <w:t>(Kenya Marine and Fisheries Research Institute): KMFRI is an official research institute. KMFRI were collaborators in research sampled from Edinburgh Napier University.</w:t>
      </w:r>
    </w:p>
    <w:p w14:paraId="05877F8C" w14:textId="77777777" w:rsidR="00965093" w:rsidRDefault="00965093" w:rsidP="00965093">
      <w:pPr>
        <w:spacing w:after="120" w:line="360" w:lineRule="auto"/>
        <w:rPr>
          <w:sz w:val="24"/>
          <w:szCs w:val="24"/>
        </w:rPr>
      </w:pPr>
      <w:r w:rsidRPr="007E7BB1">
        <w:rPr>
          <w:b/>
          <w:sz w:val="24"/>
          <w:szCs w:val="24"/>
        </w:rPr>
        <w:t>KTP</w:t>
      </w:r>
      <w:r>
        <w:rPr>
          <w:b/>
          <w:sz w:val="24"/>
          <w:szCs w:val="24"/>
        </w:rPr>
        <w:t xml:space="preserve"> </w:t>
      </w:r>
      <w:r w:rsidRPr="00F26F20">
        <w:rPr>
          <w:sz w:val="24"/>
          <w:szCs w:val="24"/>
        </w:rPr>
        <w:t>(Knowledge Transfer Partnersh</w:t>
      </w:r>
      <w:r>
        <w:rPr>
          <w:sz w:val="24"/>
          <w:szCs w:val="24"/>
        </w:rPr>
        <w:t>ip): KT</w:t>
      </w:r>
      <w:r w:rsidRPr="00E333D9">
        <w:rPr>
          <w:sz w:val="24"/>
          <w:szCs w:val="24"/>
        </w:rPr>
        <w:t>Ps are</w:t>
      </w:r>
      <w:r w:rsidRPr="00E333D9">
        <w:rPr>
          <w:sz w:val="24"/>
          <w:szCs w:val="24"/>
          <w:lang w:eastAsia="zh-TW"/>
        </w:rPr>
        <w:t xml:space="preserve"> public grants used to fund </w:t>
      </w:r>
      <w:r>
        <w:rPr>
          <w:sz w:val="24"/>
          <w:szCs w:val="24"/>
          <w:lang w:eastAsia="zh-TW"/>
        </w:rPr>
        <w:t>a Knowledge Transfer ‘Associate’</w:t>
      </w:r>
      <w:r w:rsidRPr="00E333D9">
        <w:rPr>
          <w:sz w:val="24"/>
          <w:szCs w:val="24"/>
          <w:lang w:eastAsia="zh-TW"/>
        </w:rPr>
        <w:t xml:space="preserve"> who brings academic skills and support into a project in a non-academic organisation</w:t>
      </w:r>
      <w:r>
        <w:rPr>
          <w:sz w:val="24"/>
          <w:szCs w:val="24"/>
        </w:rPr>
        <w:t>. The main sponsor is Innovate UK.</w:t>
      </w:r>
    </w:p>
    <w:p w14:paraId="3A34BFA7" w14:textId="4A5E43E8" w:rsidR="00965093" w:rsidRPr="000D4A04" w:rsidRDefault="00965093" w:rsidP="00965093">
      <w:pPr>
        <w:spacing w:after="120" w:line="360" w:lineRule="auto"/>
        <w:rPr>
          <w:sz w:val="24"/>
          <w:szCs w:val="24"/>
        </w:rPr>
      </w:pPr>
      <w:r>
        <w:rPr>
          <w:b/>
          <w:sz w:val="24"/>
          <w:szCs w:val="24"/>
        </w:rPr>
        <w:t xml:space="preserve">MBE </w:t>
      </w:r>
      <w:r>
        <w:rPr>
          <w:sz w:val="24"/>
          <w:szCs w:val="24"/>
        </w:rPr>
        <w:t>(Member of the</w:t>
      </w:r>
      <w:r w:rsidR="00F14017">
        <w:rPr>
          <w:sz w:val="24"/>
          <w:szCs w:val="24"/>
        </w:rPr>
        <w:t xml:space="preserve"> Most Excellent</w:t>
      </w:r>
      <w:r>
        <w:rPr>
          <w:sz w:val="24"/>
          <w:szCs w:val="24"/>
        </w:rPr>
        <w:t xml:space="preserve"> Order of the British Empire)</w:t>
      </w:r>
    </w:p>
    <w:p w14:paraId="14A94070" w14:textId="77777777" w:rsidR="00965093" w:rsidRPr="00CF384A" w:rsidRDefault="00965093" w:rsidP="00965093">
      <w:pPr>
        <w:spacing w:after="120" w:line="360" w:lineRule="auto"/>
        <w:rPr>
          <w:sz w:val="24"/>
          <w:szCs w:val="24"/>
        </w:rPr>
      </w:pPr>
      <w:r>
        <w:rPr>
          <w:b/>
          <w:sz w:val="24"/>
          <w:szCs w:val="24"/>
        </w:rPr>
        <w:t xml:space="preserve">MCG </w:t>
      </w:r>
      <w:r>
        <w:rPr>
          <w:sz w:val="24"/>
          <w:szCs w:val="24"/>
        </w:rPr>
        <w:t>(Materials Chemistry Group): MCG are responsible for research sampled from the University of Cambridge.</w:t>
      </w:r>
    </w:p>
    <w:p w14:paraId="3C19C934" w14:textId="77777777" w:rsidR="00965093" w:rsidRDefault="00965093" w:rsidP="00965093">
      <w:pPr>
        <w:spacing w:after="120" w:line="360" w:lineRule="auto"/>
        <w:rPr>
          <w:b/>
          <w:sz w:val="24"/>
          <w:szCs w:val="24"/>
        </w:rPr>
      </w:pPr>
      <w:r>
        <w:rPr>
          <w:b/>
          <w:sz w:val="24"/>
          <w:szCs w:val="24"/>
        </w:rPr>
        <w:t xml:space="preserve">MoD </w:t>
      </w:r>
      <w:r>
        <w:rPr>
          <w:sz w:val="24"/>
          <w:szCs w:val="24"/>
        </w:rPr>
        <w:t xml:space="preserve">(Ministry of Defence): The UK MoD were collaborators on research sampled from the University of Cambridge. </w:t>
      </w:r>
    </w:p>
    <w:p w14:paraId="4448926D" w14:textId="77777777" w:rsidR="00965093" w:rsidRPr="00A3522F" w:rsidRDefault="00965093" w:rsidP="00965093">
      <w:pPr>
        <w:spacing w:after="120" w:line="360" w:lineRule="auto"/>
        <w:rPr>
          <w:sz w:val="24"/>
          <w:szCs w:val="24"/>
        </w:rPr>
      </w:pPr>
      <w:r>
        <w:rPr>
          <w:b/>
          <w:sz w:val="24"/>
          <w:szCs w:val="24"/>
        </w:rPr>
        <w:t xml:space="preserve">NCUB </w:t>
      </w:r>
      <w:r>
        <w:rPr>
          <w:sz w:val="24"/>
          <w:szCs w:val="24"/>
        </w:rPr>
        <w:t>(National Centre for Universities and Business): NCUB is a non-governmental organisation aiming to support mutual benefits through interaction between UK universities and UK businesses.</w:t>
      </w:r>
    </w:p>
    <w:p w14:paraId="2F2644D4" w14:textId="77777777" w:rsidR="00965093" w:rsidRPr="0015329E" w:rsidRDefault="00965093" w:rsidP="00965093">
      <w:pPr>
        <w:spacing w:after="120" w:line="360" w:lineRule="auto"/>
        <w:rPr>
          <w:sz w:val="24"/>
          <w:szCs w:val="24"/>
        </w:rPr>
      </w:pPr>
      <w:r>
        <w:rPr>
          <w:b/>
          <w:sz w:val="24"/>
          <w:szCs w:val="24"/>
        </w:rPr>
        <w:t xml:space="preserve">NERC </w:t>
      </w:r>
      <w:r>
        <w:rPr>
          <w:sz w:val="24"/>
          <w:szCs w:val="24"/>
        </w:rPr>
        <w:t xml:space="preserve">(Natural Environment Research Council): NERC is one of the seven UK research councils. NERC is responsible for funding several bodies of research sampled in this study. </w:t>
      </w:r>
    </w:p>
    <w:p w14:paraId="6A2B3BB3" w14:textId="77777777" w:rsidR="00965093" w:rsidRPr="005C3696" w:rsidRDefault="00965093" w:rsidP="00965093">
      <w:pPr>
        <w:spacing w:after="120" w:line="360" w:lineRule="auto"/>
        <w:rPr>
          <w:sz w:val="24"/>
          <w:szCs w:val="24"/>
        </w:rPr>
      </w:pPr>
      <w:r>
        <w:rPr>
          <w:b/>
          <w:sz w:val="24"/>
          <w:szCs w:val="24"/>
        </w:rPr>
        <w:t>NIDA</w:t>
      </w:r>
      <w:r>
        <w:rPr>
          <w:sz w:val="24"/>
          <w:szCs w:val="24"/>
        </w:rPr>
        <w:t xml:space="preserve"> (National Institute for Drug Abuse): NIDA is a United States government institute which was responsible for funding sampled research at the University of East London.</w:t>
      </w:r>
    </w:p>
    <w:p w14:paraId="179E3532" w14:textId="77777777" w:rsidR="00965093" w:rsidRPr="00E758F2" w:rsidRDefault="00965093" w:rsidP="00965093">
      <w:pPr>
        <w:spacing w:after="120" w:line="360" w:lineRule="auto"/>
        <w:rPr>
          <w:sz w:val="24"/>
          <w:szCs w:val="24"/>
        </w:rPr>
      </w:pPr>
      <w:r>
        <w:rPr>
          <w:b/>
          <w:sz w:val="24"/>
          <w:szCs w:val="24"/>
        </w:rPr>
        <w:t xml:space="preserve">PODDS </w:t>
      </w:r>
      <w:r>
        <w:rPr>
          <w:sz w:val="24"/>
          <w:szCs w:val="24"/>
        </w:rPr>
        <w:t>(‘Prediction and management Of Discolouration in Distribution Systems’): PODDS is the name of the long-term project which underpinned sampled engineering research and impact from the University of Sheffield.</w:t>
      </w:r>
    </w:p>
    <w:p w14:paraId="2B6B799C" w14:textId="77777777" w:rsidR="00965093" w:rsidRPr="005B36F0" w:rsidRDefault="00965093" w:rsidP="00965093">
      <w:pPr>
        <w:tabs>
          <w:tab w:val="left" w:pos="2196"/>
        </w:tabs>
        <w:spacing w:after="120" w:line="360" w:lineRule="auto"/>
        <w:rPr>
          <w:sz w:val="24"/>
          <w:szCs w:val="24"/>
        </w:rPr>
      </w:pPr>
      <w:r>
        <w:rPr>
          <w:b/>
          <w:sz w:val="24"/>
          <w:szCs w:val="24"/>
        </w:rPr>
        <w:t xml:space="preserve">POSSUM </w:t>
      </w:r>
      <w:r>
        <w:rPr>
          <w:sz w:val="24"/>
          <w:szCs w:val="24"/>
        </w:rPr>
        <w:t xml:space="preserve">(Physiological and Operative Severity Score for the enUmeration of Morbidity and mortality): POSSUM refers to an audit system used to measure and compare rates of morbidity and mortality in different hospitals. It is relevant to health research sampled from the University of Portsmouth. </w:t>
      </w:r>
    </w:p>
    <w:p w14:paraId="55252339" w14:textId="77777777" w:rsidR="00965093" w:rsidRPr="009808AC" w:rsidRDefault="00965093" w:rsidP="00965093">
      <w:pPr>
        <w:spacing w:after="120" w:line="360" w:lineRule="auto"/>
        <w:rPr>
          <w:sz w:val="24"/>
          <w:szCs w:val="24"/>
        </w:rPr>
      </w:pPr>
      <w:r>
        <w:rPr>
          <w:b/>
          <w:sz w:val="24"/>
          <w:szCs w:val="24"/>
        </w:rPr>
        <w:t xml:space="preserve">QMCI </w:t>
      </w:r>
      <w:r>
        <w:rPr>
          <w:sz w:val="24"/>
          <w:szCs w:val="24"/>
        </w:rPr>
        <w:t>(Queen Mary College Instruments): QMCI is a spin-out originally based at Queen Mary College, London. QMCI kept its brand name even after it was relocated to Cardiff University along with its key individuals. It is associated with instrumentation research and impact sampled from Cardiff University.</w:t>
      </w:r>
    </w:p>
    <w:p w14:paraId="0CC51B79" w14:textId="77777777" w:rsidR="00965093" w:rsidRDefault="00965093" w:rsidP="00965093">
      <w:pPr>
        <w:spacing w:after="120" w:line="360" w:lineRule="auto"/>
        <w:rPr>
          <w:sz w:val="24"/>
          <w:szCs w:val="24"/>
        </w:rPr>
      </w:pPr>
      <w:r>
        <w:rPr>
          <w:b/>
          <w:sz w:val="24"/>
          <w:szCs w:val="24"/>
        </w:rPr>
        <w:t xml:space="preserve">QR funding </w:t>
      </w:r>
      <w:r>
        <w:rPr>
          <w:sz w:val="24"/>
          <w:szCs w:val="24"/>
        </w:rPr>
        <w:t>(Quality-related Research funding): QR funding refers to block research funding distributed to universities, where funding allocation is based on performance in some system of measuring research ‘quality’, such as the REF.</w:t>
      </w:r>
    </w:p>
    <w:p w14:paraId="00BBBBAA" w14:textId="77777777" w:rsidR="00965093" w:rsidRPr="00257507" w:rsidRDefault="00965093" w:rsidP="00965093">
      <w:pPr>
        <w:spacing w:after="120" w:line="360" w:lineRule="auto"/>
        <w:rPr>
          <w:sz w:val="24"/>
          <w:szCs w:val="24"/>
        </w:rPr>
      </w:pPr>
      <w:r>
        <w:rPr>
          <w:b/>
          <w:sz w:val="24"/>
          <w:szCs w:val="24"/>
        </w:rPr>
        <w:t xml:space="preserve">QUB </w:t>
      </w:r>
      <w:r>
        <w:rPr>
          <w:sz w:val="24"/>
          <w:szCs w:val="24"/>
        </w:rPr>
        <w:t>(Queen’s University Belfast): Queen’s University Belfast is one of the nine institutions whose research is sampled for study in this thesis. In the text, I use the abbreviated form ‘QUB’.</w:t>
      </w:r>
    </w:p>
    <w:p w14:paraId="3D1B1FE8" w14:textId="77777777" w:rsidR="00965093" w:rsidRPr="00976468" w:rsidRDefault="00965093" w:rsidP="00965093">
      <w:pPr>
        <w:spacing w:after="120" w:line="360" w:lineRule="auto"/>
        <w:rPr>
          <w:sz w:val="24"/>
          <w:szCs w:val="24"/>
        </w:rPr>
      </w:pPr>
      <w:r>
        <w:rPr>
          <w:b/>
          <w:sz w:val="24"/>
          <w:szCs w:val="24"/>
        </w:rPr>
        <w:t xml:space="preserve">QUILL </w:t>
      </w:r>
      <w:r>
        <w:rPr>
          <w:sz w:val="24"/>
          <w:szCs w:val="24"/>
        </w:rPr>
        <w:t>(Queen’s University Ionic Liquids Laboratory): QUILL is a university-industry consortium associated with research and impact sampled from Queen’s University Belfast.</w:t>
      </w:r>
    </w:p>
    <w:p w14:paraId="54A3D522" w14:textId="77777777" w:rsidR="00965093" w:rsidRDefault="00965093" w:rsidP="00965093">
      <w:pPr>
        <w:spacing w:after="120" w:line="360" w:lineRule="auto"/>
        <w:rPr>
          <w:sz w:val="24"/>
          <w:szCs w:val="24"/>
        </w:rPr>
      </w:pPr>
      <w:r w:rsidRPr="007E7BB1">
        <w:rPr>
          <w:b/>
          <w:sz w:val="24"/>
          <w:szCs w:val="24"/>
        </w:rPr>
        <w:t>RAE</w:t>
      </w:r>
      <w:r>
        <w:rPr>
          <w:b/>
          <w:sz w:val="24"/>
          <w:szCs w:val="24"/>
        </w:rPr>
        <w:t xml:space="preserve"> </w:t>
      </w:r>
      <w:r>
        <w:rPr>
          <w:sz w:val="24"/>
          <w:szCs w:val="24"/>
        </w:rPr>
        <w:t>(Research Assessment Exercise): The RAE was the precursor to the Research Excellence Framework (REF – see entry in Glossary). It was last conducted in 2008 and was followed by the first REF in 2014.</w:t>
      </w:r>
    </w:p>
    <w:p w14:paraId="2C345417" w14:textId="361F89EC" w:rsidR="00965093" w:rsidRPr="00CA5900" w:rsidRDefault="00965093" w:rsidP="00965093">
      <w:pPr>
        <w:spacing w:after="120" w:line="360" w:lineRule="auto"/>
        <w:rPr>
          <w:sz w:val="24"/>
          <w:szCs w:val="24"/>
        </w:rPr>
      </w:pPr>
      <w:r>
        <w:rPr>
          <w:b/>
          <w:sz w:val="24"/>
          <w:szCs w:val="24"/>
        </w:rPr>
        <w:t xml:space="preserve">RCP </w:t>
      </w:r>
      <w:r>
        <w:rPr>
          <w:sz w:val="24"/>
          <w:szCs w:val="24"/>
        </w:rPr>
        <w:t>(Royal College of Physicians)</w:t>
      </w:r>
    </w:p>
    <w:p w14:paraId="6E8ACEEB" w14:textId="77777777" w:rsidR="00965093" w:rsidRPr="00665937" w:rsidRDefault="00965093" w:rsidP="00965093">
      <w:pPr>
        <w:spacing w:after="120" w:line="360" w:lineRule="auto"/>
        <w:rPr>
          <w:sz w:val="24"/>
          <w:szCs w:val="24"/>
        </w:rPr>
      </w:pPr>
      <w:r>
        <w:rPr>
          <w:b/>
          <w:sz w:val="24"/>
          <w:szCs w:val="24"/>
        </w:rPr>
        <w:t xml:space="preserve">RCUK </w:t>
      </w:r>
      <w:r>
        <w:rPr>
          <w:sz w:val="24"/>
          <w:szCs w:val="24"/>
        </w:rPr>
        <w:t>(Research Councils UK): RCUK was an overarching body which incorporated all seven UK research councils. These are now incorporated under the larger overarching body, UK Research &amp; Innovation.</w:t>
      </w:r>
    </w:p>
    <w:p w14:paraId="5E310208" w14:textId="77777777" w:rsidR="00965093" w:rsidRDefault="00965093" w:rsidP="00965093">
      <w:pPr>
        <w:spacing w:after="120" w:line="360" w:lineRule="auto"/>
        <w:rPr>
          <w:sz w:val="24"/>
          <w:szCs w:val="24"/>
        </w:rPr>
      </w:pPr>
      <w:r w:rsidRPr="007E7BB1">
        <w:rPr>
          <w:b/>
          <w:sz w:val="24"/>
          <w:szCs w:val="24"/>
        </w:rPr>
        <w:t>REF</w:t>
      </w:r>
      <w:r>
        <w:rPr>
          <w:sz w:val="24"/>
          <w:szCs w:val="24"/>
        </w:rPr>
        <w:t xml:space="preserve"> (Research Excellence Framework): The REF is the UK’s QR funding allocation mechanism. It assesses research at UK universities according to the quality of their outputs, research environment, and non-academic impact resulting from research.</w:t>
      </w:r>
    </w:p>
    <w:p w14:paraId="1927E611" w14:textId="77777777" w:rsidR="00965093" w:rsidRDefault="00965093" w:rsidP="00965093">
      <w:pPr>
        <w:spacing w:after="120" w:line="360" w:lineRule="auto"/>
        <w:rPr>
          <w:sz w:val="24"/>
          <w:szCs w:val="24"/>
        </w:rPr>
      </w:pPr>
      <w:r>
        <w:rPr>
          <w:b/>
          <w:sz w:val="24"/>
          <w:szCs w:val="24"/>
        </w:rPr>
        <w:t>Research England</w:t>
      </w:r>
      <w:r>
        <w:rPr>
          <w:sz w:val="24"/>
          <w:szCs w:val="24"/>
        </w:rPr>
        <w:t>: A non-governmental body under the umbrella organisation UK Research &amp; Innovation. Research England took over some of the functions of HEFCE, including oversight of the REF.</w:t>
      </w:r>
    </w:p>
    <w:p w14:paraId="2AB1E901" w14:textId="77777777" w:rsidR="00965093" w:rsidRPr="00AF1E87" w:rsidRDefault="00965093" w:rsidP="00965093">
      <w:pPr>
        <w:spacing w:after="120" w:line="360" w:lineRule="auto"/>
        <w:rPr>
          <w:sz w:val="24"/>
          <w:szCs w:val="24"/>
        </w:rPr>
      </w:pPr>
      <w:r>
        <w:rPr>
          <w:b/>
          <w:sz w:val="24"/>
          <w:szCs w:val="24"/>
        </w:rPr>
        <w:t xml:space="preserve">SERG </w:t>
      </w:r>
      <w:r>
        <w:rPr>
          <w:sz w:val="24"/>
          <w:szCs w:val="24"/>
        </w:rPr>
        <w:t xml:space="preserve">(Systems Engineering Research Group): SERG is a research group responsible for research sampled from the University of Portsmouth. </w:t>
      </w:r>
    </w:p>
    <w:p w14:paraId="06448224" w14:textId="77777777" w:rsidR="00965093" w:rsidRPr="001B690D" w:rsidRDefault="00965093" w:rsidP="00965093">
      <w:pPr>
        <w:spacing w:after="120" w:line="360" w:lineRule="auto"/>
        <w:rPr>
          <w:sz w:val="24"/>
          <w:szCs w:val="24"/>
        </w:rPr>
      </w:pPr>
      <w:r>
        <w:rPr>
          <w:b/>
          <w:sz w:val="24"/>
          <w:szCs w:val="24"/>
        </w:rPr>
        <w:t xml:space="preserve">SMRU </w:t>
      </w:r>
      <w:r>
        <w:rPr>
          <w:sz w:val="24"/>
          <w:szCs w:val="24"/>
        </w:rPr>
        <w:t xml:space="preserve">(Sea Mammals Research Unit): SMRU is a research unit responsible for research sampled from St Andrews University. </w:t>
      </w:r>
    </w:p>
    <w:p w14:paraId="0D414A17" w14:textId="77777777" w:rsidR="00965093" w:rsidRPr="00EC6487" w:rsidRDefault="00965093" w:rsidP="00965093">
      <w:pPr>
        <w:spacing w:after="120" w:line="360" w:lineRule="auto"/>
        <w:rPr>
          <w:sz w:val="24"/>
          <w:szCs w:val="24"/>
        </w:rPr>
      </w:pPr>
      <w:r>
        <w:rPr>
          <w:b/>
          <w:sz w:val="24"/>
          <w:szCs w:val="24"/>
        </w:rPr>
        <w:t xml:space="preserve">SPIRE </w:t>
      </w:r>
      <w:r>
        <w:rPr>
          <w:sz w:val="24"/>
          <w:szCs w:val="24"/>
        </w:rPr>
        <w:t>(Spectral and Photometric Imaging Receiver): SPIRE was the name of an instrument attached to a satellite launched by the ESA.</w:t>
      </w:r>
    </w:p>
    <w:p w14:paraId="1CC411E0" w14:textId="696CFC93" w:rsidR="00965093" w:rsidRDefault="00965093" w:rsidP="00965093">
      <w:pPr>
        <w:spacing w:after="120" w:line="360" w:lineRule="auto"/>
        <w:rPr>
          <w:sz w:val="24"/>
          <w:szCs w:val="24"/>
        </w:rPr>
      </w:pPr>
      <w:r>
        <w:rPr>
          <w:b/>
          <w:sz w:val="24"/>
          <w:szCs w:val="24"/>
        </w:rPr>
        <w:t xml:space="preserve">STEMM </w:t>
      </w:r>
      <w:r>
        <w:rPr>
          <w:sz w:val="24"/>
          <w:szCs w:val="24"/>
        </w:rPr>
        <w:t xml:space="preserve">(Science, Technology, Engineering, Mathematics and Medicine): Scientific disciplines (or subjects) are often grouped together in the acronym STEM. Medicine is sometimes also included to create STEMM. My empirical focus is on research based in STEMM disciplines. </w:t>
      </w:r>
    </w:p>
    <w:p w14:paraId="28EE76B9" w14:textId="77777777" w:rsidR="00965093" w:rsidRPr="00E94A87" w:rsidRDefault="00965093" w:rsidP="00965093">
      <w:pPr>
        <w:spacing w:after="120" w:line="360" w:lineRule="auto"/>
        <w:rPr>
          <w:sz w:val="24"/>
          <w:szCs w:val="24"/>
        </w:rPr>
      </w:pPr>
      <w:r>
        <w:rPr>
          <w:b/>
          <w:sz w:val="24"/>
          <w:szCs w:val="24"/>
        </w:rPr>
        <w:t xml:space="preserve">SUM network </w:t>
      </w:r>
      <w:r>
        <w:rPr>
          <w:sz w:val="24"/>
          <w:szCs w:val="24"/>
        </w:rPr>
        <w:t xml:space="preserve">(Substance Use and Misuse): The SUM network is associated with research and impact sampled from the University of East London. </w:t>
      </w:r>
    </w:p>
    <w:p w14:paraId="5F4D6176" w14:textId="77777777" w:rsidR="00965093" w:rsidRPr="00D00FF2" w:rsidRDefault="00965093" w:rsidP="00965093">
      <w:pPr>
        <w:spacing w:after="120" w:line="360" w:lineRule="auto"/>
        <w:rPr>
          <w:sz w:val="24"/>
          <w:szCs w:val="24"/>
        </w:rPr>
      </w:pPr>
      <w:r>
        <w:rPr>
          <w:b/>
          <w:sz w:val="24"/>
          <w:szCs w:val="24"/>
        </w:rPr>
        <w:t>Third Mission</w:t>
      </w:r>
      <w:r>
        <w:rPr>
          <w:sz w:val="24"/>
          <w:szCs w:val="24"/>
        </w:rPr>
        <w:t xml:space="preserve">: The third mission denotes a mission of universities to ensure their activities and outputs contribute to the economy and wider society. This is distinct from its first two missions, teaching and research. </w:t>
      </w:r>
    </w:p>
    <w:p w14:paraId="36A0C5EF" w14:textId="77777777" w:rsidR="00965093" w:rsidRDefault="00965093" w:rsidP="00965093">
      <w:pPr>
        <w:spacing w:after="120" w:line="360" w:lineRule="auto"/>
        <w:rPr>
          <w:sz w:val="24"/>
          <w:szCs w:val="24"/>
        </w:rPr>
      </w:pPr>
      <w:r w:rsidRPr="007E7BB1">
        <w:rPr>
          <w:b/>
          <w:sz w:val="24"/>
          <w:szCs w:val="24"/>
        </w:rPr>
        <w:t>TSB</w:t>
      </w:r>
      <w:r>
        <w:rPr>
          <w:sz w:val="24"/>
          <w:szCs w:val="24"/>
        </w:rPr>
        <w:t xml:space="preserve"> (Technology Strategy Board): TSB is the official innovation agency of the UK. It is under the umbrella organisation UK Research &amp; Innovation. TSB’s operating name is Innovate UK. It is responsible for funding Knowledge Transfer Partnerships which were found to play important roles in research and impact sampled from the University of Portsmouth and the University of Cambridge.</w:t>
      </w:r>
    </w:p>
    <w:p w14:paraId="50D62209" w14:textId="77777777" w:rsidR="00965093" w:rsidRDefault="00965093" w:rsidP="00965093">
      <w:pPr>
        <w:spacing w:after="120" w:line="360" w:lineRule="auto"/>
        <w:rPr>
          <w:sz w:val="24"/>
          <w:szCs w:val="24"/>
        </w:rPr>
      </w:pPr>
      <w:r w:rsidRPr="007E7BB1">
        <w:rPr>
          <w:b/>
          <w:sz w:val="24"/>
          <w:szCs w:val="24"/>
        </w:rPr>
        <w:t>TTO</w:t>
      </w:r>
      <w:r>
        <w:rPr>
          <w:sz w:val="24"/>
          <w:szCs w:val="24"/>
        </w:rPr>
        <w:t xml:space="preserve"> (Technology Transfer Office): ‘Technology transfer’ is the process by which technology developed in the context of academic research is ‘transferred’ to contexts of application or directly marketed. Some universities have their own Technology Transfer Offices to assist with this market process, for example in the creation of spin-out companies or application and licensing of patented technologies. </w:t>
      </w:r>
    </w:p>
    <w:p w14:paraId="41E4A6A9" w14:textId="77777777" w:rsidR="00965093" w:rsidRPr="00257507" w:rsidRDefault="00965093" w:rsidP="00965093">
      <w:pPr>
        <w:spacing w:after="120" w:line="360" w:lineRule="auto"/>
        <w:rPr>
          <w:sz w:val="24"/>
          <w:szCs w:val="24"/>
        </w:rPr>
      </w:pPr>
      <w:r>
        <w:rPr>
          <w:b/>
          <w:sz w:val="24"/>
          <w:szCs w:val="24"/>
        </w:rPr>
        <w:t xml:space="preserve">UEL </w:t>
      </w:r>
      <w:r>
        <w:rPr>
          <w:sz w:val="24"/>
          <w:szCs w:val="24"/>
        </w:rPr>
        <w:t>(University of East London): The University of East London is one of the nine institutions whose research is sampled for study in this thesis. In the text, I use the abbreviated form ‘UEL’.</w:t>
      </w:r>
    </w:p>
    <w:p w14:paraId="7BDA70BE" w14:textId="77777777" w:rsidR="00965093" w:rsidRDefault="00965093" w:rsidP="00965093">
      <w:pPr>
        <w:spacing w:after="120" w:line="360" w:lineRule="auto"/>
        <w:rPr>
          <w:sz w:val="24"/>
          <w:szCs w:val="24"/>
        </w:rPr>
      </w:pPr>
      <w:r>
        <w:rPr>
          <w:b/>
          <w:sz w:val="24"/>
          <w:szCs w:val="24"/>
        </w:rPr>
        <w:t xml:space="preserve">UKRI </w:t>
      </w:r>
      <w:r>
        <w:rPr>
          <w:sz w:val="24"/>
          <w:szCs w:val="24"/>
        </w:rPr>
        <w:t xml:space="preserve">(UK Research &amp; Innovation): UKRI is an official umbrella organisation designed to increase the strategic co-ordination of nine relatively distinct bodies related to research and innovation in the UK: Research England, TSB (Innovate UK) and the seven research councils.  </w:t>
      </w:r>
    </w:p>
    <w:p w14:paraId="06241094" w14:textId="77777777" w:rsidR="00965093" w:rsidRDefault="00965093" w:rsidP="00965093">
      <w:pPr>
        <w:spacing w:after="120" w:line="360" w:lineRule="auto"/>
        <w:rPr>
          <w:sz w:val="24"/>
          <w:szCs w:val="24"/>
        </w:rPr>
      </w:pPr>
      <w:r>
        <w:rPr>
          <w:b/>
          <w:sz w:val="24"/>
          <w:szCs w:val="24"/>
        </w:rPr>
        <w:t xml:space="preserve">UoA </w:t>
      </w:r>
      <w:r>
        <w:rPr>
          <w:sz w:val="24"/>
          <w:szCs w:val="24"/>
        </w:rPr>
        <w:t>(Unit of Assessment): UoAs are the units at which UK university’s research is assessed within the REF (see entry in Glossary). In REF2014, there were 36 UoAs, broken down into four Main Panels, labelled A, B, C and D. STEMM disciplines are covered by UoAs 1-15, which fall under Main Panels A and B. I sample BoRs (see entry in Glossary) from ten UoAs.</w:t>
      </w:r>
    </w:p>
    <w:p w14:paraId="309CB271" w14:textId="77777777" w:rsidR="00965093" w:rsidRPr="000C294E" w:rsidRDefault="00965093" w:rsidP="00965093">
      <w:pPr>
        <w:spacing w:after="120" w:line="360" w:lineRule="auto"/>
        <w:rPr>
          <w:sz w:val="24"/>
          <w:szCs w:val="24"/>
        </w:rPr>
      </w:pPr>
      <w:r>
        <w:rPr>
          <w:b/>
          <w:sz w:val="24"/>
          <w:szCs w:val="24"/>
        </w:rPr>
        <w:t xml:space="preserve">VES </w:t>
      </w:r>
      <w:r>
        <w:rPr>
          <w:sz w:val="24"/>
          <w:szCs w:val="24"/>
        </w:rPr>
        <w:t>(Vibration Engineering Section): VES is a research unit responsible for research sampled from the University of Sheffield.</w:t>
      </w:r>
    </w:p>
    <w:p w14:paraId="06766721" w14:textId="77777777" w:rsidR="00965093" w:rsidRDefault="00965093" w:rsidP="00965093">
      <w:pPr>
        <w:spacing w:after="120" w:line="360" w:lineRule="auto"/>
        <w:rPr>
          <w:sz w:val="24"/>
          <w:szCs w:val="24"/>
        </w:rPr>
      </w:pPr>
      <w:r>
        <w:rPr>
          <w:b/>
          <w:sz w:val="24"/>
          <w:szCs w:val="24"/>
        </w:rPr>
        <w:t>WEG</w:t>
      </w:r>
      <w:r>
        <w:rPr>
          <w:sz w:val="24"/>
          <w:szCs w:val="24"/>
        </w:rPr>
        <w:t xml:space="preserve"> (Water Engineering Group): WEG is a research group responsible for engineering research sampled from the University of Sheffield. </w:t>
      </w:r>
    </w:p>
    <w:p w14:paraId="075F1ACF" w14:textId="77777777" w:rsidR="00965093" w:rsidRPr="004711E6" w:rsidRDefault="00965093" w:rsidP="00965093">
      <w:pPr>
        <w:spacing w:after="120" w:line="360" w:lineRule="auto"/>
        <w:rPr>
          <w:sz w:val="24"/>
          <w:szCs w:val="24"/>
        </w:rPr>
      </w:pPr>
      <w:r>
        <w:rPr>
          <w:b/>
          <w:sz w:val="24"/>
          <w:szCs w:val="24"/>
        </w:rPr>
        <w:t xml:space="preserve">WOSCOPS </w:t>
      </w:r>
      <w:r>
        <w:rPr>
          <w:sz w:val="24"/>
          <w:szCs w:val="24"/>
        </w:rPr>
        <w:t xml:space="preserve">(West of Scotland Coronary Prevention Study): WOSCOPS is the name of a long-term research project spanning over two decades. It has been sampled in this study from the University of Glasgow. </w:t>
      </w:r>
    </w:p>
    <w:p w14:paraId="6694250E" w14:textId="77777777" w:rsidR="00965093" w:rsidRPr="002671F6" w:rsidRDefault="00965093" w:rsidP="00965093">
      <w:pPr>
        <w:spacing w:after="120" w:line="360" w:lineRule="auto"/>
        <w:rPr>
          <w:sz w:val="24"/>
          <w:szCs w:val="24"/>
        </w:rPr>
      </w:pPr>
      <w:r>
        <w:br w:type="page"/>
      </w:r>
    </w:p>
    <w:p w14:paraId="5C5E6A38" w14:textId="0DB111C3" w:rsidR="00965093" w:rsidRDefault="00965093" w:rsidP="00965093">
      <w:pPr>
        <w:pStyle w:val="Heading1"/>
        <w:spacing w:before="0"/>
      </w:pPr>
      <w:bookmarkStart w:id="10" w:name="_Toc536717901"/>
      <w:bookmarkStart w:id="11" w:name="_Toc31701929"/>
      <w:r>
        <w:t>Chapter 1. Introduction</w:t>
      </w:r>
      <w:bookmarkEnd w:id="10"/>
      <w:bookmarkEnd w:id="11"/>
    </w:p>
    <w:p w14:paraId="5F81B3C5" w14:textId="4CEF82DA" w:rsidR="00251799" w:rsidRPr="00251799" w:rsidRDefault="00765156" w:rsidP="00251799">
      <w:pPr>
        <w:pStyle w:val="Heading2"/>
        <w:spacing w:before="0"/>
      </w:pPr>
      <w:bookmarkStart w:id="12" w:name="_Toc31701930"/>
      <w:r>
        <w:t>Rationale</w:t>
      </w:r>
      <w:bookmarkEnd w:id="12"/>
    </w:p>
    <w:p w14:paraId="231C9ABF" w14:textId="4A64826F" w:rsidR="000A6D27" w:rsidRDefault="007553E8" w:rsidP="0068463D">
      <w:pPr>
        <w:pStyle w:val="NormalWeb"/>
        <w:spacing w:before="0" w:beforeAutospacing="0" w:after="120" w:afterAutospacing="0" w:line="360" w:lineRule="auto"/>
      </w:pPr>
      <w:r>
        <w:t xml:space="preserve">This study is situated in the context of the ‘impact agenda’ for </w:t>
      </w:r>
      <w:r w:rsidR="006843A0">
        <w:t>academic research</w:t>
      </w:r>
      <w:r w:rsidR="00A05597">
        <w:t>,</w:t>
      </w:r>
      <w:r>
        <w:t xml:space="preserve"> </w:t>
      </w:r>
      <w:r w:rsidR="005342F7">
        <w:t>especially</w:t>
      </w:r>
      <w:r>
        <w:t xml:space="preserve"> as this </w:t>
      </w:r>
      <w:r w:rsidR="002A2F7D">
        <w:t xml:space="preserve">agenda </w:t>
      </w:r>
      <w:r>
        <w:t>has emerged and been institutionalised</w:t>
      </w:r>
      <w:r w:rsidR="00A11FDA">
        <w:t xml:space="preserve"> in</w:t>
      </w:r>
      <w:r>
        <w:t xml:space="preserve"> the </w:t>
      </w:r>
      <w:r w:rsidR="00A11FDA">
        <w:t>United Kingdom (UK). The UK’s</w:t>
      </w:r>
      <w:r w:rsidR="00E74AD5">
        <w:t xml:space="preserve"> </w:t>
      </w:r>
      <w:r w:rsidR="0076330E">
        <w:t>performance-related research funding system,</w:t>
      </w:r>
      <w:r w:rsidR="00E74AD5">
        <w:t xml:space="preserve"> known as</w:t>
      </w:r>
      <w:r w:rsidR="0076330E">
        <w:t xml:space="preserve"> the Research Excellence Framework (REF)</w:t>
      </w:r>
      <w:r w:rsidR="00E74AD5">
        <w:t xml:space="preserve">, </w:t>
      </w:r>
      <w:r w:rsidR="00A11FDA">
        <w:t>incentivises universities to conduct research and related activities that lead to demonstrable benefits for wider society</w:t>
      </w:r>
      <w:r w:rsidR="0076330E">
        <w:t>.</w:t>
      </w:r>
      <w:r>
        <w:t xml:space="preserve"> </w:t>
      </w:r>
      <w:r w:rsidR="000D5107">
        <w:t>As discussed in greater detail later, this agenda emerged in the context of a ‘knowledge society’</w:t>
      </w:r>
      <w:r w:rsidR="00821E5E">
        <w:t xml:space="preserve"> </w:t>
      </w:r>
      <w:r w:rsidR="000D5107" w:rsidRPr="00590F06">
        <w:fldChar w:fldCharType="begin"/>
      </w:r>
      <w:r w:rsidR="000D5107" w:rsidRPr="00590F06">
        <w:instrText xml:space="preserve"> ADDIN EN.CITE &lt;EndNote&gt;&lt;Cite&gt;&lt;Author&gt;Etzkowitz&lt;/Author&gt;&lt;Year&gt;1995&lt;/Year&gt;&lt;IDText&gt;The Triple Helix--University-industry-government relations: A laboratory for knowledge based economic development&lt;/IDText&gt;&lt;DisplayText&gt;(Etzkowitz &amp;amp; Leydesdorff, 1995; Wright, 2016)&lt;/DisplayText&gt;&lt;record&gt;&lt;titles&gt;&lt;title&gt;The Triple Helix--University-industry-government relations: A laboratory for knowledge based economic development&lt;/title&gt;&lt;secondary-title&gt;EASST review&lt;/secondary-title&gt;&lt;/titles&gt;&lt;pages&gt;14-19&lt;/pages&gt;&lt;number&gt;1&lt;/number&gt;&lt;contributors&gt;&lt;authors&gt;&lt;author&gt;Etzkowitz, Henry&lt;/author&gt;&lt;author&gt;Leydesdorff, Loet&lt;/author&gt;&lt;/authors&gt;&lt;/contributors&gt;&lt;added-date format="utc"&gt;1466170427&lt;/added-date&gt;&lt;ref-type name="Journal Article"&gt;17&lt;/ref-type&gt;&lt;dates&gt;&lt;year&gt;1995&lt;/year&gt;&lt;/dates&gt;&lt;rec-number&gt;394&lt;/rec-number&gt;&lt;last-updated-date format="utc"&gt;1469215468&lt;/last-updated-date&gt;&lt;volume&gt;14&lt;/volume&gt;&lt;/record&gt;&lt;/Cite&gt;&lt;Cite&gt;&lt;Author&gt;Wright&lt;/Author&gt;&lt;Year&gt;2016&lt;/Year&gt;&lt;IDText&gt;Universities in a knowledge economy or ecology? Policy, contestation and abjection&lt;/IDText&gt;&lt;record&gt;&lt;keywords&gt;&lt;keyword&gt;Article&lt;/keyword&gt;&lt;keyword&gt;Nthropology Of Policy&lt;/keyword&gt;&lt;keyword&gt;University Reform&lt;/keyword&gt;&lt;keyword&gt;Global Knowledge Economy&lt;/keyword&gt;&lt;keyword&gt;Substantive Ecology&lt;/keyword&gt;&lt;keyword&gt;Freedom&lt;/keyword&gt;&lt;keyword&gt;Contestation&lt;/keyword&gt;&lt;keyword&gt;Leadership&lt;/keyword&gt;&lt;/keywords&gt;&lt;isbn&gt;1946-0171&lt;/isbn&gt;&lt;titles&gt;&lt;title&gt;Universities in a knowledge economy or ecology? Policy, contestation and abjection&lt;/title&gt;&lt;secondary-title&gt;Critical Policy Studies&lt;/secondary-title&gt;&lt;/titles&gt;&lt;pages&gt;59-78&lt;/pages&gt;&lt;number&gt;1&lt;/number&gt;&lt;contributors&gt;&lt;authors&gt;&lt;author&gt;Wright, Susan&lt;/author&gt;&lt;/authors&gt;&lt;/contributors&gt;&lt;added-date format="utc"&gt;1523192048&lt;/added-date&gt;&lt;ref-type name="Journal Article"&gt;17&lt;/ref-type&gt;&lt;dates&gt;&lt;year&gt;2016&lt;/year&gt;&lt;/dates&gt;&lt;rec-number&gt;7461&lt;/rec-number&gt;&lt;publisher&gt;Routledge&lt;/publisher&gt;&lt;last-updated-date format="utc"&gt;1523192048&lt;/last-updated-date&gt;&lt;electronic-resource-num&gt;10.1080/19460171.2016.1142457&lt;/electronic-resource-num&gt;&lt;volume&gt;10&lt;/volume&gt;&lt;/record&gt;&lt;/Cite&gt;&lt;/EndNote&gt;</w:instrText>
      </w:r>
      <w:r w:rsidR="000D5107" w:rsidRPr="00590F06">
        <w:fldChar w:fldCharType="separate"/>
      </w:r>
      <w:r w:rsidR="000D5107" w:rsidRPr="00590F06">
        <w:rPr>
          <w:noProof/>
        </w:rPr>
        <w:t>(Etzkowitz &amp; Leydesdorff, 1995; Wright, 2016)</w:t>
      </w:r>
      <w:r w:rsidR="000D5107" w:rsidRPr="00590F06">
        <w:fldChar w:fldCharType="end"/>
      </w:r>
      <w:r w:rsidR="000D5107">
        <w:t xml:space="preserve">, in which </w:t>
      </w:r>
      <w:r w:rsidR="002B66AA">
        <w:t>t</w:t>
      </w:r>
      <w:r w:rsidR="008F3985">
        <w:t>he research output of universities</w:t>
      </w:r>
      <w:r w:rsidR="00F40420">
        <w:t xml:space="preserve"> </w:t>
      </w:r>
      <w:r w:rsidR="009F3CCA">
        <w:t>is</w:t>
      </w:r>
      <w:r w:rsidR="00F40420">
        <w:t xml:space="preserve"> </w:t>
      </w:r>
      <w:r w:rsidR="009F3CCA">
        <w:t>perceived</w:t>
      </w:r>
      <w:r w:rsidR="00DB41B7">
        <w:t xml:space="preserve"> to be </w:t>
      </w:r>
      <w:r w:rsidR="00213E9E">
        <w:t xml:space="preserve">key </w:t>
      </w:r>
      <w:r w:rsidR="00F40420">
        <w:t xml:space="preserve">to many </w:t>
      </w:r>
      <w:r w:rsidR="00082429">
        <w:t>of society’s</w:t>
      </w:r>
      <w:r w:rsidR="002B66AA">
        <w:t xml:space="preserve"> </w:t>
      </w:r>
      <w:r w:rsidR="00082429">
        <w:t>needs and</w:t>
      </w:r>
      <w:r w:rsidR="00F40420">
        <w:t xml:space="preserve"> goals, </w:t>
      </w:r>
      <w:r w:rsidR="00A41E91">
        <w:t>such as</w:t>
      </w:r>
      <w:r w:rsidR="00F40420">
        <w:t xml:space="preserve"> related to the economy,</w:t>
      </w:r>
      <w:r w:rsidR="008B10DD">
        <w:t xml:space="preserve"> communication, defence,</w:t>
      </w:r>
      <w:r w:rsidR="00F40420">
        <w:t xml:space="preserve"> health</w:t>
      </w:r>
      <w:r w:rsidR="005E2433">
        <w:t xml:space="preserve"> and</w:t>
      </w:r>
      <w:r w:rsidR="00F40420">
        <w:t xml:space="preserve"> </w:t>
      </w:r>
      <w:r w:rsidR="005E2433">
        <w:t>environmental sustainability</w:t>
      </w:r>
      <w:r w:rsidR="005E2433" w:rsidRPr="00B33BCF">
        <w:t xml:space="preserve">. </w:t>
      </w:r>
      <w:r w:rsidR="008B10DD" w:rsidRPr="00B33BCF">
        <w:t>Th</w:t>
      </w:r>
      <w:r w:rsidR="00B353BE" w:rsidRPr="00B33BCF">
        <w:t>e result has been that, since at least the early 1980s,</w:t>
      </w:r>
      <w:r w:rsidR="008B10DD" w:rsidRPr="00B33BCF">
        <w:t xml:space="preserve"> </w:t>
      </w:r>
      <w:r w:rsidR="0080037A" w:rsidRPr="00B33BCF">
        <w:t>academic</w:t>
      </w:r>
      <w:r w:rsidR="003A6A2B" w:rsidRPr="00B33BCF">
        <w:t xml:space="preserve"> </w:t>
      </w:r>
      <w:r w:rsidR="0080037A" w:rsidRPr="00B33BCF">
        <w:t>research and r</w:t>
      </w:r>
      <w:r w:rsidR="003A6A2B" w:rsidRPr="00B33BCF">
        <w:t>elated</w:t>
      </w:r>
      <w:r w:rsidR="00437AFD" w:rsidRPr="00B33BCF">
        <w:t xml:space="preserve"> activities</w:t>
      </w:r>
      <w:r w:rsidR="0080037A" w:rsidRPr="00B33BCF">
        <w:t>, as well as</w:t>
      </w:r>
      <w:r w:rsidR="00437AFD" w:rsidRPr="00B33BCF">
        <w:t xml:space="preserve"> </w:t>
      </w:r>
      <w:r w:rsidR="00F25659" w:rsidRPr="00B33BCF">
        <w:t xml:space="preserve">the </w:t>
      </w:r>
      <w:r w:rsidR="00437AFD" w:rsidRPr="00B33BCF">
        <w:t>governance of</w:t>
      </w:r>
      <w:r w:rsidR="00C5736E" w:rsidRPr="00B33BCF">
        <w:t xml:space="preserve"> academic institutions</w:t>
      </w:r>
      <w:r w:rsidR="00B353BE" w:rsidRPr="00B33BCF">
        <w:t xml:space="preserve"> more generally</w:t>
      </w:r>
      <w:r w:rsidR="00DA4AA5" w:rsidRPr="00B33BCF">
        <w:t>,</w:t>
      </w:r>
      <w:r w:rsidR="00B353BE" w:rsidRPr="00B33BCF">
        <w:t xml:space="preserve"> have become</w:t>
      </w:r>
      <w:r w:rsidR="00C5736E" w:rsidRPr="00B33BCF">
        <w:t xml:space="preserve"> </w:t>
      </w:r>
      <w:r w:rsidR="00B2719C" w:rsidRPr="00B33BCF">
        <w:t>matters</w:t>
      </w:r>
      <w:r w:rsidR="00437AFD" w:rsidRPr="00B33BCF">
        <w:t xml:space="preserve"> of </w:t>
      </w:r>
      <w:r w:rsidR="00F0669D" w:rsidRPr="00B33BCF">
        <w:t xml:space="preserve">heightened </w:t>
      </w:r>
      <w:r w:rsidR="00437AFD" w:rsidRPr="00B33BCF">
        <w:t xml:space="preserve">political </w:t>
      </w:r>
      <w:r w:rsidR="000E26EB" w:rsidRPr="00B33BCF">
        <w:t>and social significance</w:t>
      </w:r>
      <w:r w:rsidR="009E47DA" w:rsidRPr="00B33BCF">
        <w:t xml:space="preserve">, and so too of political intervention in terms of influencing how </w:t>
      </w:r>
      <w:r w:rsidR="00A42B3A" w:rsidRPr="00B33BCF">
        <w:t>academic institutions and</w:t>
      </w:r>
      <w:r w:rsidR="009E47DA" w:rsidRPr="00B33BCF">
        <w:t xml:space="preserve"> activities are managed</w:t>
      </w:r>
      <w:r w:rsidR="00B353BE" w:rsidRPr="00B33BCF">
        <w:t xml:space="preserve"> </w:t>
      </w:r>
      <w:r w:rsidR="00B353BE" w:rsidRPr="00B33BCF">
        <w:fldChar w:fldCharType="begin">
          <w:fldData xml:space="preserve">PEVuZE5vdGU+PENpdGU+PEF1dGhvcj5EZWVtPC9BdXRob3I+PFllYXI+MjAwNzwvWWVhcj48SURU
ZXh0Pktub3dsZWRnZSwgaGlnaGVyIGVkdWNhdGlvbiwgYW5kIHRoZSBuZXcgbWFuYWdlcmlhbGlz
bTogdGhlIGNoYW5naW5nIG1hbmFnZW1lbnQgb2YgVUsgdW5pdmVyc2l0aWVzPC9JRFRleHQ+PERp
c3BsYXlUZXh0PihEZWVtLCBIaWxseWFyZCwgJmFtcDsgUmVlZCwgMjAwNzsgTWFydGluLCAyMDEx
KTwvRGlzcGxheVRleHQ+PHJlY29yZD48a2V5d29yZHM+PGtleXdvcmQ+VW5pdmVyc2l0aWVzIGFu
ZCBjb2xsZWdlcyAtLSBHcmVhdCBCcml0YWluIC0tIEFkbWluaXN0cmF0aW9uPC9rZXl3b3JkPjxr
ZXl3b3JkPkVkdWNhdGlvbmFsIGNoYW5nZSAtLSBHcmVhdCBCcml0YWluPC9rZXl3b3JkPjxrZXl3
b3JkPkVsZWN0cm9uaWMgYm9va3M8L2tleXdvcmQ+PC9rZXl3b3Jkcz48dGl0bGVzPjx0aXRsZT5L
bm93bGVkZ2UsIGhpZ2hlciBlZHVjYXRpb24sIGFuZCB0aGUgbmV3IG1hbmFnZXJpYWxpc206IHRo
ZSBjaGFuZ2luZyBtYW5hZ2VtZW50IG9mIFVLIHVuaXZlcnNpdGllczwvdGl0bGU+PHNlY29uZGFy
eS10aXRsZT5Lbm93bGVkZ2UsIGhpZ2hlciBlZHVjYXRpb24sIGFuZCB0aGUgbmV3IG1hbmFnZXJp
YWxpc208L3NlY29uZGFyeS10aXRsZT48L3RpdGxlcz48Y29udHJpYnV0b3JzPjxhdXRob3JzPjxh
dXRob3I+RGVlbSwgUi48L2F1dGhvcj48YXV0aG9yPkhpbGx5YXJkLCBTLjwvYXV0aG9yPjxhdXRo
b3I+UmVlZCwgTS48L2F1dGhvcj48L2F1dGhvcnM+PC9jb250cmlidXRvcnM+PGFkZGVkLWRhdGUg
Zm9ybWF0PSJ1dGMiPjE1MjI5NDI5NjM8L2FkZGVkLWRhdGU+PHB1Yi1sb2NhdGlvbj5PeGZvcmQ8
L3B1Yi1sb2NhdGlvbj48cmVmLXR5cGUgbmFtZT0iQm9vayI+NjwvcmVmLXR5cGU+PGRhdGVzPjx5
ZWFyPjIwMDc8L3llYXI+PC9kYXRlcz48cmVjLW51bWJlcj43NDQ5PC9yZWMtbnVtYmVyPjxwdWJs
aXNoZXI+T3hmb3JkIFVuaXZlcnNpdHkgUHJlc3M8L3B1Ymxpc2hlcj48bGFzdC11cGRhdGVkLWRh
dGUgZm9ybWF0PSJ1dGMiPjE1MjI5NDc2MjI8L2xhc3QtdXBkYXRlZC1kYXRlPjwvcmVjb3JkPjwv
Q2l0ZT48Q2l0ZT48QXV0aG9yPk1hcnRpbjwvQXV0aG9yPjxZZWFyPjIwMTE8L1llYXI+PElEVGV4
dD5UaGUgUmVzZWFyY2ggRXhjZWxsZW5jZSBGcmFtZXdvcmsgYW5kIHRoZSAmYXBvcztpbXBhY3Qg
YWdlbmRhJmFwb3M7OiBhcmUgd2UgY3JlYXRpbmcgYSBGcmFua2Vuc3RlaW4gbW9uc3Rlcj88L0lE
VGV4dD48cmVjb3JkPjxkYXRlcz48cHViLWRhdGVzPjxkYXRlPlNlcDwvZGF0ZT48L3B1Yi1kYXRl
cz48eWVhcj4yMDExPC95ZWFyPjwvZGF0ZXM+PHVybHM+PHJlbGF0ZWQtdXJscz48dXJsPiZsdDtH
byB0byBJU0kmZ3Q7Oi8vV09TOjAwMDI5NjIwNzIwMDAxMDwvdXJsPjwvcmVsYXRlZC11cmxzPjwv
dXJscz48aXNibj4wOTU4LTIwMjk8L2lzYm4+PHRpdGxlcz48dGl0bGU+VGhlIFJlc2VhcmNoIEV4
Y2VsbGVuY2UgRnJhbWV3b3JrIGFuZCB0aGUgJmFwb3M7aW1wYWN0IGFnZW5kYSZhcG9zOzogYXJl
IHdlIGNyZWF0aW5nIGEgRnJhbmtlbnN0ZWluIG1vbnN0ZXI/PC90aXRsZT48c2Vjb25kYXJ5LXRp
dGxlPlJlc2VhcmNoIEV2YWx1YXRpb248L3NlY29uZGFyeS10aXRsZT48L3RpdGxlcz48cGFnZXM+
MjQ3LTI1NDwvcGFnZXM+PG51bWJlcj4zPC9udW1iZXI+PGNvbnRyaWJ1dG9ycz48YXV0aG9ycz48
YXV0aG9yPk1hcnRpbiwgQmVuIFIuPC9hdXRob3I+PC9hdXRob3JzPjwvY29udHJpYnV0b3JzPjxh
ZGRlZC1kYXRlIGZvcm1hdD0idXRjIj4xNDY5MjMwMjg0PC9hZGRlZC1kYXRlPjxyZWYtdHlwZSBu
YW1lPSJKb3VybmFsIEFydGljbGUiPjE3PC9yZWYtdHlwZT48cmVjLW51bWJlcj43MTY8L3JlYy1u
dW1iZXI+PGxhc3QtdXBkYXRlZC1kYXRlIGZvcm1hdD0idXRjIj4xNDY5MjMwMzM0PC9sYXN0LXVw
ZGF0ZWQtZGF0ZT48YWNjZXNzaW9uLW51bT5XT1M6MDAwMjk2MjA3MjAwMDEwPC9hY2Nlc3Npb24t
bnVtPjxlbGVjdHJvbmljLXJlc291cmNlLW51bT4xMC4zMTUyLzA5NTgyMDIxMXgxMzExODU4MzYz
NTY5MzwvZWxlY3Ryb25pYy1yZXNvdXJjZS1udW0+PHZvbHVtZT4yMDwvdm9sdW1lPjwvcmVjb3Jk
PjwvQ2l0ZT48L0VuZE5vdGU+AG==
</w:fldData>
        </w:fldChar>
      </w:r>
      <w:r w:rsidR="0095296C" w:rsidRPr="00B33BCF">
        <w:instrText xml:space="preserve"> ADDIN EN.CITE </w:instrText>
      </w:r>
      <w:r w:rsidR="0095296C" w:rsidRPr="00B33BCF">
        <w:fldChar w:fldCharType="begin">
          <w:fldData xml:space="preserve">PEVuZE5vdGU+PENpdGU+PEF1dGhvcj5EZWVtPC9BdXRob3I+PFllYXI+MjAwNzwvWWVhcj48SURU
ZXh0Pktub3dsZWRnZSwgaGlnaGVyIGVkdWNhdGlvbiwgYW5kIHRoZSBuZXcgbWFuYWdlcmlhbGlz
bTogdGhlIGNoYW5naW5nIG1hbmFnZW1lbnQgb2YgVUsgdW5pdmVyc2l0aWVzPC9JRFRleHQ+PERp
c3BsYXlUZXh0PihEZWVtLCBIaWxseWFyZCwgJmFtcDsgUmVlZCwgMjAwNzsgTWFydGluLCAyMDEx
KTwvRGlzcGxheVRleHQ+PHJlY29yZD48a2V5d29yZHM+PGtleXdvcmQ+VW5pdmVyc2l0aWVzIGFu
ZCBjb2xsZWdlcyAtLSBHcmVhdCBCcml0YWluIC0tIEFkbWluaXN0cmF0aW9uPC9rZXl3b3JkPjxr
ZXl3b3JkPkVkdWNhdGlvbmFsIGNoYW5nZSAtLSBHcmVhdCBCcml0YWluPC9rZXl3b3JkPjxrZXl3
b3JkPkVsZWN0cm9uaWMgYm9va3M8L2tleXdvcmQ+PC9rZXl3b3Jkcz48dGl0bGVzPjx0aXRsZT5L
bm93bGVkZ2UsIGhpZ2hlciBlZHVjYXRpb24sIGFuZCB0aGUgbmV3IG1hbmFnZXJpYWxpc206IHRo
ZSBjaGFuZ2luZyBtYW5hZ2VtZW50IG9mIFVLIHVuaXZlcnNpdGllczwvdGl0bGU+PHNlY29uZGFy
eS10aXRsZT5Lbm93bGVkZ2UsIGhpZ2hlciBlZHVjYXRpb24sIGFuZCB0aGUgbmV3IG1hbmFnZXJp
YWxpc208L3NlY29uZGFyeS10aXRsZT48L3RpdGxlcz48Y29udHJpYnV0b3JzPjxhdXRob3JzPjxh
dXRob3I+RGVlbSwgUi48L2F1dGhvcj48YXV0aG9yPkhpbGx5YXJkLCBTLjwvYXV0aG9yPjxhdXRo
b3I+UmVlZCwgTS48L2F1dGhvcj48L2F1dGhvcnM+PC9jb250cmlidXRvcnM+PGFkZGVkLWRhdGUg
Zm9ybWF0PSJ1dGMiPjE1MjI5NDI5NjM8L2FkZGVkLWRhdGU+PHB1Yi1sb2NhdGlvbj5PeGZvcmQ8
L3B1Yi1sb2NhdGlvbj48cmVmLXR5cGUgbmFtZT0iQm9vayI+NjwvcmVmLXR5cGU+PGRhdGVzPjx5
ZWFyPjIwMDc8L3llYXI+PC9kYXRlcz48cmVjLW51bWJlcj43NDQ5PC9yZWMtbnVtYmVyPjxwdWJs
aXNoZXI+T3hmb3JkIFVuaXZlcnNpdHkgUHJlc3M8L3B1Ymxpc2hlcj48bGFzdC11cGRhdGVkLWRh
dGUgZm9ybWF0PSJ1dGMiPjE1MjI5NDc2MjI8L2xhc3QtdXBkYXRlZC1kYXRlPjwvcmVjb3JkPjwv
Q2l0ZT48Q2l0ZT48QXV0aG9yPk1hcnRpbjwvQXV0aG9yPjxZZWFyPjIwMTE8L1llYXI+PElEVGV4
dD5UaGUgUmVzZWFyY2ggRXhjZWxsZW5jZSBGcmFtZXdvcmsgYW5kIHRoZSAmYXBvcztpbXBhY3Qg
YWdlbmRhJmFwb3M7OiBhcmUgd2UgY3JlYXRpbmcgYSBGcmFua2Vuc3RlaW4gbW9uc3Rlcj88L0lE
VGV4dD48cmVjb3JkPjxkYXRlcz48cHViLWRhdGVzPjxkYXRlPlNlcDwvZGF0ZT48L3B1Yi1kYXRl
cz48eWVhcj4yMDExPC95ZWFyPjwvZGF0ZXM+PHVybHM+PHJlbGF0ZWQtdXJscz48dXJsPiZsdDtH
byB0byBJU0kmZ3Q7Oi8vV09TOjAwMDI5NjIwNzIwMDAxMDwvdXJsPjwvcmVsYXRlZC11cmxzPjwv
dXJscz48aXNibj4wOTU4LTIwMjk8L2lzYm4+PHRpdGxlcz48dGl0bGU+VGhlIFJlc2VhcmNoIEV4
Y2VsbGVuY2UgRnJhbWV3b3JrIGFuZCB0aGUgJmFwb3M7aW1wYWN0IGFnZW5kYSZhcG9zOzogYXJl
IHdlIGNyZWF0aW5nIGEgRnJhbmtlbnN0ZWluIG1vbnN0ZXI/PC90aXRsZT48c2Vjb25kYXJ5LXRp
dGxlPlJlc2VhcmNoIEV2YWx1YXRpb248L3NlY29uZGFyeS10aXRsZT48L3RpdGxlcz48cGFnZXM+
MjQ3LTI1NDwvcGFnZXM+PG51bWJlcj4zPC9udW1iZXI+PGNvbnRyaWJ1dG9ycz48YXV0aG9ycz48
YXV0aG9yPk1hcnRpbiwgQmVuIFIuPC9hdXRob3I+PC9hdXRob3JzPjwvY29udHJpYnV0b3JzPjxh
ZGRlZC1kYXRlIGZvcm1hdD0idXRjIj4xNDY5MjMwMjg0PC9hZGRlZC1kYXRlPjxyZWYtdHlwZSBu
YW1lPSJKb3VybmFsIEFydGljbGUiPjE3PC9yZWYtdHlwZT48cmVjLW51bWJlcj43MTY8L3JlYy1u
dW1iZXI+PGxhc3QtdXBkYXRlZC1kYXRlIGZvcm1hdD0idXRjIj4xNDY5MjMwMzM0PC9sYXN0LXVw
ZGF0ZWQtZGF0ZT48YWNjZXNzaW9uLW51bT5XT1M6MDAwMjk2MjA3MjAwMDEwPC9hY2Nlc3Npb24t
bnVtPjxlbGVjdHJvbmljLXJlc291cmNlLW51bT4xMC4zMTUyLzA5NTgyMDIxMXgxMzExODU4MzYz
NTY5MzwvZWxlY3Ryb25pYy1yZXNvdXJjZS1udW0+PHZvbHVtZT4yMDwvdm9sdW1lPjwvcmVjb3Jk
PjwvQ2l0ZT48L0VuZE5vdGU+AG==
</w:fldData>
        </w:fldChar>
      </w:r>
      <w:r w:rsidR="0095296C" w:rsidRPr="00B33BCF">
        <w:instrText xml:space="preserve"> ADDIN EN.CITE.DATA </w:instrText>
      </w:r>
      <w:r w:rsidR="0095296C" w:rsidRPr="00B33BCF">
        <w:fldChar w:fldCharType="end"/>
      </w:r>
      <w:r w:rsidR="00B353BE" w:rsidRPr="00B33BCF">
        <w:fldChar w:fldCharType="separate"/>
      </w:r>
      <w:r w:rsidR="0095296C" w:rsidRPr="00B33BCF">
        <w:rPr>
          <w:noProof/>
        </w:rPr>
        <w:t>(Deem, Hillyard, &amp; Reed, 2007; Martin, 2011)</w:t>
      </w:r>
      <w:r w:rsidR="00B353BE" w:rsidRPr="00B33BCF">
        <w:fldChar w:fldCharType="end"/>
      </w:r>
      <w:r w:rsidR="008263CA" w:rsidRPr="00B33BCF">
        <w:t>.</w:t>
      </w:r>
      <w:r w:rsidR="00F85587" w:rsidRPr="00B33BCF">
        <w:t xml:space="preserve"> </w:t>
      </w:r>
      <w:r w:rsidR="0075553B" w:rsidRPr="00B33BCF">
        <w:t xml:space="preserve">Key to this </w:t>
      </w:r>
      <w:r w:rsidR="006A2690" w:rsidRPr="00B33BCF">
        <w:t>has been the logic</w:t>
      </w:r>
      <w:r w:rsidR="00964822" w:rsidRPr="00B33BCF">
        <w:t xml:space="preserve"> of New Public Management</w:t>
      </w:r>
      <w:r w:rsidR="00F85587" w:rsidRPr="00B33BCF">
        <w:t xml:space="preserve"> that has characterised the last three or more decades of </w:t>
      </w:r>
      <w:r w:rsidR="005606EA" w:rsidRPr="00B33BCF">
        <w:t>t</w:t>
      </w:r>
      <w:r w:rsidR="00F85587" w:rsidRPr="00B33BCF">
        <w:t>he UK higher education sector</w:t>
      </w:r>
      <w:r w:rsidR="00B04D00" w:rsidRPr="00B33BCF">
        <w:t xml:space="preserve"> (and other sectors)</w:t>
      </w:r>
      <w:r w:rsidR="00F85587" w:rsidRPr="00B33BCF">
        <w:t>, and that has parallel</w:t>
      </w:r>
      <w:r w:rsidR="005606EA" w:rsidRPr="00B33BCF">
        <w:t>s across the globe</w:t>
      </w:r>
      <w:r w:rsidR="003A0D1B" w:rsidRPr="00B33BCF">
        <w:t xml:space="preserve"> </w:t>
      </w:r>
      <w:r w:rsidR="003A0D1B" w:rsidRPr="00B33BCF">
        <w:fldChar w:fldCharType="begin">
          <w:fldData xml:space="preserve">PEVuZE5vdGU+PENpdGU+PEF1dGhvcj5DbGFyazwvQXV0aG9yPjxZZWFyPjE5OTg8L1llYXI+PElE
VGV4dD5DcmVhdGluZyBlbnRyZXByZW5ldXJpYWwgdW5pdmVyc2l0aWVzOiBvcmdhbml6YXRpb25h
bCBwYXRod2F5cyBvZiB0cmFuc2Zvcm1hdGlvbjwvSURUZXh0PjxEaXNwbGF5VGV4dD4oQi4gUi4g
Q2xhcmssIDE5OTgsIDIwMDRiOyBEZWVtLCAyMDA0OyBMYW1iZXJ0LCAyMDAzOyBTaGF0dG9jaywg
MjAxNzsgV2F0ZXJtZXllciAmYW1wOyBPbHNzZW4sIDIwMTYpPC9EaXNwbGF5VGV4dD48cmVjb3Jk
PjxrZXl3b3Jkcz48a2V5d29yZD5Vbml2ZXJzaXRpZXMgYW5kIGNvbGxlZ2VzIC0tIEV1cm9wZSAt
LSBBZG1pbmlzdHJhdGlvbiAtLSBDYXNlIHN0dWRpZXM8L2tleXdvcmQ+PGtleXdvcmQ+RWR1Y2F0
aW9uYWwgY2hhbmdlIC0tIEV1cm9wZSAtLSBDYXNlIHN0dWRpZXM8L2tleXdvcmQ+PGtleXdvcmQ+
Q2hhbmdlLCBFZHVjYXRpb25hbDwva2V5d29yZD48a2V5d29yZD5FZHVjYXRpb24gY2hhbmdlPC9r
ZXl3b3JkPjxrZXl3b3JkPkVkdWNhdGlvbiByZWZvcm08L2tleXdvcmQ+PGtleXdvcmQ+RWR1Y2F0
aW9uYWwgcmVmb3JtPC9rZXl3b3JkPjxrZXl3b3JkPlJlZm9ybSwgRWR1Y2F0aW9uPC9rZXl3b3Jk
PjxrZXl3b3JkPlNjaG9vbCByZWZvcm08L2tleXdvcmQ+PGtleXdvcmQ+RWR1Y2F0aW9uYWwgcGxh
bm5pbmc8L2tleXdvcmQ+PGtleXdvcmQ+RWR1Y2F0aW9uYWwgaW5ub3ZhdGlvbnM8L2tleXdvcmQ+
PGtleXdvcmQ+Q29sbGVnZXM8L2tleXdvcmQ+PGtleXdvcmQ+RGVncmVlLWdyYW50aW5nIGluc3Rp
dHV0aW9uczwva2V5d29yZD48a2V5d29yZD5IaWdoZXIgZWR1Y2F0aW9uIGluc3RpdHV0aW9uczwv
a2V5d29yZD48a2V5d29yZD5IaWdoZXIgZWR1Y2F0aW9uIHByb3ZpZGVyczwva2V5d29yZD48a2V5
d29yZD5JbnN0aXR1dGlvbnMgb2YgaGlnaGVyIGVkdWNhdGlvbjwva2V5d29yZD48a2V5d29yZD5Q
b3N0c2Vjb25kYXJ5IGluc3RpdHV0aW9uczwva2V5d29yZD48a2V5d29yZD5QdWJsaWMgaW5zdGl0
dXRpb25zPC9rZXl3b3JkPjxrZXl3b3JkPlNjaG9vbHM8L2tleXdvcmQ+PGtleXdvcmQ+RWR1Y2F0
aW9uLCBIaWdoZXI8L2tleXdvcmQ+PC9rZXl3b3Jkcz48dGl0bGVzPjx0aXRsZT5DcmVhdGluZyBl
bnRyZXByZW5ldXJpYWwgdW5pdmVyc2l0aWVzOiBvcmdhbml6YXRpb25hbCBwYXRod2F5cyBvZiB0
cmFuc2Zvcm1hdGlvbjwvdGl0bGU+PC90aXRsZXM+PGNvbnRyaWJ1dG9ycz48YXV0aG9ycz48YXV0
aG9yPkNsYXJrLCBCdXJ0b24gUi48L2F1dGhvcj48L2F1dGhvcnM+PC9jb250cmlidXRvcnM+PGFk
ZGVkLWRhdGUgZm9ybWF0PSJ1dGMiPjE0NjYxOTgwODk8L2FkZGVkLWRhdGU+PHB1Yi1sb2NhdGlv
bj5PeGZvcmQ8L3B1Yi1sb2NhdGlvbj48cmVmLXR5cGUgbmFtZT0iQm9vayI+NjwvcmVmLXR5cGU+
PGRhdGVzPjx5ZWFyPjE5OTg8L3llYXI+PC9kYXRlcz48cmVjLW51bWJlcj4zOTU8L3JlYy1udW1i
ZXI+PHB1Ymxpc2hlcj5QZXJnYW1vbiBQcmVzczwvcHVibGlzaGVyPjxsYXN0LXVwZGF0ZWQtZGF0
ZSBmb3JtYXQ9InV0YyI+MTU0ODY2MjAwMDwvbGFzdC11cGRhdGVkLWRhdGU+PC9yZWNvcmQ+PC9D
aXRlPjxDaXRlPjxBdXRob3I+Q2xhcms8L0F1dGhvcj48WWVhcj4yMDA0PC9ZZWFyPjxJRFRleHQ+
U3VzdGFpbmluZyBjaGFuZ2UgaW4gdW5pdmVyc2l0aWVzOiBjb250aW51aXRpZXMgaW4gY2FzZSBz
dHVkaWVzIGFuZCBjb25jZXB0czwvSURUZXh0PjxyZWNvcmQ+PGtleXdvcmRzPjxrZXl3b3JkPlVu
aXZlcnNpdGllcyBhbmQgY29sbGVnZXMgQWRtaW5pc3RyYXRpb24gQ2FzZSBzdHVkaWVzLjwva2V5
d29yZD48a2V5d29yZD5FZHVjYXRpb25hbCBjaGFuZ2UgQ2FzZSBzdHVkaWVzLjwva2V5d29yZD48
L2tleXdvcmRzPjxpc2JuPjAzMzUyMTU5MTIgKGNhc2VkKSA6IMK5NjAuMDAmI3hEOzAzMzUyMTU5
MDQgKHBiay4pIDogwrkxOS45OTwvaXNibj48dGl0bGVzPjx0aXRsZT5TdXN0YWluaW5nIGNoYW5n
ZSBpbiB1bml2ZXJzaXRpZXM6IGNvbnRpbnVpdGllcyBpbiBjYXNlIHN0dWRpZXMgYW5kIGNvbmNl
cHRzPC90aXRsZT48L3RpdGxlcz48Y2FsbC1udW0+Mzc4LjEwNyAyMiYjeEQ7QnJpdGlzaCBMaWJy
YXJ5IEhNTlRTIFlDLjIwMDkuYS4yNzY5JiN4RDtCcml0aXNoIExpYnJhcnkgRFNDIG0wNC8uMzgy
MTI8L2NhbGwtbnVtPjxjb250cmlidXRvcnM+PGF1dGhvcnM+PGF1dGhvcj5DbGFyaywgQnVydG9u
IFIuPC9hdXRob3I+PC9hdXRob3JzPjwvY29udHJpYnV0b3JzPjxhZGRlZC1kYXRlIGZvcm1hdD0i
dXRjIj4xNDY2Mzg1MDA1PC9hZGRlZC1kYXRlPjxwdWItbG9jYXRpb24+TWFpZGVuaGVhZDwvcHVi
LWxvY2F0aW9uPjxyZWYtdHlwZSBuYW1lPSJCb29rIj42PC9yZWYtdHlwZT48ZGF0ZXM+PHllYXI+
MjAwNDwveWVhcj48L2RhdGVzPjxyZWMtbnVtYmVyPjM5ODwvcmVjLW51bWJlcj48cHVibGlzaGVy
Pk9wZW4gVW5pdmVyc2l0eSBQcmVzczwvcHVibGlzaGVyPjxsYXN0LXVwZGF0ZWQtZGF0ZSBmb3Jt
YXQ9InV0YyI+MTQ2OTIyOTg2ODwvbGFzdC11cGRhdGVkLWRhdGU+PC9yZWNvcmQ+PC9DaXRlPjxD
aXRlPjxBdXRob3I+TGFtYmVydDwvQXV0aG9yPjxZZWFyPjIwMDM8L1llYXI+PElEVGV4dD5MYW1i
ZXJ0IHJldmlldyBvZiBidXNpbmVzcy11bml2ZXJzaXR5IGNvbGxhYm9yYXRpb246IEZpbmFsIHJl
cG9ydDwvSURUZXh0PjxyZWNvcmQ+PHRpdGxlcz48dGl0bGU+TGFtYmVydCByZXZpZXcgb2YgYnVz
aW5lc3MtdW5pdmVyc2l0eSBjb2xsYWJvcmF0aW9uOiBGaW5hbCByZXBvcnQ8L3RpdGxlPjxzZWNv
bmRhcnktdGl0bGU+VW5pdmVyc2l0eSBvZiBJbGxpbm9pcyBhdCBVcmJhbmEtQ2hhbXBhaWduJmFw
b3M7cyBBY2FkZW15IGZvciBFbnRyZXByZW5ldXJpYWwgTGVhZGVyc2hpcCBIaXN0b3JpY2FsIFJl
c2VhcmNoIFJlZmVyZW5jZSBpbiBFbnRyZXByZW5ldXJzaGlwPC9zZWNvbmRhcnktdGl0bGU+PC90
aXRsZXM+PGNvbnRyaWJ1dG9ycz48YXV0aG9ycz48YXV0aG9yPkxhbWJlcnQsIFJpY2hhcmQ8L2F1
dGhvcj48L2F1dGhvcnM+PC9jb250cmlidXRvcnM+PGFkZGVkLWRhdGUgZm9ybWF0PSJ1dGMiPjE0
NzkyNjU0ODM8L2FkZGVkLWRhdGU+PHJlZi10eXBlIG5hbWU9IkpvdXJuYWwgQXJ0aWNsZSI+MTc8
L3JlZi10eXBlPjxkYXRlcz48eWVhcj4yMDAzPC95ZWFyPjwvZGF0ZXM+PHJlYy1udW1iZXI+NjMw
MjwvcmVjLW51bWJlcj48bGFzdC11cGRhdGVkLWRhdGUgZm9ybWF0PSJ1dGMiPjE0NzkyNjgzMTk8
L2xhc3QtdXBkYXRlZC1kYXRlPjwvcmVjb3JkPjwvQ2l0ZT48Q2l0ZT48QXV0aG9yPlNoYXR0b2Nr
PC9BdXRob3I+PFllYXI+MjAxNzwvWWVhcj48SURUZXh0PlVuaXZlcnNpdHkgZ292ZXJuYW5jZSBp
biBmbHV4LiBUaGUgaW1wYWN0IG9mIGV4dGVybmFsIGFuZCBpbnRlcm5hbCBwcmVzc3VyZXMgb24g
dGhlIGRpc3RyaWJ1dGlvbiBvZiBhdXRob3JpdHkgd2l0aGluIEJyaXRpc2ggdW5pdmVyc2l0aWVz
OiBhIHN5bm9wdGljIHZpZXcuIFdvcmtpbmcgUGFwZXIgMTM8L0lEVGV4dD48cmVjb3JkPjx1cmxz
PjxyZWxhdGVkLXVybHM+PHVybD5odHRwOi8vd3d3LnJlc2VhcmNoY2doZS5vcmcvcHVibGljYXRp
b25zL3VuaXZlcnNpdHktZ292ZXJuYW5jZS1pbi1mbHV4LXRoZS1pbXBhY3Qtb2YtZXh0ZXJuYWwt
YW5kLWludGVybmFsLXByZXNzdXJlcy1vbi10aGUtZGlzdHJpYnV0aW9uLW9mLWF1dGhvcml0eS13
aXRoaW4tYnJpdGlzaC11bml2ZXJzaXRpZXMtYS1zeW5vcHRpYy12aWV3LzwvdXJsPjwvcmVsYXRl
ZC11cmxzPjwvdXJscz48dGl0bGVzPjx0aXRsZT5Vbml2ZXJzaXR5IGdvdmVybmFuY2UgaW4gZmx1
eC4gVGhlIGltcGFjdCBvZiBleHRlcm5hbCBhbmQgaW50ZXJuYWwgcHJlc3N1cmVzIG9uIHRoZSBk
aXN0cmlidXRpb24gb2YgYXV0aG9yaXR5IHdpdGhpbiBCcml0aXNoIHVuaXZlcnNpdGllczogYSBz
eW5vcHRpYyB2aWV3LiBXb3JraW5nIFBhcGVyIDEzPC90aXRsZT48L3RpdGxlcz48Y29udHJpYnV0
b3JzPjxhdXRob3JzPjxhdXRob3I+U2hhdHRvY2ssIE1pY2hhZWw8L2F1dGhvcj48L2F1dGhvcnM+
PC9jb250cmlidXRvcnM+PGFkZGVkLWRhdGUgZm9ybWF0PSJ1dGMiPjE0OTA4MDI2NjQ8L2FkZGVk
LWRhdGU+PHJlZi10eXBlIG5hbWU9IlJlcG9ydCI+Mjc8L3JlZi10eXBlPjxkYXRlcz48eWVhcj4y
MDE3PC95ZWFyPjwvZGF0ZXM+PHJlYy1udW1iZXI+NjY4NjwvcmVjLW51bWJlcj48cHVibGlzaGVy
PkNHSEU8L3B1Ymxpc2hlcj48bGFzdC11cGRhdGVkLWRhdGUgZm9ybWF0PSJ1dGMiPjE1MDUzOTQw
MTY8L2xhc3QtdXBkYXRlZC1kYXRlPjwvcmVjb3JkPjwvQ2l0ZT48Q2l0ZT48QXV0aG9yPkRlZW08
L0F1dGhvcj48WWVhcj4yMDA0PC9ZZWFyPjxJRFRleHQ+VGhlIEtub3dsZWRnZSBXb3JrZXIsIHRo
ZSBNYW5hZ2Vy4oCQYWNhZGVtaWMgYW5kIHRoZSBDb250ZW1wb3JhcnkgVUsgVW5pdmVyc2l0eTog
TmV3IGFuZCBPbGQgRm9ybXMgb2YgUHVibGljIE1hbmFnZW1lbnQ/PC9JRFRleHQ+PHJlY29yZD48
a2V5d29yZHM+PGtleXdvcmQ+TmV3IE1hbmFnZXJpYWxpc208L2tleXdvcmQ+PGtleXdvcmQ+S25v
d2xlZGdl4oCQd29yazwva2V5d29yZD48a2V5d29yZD5IaWdoZXLigJBlZHVjYXRpb248L2tleXdv
cmQ+PGtleXdvcmQ+TWFuYWdlcuKAkCBBY2FkZW1pY3M8L2tleXdvcmQ+PGtleXdvcmQ+UG9saWN5
IENoYW5nZTwva2V5d29yZD48L2tleXdvcmRzPjxpc2JuPjAyNjctNDQyNDwvaXNibj48dGl0bGVz
Pjx0aXRsZT5UaGUgS25vd2xlZGdlIFdvcmtlciwgdGhlIE1hbmFnZXLigJBhY2FkZW1pYyBhbmQg
dGhlIENvbnRlbXBvcmFyeSBVSyBVbml2ZXJzaXR5OiBOZXcgYW5kIE9sZCBGb3JtcyBvZiBQdWJs
aWMgTWFuYWdlbWVudD88L3RpdGxlPjxzZWNvbmRhcnktdGl0bGU+RmluYW5jaWFsIEFjY291bnRh
YmlsaXR5ICZhbXA7IE1hbmFnZW1lbnQ8L3NlY29uZGFyeS10aXRsZT48L3RpdGxlcz48cGFnZXM+
MTA3LTEyODwvcGFnZXM+PG51bWJlcj4yPC9udW1iZXI+PGNvbnRyaWJ1dG9ycz48YXV0aG9ycz48
YXV0aG9yPkRlZW0sIFIuPC9hdXRob3I+PC9hdXRob3JzPjwvY29udHJpYnV0b3JzPjxhZGRlZC1k
YXRlIGZvcm1hdD0idXRjIj4xNTc1OTU2ODM0PC9hZGRlZC1kYXRlPjxwdWItbG9jYXRpb24+T3hm
b3JkLCBVSzsgTWFsZGVuLCBVU0E8L3B1Yi1sb2NhdGlvbj48cmVmLXR5cGUgbmFtZT0iSm91cm5h
bCBBcnRpY2xlIj4xNzwvcmVmLXR5cGU+PGRhdGVzPjx5ZWFyPjIwMDQ8L3llYXI+PC9kYXRlcz48
cmVjLW51bWJlcj44Mzk3PC9yZWMtbnVtYmVyPjxsYXN0LXVwZGF0ZWQtZGF0ZSBmb3JtYXQ9InV0
YyI+MTU3NTk1ODQzMjwvbGFzdC11cGRhdGVkLWRhdGU+PGVsZWN0cm9uaWMtcmVzb3VyY2UtbnVt
PjEwLjExMTEvai4xNDY4LTA0MDguMjAwNC4wMDE4OS54PC9lbGVjdHJvbmljLXJlc291cmNlLW51
bT48dm9sdW1lPjIwPC92b2x1bWU+PC9yZWNvcmQ+PC9DaXRlPjxDaXRlPjxBdXRob3I+V2F0ZXJt
ZXllcjwvQXV0aG9yPjxZZWFyPjIwMTY8L1llYXI+PElEVGV4dD7igJhFeGNlbGxlbmNl4oCZIGFu
ZCBFeGNsdXNpb246IFRoZSBJbmRpdmlkdWFsIENvc3RzIG9mIEluc3RpdHV0aW9uYWwgQ29tcGV0
aXRpdmVuZXNzPC9JRFRleHQ+PHJlY29yZD48a2V5d29yZHM+PGtleXdvcmQ+SGlnaGVyIGVkdWNh
dGlvbiBwb2xpY3k8L2tleXdvcmQ+PGtleXdvcmQ+TmVvbGliZXJhbGlzbTwva2V5d29yZD48a2V5
d29yZD5QZXJmb3JtYXRpdml0eTwva2V5d29yZD48a2V5d29yZD5BdWRpdCBjdWx0dXJlczwva2V5
d29yZD48a2V5d29yZD5BY2FkZW1pYyBleGNsdXNpb248L2tleXdvcmQ+PC9rZXl3b3Jkcz48aXNi
bj4wMDI2LTQ2OTU8L2lzYm4+PHRpdGxlcz48dGl0bGU+4oCYRXhjZWxsZW5jZeKAmSBhbmQgRXhj
bHVzaW9uOiBUaGUgSW5kaXZpZHVhbCBDb3N0cyBvZiBJbnN0aXR1dGlvbmFsIENvbXBldGl0aXZl
bmVzczwvdGl0bGU+PHNlY29uZGFyeS10aXRsZT5BIFJldmlldyBvZiBTY2llbmNlLCBMZWFybmlu
ZyBhbmQgUG9saWN5PC9zZWNvbmRhcnktdGl0bGU+PC90aXRsZXM+PHBhZ2VzPjIwMS0yMTg8L3Bh
Z2VzPjxudW1iZXI+MjwvbnVtYmVyPjxjb250cmlidXRvcnM+PGF1dGhvcnM+PGF1dGhvcj5XYXRl
cm1leWVyLCBSaWNoYXJkPC9hdXRob3I+PGF1dGhvcj5PbHNzZW4sIE1hcms8L2F1dGhvcj48L2F1
dGhvcnM+PC9jb250cmlidXRvcnM+PGFkZGVkLWRhdGUgZm9ybWF0PSJ1dGMiPjE1MjkwMTc5Mzg8
L2FkZGVkLWRhdGU+PHB1Yi1sb2NhdGlvbj5Eb3JkcmVjaHQ8L3B1Yi1sb2NhdGlvbj48cmVmLXR5
cGUgbmFtZT0iSm91cm5hbCBBcnRpY2xlIj4xNzwvcmVmLXR5cGU+PGRhdGVzPjx5ZWFyPjIwMTY8
L3llYXI+PC9kYXRlcz48cmVjLW51bWJlcj43NTU1PC9yZWMtbnVtYmVyPjxsYXN0LXVwZGF0ZWQt
ZGF0ZSBmb3JtYXQ9InV0YyI+MTU1OTA4MTEyNzwvbGFzdC11cGRhdGVkLWRhdGU+PGVsZWN0cm9u
aWMtcmVzb3VyY2UtbnVtPjEwLjEwMDcvczExMDI0LTAxNi05Mjk4LTU8L2VsZWN0cm9uaWMtcmVz
b3VyY2UtbnVtPjx2b2x1bWU+NTQ8L3ZvbHVtZT48L3JlY29yZD48L0NpdGU+PC9FbmROb3RlPgB=
</w:fldData>
        </w:fldChar>
      </w:r>
      <w:r w:rsidR="008C5381" w:rsidRPr="00B33BCF">
        <w:instrText xml:space="preserve"> ADDIN EN.CITE </w:instrText>
      </w:r>
      <w:r w:rsidR="008C5381" w:rsidRPr="00B33BCF">
        <w:fldChar w:fldCharType="begin">
          <w:fldData xml:space="preserve">PEVuZE5vdGU+PENpdGU+PEF1dGhvcj5DbGFyazwvQXV0aG9yPjxZZWFyPjE5OTg8L1llYXI+PElE
VGV4dD5DcmVhdGluZyBlbnRyZXByZW5ldXJpYWwgdW5pdmVyc2l0aWVzOiBvcmdhbml6YXRpb25h
bCBwYXRod2F5cyBvZiB0cmFuc2Zvcm1hdGlvbjwvSURUZXh0PjxEaXNwbGF5VGV4dD4oQi4gUi4g
Q2xhcmssIDE5OTgsIDIwMDRiOyBEZWVtLCAyMDA0OyBMYW1iZXJ0LCAyMDAzOyBTaGF0dG9jaywg
MjAxNzsgV2F0ZXJtZXllciAmYW1wOyBPbHNzZW4sIDIwMTYpPC9EaXNwbGF5VGV4dD48cmVjb3Jk
PjxrZXl3b3Jkcz48a2V5d29yZD5Vbml2ZXJzaXRpZXMgYW5kIGNvbGxlZ2VzIC0tIEV1cm9wZSAt
LSBBZG1pbmlzdHJhdGlvbiAtLSBDYXNlIHN0dWRpZXM8L2tleXdvcmQ+PGtleXdvcmQ+RWR1Y2F0
aW9uYWwgY2hhbmdlIC0tIEV1cm9wZSAtLSBDYXNlIHN0dWRpZXM8L2tleXdvcmQ+PGtleXdvcmQ+
Q2hhbmdlLCBFZHVjYXRpb25hbDwva2V5d29yZD48a2V5d29yZD5FZHVjYXRpb24gY2hhbmdlPC9r
ZXl3b3JkPjxrZXl3b3JkPkVkdWNhdGlvbiByZWZvcm08L2tleXdvcmQ+PGtleXdvcmQ+RWR1Y2F0
aW9uYWwgcmVmb3JtPC9rZXl3b3JkPjxrZXl3b3JkPlJlZm9ybSwgRWR1Y2F0aW9uPC9rZXl3b3Jk
PjxrZXl3b3JkPlNjaG9vbCByZWZvcm08L2tleXdvcmQ+PGtleXdvcmQ+RWR1Y2F0aW9uYWwgcGxh
bm5pbmc8L2tleXdvcmQ+PGtleXdvcmQ+RWR1Y2F0aW9uYWwgaW5ub3ZhdGlvbnM8L2tleXdvcmQ+
PGtleXdvcmQ+Q29sbGVnZXM8L2tleXdvcmQ+PGtleXdvcmQ+RGVncmVlLWdyYW50aW5nIGluc3Rp
dHV0aW9uczwva2V5d29yZD48a2V5d29yZD5IaWdoZXIgZWR1Y2F0aW9uIGluc3RpdHV0aW9uczwv
a2V5d29yZD48a2V5d29yZD5IaWdoZXIgZWR1Y2F0aW9uIHByb3ZpZGVyczwva2V5d29yZD48a2V5
d29yZD5JbnN0aXR1dGlvbnMgb2YgaGlnaGVyIGVkdWNhdGlvbjwva2V5d29yZD48a2V5d29yZD5Q
b3N0c2Vjb25kYXJ5IGluc3RpdHV0aW9uczwva2V5d29yZD48a2V5d29yZD5QdWJsaWMgaW5zdGl0
dXRpb25zPC9rZXl3b3JkPjxrZXl3b3JkPlNjaG9vbHM8L2tleXdvcmQ+PGtleXdvcmQ+RWR1Y2F0
aW9uLCBIaWdoZXI8L2tleXdvcmQ+PC9rZXl3b3Jkcz48dGl0bGVzPjx0aXRsZT5DcmVhdGluZyBl
bnRyZXByZW5ldXJpYWwgdW5pdmVyc2l0aWVzOiBvcmdhbml6YXRpb25hbCBwYXRod2F5cyBvZiB0
cmFuc2Zvcm1hdGlvbjwvdGl0bGU+PC90aXRsZXM+PGNvbnRyaWJ1dG9ycz48YXV0aG9ycz48YXV0
aG9yPkNsYXJrLCBCdXJ0b24gUi48L2F1dGhvcj48L2F1dGhvcnM+PC9jb250cmlidXRvcnM+PGFk
ZGVkLWRhdGUgZm9ybWF0PSJ1dGMiPjE0NjYxOTgwODk8L2FkZGVkLWRhdGU+PHB1Yi1sb2NhdGlv
bj5PeGZvcmQ8L3B1Yi1sb2NhdGlvbj48cmVmLXR5cGUgbmFtZT0iQm9vayI+NjwvcmVmLXR5cGU+
PGRhdGVzPjx5ZWFyPjE5OTg8L3llYXI+PC9kYXRlcz48cmVjLW51bWJlcj4zOTU8L3JlYy1udW1i
ZXI+PHB1Ymxpc2hlcj5QZXJnYW1vbiBQcmVzczwvcHVibGlzaGVyPjxsYXN0LXVwZGF0ZWQtZGF0
ZSBmb3JtYXQ9InV0YyI+MTU0ODY2MjAwMDwvbGFzdC11cGRhdGVkLWRhdGU+PC9yZWNvcmQ+PC9D
aXRlPjxDaXRlPjxBdXRob3I+Q2xhcms8L0F1dGhvcj48WWVhcj4yMDA0PC9ZZWFyPjxJRFRleHQ+
U3VzdGFpbmluZyBjaGFuZ2UgaW4gdW5pdmVyc2l0aWVzOiBjb250aW51aXRpZXMgaW4gY2FzZSBz
dHVkaWVzIGFuZCBjb25jZXB0czwvSURUZXh0PjxyZWNvcmQ+PGtleXdvcmRzPjxrZXl3b3JkPlVu
aXZlcnNpdGllcyBhbmQgY29sbGVnZXMgQWRtaW5pc3RyYXRpb24gQ2FzZSBzdHVkaWVzLjwva2V5
d29yZD48a2V5d29yZD5FZHVjYXRpb25hbCBjaGFuZ2UgQ2FzZSBzdHVkaWVzLjwva2V5d29yZD48
L2tleXdvcmRzPjxpc2JuPjAzMzUyMTU5MTIgKGNhc2VkKSA6IMK5NjAuMDAmI3hEOzAzMzUyMTU5
MDQgKHBiay4pIDogwrkxOS45OTwvaXNibj48dGl0bGVzPjx0aXRsZT5TdXN0YWluaW5nIGNoYW5n
ZSBpbiB1bml2ZXJzaXRpZXM6IGNvbnRpbnVpdGllcyBpbiBjYXNlIHN0dWRpZXMgYW5kIGNvbmNl
cHRzPC90aXRsZT48L3RpdGxlcz48Y2FsbC1udW0+Mzc4LjEwNyAyMiYjeEQ7QnJpdGlzaCBMaWJy
YXJ5IEhNTlRTIFlDLjIwMDkuYS4yNzY5JiN4RDtCcml0aXNoIExpYnJhcnkgRFNDIG0wNC8uMzgy
MTI8L2NhbGwtbnVtPjxjb250cmlidXRvcnM+PGF1dGhvcnM+PGF1dGhvcj5DbGFyaywgQnVydG9u
IFIuPC9hdXRob3I+PC9hdXRob3JzPjwvY29udHJpYnV0b3JzPjxhZGRlZC1kYXRlIGZvcm1hdD0i
dXRjIj4xNDY2Mzg1MDA1PC9hZGRlZC1kYXRlPjxwdWItbG9jYXRpb24+TWFpZGVuaGVhZDwvcHVi
LWxvY2F0aW9uPjxyZWYtdHlwZSBuYW1lPSJCb29rIj42PC9yZWYtdHlwZT48ZGF0ZXM+PHllYXI+
MjAwNDwveWVhcj48L2RhdGVzPjxyZWMtbnVtYmVyPjM5ODwvcmVjLW51bWJlcj48cHVibGlzaGVy
Pk9wZW4gVW5pdmVyc2l0eSBQcmVzczwvcHVibGlzaGVyPjxsYXN0LXVwZGF0ZWQtZGF0ZSBmb3Jt
YXQ9InV0YyI+MTQ2OTIyOTg2ODwvbGFzdC11cGRhdGVkLWRhdGU+PC9yZWNvcmQ+PC9DaXRlPjxD
aXRlPjxBdXRob3I+TGFtYmVydDwvQXV0aG9yPjxZZWFyPjIwMDM8L1llYXI+PElEVGV4dD5MYW1i
ZXJ0IHJldmlldyBvZiBidXNpbmVzcy11bml2ZXJzaXR5IGNvbGxhYm9yYXRpb246IEZpbmFsIHJl
cG9ydDwvSURUZXh0PjxyZWNvcmQ+PHRpdGxlcz48dGl0bGU+TGFtYmVydCByZXZpZXcgb2YgYnVz
aW5lc3MtdW5pdmVyc2l0eSBjb2xsYWJvcmF0aW9uOiBGaW5hbCByZXBvcnQ8L3RpdGxlPjxzZWNv
bmRhcnktdGl0bGU+VW5pdmVyc2l0eSBvZiBJbGxpbm9pcyBhdCBVcmJhbmEtQ2hhbXBhaWduJmFw
b3M7cyBBY2FkZW15IGZvciBFbnRyZXByZW5ldXJpYWwgTGVhZGVyc2hpcCBIaXN0b3JpY2FsIFJl
c2VhcmNoIFJlZmVyZW5jZSBpbiBFbnRyZXByZW5ldXJzaGlwPC9zZWNvbmRhcnktdGl0bGU+PC90
aXRsZXM+PGNvbnRyaWJ1dG9ycz48YXV0aG9ycz48YXV0aG9yPkxhbWJlcnQsIFJpY2hhcmQ8L2F1
dGhvcj48L2F1dGhvcnM+PC9jb250cmlidXRvcnM+PGFkZGVkLWRhdGUgZm9ybWF0PSJ1dGMiPjE0
NzkyNjU0ODM8L2FkZGVkLWRhdGU+PHJlZi10eXBlIG5hbWU9IkpvdXJuYWwgQXJ0aWNsZSI+MTc8
L3JlZi10eXBlPjxkYXRlcz48eWVhcj4yMDAzPC95ZWFyPjwvZGF0ZXM+PHJlYy1udW1iZXI+NjMw
MjwvcmVjLW51bWJlcj48bGFzdC11cGRhdGVkLWRhdGUgZm9ybWF0PSJ1dGMiPjE0NzkyNjgzMTk8
L2xhc3QtdXBkYXRlZC1kYXRlPjwvcmVjb3JkPjwvQ2l0ZT48Q2l0ZT48QXV0aG9yPlNoYXR0b2Nr
PC9BdXRob3I+PFllYXI+MjAxNzwvWWVhcj48SURUZXh0PlVuaXZlcnNpdHkgZ292ZXJuYW5jZSBp
biBmbHV4LiBUaGUgaW1wYWN0IG9mIGV4dGVybmFsIGFuZCBpbnRlcm5hbCBwcmVzc3VyZXMgb24g
dGhlIGRpc3RyaWJ1dGlvbiBvZiBhdXRob3JpdHkgd2l0aGluIEJyaXRpc2ggdW5pdmVyc2l0aWVz
OiBhIHN5bm9wdGljIHZpZXcuIFdvcmtpbmcgUGFwZXIgMTM8L0lEVGV4dD48cmVjb3JkPjx1cmxz
PjxyZWxhdGVkLXVybHM+PHVybD5odHRwOi8vd3d3LnJlc2VhcmNoY2doZS5vcmcvcHVibGljYXRp
b25zL3VuaXZlcnNpdHktZ292ZXJuYW5jZS1pbi1mbHV4LXRoZS1pbXBhY3Qtb2YtZXh0ZXJuYWwt
YW5kLWludGVybmFsLXByZXNzdXJlcy1vbi10aGUtZGlzdHJpYnV0aW9uLW9mLWF1dGhvcml0eS13
aXRoaW4tYnJpdGlzaC11bml2ZXJzaXRpZXMtYS1zeW5vcHRpYy12aWV3LzwvdXJsPjwvcmVsYXRl
ZC11cmxzPjwvdXJscz48dGl0bGVzPjx0aXRsZT5Vbml2ZXJzaXR5IGdvdmVybmFuY2UgaW4gZmx1
eC4gVGhlIGltcGFjdCBvZiBleHRlcm5hbCBhbmQgaW50ZXJuYWwgcHJlc3N1cmVzIG9uIHRoZSBk
aXN0cmlidXRpb24gb2YgYXV0aG9yaXR5IHdpdGhpbiBCcml0aXNoIHVuaXZlcnNpdGllczogYSBz
eW5vcHRpYyB2aWV3LiBXb3JraW5nIFBhcGVyIDEzPC90aXRsZT48L3RpdGxlcz48Y29udHJpYnV0
b3JzPjxhdXRob3JzPjxhdXRob3I+U2hhdHRvY2ssIE1pY2hhZWw8L2F1dGhvcj48L2F1dGhvcnM+
PC9jb250cmlidXRvcnM+PGFkZGVkLWRhdGUgZm9ybWF0PSJ1dGMiPjE0OTA4MDI2NjQ8L2FkZGVk
LWRhdGU+PHJlZi10eXBlIG5hbWU9IlJlcG9ydCI+Mjc8L3JlZi10eXBlPjxkYXRlcz48eWVhcj4y
MDE3PC95ZWFyPjwvZGF0ZXM+PHJlYy1udW1iZXI+NjY4NjwvcmVjLW51bWJlcj48cHVibGlzaGVy
PkNHSEU8L3B1Ymxpc2hlcj48bGFzdC11cGRhdGVkLWRhdGUgZm9ybWF0PSJ1dGMiPjE1MDUzOTQw
MTY8L2xhc3QtdXBkYXRlZC1kYXRlPjwvcmVjb3JkPjwvQ2l0ZT48Q2l0ZT48QXV0aG9yPkRlZW08
L0F1dGhvcj48WWVhcj4yMDA0PC9ZZWFyPjxJRFRleHQ+VGhlIEtub3dsZWRnZSBXb3JrZXIsIHRo
ZSBNYW5hZ2Vy4oCQYWNhZGVtaWMgYW5kIHRoZSBDb250ZW1wb3JhcnkgVUsgVW5pdmVyc2l0eTog
TmV3IGFuZCBPbGQgRm9ybXMgb2YgUHVibGljIE1hbmFnZW1lbnQ/PC9JRFRleHQ+PHJlY29yZD48
a2V5d29yZHM+PGtleXdvcmQ+TmV3IE1hbmFnZXJpYWxpc208L2tleXdvcmQ+PGtleXdvcmQ+S25v
d2xlZGdl4oCQd29yazwva2V5d29yZD48a2V5d29yZD5IaWdoZXLigJBlZHVjYXRpb248L2tleXdv
cmQ+PGtleXdvcmQ+TWFuYWdlcuKAkCBBY2FkZW1pY3M8L2tleXdvcmQ+PGtleXdvcmQ+UG9saWN5
IENoYW5nZTwva2V5d29yZD48L2tleXdvcmRzPjxpc2JuPjAyNjctNDQyNDwvaXNibj48dGl0bGVz
Pjx0aXRsZT5UaGUgS25vd2xlZGdlIFdvcmtlciwgdGhlIE1hbmFnZXLigJBhY2FkZW1pYyBhbmQg
dGhlIENvbnRlbXBvcmFyeSBVSyBVbml2ZXJzaXR5OiBOZXcgYW5kIE9sZCBGb3JtcyBvZiBQdWJs
aWMgTWFuYWdlbWVudD88L3RpdGxlPjxzZWNvbmRhcnktdGl0bGU+RmluYW5jaWFsIEFjY291bnRh
YmlsaXR5ICZhbXA7IE1hbmFnZW1lbnQ8L3NlY29uZGFyeS10aXRsZT48L3RpdGxlcz48cGFnZXM+
MTA3LTEyODwvcGFnZXM+PG51bWJlcj4yPC9udW1iZXI+PGNvbnRyaWJ1dG9ycz48YXV0aG9ycz48
YXV0aG9yPkRlZW0sIFIuPC9hdXRob3I+PC9hdXRob3JzPjwvY29udHJpYnV0b3JzPjxhZGRlZC1k
YXRlIGZvcm1hdD0idXRjIj4xNTc1OTU2ODM0PC9hZGRlZC1kYXRlPjxwdWItbG9jYXRpb24+T3hm
b3JkLCBVSzsgTWFsZGVuLCBVU0E8L3B1Yi1sb2NhdGlvbj48cmVmLXR5cGUgbmFtZT0iSm91cm5h
bCBBcnRpY2xlIj4xNzwvcmVmLXR5cGU+PGRhdGVzPjx5ZWFyPjIwMDQ8L3llYXI+PC9kYXRlcz48
cmVjLW51bWJlcj44Mzk3PC9yZWMtbnVtYmVyPjxsYXN0LXVwZGF0ZWQtZGF0ZSBmb3JtYXQ9InV0
YyI+MTU3NTk1ODQzMjwvbGFzdC11cGRhdGVkLWRhdGU+PGVsZWN0cm9uaWMtcmVzb3VyY2UtbnVt
PjEwLjExMTEvai4xNDY4LTA0MDguMjAwNC4wMDE4OS54PC9lbGVjdHJvbmljLXJlc291cmNlLW51
bT48dm9sdW1lPjIwPC92b2x1bWU+PC9yZWNvcmQ+PC9DaXRlPjxDaXRlPjxBdXRob3I+V2F0ZXJt
ZXllcjwvQXV0aG9yPjxZZWFyPjIwMTY8L1llYXI+PElEVGV4dD7igJhFeGNlbGxlbmNl4oCZIGFu
ZCBFeGNsdXNpb246IFRoZSBJbmRpdmlkdWFsIENvc3RzIG9mIEluc3RpdHV0aW9uYWwgQ29tcGV0
aXRpdmVuZXNzPC9JRFRleHQ+PHJlY29yZD48a2V5d29yZHM+PGtleXdvcmQ+SGlnaGVyIGVkdWNh
dGlvbiBwb2xpY3k8L2tleXdvcmQ+PGtleXdvcmQ+TmVvbGliZXJhbGlzbTwva2V5d29yZD48a2V5
d29yZD5QZXJmb3JtYXRpdml0eTwva2V5d29yZD48a2V5d29yZD5BdWRpdCBjdWx0dXJlczwva2V5
d29yZD48a2V5d29yZD5BY2FkZW1pYyBleGNsdXNpb248L2tleXdvcmQ+PC9rZXl3b3Jkcz48aXNi
bj4wMDI2LTQ2OTU8L2lzYm4+PHRpdGxlcz48dGl0bGU+4oCYRXhjZWxsZW5jZeKAmSBhbmQgRXhj
bHVzaW9uOiBUaGUgSW5kaXZpZHVhbCBDb3N0cyBvZiBJbnN0aXR1dGlvbmFsIENvbXBldGl0aXZl
bmVzczwvdGl0bGU+PHNlY29uZGFyeS10aXRsZT5BIFJldmlldyBvZiBTY2llbmNlLCBMZWFybmlu
ZyBhbmQgUG9saWN5PC9zZWNvbmRhcnktdGl0bGU+PC90aXRsZXM+PHBhZ2VzPjIwMS0yMTg8L3Bh
Z2VzPjxudW1iZXI+MjwvbnVtYmVyPjxjb250cmlidXRvcnM+PGF1dGhvcnM+PGF1dGhvcj5XYXRl
cm1leWVyLCBSaWNoYXJkPC9hdXRob3I+PGF1dGhvcj5PbHNzZW4sIE1hcms8L2F1dGhvcj48L2F1
dGhvcnM+PC9jb250cmlidXRvcnM+PGFkZGVkLWRhdGUgZm9ybWF0PSJ1dGMiPjE1MjkwMTc5Mzg8
L2FkZGVkLWRhdGU+PHB1Yi1sb2NhdGlvbj5Eb3JkcmVjaHQ8L3B1Yi1sb2NhdGlvbj48cmVmLXR5
cGUgbmFtZT0iSm91cm5hbCBBcnRpY2xlIj4xNzwvcmVmLXR5cGU+PGRhdGVzPjx5ZWFyPjIwMTY8
L3llYXI+PC9kYXRlcz48cmVjLW51bWJlcj43NTU1PC9yZWMtbnVtYmVyPjxsYXN0LXVwZGF0ZWQt
ZGF0ZSBmb3JtYXQ9InV0YyI+MTU1OTA4MTEyNzwvbGFzdC11cGRhdGVkLWRhdGU+PGVsZWN0cm9u
aWMtcmVzb3VyY2UtbnVtPjEwLjEwMDcvczExMDI0LTAxNi05Mjk4LTU8L2VsZWN0cm9uaWMtcmVz
b3VyY2UtbnVtPjx2b2x1bWU+NTQ8L3ZvbHVtZT48L3JlY29yZD48L0NpdGU+PC9FbmROb3RlPgB=
</w:fldData>
        </w:fldChar>
      </w:r>
      <w:r w:rsidR="008C5381" w:rsidRPr="00B33BCF">
        <w:instrText xml:space="preserve"> ADDIN EN.CITE.DATA </w:instrText>
      </w:r>
      <w:r w:rsidR="008C5381" w:rsidRPr="00B33BCF">
        <w:fldChar w:fldCharType="end"/>
      </w:r>
      <w:r w:rsidR="003A0D1B" w:rsidRPr="00B33BCF">
        <w:fldChar w:fldCharType="separate"/>
      </w:r>
      <w:r w:rsidR="008C5381" w:rsidRPr="00B33BCF">
        <w:rPr>
          <w:noProof/>
        </w:rPr>
        <w:t>(B. R. Clark, 1998, 2004b; Deem, 2004; Lambert, 2003; Shattock, 2017; Watermeyer &amp; Olssen, 2016)</w:t>
      </w:r>
      <w:r w:rsidR="003A0D1B" w:rsidRPr="00B33BCF">
        <w:fldChar w:fldCharType="end"/>
      </w:r>
      <w:r w:rsidR="00F85587" w:rsidRPr="00B33BCF">
        <w:t xml:space="preserve">. Under these conditions, the behaviour of </w:t>
      </w:r>
      <w:r w:rsidR="005606EA" w:rsidRPr="00B33BCF">
        <w:t>non-profit organisations</w:t>
      </w:r>
      <w:r w:rsidR="00632A5C" w:rsidRPr="00B33BCF">
        <w:t>,</w:t>
      </w:r>
      <w:r w:rsidR="005606EA" w:rsidRPr="00B33BCF">
        <w:t xml:space="preserve"> such as universities</w:t>
      </w:r>
      <w:r w:rsidR="00632A5C" w:rsidRPr="00B33BCF">
        <w:t>,</w:t>
      </w:r>
      <w:r w:rsidR="005606EA" w:rsidRPr="00B33BCF">
        <w:t xml:space="preserve"> is </w:t>
      </w:r>
      <w:r w:rsidR="00F85587" w:rsidRPr="00B33BCF">
        <w:t xml:space="preserve">increasingly akin to that of businesses strategically steered by managers in response to perceived market dynamics and budget pressures </w:t>
      </w:r>
      <w:r w:rsidR="00F85587" w:rsidRPr="00B33BCF">
        <w:fldChar w:fldCharType="begin"/>
      </w:r>
      <w:r w:rsidR="00F85587" w:rsidRPr="00B33BCF">
        <w:instrText xml:space="preserve"> ADDIN EN.CITE &lt;EndNote&gt;&lt;Cite&gt;&lt;Author&gt;Rhoades&lt;/Author&gt;&lt;Year&gt;2011&lt;/Year&gt;&lt;IDText&gt;A national campaign of academic labor: Reframing the politics of scarcity in higher education&lt;/IDText&gt;&lt;DisplayText&gt;(Rhoades, 2011; Slaughter &amp;amp; Rhoades, 2010)&lt;/DisplayText&gt;&lt;record&gt;&lt;isbn&gt;0739-3148&lt;/isbn&gt;&lt;titles&gt;&lt;title&gt;A national campaign of academic labor: Reframing the politics of scarcity in higher education&lt;/title&gt;&lt;secondary-title&gt;New Political Science&lt;/secondary-title&gt;&lt;/titles&gt;&lt;pages&gt;101-117&lt;/pages&gt;&lt;number&gt;01&lt;/number&gt;&lt;contributors&gt;&lt;authors&gt;&lt;author&gt;Rhoades, Gary&lt;/author&gt;&lt;/authors&gt;&lt;/contributors&gt;&lt;added-date format="utc"&gt;1575921569&lt;/added-date&gt;&lt;ref-type name="Journal Article"&gt;17&lt;/ref-type&gt;&lt;dates&gt;&lt;year&gt;2011&lt;/year&gt;&lt;/dates&gt;&lt;rec-number&gt;8396&lt;/rec-number&gt;&lt;last-updated-date format="utc"&gt;1575921569&lt;/last-updated-date&gt;&lt;volume&gt;33&lt;/volume&gt;&lt;/record&gt;&lt;/Cite&gt;&lt;Cite&gt;&lt;Author&gt;Slaughter&lt;/Author&gt;&lt;Year&gt;2010&lt;/Year&gt;&lt;IDText&gt;Academic capitalism and the new economy: markets, state, and higher education&lt;/IDText&gt;&lt;record&gt;&lt;keywords&gt;&lt;keyword&gt;Education, Higher -- Economic aspects -- United States&lt;/keyword&gt;&lt;keyword&gt;Business and education -- United States&lt;/keyword&gt;&lt;keyword&gt;Universities and colleges -- United States -- Sociological aspects&lt;/keyword&gt;&lt;/keywords&gt;&lt;titles&gt;&lt;title&gt;Academic capitalism and the new economy: markets, state, and higher education&lt;/title&gt;&lt;/titles&gt;&lt;contributors&gt;&lt;authors&gt;&lt;author&gt;Slaughter, Sheila&lt;/author&gt;&lt;author&gt;Rhoades, Gary&lt;/author&gt;&lt;/authors&gt;&lt;/contributors&gt;&lt;added-date format="utc"&gt;1463079391&lt;/added-date&gt;&lt;pub-location&gt;Baltimore, MD&lt;/pub-location&gt;&lt;ref-type name="Book"&gt;6&lt;/ref-type&gt;&lt;dates&gt;&lt;year&gt;2010&lt;/year&gt;&lt;/dates&gt;&lt;rec-number&gt;383&lt;/rec-number&gt;&lt;publisher&gt;Johns Hopkins University Press&lt;/publisher&gt;&lt;last-updated-date format="utc"&gt;1477782063&lt;/last-updated-date&gt;&lt;/record&gt;&lt;/Cite&gt;&lt;/EndNote&gt;</w:instrText>
      </w:r>
      <w:r w:rsidR="00F85587" w:rsidRPr="00B33BCF">
        <w:fldChar w:fldCharType="separate"/>
      </w:r>
      <w:r w:rsidR="00F85587" w:rsidRPr="00B33BCF">
        <w:rPr>
          <w:noProof/>
        </w:rPr>
        <w:t>(Rhoades, 2011; Slaughter &amp; Rhoades, 2010)</w:t>
      </w:r>
      <w:r w:rsidR="00F85587" w:rsidRPr="00B33BCF">
        <w:fldChar w:fldCharType="end"/>
      </w:r>
      <w:r w:rsidR="00F85587" w:rsidRPr="00B33BCF">
        <w:t xml:space="preserve">, and where the objective of this steering is less the creation of conditions for academics to enact traditional values of free and critical inquiry, and more ‘productivity’ </w:t>
      </w:r>
      <w:r w:rsidR="00F85587" w:rsidRPr="00B33BCF">
        <w:fldChar w:fldCharType="begin"/>
      </w:r>
      <w:r w:rsidR="00F85587" w:rsidRPr="00B33BCF">
        <w:instrText xml:space="preserve"> ADDIN EN.CITE &lt;EndNote&gt;&lt;Cite&gt;&lt;Author&gt;Rhoades&lt;/Author&gt;&lt;Year&gt;2001&lt;/Year&gt;&lt;IDText&gt;Managing productivity in an academic institution: Rethinking the whom, which, what, and whose of productivity&lt;/IDText&gt;&lt;DisplayText&gt;(Rhoades, 2001)&lt;/DisplayText&gt;&lt;record&gt;&lt;isbn&gt;0361-0365&lt;/isbn&gt;&lt;titles&gt;&lt;title&gt;Managing productivity in an academic institution: Rethinking the whom, which, what, and whose of productivity&lt;/title&gt;&lt;secondary-title&gt;Research in higher education&lt;/secondary-title&gt;&lt;/titles&gt;&lt;pages&gt;619-632&lt;/pages&gt;&lt;number&gt;5&lt;/number&gt;&lt;contributors&gt;&lt;authors&gt;&lt;author&gt;Rhoades, Gary&lt;/author&gt;&lt;/authors&gt;&lt;/contributors&gt;&lt;added-date format="utc"&gt;1575920612&lt;/added-date&gt;&lt;ref-type name="Journal Article"&gt;17&lt;/ref-type&gt;&lt;dates&gt;&lt;year&gt;2001&lt;/year&gt;&lt;/dates&gt;&lt;rec-number&gt;8395&lt;/rec-number&gt;&lt;last-updated-date format="utc"&gt;1575920612&lt;/last-updated-date&gt;&lt;volume&gt;42&lt;/volume&gt;&lt;/record&gt;&lt;/Cite&gt;&lt;/EndNote&gt;</w:instrText>
      </w:r>
      <w:r w:rsidR="00F85587" w:rsidRPr="00B33BCF">
        <w:fldChar w:fldCharType="separate"/>
      </w:r>
      <w:r w:rsidR="00F85587" w:rsidRPr="00B33BCF">
        <w:rPr>
          <w:noProof/>
        </w:rPr>
        <w:t>(Rhoades, 2001)</w:t>
      </w:r>
      <w:r w:rsidR="00F85587" w:rsidRPr="00B33BCF">
        <w:fldChar w:fldCharType="end"/>
      </w:r>
      <w:r w:rsidR="00F85587" w:rsidRPr="00B33BCF">
        <w:t xml:space="preserve"> gains vis-à-vis the indicators measured by assessments and league tables</w:t>
      </w:r>
      <w:r w:rsidR="006D59D3" w:rsidRPr="00B33BCF">
        <w:t xml:space="preserve"> </w:t>
      </w:r>
      <w:r w:rsidR="006D59D3" w:rsidRPr="00B33BCF">
        <w:fldChar w:fldCharType="begin">
          <w:fldData xml:space="preserve">PEVuZE5vdGU+PENpdGU+PEF1dGhvcj5EZWVtPC9BdXRob3I+PFllYXI+MjAwNzwvWWVhcj48SURU
ZXh0Pktub3dsZWRnZSwgaGlnaGVyIGVkdWNhdGlvbiwgYW5kIHRoZSBuZXcgbWFuYWdlcmlhbGlz
bTogdGhlIGNoYW5naW5nIG1hbmFnZW1lbnQgb2YgVUsgdW5pdmVyc2l0aWVzPC9JRFRleHQ+PERp
c3BsYXlUZXh0PihEZWVtIGV0IGFsLiwgMjAwNzsgSGF6ZWxrb3JuLCAyMDA3LCAyMDA4OyBNYXJn
aW5zb24gJmFtcDsgdmFuIGRlciBXZW5kZSwgMjAwNyk8L0Rpc3BsYXlUZXh0PjxyZWNvcmQ+PGtl
eXdvcmRzPjxrZXl3b3JkPlVuaXZlcnNpdGllcyBhbmQgY29sbGVnZXMgLS0gR3JlYXQgQnJpdGFp
biAtLSBBZG1pbmlzdHJhdGlvbjwva2V5d29yZD48a2V5d29yZD5FZHVjYXRpb25hbCBjaGFuZ2Ug
LS0gR3JlYXQgQnJpdGFpbjwva2V5d29yZD48a2V5d29yZD5FbGVjdHJvbmljIGJvb2tzPC9rZXl3
b3JkPjwva2V5d29yZHM+PHRpdGxlcz48dGl0bGU+S25vd2xlZGdlLCBoaWdoZXIgZWR1Y2F0aW9u
LCBhbmQgdGhlIG5ldyBtYW5hZ2VyaWFsaXNtOiB0aGUgY2hhbmdpbmcgbWFuYWdlbWVudCBvZiBV
SyB1bml2ZXJzaXRpZXM8L3RpdGxlPjxzZWNvbmRhcnktdGl0bGU+S25vd2xlZGdlLCBoaWdoZXIg
ZWR1Y2F0aW9uLCBhbmQgdGhlIG5ldyBtYW5hZ2VyaWFsaXNtPC9zZWNvbmRhcnktdGl0bGU+PC90
aXRsZXM+PGNvbnRyaWJ1dG9ycz48YXV0aG9ycz48YXV0aG9yPkRlZW0sIFIuPC9hdXRob3I+PGF1
dGhvcj5IaWxseWFyZCwgUy48L2F1dGhvcj48YXV0aG9yPlJlZWQsIE0uPC9hdXRob3I+PC9hdXRo
b3JzPjwvY29udHJpYnV0b3JzPjxhZGRlZC1kYXRlIGZvcm1hdD0idXRjIj4xNTIyOTQyOTYzPC9h
ZGRlZC1kYXRlPjxwdWItbG9jYXRpb24+T3hmb3JkPC9wdWItbG9jYXRpb24+PHJlZi10eXBlIG5h
bWU9IkJvb2siPjY8L3JlZi10eXBlPjxkYXRlcz48eWVhcj4yMDA3PC95ZWFyPjwvZGF0ZXM+PHJl
Yy1udW1iZXI+NzQ0OTwvcmVjLW51bWJlcj48cHVibGlzaGVyPk94Zm9yZCBVbml2ZXJzaXR5IFBy
ZXNzPC9wdWJsaXNoZXI+PGxhc3QtdXBkYXRlZC1kYXRlIGZvcm1hdD0idXRjIj4xNTIyOTQ3NjIy
PC9sYXN0LXVwZGF0ZWQtZGF0ZT48L3JlY29yZD48L0NpdGU+PENpdGU+PEF1dGhvcj5IYXplbGtv
cm48L0F1dGhvcj48WWVhcj4yMDA3PC9ZZWFyPjxJRFRleHQ+VGhlIEltcGFjdCBvZiBMZWFndWUg
VGFibGVzIGFuZCBSYW5raW5nIFN5c3RlbXMgb24gSGlnaGVyIEVkdWNhdGlvbiBEZWNpc2lvbiBN
YWtpbmc8L0lEVGV4dD48cmVjb3JkPjxrZXl3b3Jkcz48a2V5d29yZD5IaWdoZXIgRWR1Y2F0aW9u
PC9rZXl3b3JkPjxrZXl3b3JkPlJlcHV0YXRpb248L2tleXdvcmQ+PGtleXdvcmQ+RGVjaXNpb24g
TWFraW5nPC9rZXl3b3JkPjxrZXl3b3JkPkVkdWNhdGlvbmFsIFF1YWxpdHk8L2tleXdvcmQ+PGtl
eXdvcmQ+QmVuY2htYXJraW5nPC9rZXl3b3JkPjxrZXl3b3JkPkV2YWx1YXRpb24gTWV0aG9kczwv
a2V5d29yZD48a2V5d29yZD5Db2xsZWdlczwva2V5d29yZD48a2V5d29yZD5TdHJhdGVnaWMgUGxh
bm5pbmc8L2tleXdvcmQ+PC9rZXl3b3Jkcz48aXNibj4xNjgyLTM0NTE8L2lzYm4+PHRpdGxlcz48
dGl0bGU+VGhlIEltcGFjdCBvZiBMZWFndWUgVGFibGVzIGFuZCBSYW5raW5nIFN5c3RlbXMgb24g
SGlnaGVyIEVkdWNhdGlvbiBEZWNpc2lvbiBNYWtpbmc8L3RpdGxlPjxzZWNvbmRhcnktdGl0bGU+
SGlnaGVyIEVkdWNhdGlvbiBNYW5hZ2VtZW50IGFuZCBQb2xpY3k8L3NlY29uZGFyeS10aXRsZT48
L3RpdGxlcz48cGFnZXM+ODEtMTA1PC9wYWdlcz48bnVtYmVyPjI8L251bWJlcj48Y29udHJpYnV0
b3JzPjxhdXRob3JzPjxhdXRob3I+SGF6ZWxrb3JuLCBFbGxlbjwvYXV0aG9yPjwvYXV0aG9ycz48
L2NvbnRyaWJ1dG9ycz48YWRkZWQtZGF0ZSBmb3JtYXQ9InV0YyI+MTUyMzAwNzY4MzwvYWRkZWQt
ZGF0ZT48cmVmLXR5cGUgbmFtZT0iSm91cm5hbCBBcnRpY2xlIj4xNzwvcmVmLXR5cGU+PGRhdGVz
Pjx5ZWFyPjIwMDc8L3llYXI+PC9kYXRlcz48cmVjLW51bWJlcj43NDU1PC9yZWMtbnVtYmVyPjxs
YXN0LXVwZGF0ZWQtZGF0ZSBmb3JtYXQ9InV0YyI+MTUyMzAwNzY4MzwvbGFzdC11cGRhdGVkLWRh
dGU+PGVsZWN0cm9uaWMtcmVzb3VyY2UtbnVtPjEwLjE3ODcvaGVtcC12MTktYXJ0MTItZW48L2Vs
ZWN0cm9uaWMtcmVzb3VyY2UtbnVtPjx2b2x1bWU+MTk8L3ZvbHVtZT48L3JlY29yZD48L0NpdGU+
PENpdGU+PEF1dGhvcj5IYXplbGtvcm48L0F1dGhvcj48WWVhcj4yMDA4PC9ZZWFyPjxJRFRleHQ+
TGVhcm5pbmcgdG8gTGl2ZSB3aXRoIExlYWd1ZSBUYWJsZXMgYW5kIFJhbmtpbmc6IFRoZSBFeHBl
cmllbmNlIG9mIEluc3RpdHV0aW9uYWwgTGVhZGVyczwvSURUZXh0PjxyZWNvcmQ+PGtleXdvcmRz
PjxrZXl3b3JkPkhpZ2hlciBFZHVjYXRpb248L2tleXdvcmQ+PGtleXdvcmQ+SW5zdGl0dXRpb25h
bCBBZG1pbmlzdHJhdGlvbjwva2V5d29yZD48a2V5d29yZD5Gb3JlaWduIENvdW50cmllczwva2V5
d29yZD48a2V5d29yZD5Db2xsZWdlIEFkbWluaXN0cmF0aW9uPC9rZXl3b3JkPjxrZXl3b3JkPlJh
dGluZyBTY2FsZXM8L2tleXdvcmQ+PGtleXdvcmQ+RWR1Y2F0aW9uYWwgUXVhbGl0eTwva2V5d29y
ZD48a2V5d29yZD5FZHVjYXRpb25hbCBQb2xpY3k8L2tleXdvcmQ+PGtleXdvcmQ+Q29sbGVnZXM8
L2tleXdvcmQ+PGtleXdvcmQ+Q29sbGVnZSBDaG9pY2U8L2tleXdvcmQ+PGtleXdvcmQ+UGFydGlj
aXBhdGlvbjwva2V5d29yZD48a2V5d29yZD5Qb3B1bGF0aW9uIEdyb3Vwczwva2V5d29yZD48a2V5
d29yZD5TdHVkZW50czwva2V5d29yZD48a2V5d29yZD5FZHVjYXRpb25hbCBGaW5hbmNlPC9rZXl3
b3JkPjxrZXl3b3JkPlJlY3J1aXRtZW50PC9rZXl3b3JkPjwva2V5d29yZHM+PGlzYm4+MDk1Mi04
NzMzPC9pc2JuPjx0aXRsZXM+PHRpdGxlPkxlYXJuaW5nIHRvIExpdmUgd2l0aCBMZWFndWUgVGFi
bGVzIGFuZCBSYW5raW5nOiBUaGUgRXhwZXJpZW5jZSBvZiBJbnN0aXR1dGlvbmFsIExlYWRlcnM8
L3RpdGxlPjxzZWNvbmRhcnktdGl0bGU+SGlnaGVyIEVkdWNhdGlvbiBQb2xpY3k8L3NlY29uZGFy
eS10aXRsZT48L3RpdGxlcz48cGFnZXM+MTkzLTIxNTwvcGFnZXM+PG51bWJlcj4yPC9udW1iZXI+
PGNvbnRyaWJ1dG9ycz48YXV0aG9ycz48YXV0aG9yPkhhemVsa29ybiwgRWxsZW48L2F1dGhvcj48
L2F1dGhvcnM+PC9jb250cmlidXRvcnM+PGFkZGVkLWRhdGUgZm9ybWF0PSJ1dGMiPjE1MjMwMDgz
MTc8L2FkZGVkLWRhdGU+PHJlZi10eXBlIG5hbWU9IkpvdXJuYWwgQXJ0aWNsZSI+MTc8L3JlZi10
eXBlPjxkYXRlcz48eWVhcj4yMDA4PC95ZWFyPjwvZGF0ZXM+PHJlYy1udW1iZXI+NzQ1NjwvcmVj
LW51bWJlcj48bGFzdC11cGRhdGVkLWRhdGUgZm9ybWF0PSJ1dGMiPjE1MjMwMDgzMTc8L2xhc3Qt
dXBkYXRlZC1kYXRlPjxlbGVjdHJvbmljLXJlc291cmNlLW51bT4xMC4xMDU3L2hlcC4yMDA4LjE8
L2VsZWN0cm9uaWMtcmVzb3VyY2UtbnVtPjx2b2x1bWU+MjE8L3ZvbHVtZT48L3JlY29yZD48L0Np
dGU+PENpdGU+PEF1dGhvcj5NYXJnaW5zb248L0F1dGhvcj48WWVhcj4yMDA3PC9ZZWFyPjxJRFRl
eHQ+VG8gUmFuayBvciB0byBCZSBSYW5rZWQ6IFRoZSBJbXBhY3Qgb2YgR2xvYmFsIFJhbmtpbmdz
IGluIEhpZ2hlciBFZHVjYXRpb248L0lEVGV4dD48cmVjb3JkPjxrZXl3b3Jkcz48a2V5d29yZD5I
aWdoZXIgRWR1Y2F0aW9uPC9rZXl3b3JkPjxrZXl3b3JkPkRldmVsb3BlZCBOYXRpb25zPC9rZXl3
b3JkPjxrZXl3b3JkPkVkdWNhdGlvbmFsIFF1YWxpdHk8L2tleXdvcmQ+PGtleXdvcmQ+R2xvYmFs
IEFwcHJvYWNoPC9rZXl3b3JkPjxrZXl3b3JkPkNvbXBldGl0aW9uPC9rZXl3b3JkPjxrZXl3b3Jk
PlJlc2VhcmNoIFVuaXZlcnNpdGllczwva2V5d29yZD48a2V5d29yZD5SZXNlYXJjaGVyczwva2V5
d29yZD48a2V5d29yZD5FdmFsdWF0aW9uIE1ldGhvZHM8L2tleXdvcmQ+PGtleXdvcmQ+QWNoaWV2
ZW1lbnQgUmF0aW5nPC9rZXl3b3JkPjxrZXl3b3JkPlJhdGluZyBTY2FsZXM8L2tleXdvcmQ+PGtl
eXdvcmQ+SW5zdGl0dXRpb25hbCBDaGFyYWN0ZXJpc3RpY3M8L2tleXdvcmQ+PGtleXdvcmQ+RWR1
Y2F0aW9uYWwgSW5kaWNhdG9yczwva2V5d29yZD48a2V5d29yZD5JbnN0aXR1dGlvbmFsIEV2YWx1
YXRpb248L2tleXdvcmQ+PC9rZXl3b3Jkcz48aXNibj4xMDI4LTMxNTM8L2lzYm4+PHRpdGxlcz48
dGl0bGU+VG8gUmFuayBvciB0byBCZSBSYW5rZWQ6IFRoZSBJbXBhY3Qgb2YgR2xvYmFsIFJhbmtp
bmdzIGluIEhpZ2hlciBFZHVjYXRpb248L3RpdGxlPjxzZWNvbmRhcnktdGl0bGU+Sm91cm5hbCBv
ZiBTdHVkaWVzIGluIEludGVybmF0aW9uYWwgRWR1Y2F0aW9uPC9zZWNvbmRhcnktdGl0bGU+PC90
aXRsZXM+PHBhZ2VzPjMwNi00KSwgcC4zMDYtMzI5PC9wYWdlcz48Y29udHJpYnV0b3JzPjxhdXRo
b3JzPjxhdXRob3I+TWFyZ2luc29uLCBTaW1vbjwvYXV0aG9yPjxhdXRob3I+dmFuIGRlciBXZW5k
ZSwgTWFyaWprPC9hdXRob3I+PC9hdXRob3JzPjwvY29udHJpYnV0b3JzPjxhZGRlZC1kYXRlIGZv
cm1hdD0idXRjIj4xNDU4ODY0Mzg0PC9hZGRlZC1kYXRlPjxyZWYtdHlwZSBuYW1lPSJKb3VybmFs
IEFydGljbGUiPjE3PC9yZWYtdHlwZT48ZGF0ZXM+PHllYXI+MjAwNzwveWVhcj48L2RhdGVzPjxy
ZWMtbnVtYmVyPjMzOTwvcmVjLW51bWJlcj48bGFzdC11cGRhdGVkLWRhdGUgZm9ybWF0PSJ1dGMi
PjE0NjkyMjk4Njg8L2xhc3QtdXBkYXRlZC1kYXRlPjxlbGVjdHJvbmljLXJlc291cmNlLW51bT4x
MC4xMTc3LzEwMjgzMTUzMDczMDM1NDQ8L2VsZWN0cm9uaWMtcmVzb3VyY2UtbnVtPjx2b2x1bWU+
MTE8L3ZvbHVtZT48L3JlY29yZD48L0NpdGU+PC9FbmROb3RlPn==
</w:fldData>
        </w:fldChar>
      </w:r>
      <w:r w:rsidR="004E1802" w:rsidRPr="00B33BCF">
        <w:instrText xml:space="preserve"> ADDIN EN.CITE </w:instrText>
      </w:r>
      <w:r w:rsidR="004E1802" w:rsidRPr="00B33BCF">
        <w:fldChar w:fldCharType="begin">
          <w:fldData xml:space="preserve">PEVuZE5vdGU+PENpdGU+PEF1dGhvcj5EZWVtPC9BdXRob3I+PFllYXI+MjAwNzwvWWVhcj48SURU
ZXh0Pktub3dsZWRnZSwgaGlnaGVyIGVkdWNhdGlvbiwgYW5kIHRoZSBuZXcgbWFuYWdlcmlhbGlz
bTogdGhlIGNoYW5naW5nIG1hbmFnZW1lbnQgb2YgVUsgdW5pdmVyc2l0aWVzPC9JRFRleHQ+PERp
c3BsYXlUZXh0PihEZWVtIGV0IGFsLiwgMjAwNzsgSGF6ZWxrb3JuLCAyMDA3LCAyMDA4OyBNYXJn
aW5zb24gJmFtcDsgdmFuIGRlciBXZW5kZSwgMjAwNyk8L0Rpc3BsYXlUZXh0PjxyZWNvcmQ+PGtl
eXdvcmRzPjxrZXl3b3JkPlVuaXZlcnNpdGllcyBhbmQgY29sbGVnZXMgLS0gR3JlYXQgQnJpdGFp
biAtLSBBZG1pbmlzdHJhdGlvbjwva2V5d29yZD48a2V5d29yZD5FZHVjYXRpb25hbCBjaGFuZ2Ug
LS0gR3JlYXQgQnJpdGFpbjwva2V5d29yZD48a2V5d29yZD5FbGVjdHJvbmljIGJvb2tzPC9rZXl3
b3JkPjwva2V5d29yZHM+PHRpdGxlcz48dGl0bGU+S25vd2xlZGdlLCBoaWdoZXIgZWR1Y2F0aW9u
LCBhbmQgdGhlIG5ldyBtYW5hZ2VyaWFsaXNtOiB0aGUgY2hhbmdpbmcgbWFuYWdlbWVudCBvZiBV
SyB1bml2ZXJzaXRpZXM8L3RpdGxlPjxzZWNvbmRhcnktdGl0bGU+S25vd2xlZGdlLCBoaWdoZXIg
ZWR1Y2F0aW9uLCBhbmQgdGhlIG5ldyBtYW5hZ2VyaWFsaXNtPC9zZWNvbmRhcnktdGl0bGU+PC90
aXRsZXM+PGNvbnRyaWJ1dG9ycz48YXV0aG9ycz48YXV0aG9yPkRlZW0sIFIuPC9hdXRob3I+PGF1
dGhvcj5IaWxseWFyZCwgUy48L2F1dGhvcj48YXV0aG9yPlJlZWQsIE0uPC9hdXRob3I+PC9hdXRo
b3JzPjwvY29udHJpYnV0b3JzPjxhZGRlZC1kYXRlIGZvcm1hdD0idXRjIj4xNTIyOTQyOTYzPC9h
ZGRlZC1kYXRlPjxwdWItbG9jYXRpb24+T3hmb3JkPC9wdWItbG9jYXRpb24+PHJlZi10eXBlIG5h
bWU9IkJvb2siPjY8L3JlZi10eXBlPjxkYXRlcz48eWVhcj4yMDA3PC95ZWFyPjwvZGF0ZXM+PHJl
Yy1udW1iZXI+NzQ0OTwvcmVjLW51bWJlcj48cHVibGlzaGVyPk94Zm9yZCBVbml2ZXJzaXR5IFBy
ZXNzPC9wdWJsaXNoZXI+PGxhc3QtdXBkYXRlZC1kYXRlIGZvcm1hdD0idXRjIj4xNTIyOTQ3NjIy
PC9sYXN0LXVwZGF0ZWQtZGF0ZT48L3JlY29yZD48L0NpdGU+PENpdGU+PEF1dGhvcj5IYXplbGtv
cm48L0F1dGhvcj48WWVhcj4yMDA3PC9ZZWFyPjxJRFRleHQ+VGhlIEltcGFjdCBvZiBMZWFndWUg
VGFibGVzIGFuZCBSYW5raW5nIFN5c3RlbXMgb24gSGlnaGVyIEVkdWNhdGlvbiBEZWNpc2lvbiBN
YWtpbmc8L0lEVGV4dD48cmVjb3JkPjxrZXl3b3Jkcz48a2V5d29yZD5IaWdoZXIgRWR1Y2F0aW9u
PC9rZXl3b3JkPjxrZXl3b3JkPlJlcHV0YXRpb248L2tleXdvcmQ+PGtleXdvcmQ+RGVjaXNpb24g
TWFraW5nPC9rZXl3b3JkPjxrZXl3b3JkPkVkdWNhdGlvbmFsIFF1YWxpdHk8L2tleXdvcmQ+PGtl
eXdvcmQ+QmVuY2htYXJraW5nPC9rZXl3b3JkPjxrZXl3b3JkPkV2YWx1YXRpb24gTWV0aG9kczwv
a2V5d29yZD48a2V5d29yZD5Db2xsZWdlczwva2V5d29yZD48a2V5d29yZD5TdHJhdGVnaWMgUGxh
bm5pbmc8L2tleXdvcmQ+PC9rZXl3b3Jkcz48aXNibj4xNjgyLTM0NTE8L2lzYm4+PHRpdGxlcz48
dGl0bGU+VGhlIEltcGFjdCBvZiBMZWFndWUgVGFibGVzIGFuZCBSYW5raW5nIFN5c3RlbXMgb24g
SGlnaGVyIEVkdWNhdGlvbiBEZWNpc2lvbiBNYWtpbmc8L3RpdGxlPjxzZWNvbmRhcnktdGl0bGU+
SGlnaGVyIEVkdWNhdGlvbiBNYW5hZ2VtZW50IGFuZCBQb2xpY3k8L3NlY29uZGFyeS10aXRsZT48
L3RpdGxlcz48cGFnZXM+ODEtMTA1PC9wYWdlcz48bnVtYmVyPjI8L251bWJlcj48Y29udHJpYnV0
b3JzPjxhdXRob3JzPjxhdXRob3I+SGF6ZWxrb3JuLCBFbGxlbjwvYXV0aG9yPjwvYXV0aG9ycz48
L2NvbnRyaWJ1dG9ycz48YWRkZWQtZGF0ZSBmb3JtYXQ9InV0YyI+MTUyMzAwNzY4MzwvYWRkZWQt
ZGF0ZT48cmVmLXR5cGUgbmFtZT0iSm91cm5hbCBBcnRpY2xlIj4xNzwvcmVmLXR5cGU+PGRhdGVz
Pjx5ZWFyPjIwMDc8L3llYXI+PC9kYXRlcz48cmVjLW51bWJlcj43NDU1PC9yZWMtbnVtYmVyPjxs
YXN0LXVwZGF0ZWQtZGF0ZSBmb3JtYXQ9InV0YyI+MTUyMzAwNzY4MzwvbGFzdC11cGRhdGVkLWRh
dGU+PGVsZWN0cm9uaWMtcmVzb3VyY2UtbnVtPjEwLjE3ODcvaGVtcC12MTktYXJ0MTItZW48L2Vs
ZWN0cm9uaWMtcmVzb3VyY2UtbnVtPjx2b2x1bWU+MTk8L3ZvbHVtZT48L3JlY29yZD48L0NpdGU+
PENpdGU+PEF1dGhvcj5IYXplbGtvcm48L0F1dGhvcj48WWVhcj4yMDA4PC9ZZWFyPjxJRFRleHQ+
TGVhcm5pbmcgdG8gTGl2ZSB3aXRoIExlYWd1ZSBUYWJsZXMgYW5kIFJhbmtpbmc6IFRoZSBFeHBl
cmllbmNlIG9mIEluc3RpdHV0aW9uYWwgTGVhZGVyczwvSURUZXh0PjxyZWNvcmQ+PGtleXdvcmRz
PjxrZXl3b3JkPkhpZ2hlciBFZHVjYXRpb248L2tleXdvcmQ+PGtleXdvcmQ+SW5zdGl0dXRpb25h
bCBBZG1pbmlzdHJhdGlvbjwva2V5d29yZD48a2V5d29yZD5Gb3JlaWduIENvdW50cmllczwva2V5
d29yZD48a2V5d29yZD5Db2xsZWdlIEFkbWluaXN0cmF0aW9uPC9rZXl3b3JkPjxrZXl3b3JkPlJh
dGluZyBTY2FsZXM8L2tleXdvcmQ+PGtleXdvcmQ+RWR1Y2F0aW9uYWwgUXVhbGl0eTwva2V5d29y
ZD48a2V5d29yZD5FZHVjYXRpb25hbCBQb2xpY3k8L2tleXdvcmQ+PGtleXdvcmQ+Q29sbGVnZXM8
L2tleXdvcmQ+PGtleXdvcmQ+Q29sbGVnZSBDaG9pY2U8L2tleXdvcmQ+PGtleXdvcmQ+UGFydGlj
aXBhdGlvbjwva2V5d29yZD48a2V5d29yZD5Qb3B1bGF0aW9uIEdyb3Vwczwva2V5d29yZD48a2V5
d29yZD5TdHVkZW50czwva2V5d29yZD48a2V5d29yZD5FZHVjYXRpb25hbCBGaW5hbmNlPC9rZXl3
b3JkPjxrZXl3b3JkPlJlY3J1aXRtZW50PC9rZXl3b3JkPjwva2V5d29yZHM+PGlzYm4+MDk1Mi04
NzMzPC9pc2JuPjx0aXRsZXM+PHRpdGxlPkxlYXJuaW5nIHRvIExpdmUgd2l0aCBMZWFndWUgVGFi
bGVzIGFuZCBSYW5raW5nOiBUaGUgRXhwZXJpZW5jZSBvZiBJbnN0aXR1dGlvbmFsIExlYWRlcnM8
L3RpdGxlPjxzZWNvbmRhcnktdGl0bGU+SGlnaGVyIEVkdWNhdGlvbiBQb2xpY3k8L3NlY29uZGFy
eS10aXRsZT48L3RpdGxlcz48cGFnZXM+MTkzLTIxNTwvcGFnZXM+PG51bWJlcj4yPC9udW1iZXI+
PGNvbnRyaWJ1dG9ycz48YXV0aG9ycz48YXV0aG9yPkhhemVsa29ybiwgRWxsZW48L2F1dGhvcj48
L2F1dGhvcnM+PC9jb250cmlidXRvcnM+PGFkZGVkLWRhdGUgZm9ybWF0PSJ1dGMiPjE1MjMwMDgz
MTc8L2FkZGVkLWRhdGU+PHJlZi10eXBlIG5hbWU9IkpvdXJuYWwgQXJ0aWNsZSI+MTc8L3JlZi10
eXBlPjxkYXRlcz48eWVhcj4yMDA4PC95ZWFyPjwvZGF0ZXM+PHJlYy1udW1iZXI+NzQ1NjwvcmVj
LW51bWJlcj48bGFzdC11cGRhdGVkLWRhdGUgZm9ybWF0PSJ1dGMiPjE1MjMwMDgzMTc8L2xhc3Qt
dXBkYXRlZC1kYXRlPjxlbGVjdHJvbmljLXJlc291cmNlLW51bT4xMC4xMDU3L2hlcC4yMDA4LjE8
L2VsZWN0cm9uaWMtcmVzb3VyY2UtbnVtPjx2b2x1bWU+MjE8L3ZvbHVtZT48L3JlY29yZD48L0Np
dGU+PENpdGU+PEF1dGhvcj5NYXJnaW5zb248L0F1dGhvcj48WWVhcj4yMDA3PC9ZZWFyPjxJRFRl
eHQ+VG8gUmFuayBvciB0byBCZSBSYW5rZWQ6IFRoZSBJbXBhY3Qgb2YgR2xvYmFsIFJhbmtpbmdz
IGluIEhpZ2hlciBFZHVjYXRpb248L0lEVGV4dD48cmVjb3JkPjxrZXl3b3Jkcz48a2V5d29yZD5I
aWdoZXIgRWR1Y2F0aW9uPC9rZXl3b3JkPjxrZXl3b3JkPkRldmVsb3BlZCBOYXRpb25zPC9rZXl3
b3JkPjxrZXl3b3JkPkVkdWNhdGlvbmFsIFF1YWxpdHk8L2tleXdvcmQ+PGtleXdvcmQ+R2xvYmFs
IEFwcHJvYWNoPC9rZXl3b3JkPjxrZXl3b3JkPkNvbXBldGl0aW9uPC9rZXl3b3JkPjxrZXl3b3Jk
PlJlc2VhcmNoIFVuaXZlcnNpdGllczwva2V5d29yZD48a2V5d29yZD5SZXNlYXJjaGVyczwva2V5
d29yZD48a2V5d29yZD5FdmFsdWF0aW9uIE1ldGhvZHM8L2tleXdvcmQ+PGtleXdvcmQ+QWNoaWV2
ZW1lbnQgUmF0aW5nPC9rZXl3b3JkPjxrZXl3b3JkPlJhdGluZyBTY2FsZXM8L2tleXdvcmQ+PGtl
eXdvcmQ+SW5zdGl0dXRpb25hbCBDaGFyYWN0ZXJpc3RpY3M8L2tleXdvcmQ+PGtleXdvcmQ+RWR1
Y2F0aW9uYWwgSW5kaWNhdG9yczwva2V5d29yZD48a2V5d29yZD5JbnN0aXR1dGlvbmFsIEV2YWx1
YXRpb248L2tleXdvcmQ+PC9rZXl3b3Jkcz48aXNibj4xMDI4LTMxNTM8L2lzYm4+PHRpdGxlcz48
dGl0bGU+VG8gUmFuayBvciB0byBCZSBSYW5rZWQ6IFRoZSBJbXBhY3Qgb2YgR2xvYmFsIFJhbmtp
bmdzIGluIEhpZ2hlciBFZHVjYXRpb248L3RpdGxlPjxzZWNvbmRhcnktdGl0bGU+Sm91cm5hbCBv
ZiBTdHVkaWVzIGluIEludGVybmF0aW9uYWwgRWR1Y2F0aW9uPC9zZWNvbmRhcnktdGl0bGU+PC90
aXRsZXM+PHBhZ2VzPjMwNi00KSwgcC4zMDYtMzI5PC9wYWdlcz48Y29udHJpYnV0b3JzPjxhdXRo
b3JzPjxhdXRob3I+TWFyZ2luc29uLCBTaW1vbjwvYXV0aG9yPjxhdXRob3I+dmFuIGRlciBXZW5k
ZSwgTWFyaWprPC9hdXRob3I+PC9hdXRob3JzPjwvY29udHJpYnV0b3JzPjxhZGRlZC1kYXRlIGZv
cm1hdD0idXRjIj4xNDU4ODY0Mzg0PC9hZGRlZC1kYXRlPjxyZWYtdHlwZSBuYW1lPSJKb3VybmFs
IEFydGljbGUiPjE3PC9yZWYtdHlwZT48ZGF0ZXM+PHllYXI+MjAwNzwveWVhcj48L2RhdGVzPjxy
ZWMtbnVtYmVyPjMzOTwvcmVjLW51bWJlcj48bGFzdC11cGRhdGVkLWRhdGUgZm9ybWF0PSJ1dGMi
PjE0NjkyMjk4Njg8L2xhc3QtdXBkYXRlZC1kYXRlPjxlbGVjdHJvbmljLXJlc291cmNlLW51bT4x
MC4xMTc3LzEwMjgzMTUzMDczMDM1NDQ8L2VsZWN0cm9uaWMtcmVzb3VyY2UtbnVtPjx2b2x1bWU+
MTE8L3ZvbHVtZT48L3JlY29yZD48L0NpdGU+PC9FbmROb3RlPn==
</w:fldData>
        </w:fldChar>
      </w:r>
      <w:r w:rsidR="004E1802" w:rsidRPr="00B33BCF">
        <w:instrText xml:space="preserve"> ADDIN EN.CITE.DATA </w:instrText>
      </w:r>
      <w:r w:rsidR="004E1802" w:rsidRPr="00B33BCF">
        <w:fldChar w:fldCharType="end"/>
      </w:r>
      <w:r w:rsidR="006D59D3" w:rsidRPr="00B33BCF">
        <w:fldChar w:fldCharType="separate"/>
      </w:r>
      <w:r w:rsidR="004E1802" w:rsidRPr="00B33BCF">
        <w:rPr>
          <w:noProof/>
        </w:rPr>
        <w:t>(Deem et al., 2007; Hazelkorn, 2007, 2008; Marginson &amp; van der Wende, 2007)</w:t>
      </w:r>
      <w:r w:rsidR="006D59D3" w:rsidRPr="00B33BCF">
        <w:fldChar w:fldCharType="end"/>
      </w:r>
      <w:r w:rsidR="004E1802" w:rsidRPr="00B33BCF">
        <w:t xml:space="preserve">. </w:t>
      </w:r>
      <w:r w:rsidR="00A4086E" w:rsidRPr="00B33BCF">
        <w:t xml:space="preserve">This has important implications for academia, </w:t>
      </w:r>
      <w:r w:rsidR="004E1802" w:rsidRPr="00B33BCF">
        <w:t>not least the</w:t>
      </w:r>
      <w:r w:rsidR="00A4086E" w:rsidRPr="00B33BCF">
        <w:t xml:space="preserve"> shift in the locus of authority and autonomy within universities</w:t>
      </w:r>
      <w:r w:rsidR="00FF3E66" w:rsidRPr="00B33BCF">
        <w:t>; w</w:t>
      </w:r>
      <w:r w:rsidR="00F85587" w:rsidRPr="00B33BCF">
        <w:t>hile academic managers are incentivised and empowered to exert influence on their institutions, autonomy for individual academics “is … secured through compliance with the … expectations of their institutions and funders” (Shields &amp; Watermeyer, 2018, p. 10)</w:t>
      </w:r>
      <w:r w:rsidR="00D34899" w:rsidRPr="00B33BCF">
        <w:t xml:space="preserve">. </w:t>
      </w:r>
      <w:r w:rsidR="00D75044" w:rsidRPr="00B33BCF">
        <w:t xml:space="preserve">This, however, is possible </w:t>
      </w:r>
      <w:r w:rsidR="00FB70B0" w:rsidRPr="00B33BCF">
        <w:t xml:space="preserve">only for a </w:t>
      </w:r>
      <w:r w:rsidR="00AE7AAD" w:rsidRPr="00B33BCF">
        <w:t>part</w:t>
      </w:r>
      <w:r w:rsidR="00F85587" w:rsidRPr="00B33BCF">
        <w:t xml:space="preserve"> of the </w:t>
      </w:r>
      <w:r w:rsidR="00556AE2" w:rsidRPr="00B33BCF">
        <w:t>academic</w:t>
      </w:r>
      <w:r w:rsidR="00F85587" w:rsidRPr="00B33BCF">
        <w:t xml:space="preserve"> workforce, which is increasingly populated by fixed-term contract researchers tied to specific projects, academics who do not receive institutional support or time for research, and a loosely defined group of support professionals, many of whom have doctoral degrees and are involved in contributing importantly to academic ‘production’ but are not in traditional academic posts </w:t>
      </w:r>
      <w:r w:rsidR="00F85587" w:rsidRPr="00B33BCF">
        <w:fldChar w:fldCharType="begin">
          <w:fldData xml:space="preserve">PEVuZE5vdGU+PENpdGU+PEF1dGhvcj5TY2hhZmVyPC9BdXRob3I+PFllYXI+MjAxNjwvWWVhcj48
SURUZXh0PlBlcmZvcm1hbmNlIGFzc2Vzc21lbnQgaW4gc2NpZW5jZSBhbmQgYWNhZGVtaWE6IGVm
ZmVjdHMgb2YgdGhlIFJBRS9SRUYgb24gYWNhZGVtaWMgbGlmZS4gV29ya2luZyBwYXBlciBuby4g
NzwvSURUZXh0PjxEaXNwbGF5VGV4dD4oUmhvYWRlcywgMjAwMSwgMjAxMTsgU2NoYWZlciwgMjAx
NjsgV2F0ZXJtZXllciAmYW1wOyBPbHNzZW4sIDIwMTYpPC9EaXNwbGF5VGV4dD48cmVjb3JkPjx1
cmxzPjxyZWxhdGVkLXVybHM+PHVybD5odHRwOi8vd3d3LnJlc2VhcmNoY2doZS5vcmcvcHVibGlj
YXRpb25zL3BlcmZvcm1hbmNlLWFzc2Vzc21lbnQtaW4tc2NpZW5jZS1hbmQtYWNhZGVtaWEtZWZm
ZWN0cy1vZi10aGUtcmFlcmVmLW9uLWFjYWRlbWljLWxpZmUvPC91cmw+PC9yZWxhdGVkLXVybHM+
PC91cmxzPjx0aXRsZXM+PHRpdGxlPlBlcmZvcm1hbmNlIGFzc2Vzc21lbnQgaW4gc2NpZW5jZSBh
bmQgYWNhZGVtaWE6IGVmZmVjdHMgb2YgdGhlIFJBRS9SRUYgb24gYWNhZGVtaWMgbGlmZS4gV29y
a2luZyBwYXBlciBuby4gNzwvdGl0bGU+PC90aXRsZXM+PGNvbnRyaWJ1dG9ycz48YXV0aG9ycz48
YXV0aG9yPlNjaGFmZXIsIExlbiBPbGU8L2F1dGhvcj48L2F1dGhvcnM+PC9jb250cmlidXRvcnM+
PGVkaXRpb24+U2VwdGVtYmVyIDIwMTY8L2VkaXRpb24+PGFkZGVkLWRhdGUgZm9ybWF0PSJ1dGMi
PjE1MjI5NTA2NzI8L2FkZGVkLWRhdGU+PHJlZi10eXBlIG5hbWU9IlJlcG9ydCI+Mjc8L3JlZi10
eXBlPjxkYXRlcz48eWVhcj4yMDE2PC95ZWFyPjwvZGF0ZXM+PHJlYy1udW1iZXI+NzQ1NDwvcmVj
LW51bWJlcj48cHVibGlzaGVyPkNlbnRyZSBmb3IgR2xvYmFsIEhpZ2hlciBFZHVjYXRpb248L3B1
Ymxpc2hlcj48bGFzdC11cGRhdGVkLWRhdGUgZm9ybWF0PSJ1dGMiPjE1MjI5NTA2NzI8L2xhc3Qt
dXBkYXRlZC1kYXRlPjx2b2x1bWU+U2VwdGVtYmVyIDIwMTY8L3ZvbHVtZT48L3JlY29yZD48L0Np
dGU+PENpdGU+PEF1dGhvcj5SaG9hZGVzPC9BdXRob3I+PFllYXI+MjAwMTwvWWVhcj48SURUZXh0
Pk1hbmFnaW5nIHByb2R1Y3Rpdml0eSBpbiBhbiBhY2FkZW1pYyBpbnN0aXR1dGlvbjogUmV0aGlu
a2luZyB0aGUgd2hvbSwgd2hpY2gsIHdoYXQsIGFuZCB3aG9zZSBvZiBwcm9kdWN0aXZpdHk8L0lE
VGV4dD48cmVjb3JkPjxpc2JuPjAzNjEtMDM2NTwvaXNibj48dGl0bGVzPjx0aXRsZT5NYW5hZ2lu
ZyBwcm9kdWN0aXZpdHkgaW4gYW4gYWNhZGVtaWMgaW5zdGl0dXRpb246IFJldGhpbmtpbmcgdGhl
IHdob20sIHdoaWNoLCB3aGF0LCBhbmQgd2hvc2Ugb2YgcHJvZHVjdGl2aXR5PC90aXRsZT48c2Vj
b25kYXJ5LXRpdGxlPlJlc2VhcmNoIGluIGhpZ2hlciBlZHVjYXRpb248L3NlY29uZGFyeS10aXRs
ZT48L3RpdGxlcz48cGFnZXM+NjE5LTYzMjwvcGFnZXM+PG51bWJlcj41PC9udW1iZXI+PGNvbnRy
aWJ1dG9ycz48YXV0aG9ycz48YXV0aG9yPlJob2FkZXMsIEdhcnk8L2F1dGhvcj48L2F1dGhvcnM+
PC9jb250cmlidXRvcnM+PGFkZGVkLWRhdGUgZm9ybWF0PSJ1dGMiPjE1NzU5MjA2MTI8L2FkZGVk
LWRhdGU+PHJlZi10eXBlIG5hbWU9IkpvdXJuYWwgQXJ0aWNsZSI+MTc8L3JlZi10eXBlPjxkYXRl
cz48eWVhcj4yMDAxPC95ZWFyPjwvZGF0ZXM+PHJlYy1udW1iZXI+ODM5NTwvcmVjLW51bWJlcj48
bGFzdC11cGRhdGVkLWRhdGUgZm9ybWF0PSJ1dGMiPjE1NzU5MjA2MTI8L2xhc3QtdXBkYXRlZC1k
YXRlPjx2b2x1bWU+NDI8L3ZvbHVtZT48L3JlY29yZD48L0NpdGU+PENpdGU+PEF1dGhvcj5SaG9h
ZGVzPC9BdXRob3I+PFllYXI+MjAxMTwvWWVhcj48SURUZXh0PkEgbmF0aW9uYWwgY2FtcGFpZ24g
b2YgYWNhZGVtaWMgbGFib3I6IFJlZnJhbWluZyB0aGUgcG9saXRpY3Mgb2Ygc2NhcmNpdHkgaW4g
aGlnaGVyIGVkdWNhdGlvbjwvSURUZXh0PjxyZWNvcmQ+PGlzYm4+MDczOS0zMTQ4PC9pc2JuPjx0
aXRsZXM+PHRpdGxlPkEgbmF0aW9uYWwgY2FtcGFpZ24gb2YgYWNhZGVtaWMgbGFib3I6IFJlZnJh
bWluZyB0aGUgcG9saXRpY3Mgb2Ygc2NhcmNpdHkgaW4gaGlnaGVyIGVkdWNhdGlvbjwvdGl0bGU+
PHNlY29uZGFyeS10aXRsZT5OZXcgUG9saXRpY2FsIFNjaWVuY2U8L3NlY29uZGFyeS10aXRsZT48
L3RpdGxlcz48cGFnZXM+MTAxLTExNzwvcGFnZXM+PG51bWJlcj4wMTwvbnVtYmVyPjxjb250cmli
dXRvcnM+PGF1dGhvcnM+PGF1dGhvcj5SaG9hZGVzLCBHYXJ5PC9hdXRob3I+PC9hdXRob3JzPjwv
Y29udHJpYnV0b3JzPjxhZGRlZC1kYXRlIGZvcm1hdD0idXRjIj4xNTc1OTIxNTY5PC9hZGRlZC1k
YXRlPjxyZWYtdHlwZSBuYW1lPSJKb3VybmFsIEFydGljbGUiPjE3PC9yZWYtdHlwZT48ZGF0ZXM+
PHllYXI+MjAxMTwveWVhcj48L2RhdGVzPjxyZWMtbnVtYmVyPjgzOTY8L3JlYy1udW1iZXI+PGxh
c3QtdXBkYXRlZC1kYXRlIGZvcm1hdD0idXRjIj4xNTc1OTIxNTY5PC9sYXN0LXVwZGF0ZWQtZGF0
ZT48dm9sdW1lPjMzPC92b2x1bWU+PC9yZWNvcmQ+PC9DaXRlPjxDaXRlPjxBdXRob3I+V2F0ZXJt
ZXllcjwvQXV0aG9yPjxZZWFyPjIwMTY8L1llYXI+PElEVGV4dD7igJhFeGNlbGxlbmNl4oCZIGFu
ZCBFeGNsdXNpb246IFRoZSBJbmRpdmlkdWFsIENvc3RzIG9mIEluc3RpdHV0aW9uYWwgQ29tcGV0
aXRpdmVuZXNzPC9JRFRleHQ+PHJlY29yZD48a2V5d29yZHM+PGtleXdvcmQ+SGlnaGVyIGVkdWNh
dGlvbiBwb2xpY3k8L2tleXdvcmQ+PGtleXdvcmQ+TmVvbGliZXJhbGlzbTwva2V5d29yZD48a2V5
d29yZD5QZXJmb3JtYXRpdml0eTwva2V5d29yZD48a2V5d29yZD5BdWRpdCBjdWx0dXJlczwva2V5
d29yZD48a2V5d29yZD5BY2FkZW1pYyBleGNsdXNpb248L2tleXdvcmQ+PC9rZXl3b3Jkcz48aXNi
bj4wMDI2LTQ2OTU8L2lzYm4+PHRpdGxlcz48dGl0bGU+4oCYRXhjZWxsZW5jZeKAmSBhbmQgRXhj
bHVzaW9uOiBUaGUgSW5kaXZpZHVhbCBDb3N0cyBvZiBJbnN0aXR1dGlvbmFsIENvbXBldGl0aXZl
bmVzczwvdGl0bGU+PHNlY29uZGFyeS10aXRsZT5BIFJldmlldyBvZiBTY2llbmNlLCBMZWFybmlu
ZyBhbmQgUG9saWN5PC9zZWNvbmRhcnktdGl0bGU+PC90aXRsZXM+PHBhZ2VzPjIwMS0yMTg8L3Bh
Z2VzPjxudW1iZXI+MjwvbnVtYmVyPjxjb250cmlidXRvcnM+PGF1dGhvcnM+PGF1dGhvcj5XYXRl
cm1leWVyLCBSaWNoYXJkPC9hdXRob3I+PGF1dGhvcj5PbHNzZW4sIE1hcms8L2F1dGhvcj48L2F1
dGhvcnM+PC9jb250cmlidXRvcnM+PGFkZGVkLWRhdGUgZm9ybWF0PSJ1dGMiPjE1MjkwMTc5Mzg8
L2FkZGVkLWRhdGU+PHB1Yi1sb2NhdGlvbj5Eb3JkcmVjaHQ8L3B1Yi1sb2NhdGlvbj48cmVmLXR5
cGUgbmFtZT0iSm91cm5hbCBBcnRpY2xlIj4xNzwvcmVmLXR5cGU+PGRhdGVzPjx5ZWFyPjIwMTY8
L3llYXI+PC9kYXRlcz48cmVjLW51bWJlcj43NTU1PC9yZWMtbnVtYmVyPjxsYXN0LXVwZGF0ZWQt
ZGF0ZSBmb3JtYXQ9InV0YyI+MTU1OTA4MTEyNzwvbGFzdC11cGRhdGVkLWRhdGU+PGVsZWN0cm9u
aWMtcmVzb3VyY2UtbnVtPjEwLjEwMDcvczExMDI0LTAxNi05Mjk4LTU8L2VsZWN0cm9uaWMtcmVz
b3VyY2UtbnVtPjx2b2x1bWU+NTQ8L3ZvbHVtZT48L3JlY29yZD48L0NpdGU+PC9FbmROb3RlPn==
</w:fldData>
        </w:fldChar>
      </w:r>
      <w:r w:rsidR="00F85587" w:rsidRPr="00B33BCF">
        <w:instrText xml:space="preserve"> ADDIN EN.CITE </w:instrText>
      </w:r>
      <w:r w:rsidR="00F85587" w:rsidRPr="00B33BCF">
        <w:fldChar w:fldCharType="begin">
          <w:fldData xml:space="preserve">PEVuZE5vdGU+PENpdGU+PEF1dGhvcj5TY2hhZmVyPC9BdXRob3I+PFllYXI+MjAxNjwvWWVhcj48
SURUZXh0PlBlcmZvcm1hbmNlIGFzc2Vzc21lbnQgaW4gc2NpZW5jZSBhbmQgYWNhZGVtaWE6IGVm
ZmVjdHMgb2YgdGhlIFJBRS9SRUYgb24gYWNhZGVtaWMgbGlmZS4gV29ya2luZyBwYXBlciBuby4g
NzwvSURUZXh0PjxEaXNwbGF5VGV4dD4oUmhvYWRlcywgMjAwMSwgMjAxMTsgU2NoYWZlciwgMjAx
NjsgV2F0ZXJtZXllciAmYW1wOyBPbHNzZW4sIDIwMTYpPC9EaXNwbGF5VGV4dD48cmVjb3JkPjx1
cmxzPjxyZWxhdGVkLXVybHM+PHVybD5odHRwOi8vd3d3LnJlc2VhcmNoY2doZS5vcmcvcHVibGlj
YXRpb25zL3BlcmZvcm1hbmNlLWFzc2Vzc21lbnQtaW4tc2NpZW5jZS1hbmQtYWNhZGVtaWEtZWZm
ZWN0cy1vZi10aGUtcmFlcmVmLW9uLWFjYWRlbWljLWxpZmUvPC91cmw+PC9yZWxhdGVkLXVybHM+
PC91cmxzPjx0aXRsZXM+PHRpdGxlPlBlcmZvcm1hbmNlIGFzc2Vzc21lbnQgaW4gc2NpZW5jZSBh
bmQgYWNhZGVtaWE6IGVmZmVjdHMgb2YgdGhlIFJBRS9SRUYgb24gYWNhZGVtaWMgbGlmZS4gV29y
a2luZyBwYXBlciBuby4gNzwvdGl0bGU+PC90aXRsZXM+PGNvbnRyaWJ1dG9ycz48YXV0aG9ycz48
YXV0aG9yPlNjaGFmZXIsIExlbiBPbGU8L2F1dGhvcj48L2F1dGhvcnM+PC9jb250cmlidXRvcnM+
PGVkaXRpb24+U2VwdGVtYmVyIDIwMTY8L2VkaXRpb24+PGFkZGVkLWRhdGUgZm9ybWF0PSJ1dGMi
PjE1MjI5NTA2NzI8L2FkZGVkLWRhdGU+PHJlZi10eXBlIG5hbWU9IlJlcG9ydCI+Mjc8L3JlZi10
eXBlPjxkYXRlcz48eWVhcj4yMDE2PC95ZWFyPjwvZGF0ZXM+PHJlYy1udW1iZXI+NzQ1NDwvcmVj
LW51bWJlcj48cHVibGlzaGVyPkNlbnRyZSBmb3IgR2xvYmFsIEhpZ2hlciBFZHVjYXRpb248L3B1
Ymxpc2hlcj48bGFzdC11cGRhdGVkLWRhdGUgZm9ybWF0PSJ1dGMiPjE1MjI5NTA2NzI8L2xhc3Qt
dXBkYXRlZC1kYXRlPjx2b2x1bWU+U2VwdGVtYmVyIDIwMTY8L3ZvbHVtZT48L3JlY29yZD48L0Np
dGU+PENpdGU+PEF1dGhvcj5SaG9hZGVzPC9BdXRob3I+PFllYXI+MjAwMTwvWWVhcj48SURUZXh0
Pk1hbmFnaW5nIHByb2R1Y3Rpdml0eSBpbiBhbiBhY2FkZW1pYyBpbnN0aXR1dGlvbjogUmV0aGlu
a2luZyB0aGUgd2hvbSwgd2hpY2gsIHdoYXQsIGFuZCB3aG9zZSBvZiBwcm9kdWN0aXZpdHk8L0lE
VGV4dD48cmVjb3JkPjxpc2JuPjAzNjEtMDM2NTwvaXNibj48dGl0bGVzPjx0aXRsZT5NYW5hZ2lu
ZyBwcm9kdWN0aXZpdHkgaW4gYW4gYWNhZGVtaWMgaW5zdGl0dXRpb246IFJldGhpbmtpbmcgdGhl
IHdob20sIHdoaWNoLCB3aGF0LCBhbmQgd2hvc2Ugb2YgcHJvZHVjdGl2aXR5PC90aXRsZT48c2Vj
b25kYXJ5LXRpdGxlPlJlc2VhcmNoIGluIGhpZ2hlciBlZHVjYXRpb248L3NlY29uZGFyeS10aXRs
ZT48L3RpdGxlcz48cGFnZXM+NjE5LTYzMjwvcGFnZXM+PG51bWJlcj41PC9udW1iZXI+PGNvbnRy
aWJ1dG9ycz48YXV0aG9ycz48YXV0aG9yPlJob2FkZXMsIEdhcnk8L2F1dGhvcj48L2F1dGhvcnM+
PC9jb250cmlidXRvcnM+PGFkZGVkLWRhdGUgZm9ybWF0PSJ1dGMiPjE1NzU5MjA2MTI8L2FkZGVk
LWRhdGU+PHJlZi10eXBlIG5hbWU9IkpvdXJuYWwgQXJ0aWNsZSI+MTc8L3JlZi10eXBlPjxkYXRl
cz48eWVhcj4yMDAxPC95ZWFyPjwvZGF0ZXM+PHJlYy1udW1iZXI+ODM5NTwvcmVjLW51bWJlcj48
bGFzdC11cGRhdGVkLWRhdGUgZm9ybWF0PSJ1dGMiPjE1NzU5MjA2MTI8L2xhc3QtdXBkYXRlZC1k
YXRlPjx2b2x1bWU+NDI8L3ZvbHVtZT48L3JlY29yZD48L0NpdGU+PENpdGU+PEF1dGhvcj5SaG9h
ZGVzPC9BdXRob3I+PFllYXI+MjAxMTwvWWVhcj48SURUZXh0PkEgbmF0aW9uYWwgY2FtcGFpZ24g
b2YgYWNhZGVtaWMgbGFib3I6IFJlZnJhbWluZyB0aGUgcG9saXRpY3Mgb2Ygc2NhcmNpdHkgaW4g
aGlnaGVyIGVkdWNhdGlvbjwvSURUZXh0PjxyZWNvcmQ+PGlzYm4+MDczOS0zMTQ4PC9pc2JuPjx0
aXRsZXM+PHRpdGxlPkEgbmF0aW9uYWwgY2FtcGFpZ24gb2YgYWNhZGVtaWMgbGFib3I6IFJlZnJh
bWluZyB0aGUgcG9saXRpY3Mgb2Ygc2NhcmNpdHkgaW4gaGlnaGVyIGVkdWNhdGlvbjwvdGl0bGU+
PHNlY29uZGFyeS10aXRsZT5OZXcgUG9saXRpY2FsIFNjaWVuY2U8L3NlY29uZGFyeS10aXRsZT48
L3RpdGxlcz48cGFnZXM+MTAxLTExNzwvcGFnZXM+PG51bWJlcj4wMTwvbnVtYmVyPjxjb250cmli
dXRvcnM+PGF1dGhvcnM+PGF1dGhvcj5SaG9hZGVzLCBHYXJ5PC9hdXRob3I+PC9hdXRob3JzPjwv
Y29udHJpYnV0b3JzPjxhZGRlZC1kYXRlIGZvcm1hdD0idXRjIj4xNTc1OTIxNTY5PC9hZGRlZC1k
YXRlPjxyZWYtdHlwZSBuYW1lPSJKb3VybmFsIEFydGljbGUiPjE3PC9yZWYtdHlwZT48ZGF0ZXM+
PHllYXI+MjAxMTwveWVhcj48L2RhdGVzPjxyZWMtbnVtYmVyPjgzOTY8L3JlYy1udW1iZXI+PGxh
c3QtdXBkYXRlZC1kYXRlIGZvcm1hdD0idXRjIj4xNTc1OTIxNTY5PC9sYXN0LXVwZGF0ZWQtZGF0
ZT48dm9sdW1lPjMzPC92b2x1bWU+PC9yZWNvcmQ+PC9DaXRlPjxDaXRlPjxBdXRob3I+V2F0ZXJt
ZXllcjwvQXV0aG9yPjxZZWFyPjIwMTY8L1llYXI+PElEVGV4dD7igJhFeGNlbGxlbmNl4oCZIGFu
ZCBFeGNsdXNpb246IFRoZSBJbmRpdmlkdWFsIENvc3RzIG9mIEluc3RpdHV0aW9uYWwgQ29tcGV0
aXRpdmVuZXNzPC9JRFRleHQ+PHJlY29yZD48a2V5d29yZHM+PGtleXdvcmQ+SGlnaGVyIGVkdWNh
dGlvbiBwb2xpY3k8L2tleXdvcmQ+PGtleXdvcmQ+TmVvbGliZXJhbGlzbTwva2V5d29yZD48a2V5
d29yZD5QZXJmb3JtYXRpdml0eTwva2V5d29yZD48a2V5d29yZD5BdWRpdCBjdWx0dXJlczwva2V5
d29yZD48a2V5d29yZD5BY2FkZW1pYyBleGNsdXNpb248L2tleXdvcmQ+PC9rZXl3b3Jkcz48aXNi
bj4wMDI2LTQ2OTU8L2lzYm4+PHRpdGxlcz48dGl0bGU+4oCYRXhjZWxsZW5jZeKAmSBhbmQgRXhj
bHVzaW9uOiBUaGUgSW5kaXZpZHVhbCBDb3N0cyBvZiBJbnN0aXR1dGlvbmFsIENvbXBldGl0aXZl
bmVzczwvdGl0bGU+PHNlY29uZGFyeS10aXRsZT5BIFJldmlldyBvZiBTY2llbmNlLCBMZWFybmlu
ZyBhbmQgUG9saWN5PC9zZWNvbmRhcnktdGl0bGU+PC90aXRsZXM+PHBhZ2VzPjIwMS0yMTg8L3Bh
Z2VzPjxudW1iZXI+MjwvbnVtYmVyPjxjb250cmlidXRvcnM+PGF1dGhvcnM+PGF1dGhvcj5XYXRl
cm1leWVyLCBSaWNoYXJkPC9hdXRob3I+PGF1dGhvcj5PbHNzZW4sIE1hcms8L2F1dGhvcj48L2F1
dGhvcnM+PC9jb250cmlidXRvcnM+PGFkZGVkLWRhdGUgZm9ybWF0PSJ1dGMiPjE1MjkwMTc5Mzg8
L2FkZGVkLWRhdGU+PHB1Yi1sb2NhdGlvbj5Eb3JkcmVjaHQ8L3B1Yi1sb2NhdGlvbj48cmVmLXR5
cGUgbmFtZT0iSm91cm5hbCBBcnRpY2xlIj4xNzwvcmVmLXR5cGU+PGRhdGVzPjx5ZWFyPjIwMTY8
L3llYXI+PC9kYXRlcz48cmVjLW51bWJlcj43NTU1PC9yZWMtbnVtYmVyPjxsYXN0LXVwZGF0ZWQt
ZGF0ZSBmb3JtYXQ9InV0YyI+MTU1OTA4MTEyNzwvbGFzdC11cGRhdGVkLWRhdGU+PGVsZWN0cm9u
aWMtcmVzb3VyY2UtbnVtPjEwLjEwMDcvczExMDI0LTAxNi05Mjk4LTU8L2VsZWN0cm9uaWMtcmVz
b3VyY2UtbnVtPjx2b2x1bWU+NTQ8L3ZvbHVtZT48L3JlY29yZD48L0NpdGU+PC9FbmROb3RlPn==
</w:fldData>
        </w:fldChar>
      </w:r>
      <w:r w:rsidR="00F85587" w:rsidRPr="00B33BCF">
        <w:instrText xml:space="preserve"> ADDIN EN.CITE.DATA </w:instrText>
      </w:r>
      <w:r w:rsidR="00F85587" w:rsidRPr="00B33BCF">
        <w:fldChar w:fldCharType="end"/>
      </w:r>
      <w:r w:rsidR="00F85587" w:rsidRPr="00B33BCF">
        <w:fldChar w:fldCharType="separate"/>
      </w:r>
      <w:r w:rsidR="00F85587" w:rsidRPr="00B33BCF">
        <w:rPr>
          <w:noProof/>
        </w:rPr>
        <w:t>(Rhoades, 2001, 2011; Schafer, 2016; Watermeyer &amp; Olssen, 2016)</w:t>
      </w:r>
      <w:r w:rsidR="00F85587" w:rsidRPr="00B33BCF">
        <w:fldChar w:fldCharType="end"/>
      </w:r>
      <w:r w:rsidR="00F85587" w:rsidRPr="00B33BCF">
        <w:t>.</w:t>
      </w:r>
      <w:r w:rsidR="003A0D1B">
        <w:t xml:space="preserve"> </w:t>
      </w:r>
    </w:p>
    <w:p w14:paraId="6D61EFFA" w14:textId="45B09A4F" w:rsidR="0068463D" w:rsidRDefault="003A0D1B" w:rsidP="0068463D">
      <w:pPr>
        <w:pStyle w:val="NormalWeb"/>
        <w:spacing w:before="0" w:beforeAutospacing="0" w:after="120" w:afterAutospacing="0" w:line="360" w:lineRule="auto"/>
      </w:pPr>
      <w:r>
        <w:t>There have been a whole range of analyses, critiques and studies around these developments and conditions</w:t>
      </w:r>
      <w:r w:rsidR="00E628EA">
        <w:t xml:space="preserve">. I want to emphasise two </w:t>
      </w:r>
      <w:r w:rsidR="002079CC">
        <w:t>features in particular</w:t>
      </w:r>
      <w:r w:rsidR="00E628EA">
        <w:t xml:space="preserve"> which, </w:t>
      </w:r>
      <w:r w:rsidR="00173547">
        <w:t>I arg</w:t>
      </w:r>
      <w:r w:rsidR="0052379F">
        <w:t>ue,</w:t>
      </w:r>
      <w:r w:rsidR="00D307B6">
        <w:t xml:space="preserve"> create a somewhat paradoxical situation for universities</w:t>
      </w:r>
      <w:r w:rsidR="002079CC">
        <w:t>, and which helps to set the context for my own study</w:t>
      </w:r>
      <w:r w:rsidR="00D307B6">
        <w:t xml:space="preserve">. First, universities </w:t>
      </w:r>
      <w:r w:rsidR="00BE480C">
        <w:t>today are arguably more autonomous and independent than has historically been the case, a</w:t>
      </w:r>
      <w:r w:rsidR="00D307B6">
        <w:t>t least at the level of individual institutions</w:t>
      </w:r>
      <w:r w:rsidR="0015107C">
        <w:t xml:space="preserve">, as universities </w:t>
      </w:r>
      <w:r w:rsidR="0060023B">
        <w:t xml:space="preserve">compete with </w:t>
      </w:r>
      <w:r w:rsidR="00C86679">
        <w:t>one</w:t>
      </w:r>
      <w:r w:rsidR="0060023B">
        <w:t xml:space="preserve"> another for, among other things, research funding and prestige</w:t>
      </w:r>
      <w:r w:rsidR="00163E16">
        <w:t xml:space="preserve"> (</w:t>
      </w:r>
      <w:r w:rsidR="00382869">
        <w:t xml:space="preserve">B. R. Clark, </w:t>
      </w:r>
      <w:r w:rsidR="00354572">
        <w:t>1998</w:t>
      </w:r>
      <w:r w:rsidR="00382869">
        <w:t xml:space="preserve">; </w:t>
      </w:r>
      <w:r w:rsidR="00163E16">
        <w:t xml:space="preserve">Slaughter &amp; Rhoades, </w:t>
      </w:r>
      <w:r w:rsidR="00483E23">
        <w:t>2010)</w:t>
      </w:r>
      <w:r w:rsidR="00861695">
        <w:t>.</w:t>
      </w:r>
      <w:r w:rsidR="001040AB">
        <w:t xml:space="preserve"> </w:t>
      </w:r>
      <w:r w:rsidR="003B167B">
        <w:t xml:space="preserve">Second, </w:t>
      </w:r>
      <w:r w:rsidR="00C573D9">
        <w:t>academia</w:t>
      </w:r>
      <w:r w:rsidR="004C28DF">
        <w:t xml:space="preserve"> is more dependent than ever on the ability to </w:t>
      </w:r>
      <w:r w:rsidR="001822E9">
        <w:t>produce knowledge</w:t>
      </w:r>
      <w:r w:rsidR="00773154">
        <w:t xml:space="preserve"> and knowledge-related outputs</w:t>
      </w:r>
      <w:r w:rsidR="001822E9">
        <w:t xml:space="preserve"> of practical value to sponsors and other non-academic stakeholders</w:t>
      </w:r>
      <w:r w:rsidR="00BB2C7F">
        <w:t xml:space="preserve"> </w:t>
      </w:r>
      <w:r w:rsidR="0037568C">
        <w:t>(Cooper, 2009; Watermeyer &amp; Chubb, 2018)</w:t>
      </w:r>
      <w:r w:rsidR="001822E9">
        <w:t xml:space="preserve">. </w:t>
      </w:r>
      <w:r w:rsidR="00C20D0C">
        <w:t>The paradoxical situation this creates</w:t>
      </w:r>
      <w:r w:rsidR="00030161">
        <w:t xml:space="preserve">, then, </w:t>
      </w:r>
      <w:r w:rsidR="00C20D0C">
        <w:t>is that</w:t>
      </w:r>
      <w:r w:rsidR="007861BC">
        <w:t>, at the institutional level,</w:t>
      </w:r>
      <w:r w:rsidR="00B760C4">
        <w:t xml:space="preserve"> universities</w:t>
      </w:r>
      <w:r w:rsidR="001E5562">
        <w:t xml:space="preserve"> </w:t>
      </w:r>
      <w:r w:rsidR="00C20D0C">
        <w:t>appear to be enjoying</w:t>
      </w:r>
      <w:r w:rsidR="00136055">
        <w:t xml:space="preserve"> significant</w:t>
      </w:r>
      <w:r w:rsidR="00DA49B0">
        <w:t>, arguably</w:t>
      </w:r>
      <w:r w:rsidR="005E219F">
        <w:t xml:space="preserve"> even</w:t>
      </w:r>
      <w:r w:rsidR="00DA49B0">
        <w:t xml:space="preserve"> heightened</w:t>
      </w:r>
      <w:r w:rsidR="00136055">
        <w:t xml:space="preserve"> status</w:t>
      </w:r>
      <w:r w:rsidR="00440735">
        <w:t>, relevance</w:t>
      </w:r>
      <w:r w:rsidR="00C20D0C">
        <w:t xml:space="preserve"> and autonomy</w:t>
      </w:r>
      <w:r w:rsidR="00F72587">
        <w:t xml:space="preserve">, </w:t>
      </w:r>
      <w:r w:rsidR="001E5562">
        <w:t>but</w:t>
      </w:r>
      <w:r w:rsidR="00CB7DB5">
        <w:t xml:space="preserve"> they</w:t>
      </w:r>
      <w:r w:rsidR="001E5562">
        <w:t xml:space="preserve"> </w:t>
      </w:r>
      <w:r w:rsidR="009A50FE">
        <w:t>(are expected to) use this autonomy to address goals which are derived externally rather than internally</w:t>
      </w:r>
      <w:r w:rsidR="00BA156F">
        <w:t xml:space="preserve"> </w:t>
      </w:r>
      <w:r w:rsidR="00BA156F">
        <w:fldChar w:fldCharType="begin"/>
      </w:r>
      <w:r w:rsidR="00BA156F">
        <w:instrText xml:space="preserve"> ADDIN EN.CITE &lt;EndNote&gt;&lt;Cite&gt;&lt;Author&gt;Henkel&lt;/Author&gt;&lt;Year&gt;2007&lt;/Year&gt;&lt;IDText&gt;Can academic autonomy survive in the knowledge society? A perspective from Britain&lt;/IDText&gt;&lt;DisplayText&gt;(Henkel, 2007)&lt;/DisplayText&gt;&lt;record&gt;&lt;keywords&gt;&lt;keyword&gt;Higher Education&lt;/keyword&gt;&lt;keyword&gt;Governance&lt;/keyword&gt;&lt;keyword&gt;Institutional Autonomy&lt;/keyword&gt;&lt;keyword&gt;Freedom&lt;/keyword&gt;&lt;keyword&gt;Self Determination&lt;/keyword&gt;&lt;keyword&gt;Higher Education&lt;/keyword&gt;&lt;/keywords&gt;&lt;isbn&gt;0729-4360&lt;/isbn&gt;&lt;titles&gt;&lt;title&gt;Can academic autonomy survive in the knowledge society? A perspective from Britain&lt;/title&gt;&lt;secondary-title&gt;Higher Education Research &amp;amp; Development&lt;/secondary-title&gt;&lt;/titles&gt;&lt;pages&gt;87-99&lt;/pages&gt;&lt;number&gt;1&lt;/number&gt;&lt;contributors&gt;&lt;authors&gt;&lt;author&gt;Henkel, Mary&lt;/author&gt;&lt;/authors&gt;&lt;/contributors&gt;&lt;added-date format="utc"&gt;1559082381&lt;/added-date&gt;&lt;ref-type name="Journal Article"&gt;17&lt;/ref-type&gt;&lt;dates&gt;&lt;year&gt;2007&lt;/year&gt;&lt;/dates&gt;&lt;rec-number&gt;7793&lt;/rec-number&gt;&lt;publisher&gt;Routledge&lt;/publisher&gt;&lt;last-updated-date format="utc"&gt;1559082381&lt;/last-updated-date&gt;&lt;electronic-resource-num&gt;10.1080/07294360601166836&lt;/electronic-resource-num&gt;&lt;volume&gt;26&lt;/volume&gt;&lt;/record&gt;&lt;/Cite&gt;&lt;/EndNote&gt;</w:instrText>
      </w:r>
      <w:r w:rsidR="00BA156F">
        <w:fldChar w:fldCharType="separate"/>
      </w:r>
      <w:r w:rsidR="00BA156F">
        <w:rPr>
          <w:noProof/>
        </w:rPr>
        <w:t>(Henkel, 2007)</w:t>
      </w:r>
      <w:r w:rsidR="00BA156F">
        <w:fldChar w:fldCharType="end"/>
      </w:r>
      <w:r w:rsidR="00355CFE">
        <w:t>.</w:t>
      </w:r>
      <w:r w:rsidR="0068463D">
        <w:t xml:space="preserve"> </w:t>
      </w:r>
      <w:r w:rsidR="007F1467">
        <w:t xml:space="preserve">This raises two types of problem. </w:t>
      </w:r>
    </w:p>
    <w:p w14:paraId="06D16D2F" w14:textId="57078E10" w:rsidR="002E149C" w:rsidRDefault="00793F09" w:rsidP="00F53F4F">
      <w:pPr>
        <w:pStyle w:val="NormalWeb"/>
        <w:spacing w:before="0" w:beforeAutospacing="0" w:after="120" w:afterAutospacing="0" w:line="360" w:lineRule="auto"/>
      </w:pPr>
      <w:r>
        <w:t>First is</w:t>
      </w:r>
      <w:r w:rsidR="00355CFE">
        <w:t xml:space="preserve"> an analytical proble</w:t>
      </w:r>
      <w:r>
        <w:t>m, particularly a sociological problem</w:t>
      </w:r>
      <w:r w:rsidR="002A3E53">
        <w:t xml:space="preserve">: </w:t>
      </w:r>
      <w:r w:rsidR="00DB1670">
        <w:t xml:space="preserve">in the context of </w:t>
      </w:r>
      <w:r w:rsidR="00355CFE">
        <w:t>threat</w:t>
      </w:r>
      <w:r w:rsidR="00AF61AB">
        <w:t>s</w:t>
      </w:r>
      <w:r w:rsidR="00355CFE">
        <w:t xml:space="preserve"> to </w:t>
      </w:r>
      <w:r w:rsidR="00D63C71">
        <w:t>academic</w:t>
      </w:r>
      <w:r w:rsidR="00355CFE">
        <w:t xml:space="preserve"> </w:t>
      </w:r>
      <w:r w:rsidR="008F1C70">
        <w:t xml:space="preserve">autonomy and </w:t>
      </w:r>
      <w:r w:rsidR="00446E23">
        <w:t>“</w:t>
      </w:r>
      <w:r w:rsidR="008F1C70" w:rsidRPr="00446E23">
        <w:t>integrity</w:t>
      </w:r>
      <w:r w:rsidR="00446E23" w:rsidRPr="00446E23">
        <w:t>”</w:t>
      </w:r>
      <w:r w:rsidR="00446E23">
        <w:t xml:space="preserve"> </w:t>
      </w:r>
      <w:r w:rsidR="00446E23">
        <w:fldChar w:fldCharType="begin"/>
      </w:r>
      <w:r w:rsidR="00B353BE">
        <w:instrText xml:space="preserve"> ADDIN EN.CITE &lt;EndNote&gt;&lt;Cite&gt;&lt;Author&gt;Deem&lt;/Author&gt;&lt;Year&gt;2007&lt;/Year&gt;&lt;IDText&gt;Knowledge, higher education, and the new managerialism: the changing management of UK universities&lt;/IDText&gt;&lt;Pages&gt;166&lt;/Pages&gt;&lt;DisplayText&gt;(Deem et al., 2007, p. 166)&lt;/DisplayText&gt;&lt;record&gt;&lt;keywords&gt;&lt;keyword&gt;Universities and colleges -- Great Britain -- Administration&lt;/keyword&gt;&lt;keyword&gt;Educational change -- Great Britain&lt;/keyword&gt;&lt;keyword&gt;Electronic books&lt;/keyword&gt;&lt;/keywords&gt;&lt;titles&gt;&lt;title&gt;Knowledge, higher education, and the new managerialism: the changing management of UK universities&lt;/title&gt;&lt;secondary-title&gt;Knowledge, higher education, and the new managerialism&lt;/secondary-title&gt;&lt;/titles&gt;&lt;contributors&gt;&lt;authors&gt;&lt;author&gt;Deem, R.&lt;/author&gt;&lt;author&gt;Hillyard, S.&lt;/author&gt;&lt;author&gt;Reed, M.&lt;/author&gt;&lt;/authors&gt;&lt;/contributors&gt;&lt;added-date format="utc"&gt;1522942963&lt;/added-date&gt;&lt;pub-location&gt;Oxford&lt;/pub-location&gt;&lt;ref-type name="Book"&gt;6&lt;/ref-type&gt;&lt;dates&gt;&lt;year&gt;2007&lt;/year&gt;&lt;/dates&gt;&lt;rec-number&gt;7449&lt;/rec-number&gt;&lt;publisher&gt;Oxford University Press&lt;/publisher&gt;&lt;last-updated-date format="utc"&gt;1522947622&lt;/last-updated-date&gt;&lt;/record&gt;&lt;/Cite&gt;&lt;/EndNote&gt;</w:instrText>
      </w:r>
      <w:r w:rsidR="00446E23">
        <w:fldChar w:fldCharType="separate"/>
      </w:r>
      <w:r w:rsidR="00B353BE">
        <w:rPr>
          <w:noProof/>
        </w:rPr>
        <w:t>(Deem et al., 2007, p. 166)</w:t>
      </w:r>
      <w:r w:rsidR="00446E23">
        <w:fldChar w:fldCharType="end"/>
      </w:r>
      <w:r w:rsidR="00D63C71" w:rsidRPr="00446E23">
        <w:t>,</w:t>
      </w:r>
      <w:r w:rsidR="00D63C71">
        <w:t xml:space="preserve"> in the </w:t>
      </w:r>
      <w:r w:rsidR="002E065E">
        <w:t>sense of that which</w:t>
      </w:r>
      <w:r w:rsidR="008F1C70">
        <w:t xml:space="preserve"> </w:t>
      </w:r>
      <w:r w:rsidR="008F1C70">
        <w:rPr>
          <w:i/>
        </w:rPr>
        <w:t>integrates</w:t>
      </w:r>
      <w:r w:rsidR="008F1C70">
        <w:t xml:space="preserve"> and </w:t>
      </w:r>
      <w:r w:rsidR="00AF61AB">
        <w:t>gives a</w:t>
      </w:r>
      <w:r w:rsidR="002E065E">
        <w:t xml:space="preserve"> </w:t>
      </w:r>
      <w:r w:rsidR="002E065E">
        <w:rPr>
          <w:i/>
        </w:rPr>
        <w:t xml:space="preserve">wholeness </w:t>
      </w:r>
      <w:r w:rsidR="002E065E">
        <w:t>of</w:t>
      </w:r>
      <w:r w:rsidR="00AF61AB">
        <w:t xml:space="preserve"> meaning to the many parts and participants of the university,</w:t>
      </w:r>
      <w:r w:rsidR="006553DD">
        <w:t xml:space="preserve"> </w:t>
      </w:r>
      <w:r w:rsidR="00DB1670">
        <w:t>a sociological explanation is needed for why</w:t>
      </w:r>
      <w:r w:rsidR="008C32CB">
        <w:t xml:space="preserve"> the university </w:t>
      </w:r>
      <w:r w:rsidR="00DB1670">
        <w:t>persists as a distinct and</w:t>
      </w:r>
      <w:r w:rsidR="008C32CB">
        <w:t xml:space="preserve"> central</w:t>
      </w:r>
      <w:r w:rsidR="007149B8">
        <w:t xml:space="preserve"> </w:t>
      </w:r>
      <w:r w:rsidR="00DB1670">
        <w:t>institution and how</w:t>
      </w:r>
      <w:r w:rsidR="00AE174A">
        <w:t xml:space="preserve"> it</w:t>
      </w:r>
      <w:r w:rsidR="00DB1670">
        <w:t xml:space="preserve"> continues to more or less successfully integrate disparate sets of actors</w:t>
      </w:r>
      <w:r w:rsidR="00295CAF">
        <w:t xml:space="preserve"> </w:t>
      </w:r>
      <w:r w:rsidR="00295CAF">
        <w:fldChar w:fldCharType="begin">
          <w:fldData xml:space="preserve">PEVuZE5vdGU+PENpdGU+PEF1dGhvcj5QYXJzb25zPC9BdXRob3I+PFllYXI+MTk2NzwvWWVhcj48
SURUZXh0PlNvY2lvbG9naWNhbCB0aGVvcnkgYW5kIG1vZGVybiBzb2NpZXR5PC9JRFRleHQ+PERp
c3BsYXlUZXh0PihCLiBSLiBDbGFyaywgMTk4MzsgR3VtcG9ydCwgMjAwMDsgUGFyc29ucywgMTk2
NzsgUGFyc29ucyAmYW1wOyBQbGF0dCwgMTk3Myk8L0Rpc3BsYXlUZXh0PjxyZWNvcmQ+PHRpdGxl
cz48dGl0bGU+U29jaW9sb2dpY2FsIHRoZW9yeSBhbmQgbW9kZXJuIHNvY2lldHk8L3RpdGxlPjwv
dGl0bGVzPjxjb250cmlidXRvcnM+PGF1dGhvcnM+PGF1dGhvcj5QYXJzb25zLCBUYWxjb3R0PC9h
dXRob3I+PC9hdXRob3JzPjwvY29udHJpYnV0b3JzPjxhZGRlZC1kYXRlIGZvcm1hdD0idXRjIj4x
NTQ5NDY0NTg3PC9hZGRlZC1kYXRlPjxwdWItbG9jYXRpb24+TmV3IFlvcms8L3B1Yi1sb2NhdGlv
bj48cmVmLXR5cGUgbmFtZT0iQm9vayI+NjwvcmVmLXR5cGU+PGRhdGVzPjx5ZWFyPjE5Njc8L3ll
YXI+PC9kYXRlcz48cmVjLW51bWJlcj43NzI4PC9yZWMtbnVtYmVyPjxwdWJsaXNoZXI+TmV3IFlv
cmsgRnJlZSBQcmVzczwvcHVibGlzaGVyPjxsYXN0LXVwZGF0ZWQtZGF0ZSBmb3JtYXQ9InV0YyI+
MTU0OTQ2NDY1MDwvbGFzdC11cGRhdGVkLWRhdGU+PC9yZWNvcmQ+PC9DaXRlPjxDaXRlPjxBdXRo
b3I+UGFyc29uczwvQXV0aG9yPjxZZWFyPjE5NzM8L1llYXI+PElEVGV4dD5UaGUgQW1lcmljYW4g
dW5pdmVyc2l0eTwvSURUZXh0PjxyZWNvcmQ+PGtleXdvcmRzPjxrZXl3b3JkPlVuaXZlcnNpdGll
cyBhbmQgY29sbGVnZXMgLS0gVW5pdGVkIFN0YXRlczwva2V5d29yZD48L2tleXdvcmRzPjx0aXRs
ZXM+PHRpdGxlPlRoZSBBbWVyaWNhbiB1bml2ZXJzaXR5PC90aXRsZT48L3RpdGxlcz48Y29udHJp
YnV0b3JzPjxhdXRob3JzPjxhdXRob3I+UGFyc29ucywgVGFsY290dDwvYXV0aG9yPjxhdXRob3I+
UGxhdHQsIEdlcmFsZCBNLjwvYXV0aG9yPjwvYXV0aG9ycz48L2NvbnRyaWJ1dG9ycz48YWRkZWQt
ZGF0ZSBmb3JtYXQ9InV0YyI+MTUyMzY1MTAyOTwvYWRkZWQtZGF0ZT48cHViLWxvY2F0aW9uPkNh
bWJyaWRnZSwgTWFzcy48L3B1Yi1sb2NhdGlvbj48cmVmLXR5cGUgbmFtZT0iQm9vayI+NjwvcmVm
LXR5cGU+PGRhdGVzPjx5ZWFyPjE5NzM8L3llYXI+PC9kYXRlcz48cmVjLW51bWJlcj43NDg1PC9y
ZWMtbnVtYmVyPjxwdWJsaXNoZXI+SGFydmFyZCBVbml2ZXJzaXR5IFByZXNzPC9wdWJsaXNoZXI+
PGxhc3QtdXBkYXRlZC1kYXRlIGZvcm1hdD0idXRjIj4xNTIzNjUxMDYxPC9sYXN0LXVwZGF0ZWQt
ZGF0ZT48L3JlY29yZD48L0NpdGU+PENpdGU+PEF1dGhvcj5HdW1wb3J0PC9BdXRob3I+PFllYXI+
MjAwMDwvWWVhcj48SURUZXh0PkFjYWRlbWljIHJlc3RydWN0dXJpbmc6IE9yZ2FuaXphdGlvbmFs
IGNoYW5nZSBhbmQgaW5zdGl0dXRpb25hbCBpbXBlcmF0aXZlczwvSURUZXh0PjxyZWNvcmQ+PGlz
Ym4+MDAxOC0xNTYwPC9pc2JuPjx0aXRsZXM+PHRpdGxlPkFjYWRlbWljIHJlc3RydWN0dXJpbmc6
IE9yZ2FuaXphdGlvbmFsIGNoYW5nZSBhbmQgaW5zdGl0dXRpb25hbCBpbXBlcmF0aXZlczwvdGl0
bGU+PHNlY29uZGFyeS10aXRsZT5IaWdoZXIgRWR1Y2F0aW9uPC9zZWNvbmRhcnktdGl0bGU+PC90
aXRsZXM+PHBhZ2VzPjY3LTkxPC9wYWdlcz48bnVtYmVyPjE8L251bWJlcj48Y29udHJpYnV0b3Jz
PjxhdXRob3JzPjxhdXRob3I+R3VtcG9ydCwgUGF0cmljaWEgSi48L2F1dGhvcj48L2F1dGhvcnM+
PC9jb250cmlidXRvcnM+PGFkZGVkLWRhdGUgZm9ybWF0PSJ1dGMiPjE0OTI0NzI5NDM8L2FkZGVk
LWRhdGU+PHB1Yi1sb2NhdGlvbj5Eb3JkcmVjaHQ8L3B1Yi1sb2NhdGlvbj48cmVmLXR5cGUgbmFt
ZT0iSm91cm5hbCBBcnRpY2xlIj4xNzwvcmVmLXR5cGU+PGRhdGVzPjx5ZWFyPjIwMDA8L3llYXI+
PC9kYXRlcz48cmVjLW51bWJlcj42NzE5PC9yZWMtbnVtYmVyPjxsYXN0LXVwZGF0ZWQtZGF0ZSBm
b3JtYXQ9InV0YyI+MTUyMjk1NjkwNzwvbGFzdC11cGRhdGVkLWRhdGU+PGVsZWN0cm9uaWMtcmVz
b3VyY2UtbnVtPjEwLjEwMjMvQToxMDAzODU5MDI2MzAxPC9lbGVjdHJvbmljLXJlc291cmNlLW51
bT48dm9sdW1lPjM5PC92b2x1bWU+PC9yZWNvcmQ+PC9DaXRlPjxDaXRlPjxBdXRob3I+Q2xhcms8
L0F1dGhvcj48WWVhcj4xOTgzPC9ZZWFyPjxJRFRleHQ+VGhlIGhpZ2hlciBlZHVjYXRpb24gc3lz
dGVtOiBhY2FkZW1pYyBvcmdhbmlzYXRpb24gaW4gY3Jvc3MtbmF0aW9uYWwgcGVyc3BlY3RpdmU8
L0lEVGV4dD48cmVjb3JkPjxrZXl3b3Jkcz48a2V5d29yZD5FZHVjYXRpb24sIEhpZ2hlcjwva2V5
d29yZD48a2V5d29yZD5FZHVjYXRpb24sIEhpZ2hlcjwva2V5d29yZD48a2V5d29yZD5IaWdoZXIg
ZWR1Y2F0aW9uIENvbXBhcmF0aXZlIHN0dWRpZXM8L2tleXdvcmQ+PC9rZXl3b3Jkcz48dGl0bGVz
Pjx0aXRsZT5UaGUgaGlnaGVyIGVkdWNhdGlvbiBzeXN0ZW06IGFjYWRlbWljIG9yZ2FuaXNhdGlv
biBpbiBjcm9zcy1uYXRpb25hbCBwZXJzcGVjdGl2ZTwvdGl0bGU+PC90aXRsZXM+PGNvbnRyaWJ1
dG9ycz48YXV0aG9ycz48YXV0aG9yPkNsYXJrLCBCdXJ0b24gUi48L2F1dGhvcj48L2F1dGhvcnM+
PC9jb250cmlidXRvcnM+PGFkZGVkLWRhdGUgZm9ybWF0PSJ1dGMiPjE0NTgxNTM5NDg8L2FkZGVk
LWRhdGU+PHB1Yi1sb2NhdGlvbj5Mb25kb248L3B1Yi1sb2NhdGlvbj48cmVmLXR5cGUgbmFtZT0i
Qm9vayI+NjwvcmVmLXR5cGU+PGRhdGVzPjx5ZWFyPjE5ODM8L3llYXI+PC9kYXRlcz48cmVjLW51
bWJlcj4yOTQ8L3JlYy1udW1iZXI+PHB1Ymxpc2hlcj5Vbml2ZXJzaXR5IG9mIENhbGlmb3JuaWEg
UHJlc3M8L3B1Ymxpc2hlcj48bGFzdC11cGRhdGVkLWRhdGUgZm9ybWF0PSJ1dGMiPjE0NzEwMTEz
MzI8L2xhc3QtdXBkYXRlZC1kYXRlPjwvcmVjb3JkPjwvQ2l0ZT48L0VuZE5vdGU+AG==
</w:fldData>
        </w:fldChar>
      </w:r>
      <w:r w:rsidR="00295CAF">
        <w:instrText xml:space="preserve"> ADDIN EN.CITE </w:instrText>
      </w:r>
      <w:r w:rsidR="00295CAF">
        <w:fldChar w:fldCharType="begin">
          <w:fldData xml:space="preserve">PEVuZE5vdGU+PENpdGU+PEF1dGhvcj5QYXJzb25zPC9BdXRob3I+PFllYXI+MTk2NzwvWWVhcj48
SURUZXh0PlNvY2lvbG9naWNhbCB0aGVvcnkgYW5kIG1vZGVybiBzb2NpZXR5PC9JRFRleHQ+PERp
c3BsYXlUZXh0PihCLiBSLiBDbGFyaywgMTk4MzsgR3VtcG9ydCwgMjAwMDsgUGFyc29ucywgMTk2
NzsgUGFyc29ucyAmYW1wOyBQbGF0dCwgMTk3Myk8L0Rpc3BsYXlUZXh0PjxyZWNvcmQ+PHRpdGxl
cz48dGl0bGU+U29jaW9sb2dpY2FsIHRoZW9yeSBhbmQgbW9kZXJuIHNvY2lldHk8L3RpdGxlPjwv
dGl0bGVzPjxjb250cmlidXRvcnM+PGF1dGhvcnM+PGF1dGhvcj5QYXJzb25zLCBUYWxjb3R0PC9h
dXRob3I+PC9hdXRob3JzPjwvY29udHJpYnV0b3JzPjxhZGRlZC1kYXRlIGZvcm1hdD0idXRjIj4x
NTQ5NDY0NTg3PC9hZGRlZC1kYXRlPjxwdWItbG9jYXRpb24+TmV3IFlvcms8L3B1Yi1sb2NhdGlv
bj48cmVmLXR5cGUgbmFtZT0iQm9vayI+NjwvcmVmLXR5cGU+PGRhdGVzPjx5ZWFyPjE5Njc8L3ll
YXI+PC9kYXRlcz48cmVjLW51bWJlcj43NzI4PC9yZWMtbnVtYmVyPjxwdWJsaXNoZXI+TmV3IFlv
cmsgRnJlZSBQcmVzczwvcHVibGlzaGVyPjxsYXN0LXVwZGF0ZWQtZGF0ZSBmb3JtYXQ9InV0YyI+
MTU0OTQ2NDY1MDwvbGFzdC11cGRhdGVkLWRhdGU+PC9yZWNvcmQ+PC9DaXRlPjxDaXRlPjxBdXRo
b3I+UGFyc29uczwvQXV0aG9yPjxZZWFyPjE5NzM8L1llYXI+PElEVGV4dD5UaGUgQW1lcmljYW4g
dW5pdmVyc2l0eTwvSURUZXh0PjxyZWNvcmQ+PGtleXdvcmRzPjxrZXl3b3JkPlVuaXZlcnNpdGll
cyBhbmQgY29sbGVnZXMgLS0gVW5pdGVkIFN0YXRlczwva2V5d29yZD48L2tleXdvcmRzPjx0aXRs
ZXM+PHRpdGxlPlRoZSBBbWVyaWNhbiB1bml2ZXJzaXR5PC90aXRsZT48L3RpdGxlcz48Y29udHJp
YnV0b3JzPjxhdXRob3JzPjxhdXRob3I+UGFyc29ucywgVGFsY290dDwvYXV0aG9yPjxhdXRob3I+
UGxhdHQsIEdlcmFsZCBNLjwvYXV0aG9yPjwvYXV0aG9ycz48L2NvbnRyaWJ1dG9ycz48YWRkZWQt
ZGF0ZSBmb3JtYXQ9InV0YyI+MTUyMzY1MTAyOTwvYWRkZWQtZGF0ZT48cHViLWxvY2F0aW9uPkNh
bWJyaWRnZSwgTWFzcy48L3B1Yi1sb2NhdGlvbj48cmVmLXR5cGUgbmFtZT0iQm9vayI+NjwvcmVm
LXR5cGU+PGRhdGVzPjx5ZWFyPjE5NzM8L3llYXI+PC9kYXRlcz48cmVjLW51bWJlcj43NDg1PC9y
ZWMtbnVtYmVyPjxwdWJsaXNoZXI+SGFydmFyZCBVbml2ZXJzaXR5IFByZXNzPC9wdWJsaXNoZXI+
PGxhc3QtdXBkYXRlZC1kYXRlIGZvcm1hdD0idXRjIj4xNTIzNjUxMDYxPC9sYXN0LXVwZGF0ZWQt
ZGF0ZT48L3JlY29yZD48L0NpdGU+PENpdGU+PEF1dGhvcj5HdW1wb3J0PC9BdXRob3I+PFllYXI+
MjAwMDwvWWVhcj48SURUZXh0PkFjYWRlbWljIHJlc3RydWN0dXJpbmc6IE9yZ2FuaXphdGlvbmFs
IGNoYW5nZSBhbmQgaW5zdGl0dXRpb25hbCBpbXBlcmF0aXZlczwvSURUZXh0PjxyZWNvcmQ+PGlz
Ym4+MDAxOC0xNTYwPC9pc2JuPjx0aXRsZXM+PHRpdGxlPkFjYWRlbWljIHJlc3RydWN0dXJpbmc6
IE9yZ2FuaXphdGlvbmFsIGNoYW5nZSBhbmQgaW5zdGl0dXRpb25hbCBpbXBlcmF0aXZlczwvdGl0
bGU+PHNlY29uZGFyeS10aXRsZT5IaWdoZXIgRWR1Y2F0aW9uPC9zZWNvbmRhcnktdGl0bGU+PC90
aXRsZXM+PHBhZ2VzPjY3LTkxPC9wYWdlcz48bnVtYmVyPjE8L251bWJlcj48Y29udHJpYnV0b3Jz
PjxhdXRob3JzPjxhdXRob3I+R3VtcG9ydCwgUGF0cmljaWEgSi48L2F1dGhvcj48L2F1dGhvcnM+
PC9jb250cmlidXRvcnM+PGFkZGVkLWRhdGUgZm9ybWF0PSJ1dGMiPjE0OTI0NzI5NDM8L2FkZGVk
LWRhdGU+PHB1Yi1sb2NhdGlvbj5Eb3JkcmVjaHQ8L3B1Yi1sb2NhdGlvbj48cmVmLXR5cGUgbmFt
ZT0iSm91cm5hbCBBcnRpY2xlIj4xNzwvcmVmLXR5cGU+PGRhdGVzPjx5ZWFyPjIwMDA8L3llYXI+
PC9kYXRlcz48cmVjLW51bWJlcj42NzE5PC9yZWMtbnVtYmVyPjxsYXN0LXVwZGF0ZWQtZGF0ZSBm
b3JtYXQ9InV0YyI+MTUyMjk1NjkwNzwvbGFzdC11cGRhdGVkLWRhdGU+PGVsZWN0cm9uaWMtcmVz
b3VyY2UtbnVtPjEwLjEwMjMvQToxMDAzODU5MDI2MzAxPC9lbGVjdHJvbmljLXJlc291cmNlLW51
bT48dm9sdW1lPjM5PC92b2x1bWU+PC9yZWNvcmQ+PC9DaXRlPjxDaXRlPjxBdXRob3I+Q2xhcms8
L0F1dGhvcj48WWVhcj4xOTgzPC9ZZWFyPjxJRFRleHQ+VGhlIGhpZ2hlciBlZHVjYXRpb24gc3lz
dGVtOiBhY2FkZW1pYyBvcmdhbmlzYXRpb24gaW4gY3Jvc3MtbmF0aW9uYWwgcGVyc3BlY3RpdmU8
L0lEVGV4dD48cmVjb3JkPjxrZXl3b3Jkcz48a2V5d29yZD5FZHVjYXRpb24sIEhpZ2hlcjwva2V5
d29yZD48a2V5d29yZD5FZHVjYXRpb24sIEhpZ2hlcjwva2V5d29yZD48a2V5d29yZD5IaWdoZXIg
ZWR1Y2F0aW9uIENvbXBhcmF0aXZlIHN0dWRpZXM8L2tleXdvcmQ+PC9rZXl3b3Jkcz48dGl0bGVz
Pjx0aXRsZT5UaGUgaGlnaGVyIGVkdWNhdGlvbiBzeXN0ZW06IGFjYWRlbWljIG9yZ2FuaXNhdGlv
biBpbiBjcm9zcy1uYXRpb25hbCBwZXJzcGVjdGl2ZTwvdGl0bGU+PC90aXRsZXM+PGNvbnRyaWJ1
dG9ycz48YXV0aG9ycz48YXV0aG9yPkNsYXJrLCBCdXJ0b24gUi48L2F1dGhvcj48L2F1dGhvcnM+
PC9jb250cmlidXRvcnM+PGFkZGVkLWRhdGUgZm9ybWF0PSJ1dGMiPjE0NTgxNTM5NDg8L2FkZGVk
LWRhdGU+PHB1Yi1sb2NhdGlvbj5Mb25kb248L3B1Yi1sb2NhdGlvbj48cmVmLXR5cGUgbmFtZT0i
Qm9vayI+NjwvcmVmLXR5cGU+PGRhdGVzPjx5ZWFyPjE5ODM8L3llYXI+PC9kYXRlcz48cmVjLW51
bWJlcj4yOTQ8L3JlYy1udW1iZXI+PHB1Ymxpc2hlcj5Vbml2ZXJzaXR5IG9mIENhbGlmb3JuaWEg
UHJlc3M8L3B1Ymxpc2hlcj48bGFzdC11cGRhdGVkLWRhdGUgZm9ybWF0PSJ1dGMiPjE0NzEwMTEz
MzI8L2xhc3QtdXBkYXRlZC1kYXRlPjwvcmVjb3JkPjwvQ2l0ZT48L0VuZE5vdGU+AG==
</w:fldData>
        </w:fldChar>
      </w:r>
      <w:r w:rsidR="00295CAF">
        <w:instrText xml:space="preserve"> ADDIN EN.CITE.DATA </w:instrText>
      </w:r>
      <w:r w:rsidR="00295CAF">
        <w:fldChar w:fldCharType="end"/>
      </w:r>
      <w:r w:rsidR="00295CAF">
        <w:fldChar w:fldCharType="separate"/>
      </w:r>
      <w:r w:rsidR="00295CAF">
        <w:rPr>
          <w:noProof/>
        </w:rPr>
        <w:t>(B. R. Clark, 1983; Gumport, 2000; Parsons, 1967; Parsons &amp; Platt, 1973)</w:t>
      </w:r>
      <w:r w:rsidR="00295CAF">
        <w:fldChar w:fldCharType="end"/>
      </w:r>
      <w:r w:rsidR="007A5CB5">
        <w:t>.</w:t>
      </w:r>
      <w:r w:rsidR="009F30B9">
        <w:t xml:space="preserve"> </w:t>
      </w:r>
      <w:r w:rsidR="00C67F3C">
        <w:t xml:space="preserve">The issue is not </w:t>
      </w:r>
      <w:r>
        <w:t>necessarily that such paradoxes should or could be done awa</w:t>
      </w:r>
      <w:r w:rsidR="00C757B5">
        <w:t xml:space="preserve">y with, but whether and how such paradoxes </w:t>
      </w:r>
      <w:r w:rsidR="007861BC">
        <w:t>can</w:t>
      </w:r>
      <w:r w:rsidR="00C757B5">
        <w:t xml:space="preserve"> “act as a source of stability” (Shields &amp; Watermeyer, 2018, p. 11)</w:t>
      </w:r>
      <w:r w:rsidR="008E43CD">
        <w:t>.</w:t>
      </w:r>
      <w:r w:rsidR="00B734C0">
        <w:t xml:space="preserve"> </w:t>
      </w:r>
      <w:r w:rsidR="00BF5311">
        <w:t xml:space="preserve">To address this sociological problem, </w:t>
      </w:r>
      <w:r w:rsidR="00C41452">
        <w:t xml:space="preserve">my main </w:t>
      </w:r>
      <w:r w:rsidR="00224C28">
        <w:t>inspiration</w:t>
      </w:r>
      <w:r w:rsidR="00C41452">
        <w:t xml:space="preserve"> is the work of</w:t>
      </w:r>
      <w:r w:rsidR="00BF5311">
        <w:t xml:space="preserve"> sociologist of education, Basil Bernstein. The above</w:t>
      </w:r>
      <w:r w:rsidR="00B66F61">
        <w:t xml:space="preserve"> brief account of the current</w:t>
      </w:r>
      <w:r w:rsidR="00BF5311">
        <w:t xml:space="preserve"> </w:t>
      </w:r>
      <w:r w:rsidR="001869E3">
        <w:t xml:space="preserve">situation </w:t>
      </w:r>
      <w:r w:rsidR="004B1253">
        <w:t xml:space="preserve">is suggestive of </w:t>
      </w:r>
      <w:r w:rsidR="001869E3">
        <w:t>a complex interplay between academia and society in terms of the loci of ‘power’ and ‘control’ (Bernstein, 2000) over universities’ organisation, activities and external relations</w:t>
      </w:r>
      <w:r w:rsidR="004B1253">
        <w:t xml:space="preserve">, that is, over </w:t>
      </w:r>
      <w:r w:rsidR="00755760">
        <w:t>the</w:t>
      </w:r>
      <w:r w:rsidR="004B1253">
        <w:t xml:space="preserve"> </w:t>
      </w:r>
      <w:r w:rsidR="004B1253">
        <w:rPr>
          <w:i/>
        </w:rPr>
        <w:t>boundaries</w:t>
      </w:r>
      <w:r w:rsidR="00755760">
        <w:t xml:space="preserve"> of academia</w:t>
      </w:r>
      <w:r w:rsidR="009F29C4">
        <w:t xml:space="preserve">. </w:t>
      </w:r>
      <w:r w:rsidR="00CF283E">
        <w:t xml:space="preserve">In this complex interplay, power and control could, on the </w:t>
      </w:r>
      <w:r w:rsidR="001869E3">
        <w:t xml:space="preserve">one hand, be said to lie with academic institutions </w:t>
      </w:r>
      <w:r w:rsidR="001276B7">
        <w:t>as they</w:t>
      </w:r>
      <w:r w:rsidR="001869E3">
        <w:t xml:space="preserve"> make autonomous choices about the extent to which their objectives, interests and activities should align with, address, or be guided by those of other, non-academic institutions and sectors</w:t>
      </w:r>
      <w:r w:rsidR="005340DB">
        <w:t>; b</w:t>
      </w:r>
      <w:r w:rsidR="001869E3">
        <w:t>ut on the other hand, power and control could be said to lie more with those external actors whose interests and objectives are shaping academic research.</w:t>
      </w:r>
    </w:p>
    <w:p w14:paraId="3942B382" w14:textId="454CC98E" w:rsidR="00DA4F42" w:rsidRDefault="00D25F28" w:rsidP="00AC71BD">
      <w:pPr>
        <w:pStyle w:val="NormalWeb"/>
        <w:spacing w:before="120" w:beforeAutospacing="0" w:after="120" w:afterAutospacing="0" w:line="360" w:lineRule="auto"/>
      </w:pPr>
      <w:r>
        <w:t>The second problem is normative. Q</w:t>
      </w:r>
      <w:r w:rsidR="001869E3">
        <w:t xml:space="preserve">uestions about </w:t>
      </w:r>
      <w:r w:rsidR="008F69F0">
        <w:t>whether the power and control over</w:t>
      </w:r>
      <w:r w:rsidR="00F92B7B">
        <w:t xml:space="preserve"> </w:t>
      </w:r>
      <w:r w:rsidR="001869E3">
        <w:t>academic research</w:t>
      </w:r>
      <w:r w:rsidR="008F69F0">
        <w:t xml:space="preserve"> are predominantly internal </w:t>
      </w:r>
      <w:r w:rsidR="00D052EA">
        <w:t>or</w:t>
      </w:r>
      <w:r w:rsidR="008F69F0">
        <w:t xml:space="preserve"> external to academia</w:t>
      </w:r>
      <w:r w:rsidR="001869E3">
        <w:t xml:space="preserve"> go to the heart of debates around what counts as legitimate activit</w:t>
      </w:r>
      <w:r w:rsidR="007C1D76">
        <w:t>y</w:t>
      </w:r>
      <w:r w:rsidR="001869E3">
        <w:t xml:space="preserve"> for universities, who counts as a legitimate shaper of academic research, </w:t>
      </w:r>
      <w:r w:rsidR="00164C98">
        <w:t xml:space="preserve">what is meant by </w:t>
      </w:r>
      <w:r w:rsidR="00077456">
        <w:t>‘</w:t>
      </w:r>
      <w:r w:rsidR="001869E3">
        <w:t>academic freedom</w:t>
      </w:r>
      <w:r w:rsidR="00077456">
        <w:t>’</w:t>
      </w:r>
      <w:r w:rsidR="00164C98">
        <w:t xml:space="preserve"> and autonomy</w:t>
      </w:r>
      <w:r w:rsidR="001869E3">
        <w:t>, and how we should understand the university’s institutional identity and role</w:t>
      </w:r>
      <w:r w:rsidR="00E909DF">
        <w:t xml:space="preserve"> </w:t>
      </w:r>
      <w:r w:rsidR="00E909DF">
        <w:fldChar w:fldCharType="begin"/>
      </w:r>
      <w:r w:rsidR="00E909DF">
        <w:instrText xml:space="preserve"> ADDIN EN.CITE &lt;EndNote&gt;&lt;Cite&gt;&lt;Author&gt;Gunn&lt;/Author&gt;&lt;Year&gt;2017&lt;/Year&gt;&lt;IDText&gt;Evaluating the non-academic impact of academic research: design considerations&lt;/IDText&gt;&lt;DisplayText&gt;(Barnett, 2017; Gunn &amp;amp; Mintrom, 2017)&lt;/DisplayText&gt;&lt;record&gt;&lt;keywords&gt;&lt;keyword&gt;Article&lt;/keyword&gt;&lt;keyword&gt;Academic Research&lt;/keyword&gt;&lt;keyword&gt;Evaluation Methods&lt;/keyword&gt;&lt;keyword&gt;Policy Design&lt;/keyword&gt;&lt;keyword&gt;Research Assessment&lt;/keyword&gt;&lt;keyword&gt;Research Funding Cycles&lt;/keyword&gt;&lt;keyword&gt;Research Impact&lt;/keyword&gt;&lt;keyword&gt;Non- Academic Impact&lt;/keyword&gt;&lt;/keywords&gt;&lt;isbn&gt;1360-080X&lt;/isbn&gt;&lt;titles&gt;&lt;title&gt;Evaluating the non-academic impact of academic research: design considerations&lt;/title&gt;&lt;secondary-title&gt;Journal of Higher Education Policy and Management&lt;/secondary-title&gt;&lt;/titles&gt;&lt;pages&gt;20-30&lt;/pages&gt;&lt;number&gt;1&lt;/number&gt;&lt;contributors&gt;&lt;authors&gt;&lt;author&gt;Gunn, Andrew&lt;/author&gt;&lt;author&gt;Mintrom, Michael&lt;/author&gt;&lt;/authors&gt;&lt;/contributors&gt;&lt;added-date format="utc"&gt;1555753584&lt;/added-date&gt;&lt;ref-type name="Journal Article"&gt;17&lt;/ref-type&gt;&lt;dates&gt;&lt;year&gt;2017&lt;/year&gt;&lt;/dates&gt;&lt;rec-number&gt;7768&lt;/rec-number&gt;&lt;publisher&gt;Routledge&lt;/publisher&gt;&lt;last-updated-date format="utc"&gt;1559080979&lt;/last-updated-date&gt;&lt;electronic-resource-num&gt;10.1080/1360080X.2016.1254429&lt;/electronic-resource-num&gt;&lt;volume&gt;39&lt;/volume&gt;&lt;/record&gt;&lt;/Cite&gt;&lt;Cite&gt;&lt;Author&gt;Barnett&lt;/Author&gt;&lt;Year&gt;2017&lt;/Year&gt;&lt;IDText&gt;The Ecological University: A Feasible Utopia&lt;/IDText&gt;&lt;record&gt;&lt;urls&gt;&lt;related-urls&gt;&lt;url&gt;https://www.amazon.co.uk/Ecological-University-Feasible-Utopia-ebook/dp/B076DF4C9H/ref=tmm_kin_swatch_0?_encoding=UTF8&amp;amp;qid=&amp;amp;sr=&lt;/url&gt;&lt;/related-urls&gt;&lt;/urls&gt;&lt;titles&gt;&lt;title&gt;The Ecological University: A Feasible Utopia&lt;/title&gt;&lt;/titles&gt;&lt;contributors&gt;&lt;authors&gt;&lt;author&gt;Barnett, Ronald&lt;/author&gt;&lt;/authors&gt;&lt;/contributors&gt;&lt;added-date format="utc"&gt;1520019979&lt;/added-date&gt;&lt;pub-location&gt;London&lt;/pub-location&gt;&lt;ref-type name="Book"&gt;6&lt;/ref-type&gt;&lt;dates&gt;&lt;year&gt;2017&lt;/year&gt;&lt;/dates&gt;&lt;rec-number&gt;7377&lt;/rec-number&gt;&lt;publisher&gt;Routledge&lt;/publisher&gt;&lt;last-updated-date format="utc"&gt;1520020147&lt;/last-updated-date&gt;&lt;/record&gt;&lt;/Cite&gt;&lt;/EndNote&gt;</w:instrText>
      </w:r>
      <w:r w:rsidR="00E909DF">
        <w:fldChar w:fldCharType="separate"/>
      </w:r>
      <w:r w:rsidR="00E909DF">
        <w:rPr>
          <w:noProof/>
        </w:rPr>
        <w:t>(Barnett, 2017; Gunn &amp; Mintrom, 2017)</w:t>
      </w:r>
      <w:r w:rsidR="00E909DF">
        <w:fldChar w:fldCharType="end"/>
      </w:r>
      <w:r w:rsidR="001869E3">
        <w:t xml:space="preserve">. </w:t>
      </w:r>
      <w:r w:rsidR="008D771A">
        <w:t xml:space="preserve">The point of departure for this thesis is my aim to bring empirical evidence to bear on the balance of power and control over the operation of academic research. </w:t>
      </w:r>
      <w:r w:rsidR="001869E3">
        <w:t xml:space="preserve">To this end, I deploy the metaphor of academic ‘boundaries’ as a theoretical lens to frame </w:t>
      </w:r>
      <w:r w:rsidR="00A021D9">
        <w:t xml:space="preserve">my </w:t>
      </w:r>
      <w:r w:rsidR="00666F4B">
        <w:t>research.</w:t>
      </w:r>
      <w:r w:rsidR="00155B5D">
        <w:t xml:space="preserve"> </w:t>
      </w:r>
    </w:p>
    <w:p w14:paraId="471041F9" w14:textId="1F8DD57F" w:rsidR="00617E3B" w:rsidRDefault="00155B5D" w:rsidP="00AC71BD">
      <w:pPr>
        <w:pStyle w:val="NormalWeb"/>
        <w:spacing w:before="120" w:beforeAutospacing="0" w:after="120" w:afterAutospacing="0" w:line="360" w:lineRule="auto"/>
      </w:pPr>
      <w:r>
        <w:t xml:space="preserve">The </w:t>
      </w:r>
      <w:r w:rsidR="00666F4B">
        <w:t>substantive study</w:t>
      </w:r>
      <w:r>
        <w:t xml:space="preserve"> involves an analysis of </w:t>
      </w:r>
      <w:r w:rsidR="00A021D9">
        <w:t xml:space="preserve">documentary </w:t>
      </w:r>
      <w:r>
        <w:t>material</w:t>
      </w:r>
      <w:r w:rsidR="00A021D9">
        <w:t xml:space="preserve">s, supplemented by </w:t>
      </w:r>
      <w:r>
        <w:t xml:space="preserve">participant interviews, </w:t>
      </w:r>
      <w:r w:rsidR="002C584C">
        <w:t xml:space="preserve">related to </w:t>
      </w:r>
      <w:r w:rsidR="00295F49">
        <w:t>research based at a sample of ten UK</w:t>
      </w:r>
      <w:r w:rsidR="007C60DF">
        <w:t xml:space="preserve"> </w:t>
      </w:r>
      <w:r w:rsidR="00A05D6A">
        <w:t>science, technology, engineering, mathematics and medicine (</w:t>
      </w:r>
      <w:r w:rsidR="007C60DF">
        <w:t>STEMM</w:t>
      </w:r>
      <w:r w:rsidR="00A05D6A">
        <w:t>)</w:t>
      </w:r>
      <w:r w:rsidR="00820D29">
        <w:t xml:space="preserve"> academic</w:t>
      </w:r>
      <w:r w:rsidR="007C60DF">
        <w:t xml:space="preserve"> departments</w:t>
      </w:r>
      <w:r w:rsidR="009E508D">
        <w:t xml:space="preserve"> across nine universities</w:t>
      </w:r>
      <w:r w:rsidR="00AE67BA">
        <w:t xml:space="preserve">. </w:t>
      </w:r>
      <w:r w:rsidR="004104EA">
        <w:t xml:space="preserve">The analysis </w:t>
      </w:r>
      <w:r w:rsidR="00843C1E">
        <w:t>is driven by the aim of</w:t>
      </w:r>
      <w:r w:rsidR="00857BD9">
        <w:t xml:space="preserve"> </w:t>
      </w:r>
      <w:r w:rsidR="009226FA">
        <w:t>ascertaining</w:t>
      </w:r>
      <w:r w:rsidR="00857BD9">
        <w:t xml:space="preserve"> the</w:t>
      </w:r>
      <w:r w:rsidR="009226FA">
        <w:t xml:space="preserve"> nature</w:t>
      </w:r>
      <w:r w:rsidR="00D2255F">
        <w:t>,</w:t>
      </w:r>
      <w:r w:rsidR="00857BD9">
        <w:t xml:space="preserve"> intensity and challenges </w:t>
      </w:r>
      <w:r w:rsidR="00D2255F">
        <w:t>of</w:t>
      </w:r>
      <w:r w:rsidR="00857BD9">
        <w:t xml:space="preserve"> </w:t>
      </w:r>
      <w:r w:rsidR="008C38AC">
        <w:t xml:space="preserve">‘boundary transactions’ (see later theoretical discussion) </w:t>
      </w:r>
      <w:r w:rsidR="00D2255F">
        <w:t xml:space="preserve">associated with </w:t>
      </w:r>
      <w:r w:rsidR="00D44B47">
        <w:t>my sampled</w:t>
      </w:r>
      <w:r w:rsidR="009F4871">
        <w:t xml:space="preserve"> bodies of research (BoRs)</w:t>
      </w:r>
      <w:r w:rsidR="00BA3DB9">
        <w:t>.</w:t>
      </w:r>
      <w:r w:rsidR="00D17E9E">
        <w:t xml:space="preserve"> </w:t>
      </w:r>
      <w:r w:rsidR="00796730">
        <w:t xml:space="preserve">By adopting </w:t>
      </w:r>
      <w:r w:rsidR="00593AE1">
        <w:t xml:space="preserve">a </w:t>
      </w:r>
      <w:r w:rsidR="00796730">
        <w:t>‘</w:t>
      </w:r>
      <w:r w:rsidR="00593AE1">
        <w:t>bottom-up approach</w:t>
      </w:r>
      <w:r w:rsidR="00796730">
        <w:t>’</w:t>
      </w:r>
      <w:r w:rsidR="00593AE1">
        <w:t xml:space="preserve"> which starts by </w:t>
      </w:r>
      <w:r w:rsidR="00F35871">
        <w:t>analysing</w:t>
      </w:r>
      <w:r w:rsidR="00263260">
        <w:t xml:space="preserve"> the implications of</w:t>
      </w:r>
      <w:r w:rsidR="00593AE1">
        <w:t xml:space="preserve"> specific</w:t>
      </w:r>
      <w:r w:rsidR="00D17E9E">
        <w:t xml:space="preserve"> ‘boundary transactions’</w:t>
      </w:r>
      <w:r w:rsidR="00263260">
        <w:t xml:space="preserve"> in</w:t>
      </w:r>
      <w:r w:rsidR="00F35871">
        <w:t xml:space="preserve"> their</w:t>
      </w:r>
      <w:r w:rsidR="00263260">
        <w:t xml:space="preserve"> concrete contexts</w:t>
      </w:r>
      <w:r w:rsidR="00F35871">
        <w:t xml:space="preserve"> and then </w:t>
      </w:r>
      <w:r w:rsidR="007F4653">
        <w:t xml:space="preserve">analysing </w:t>
      </w:r>
      <w:r w:rsidR="00F35871">
        <w:t xml:space="preserve">these at a more aggregate level, </w:t>
      </w:r>
      <w:r w:rsidR="00D17E9E">
        <w:t>I am able to increase the specificity and empirical basis for claims about the extent to which, and ways in which, academic boundaries may be being crossed, weakened and reshaped, or, alternatively, reinforced, strengthened, and reproduced</w:t>
      </w:r>
      <w:r w:rsidR="00F35871">
        <w:t xml:space="preserve"> – or, as it turns out, both simultaneously. </w:t>
      </w:r>
      <w:r w:rsidR="001431F0">
        <w:t xml:space="preserve">In turn, this sheds light on the </w:t>
      </w:r>
      <w:r w:rsidR="005011EC">
        <w:t xml:space="preserve">locus of power and control over academic research. </w:t>
      </w:r>
      <w:r w:rsidR="001431F0">
        <w:t xml:space="preserve"> </w:t>
      </w:r>
    </w:p>
    <w:p w14:paraId="6807B7EE" w14:textId="09ABC107" w:rsidR="00965093" w:rsidRDefault="0001360D" w:rsidP="00BC5598">
      <w:pPr>
        <w:pStyle w:val="Heading2"/>
      </w:pPr>
      <w:bookmarkStart w:id="13" w:name="_Toc31701931"/>
      <w:r>
        <w:t>Key concepts</w:t>
      </w:r>
      <w:bookmarkEnd w:id="13"/>
      <w:r w:rsidR="00F53086">
        <w:t xml:space="preserve"> </w:t>
      </w:r>
    </w:p>
    <w:p w14:paraId="28574A04" w14:textId="6B513168" w:rsidR="00976AED" w:rsidRPr="00976AED" w:rsidRDefault="00976AED" w:rsidP="000060BE">
      <w:pPr>
        <w:pStyle w:val="Heading3"/>
      </w:pPr>
      <w:bookmarkStart w:id="14" w:name="_Toc31701932"/>
      <w:r>
        <w:t xml:space="preserve">The </w:t>
      </w:r>
      <w:r w:rsidR="009B077A">
        <w:t>‘</w:t>
      </w:r>
      <w:r>
        <w:t xml:space="preserve">boundary </w:t>
      </w:r>
      <w:r w:rsidR="009B077A">
        <w:t>lens’</w:t>
      </w:r>
      <w:bookmarkEnd w:id="14"/>
    </w:p>
    <w:p w14:paraId="78856320" w14:textId="70CE53D7" w:rsidR="00F310A1" w:rsidRDefault="00061C34" w:rsidP="000060BE">
      <w:pPr>
        <w:pStyle w:val="NormalWeb"/>
        <w:spacing w:before="0" w:beforeAutospacing="0" w:after="120" w:afterAutospacing="0" w:line="360" w:lineRule="auto"/>
      </w:pPr>
      <w:r>
        <w:t xml:space="preserve">My understanding of social boundaries draws mainly from the “neo-Durkheimian” </w:t>
      </w:r>
      <w:r>
        <w:fldChar w:fldCharType="begin"/>
      </w:r>
      <w:r>
        <w:instrText xml:space="preserve"> ADDIN EN.CITE &lt;EndNote&gt;&lt;Cite&gt;&lt;Author&gt;Fenton&lt;/Author&gt;&lt;Year&gt;1984&lt;/Year&gt;&lt;IDText&gt;Durkheim and modern sociology&lt;/IDText&gt;&lt;Pages&gt;166&lt;/Pages&gt;&lt;DisplayText&gt;(Fenton, 1984, p. 166)&lt;/DisplayText&gt;&lt;record&gt;&lt;keywords&gt;&lt;keyword&gt;Durkheim, Émile, 1858-1917&lt;/keyword&gt;&lt;keyword&gt;Sociology -- France -- History&lt;/keyword&gt;&lt;keyword&gt;Sociology Theories of Durkheim, Emile&lt;/keyword&gt;&lt;/keywords&gt;&lt;titles&gt;&lt;title&gt;Durkheim and modern sociology&lt;/title&gt;&lt;/titles&gt;&lt;contributors&gt;&lt;authors&gt;&lt;author&gt;Fenton, Steve&lt;/author&gt;&lt;/authors&gt;&lt;/contributors&gt;&lt;added-date format="utc"&gt;1541516712&lt;/added-date&gt;&lt;pub-location&gt;Cambridge&lt;/pub-location&gt;&lt;ref-type name="Book"&gt;6&lt;/ref-type&gt;&lt;dates&gt;&lt;year&gt;1984&lt;/year&gt;&lt;/dates&gt;&lt;rec-number&gt;7677&lt;/rec-number&gt;&lt;publisher&gt;Cambridge University Press&lt;/publisher&gt;&lt;last-updated-date format="utc"&gt;1541517174&lt;/last-updated-date&gt;&lt;/record&gt;&lt;/Cite&gt;&lt;/EndNote&gt;</w:instrText>
      </w:r>
      <w:r>
        <w:fldChar w:fldCharType="separate"/>
      </w:r>
      <w:r>
        <w:rPr>
          <w:noProof/>
        </w:rPr>
        <w:t>(Fenton, 1984, p. 166)</w:t>
      </w:r>
      <w:r>
        <w:fldChar w:fldCharType="end"/>
      </w:r>
      <w:r>
        <w:t xml:space="preserve"> sociologist of education, Basil Bernstein, who provides a useful ‘boundary’</w:t>
      </w:r>
      <w:r w:rsidR="00B84965">
        <w:t xml:space="preserve"> (Bernstein, 2000, p. xiii) lens</w:t>
      </w:r>
      <w:r>
        <w:t xml:space="preserve"> for understanding </w:t>
      </w:r>
      <w:r w:rsidR="00E9747A">
        <w:t>c</w:t>
      </w:r>
      <w:r>
        <w:t>ontemporary systems, institutions and categories of knowledge, including academic knowledge</w:t>
      </w:r>
      <w:r w:rsidR="003F4F75">
        <w:rPr>
          <w:rStyle w:val="FootnoteReference"/>
        </w:rPr>
        <w:footnoteReference w:id="1"/>
      </w:r>
      <w:r>
        <w:t>.</w:t>
      </w:r>
      <w:r w:rsidR="006B00BD">
        <w:t xml:space="preserve"> However, I have also drawn from other sociological accounts of boundaries, including organisational and economic sociology and the sociology of science</w:t>
      </w:r>
      <w:r w:rsidR="00F4565D">
        <w:t>, as these provide somewhat more concrete theoretical insights into the interactions across boundaries.</w:t>
      </w:r>
      <w:r w:rsidR="00F310A1">
        <w:t xml:space="preserve"> Briefly</w:t>
      </w:r>
      <w:r w:rsidR="007B77D8">
        <w:t xml:space="preserve"> a</w:t>
      </w:r>
      <w:r w:rsidR="009B199A" w:rsidRPr="009B199A">
        <w:t xml:space="preserve"> </w:t>
      </w:r>
      <w:r w:rsidR="009B199A">
        <w:t>social boundary</w:t>
      </w:r>
      <w:r w:rsidR="00F310A1">
        <w:t>,</w:t>
      </w:r>
      <w:r w:rsidR="00F310A1" w:rsidRPr="00F310A1">
        <w:t xml:space="preserve"> </w:t>
      </w:r>
      <w:r w:rsidR="00F310A1">
        <w:t xml:space="preserve">is a </w:t>
      </w:r>
      <w:r w:rsidR="00A022A5">
        <w:t>socially constructed</w:t>
      </w:r>
      <w:r w:rsidR="00F310A1">
        <w:t xml:space="preserve"> device for regulating a relationship between two (or potentially more) categories, such as two categories of actor or group, or two categories of activity or domains of knowledge. For example, the discipline of physics is relatively bounded from that of chemistry or history, and we call those who hold authority over these knowledge domains ‘physicists’, ‘chemists’ and ‘historians’. At a higher order, ‘academic knowledge’ is relatively </w:t>
      </w:r>
      <w:r w:rsidR="007A26C6">
        <w:t>“</w:t>
      </w:r>
      <w:r w:rsidR="00F310A1">
        <w:t>bounded</w:t>
      </w:r>
      <w:r w:rsidR="007A26C6">
        <w:t xml:space="preserve">” </w:t>
      </w:r>
      <w:r w:rsidR="007A26C6">
        <w:fldChar w:fldCharType="begin"/>
      </w:r>
      <w:r w:rsidR="007E23C0">
        <w:instrText xml:space="preserve"> ADDIN EN.CITE &lt;EndNote&gt;&lt;Cite&gt;&lt;Author&gt;Henkel&lt;/Author&gt;&lt;Year&gt;2004&lt;/Year&gt;&lt;IDText&gt;Current Science Policies and their Implications for the Formation and Maintenance of Academic Identity&lt;/IDText&gt;&lt;Pages&gt;168&lt;/Pages&gt;&lt;DisplayText&gt;(Henkel, 2004, p. 168)&lt;/DisplayText&gt;&lt;record&gt;&lt;isbn&gt;0952-8733&lt;/isbn&gt;&lt;titles&gt;&lt;title&gt;Current Science Policies and their Implications for the Formation and Maintenance of Academic Identity&lt;/title&gt;&lt;secondary-title&gt;Higher Education Policy&lt;/secondary-title&gt;&lt;/titles&gt;&lt;pages&gt;167&lt;/pages&gt;&lt;number&gt;2&lt;/number&gt;&lt;contributors&gt;&lt;authors&gt;&lt;author&gt;Henkel, Mary&lt;/author&gt;&lt;/authors&gt;&lt;/contributors&gt;&lt;added-date format="utc"&gt;1526076465&lt;/added-date&gt;&lt;ref-type name="Journal Article"&gt;17&lt;/ref-type&gt;&lt;dates&gt;&lt;year&gt;2004&lt;/year&gt;&lt;/dates&gt;&lt;rec-number&gt;7519&lt;/rec-number&gt;&lt;last-updated-date format="utc"&gt;1526077164&lt;/last-updated-date&gt;&lt;electronic-resource-num&gt;10.1057/palgrave.hep.8300049&lt;/electronic-resource-num&gt;&lt;volume&gt;17&lt;/volume&gt;&lt;/record&gt;&lt;/Cite&gt;&lt;/EndNote&gt;</w:instrText>
      </w:r>
      <w:r w:rsidR="007A26C6">
        <w:fldChar w:fldCharType="separate"/>
      </w:r>
      <w:r w:rsidR="007E23C0">
        <w:rPr>
          <w:noProof/>
        </w:rPr>
        <w:t>(Henkel, 2004, p. 168)</w:t>
      </w:r>
      <w:r w:rsidR="007A26C6">
        <w:fldChar w:fldCharType="end"/>
      </w:r>
      <w:r w:rsidR="00F310A1">
        <w:t xml:space="preserve"> from non-academic knowledge, and we can use the collective term ‘academics’ to distinguish academic physicists, chemists and historians, etc., from those who hold no such authority over </w:t>
      </w:r>
      <w:r w:rsidR="003C33F8">
        <w:t xml:space="preserve">any </w:t>
      </w:r>
      <w:r w:rsidR="00F310A1">
        <w:t xml:space="preserve">domain of academic knowledge.  </w:t>
      </w:r>
    </w:p>
    <w:p w14:paraId="1BCC62EB" w14:textId="6DAE30CC" w:rsidR="001D6FF7" w:rsidRDefault="00F310A1" w:rsidP="008B7F85">
      <w:pPr>
        <w:pStyle w:val="NormalWeb"/>
        <w:spacing w:before="0" w:beforeAutospacing="0" w:after="120" w:afterAutospacing="0" w:line="360" w:lineRule="auto"/>
      </w:pPr>
      <w:r>
        <w:t>Boundaries reflect, and aim to preserve, the ‘power’ (Bernstein, 2000) held by a given group over some social asset or position.</w:t>
      </w:r>
      <w:r w:rsidR="00ED5C0B">
        <w:t xml:space="preserve"> </w:t>
      </w:r>
      <w:r w:rsidR="00F96E1E">
        <w:t>A</w:t>
      </w:r>
      <w:r w:rsidR="00FA264A">
        <w:t xml:space="preserve">cademic </w:t>
      </w:r>
      <w:r w:rsidR="00ED5C0B">
        <w:t xml:space="preserve">boundaries </w:t>
      </w:r>
      <w:r w:rsidR="00FA264A">
        <w:t>“</w:t>
      </w:r>
      <w:r w:rsidR="00ED5C0B">
        <w:t>are conceptual and normative, as well as organizational</w:t>
      </w:r>
      <w:r w:rsidR="004D7C51">
        <w:t>. They serve to reinforce identification by highlighting differences from other groups</w:t>
      </w:r>
      <w:r w:rsidR="00ED5C0B">
        <w:t>” (</w:t>
      </w:r>
      <w:r w:rsidR="00F96E1E">
        <w:t xml:space="preserve">Henkel, 2004, </w:t>
      </w:r>
      <w:r w:rsidR="00ED5C0B">
        <w:t>p. 168).</w:t>
      </w:r>
      <w:r>
        <w:t xml:space="preserve"> However, there is no guarantee that boundaries will perform this function perfectly or indefinitely. As I will explain in greater theoretical detail later, a boundary is never a complete </w:t>
      </w:r>
      <w:r w:rsidR="00EA06E8">
        <w:t>“</w:t>
      </w:r>
      <w:r>
        <w:t>insulation</w:t>
      </w:r>
      <w:r w:rsidR="00EA06E8">
        <w:t>”</w:t>
      </w:r>
      <w:r>
        <w:t xml:space="preserve"> from wider society or social phenomena</w:t>
      </w:r>
      <w:r w:rsidR="00EA06E8">
        <w:t xml:space="preserve"> – boundaries “attempt to regulate those who have access ... bu</w:t>
      </w:r>
      <w:r w:rsidR="00F96E1E">
        <w:t>t</w:t>
      </w:r>
      <w:r w:rsidR="00EA06E8">
        <w:t>, paradoxically, the device cannot do this effectively</w:t>
      </w:r>
      <w:r w:rsidR="00F96E1E">
        <w:t>” since, “in controlling or attempting to control” access to a bounded space, the “power relations ... are ... necessarily subject to change”</w:t>
      </w:r>
      <w:r w:rsidR="00EA06E8">
        <w:t xml:space="preserve"> (Bernstein, 2000</w:t>
      </w:r>
      <w:r w:rsidR="00F96E1E">
        <w:t>, pp. 30-31, 99</w:t>
      </w:r>
      <w:r w:rsidR="00EA06E8">
        <w:t>)</w:t>
      </w:r>
      <w:r>
        <w:t xml:space="preserve">. As such, that which is </w:t>
      </w:r>
      <w:r w:rsidR="002D7468">
        <w:t>“</w:t>
      </w:r>
      <w:r>
        <w:t>bounded</w:t>
      </w:r>
      <w:r w:rsidR="002D7468">
        <w:t>” (Bernstein, 2000, p. 99)</w:t>
      </w:r>
      <w:r>
        <w:t xml:space="preserve"> is only partially protected from the complexities, politics and problems of wider society</w:t>
      </w:r>
      <w:r w:rsidR="00BF039C">
        <w:t>. N</w:t>
      </w:r>
      <w:r>
        <w:t>o boundary can be completely self-sustaining</w:t>
      </w:r>
      <w:r w:rsidR="005652CD">
        <w:t>;</w:t>
      </w:r>
      <w:r>
        <w:t xml:space="preserve"> all social boundaries require some external validation and legitimacy</w:t>
      </w:r>
      <w:r w:rsidR="005652CD">
        <w:t>;</w:t>
      </w:r>
      <w:r w:rsidR="00830920">
        <w:t xml:space="preserve"> </w:t>
      </w:r>
      <w:r>
        <w:t>and all ‘bounded groups’</w:t>
      </w:r>
      <w:r w:rsidR="00896BEA">
        <w:t xml:space="preserve">, </w:t>
      </w:r>
      <w:r>
        <w:t>including groups whose boundedness is tied to their authority over a ‘bounded’ activity or</w:t>
      </w:r>
      <w:r w:rsidR="00EC7A38">
        <w:t xml:space="preserve"> “territory” </w:t>
      </w:r>
      <w:r w:rsidR="007A70CB">
        <w:fldChar w:fldCharType="begin"/>
      </w:r>
      <w:r w:rsidR="0042605A">
        <w:instrText xml:space="preserve"> ADDIN EN.CITE &lt;EndNote&gt;&lt;Cite&gt;&lt;Author&gt;Henkel&lt;/Author&gt;&lt;Year&gt;2007&lt;/Year&gt;&lt;IDText&gt;Can academic autonomy survive in the knowledge society? A perspective from Britain&lt;/IDText&gt;&lt;Pages&gt;87&lt;/Pages&gt;&lt;DisplayText&gt;(Henkel, 2007, p. 87)&lt;/DisplayText&gt;&lt;record&gt;&lt;keywords&gt;&lt;keyword&gt;Higher Education&lt;/keyword&gt;&lt;keyword&gt;Governance&lt;/keyword&gt;&lt;keyword&gt;Institutional Autonomy&lt;/keyword&gt;&lt;keyword&gt;Freedom&lt;/keyword&gt;&lt;keyword&gt;Self Determination&lt;/keyword&gt;&lt;keyword&gt;Higher Education&lt;/keyword&gt;&lt;/keywords&gt;&lt;isbn&gt;0729-4360&lt;/isbn&gt;&lt;titles&gt;&lt;title&gt;Can academic autonomy survive in the knowledge society? A perspective from Britain&lt;/title&gt;&lt;secondary-title&gt;Higher Education Research &amp;amp; Development&lt;/secondary-title&gt;&lt;/titles&gt;&lt;pages&gt;87-99&lt;/pages&gt;&lt;number&gt;1&lt;/number&gt;&lt;contributors&gt;&lt;authors&gt;&lt;author&gt;Henkel, Mary&lt;/author&gt;&lt;/authors&gt;&lt;/contributors&gt;&lt;added-date format="utc"&gt;1559082381&lt;/added-date&gt;&lt;ref-type name="Journal Article"&gt;17&lt;/ref-type&gt;&lt;dates&gt;&lt;year&gt;2007&lt;/year&gt;&lt;/dates&gt;&lt;rec-number&gt;7793&lt;/rec-number&gt;&lt;publisher&gt;Routledge&lt;/publisher&gt;&lt;last-updated-date format="utc"&gt;1559082381&lt;/last-updated-date&gt;&lt;electronic-resource-num&gt;10.1080/07294360601166836&lt;/electronic-resource-num&gt;&lt;volume&gt;26&lt;/volume&gt;&lt;/record&gt;&lt;/Cite&gt;&lt;/EndNote&gt;</w:instrText>
      </w:r>
      <w:r w:rsidR="007A70CB">
        <w:fldChar w:fldCharType="separate"/>
      </w:r>
      <w:r w:rsidR="0042605A">
        <w:rPr>
          <w:noProof/>
        </w:rPr>
        <w:t>(Henkel, 2007, p. 87)</w:t>
      </w:r>
      <w:r w:rsidR="007A70CB">
        <w:fldChar w:fldCharType="end"/>
      </w:r>
      <w:r>
        <w:t xml:space="preserve"> </w:t>
      </w:r>
      <w:r w:rsidR="00896BEA">
        <w:t>(</w:t>
      </w:r>
      <w:r>
        <w:t>domain of knowledge, such as physicists, history, etc.)</w:t>
      </w:r>
      <w:r w:rsidR="00D426E0">
        <w:t xml:space="preserve">, </w:t>
      </w:r>
      <w:r>
        <w:t xml:space="preserve">have some pressure to show their value to wider society, or at least </w:t>
      </w:r>
      <w:r w:rsidR="00215BCE">
        <w:t xml:space="preserve">to some </w:t>
      </w:r>
      <w:r w:rsidR="0095719F">
        <w:t>(</w:t>
      </w:r>
      <w:r w:rsidR="00215BCE">
        <w:t>relatively powerful</w:t>
      </w:r>
      <w:r w:rsidR="0095719F">
        <w:t>)</w:t>
      </w:r>
      <w:r>
        <w:t xml:space="preserve"> sections of it</w:t>
      </w:r>
      <w:r w:rsidR="0016172A">
        <w:t xml:space="preserve">. </w:t>
      </w:r>
      <w:r>
        <w:t>In short, the reproduction of academic boundaries requires that academia</w:t>
      </w:r>
      <w:r w:rsidR="002B0B35">
        <w:t xml:space="preserve"> continually</w:t>
      </w:r>
      <w:r>
        <w:t xml:space="preserve"> has something to offer to </w:t>
      </w:r>
      <w:r w:rsidR="005652CD">
        <w:t xml:space="preserve">(some of) </w:t>
      </w:r>
      <w:r w:rsidR="00DB6064">
        <w:t>those beyond its boundaries</w:t>
      </w:r>
      <w:r w:rsidR="00E47BF6">
        <w:t>.</w:t>
      </w:r>
    </w:p>
    <w:p w14:paraId="07BE0CDC" w14:textId="0FBD9023" w:rsidR="002874F9" w:rsidRDefault="00F310A1" w:rsidP="008B7F85">
      <w:pPr>
        <w:pStyle w:val="NormalWeb"/>
        <w:spacing w:before="0" w:beforeAutospacing="0" w:after="120" w:afterAutospacing="0" w:line="360" w:lineRule="auto"/>
      </w:pPr>
      <w:r>
        <w:t>Any specific instance of this can be thought of as a ‘boundary transaction’.</w:t>
      </w:r>
      <w:r w:rsidR="001D6FF7">
        <w:t xml:space="preserve"> This is a key concept in my analysis. One example of a boundary transaction is </w:t>
      </w:r>
      <w:r>
        <w:t xml:space="preserve">the dissemination of an output of academic research to a non-academic site of activity. In this instance, what is given, what is ‘transacted’, is useful knowledge. Another ‘transaction’ could be the mobility of a graduate taking and applying academic skills in a non-academic workplace. Such transactions allow the bounded group to show its broader social value, thereby contributing to </w:t>
      </w:r>
      <w:r w:rsidR="00744480">
        <w:t xml:space="preserve">the legitimacy of, and therefore reproduction of, </w:t>
      </w:r>
      <w:r>
        <w:t>its boundaries.</w:t>
      </w:r>
      <w:r w:rsidR="0094412E">
        <w:t xml:space="preserve"> </w:t>
      </w:r>
      <w:r w:rsidR="00843E80">
        <w:t>B</w:t>
      </w:r>
      <w:r w:rsidR="003C2B02">
        <w:t>oundary transactions do not have to take the form of outputs</w:t>
      </w:r>
      <w:r w:rsidR="002761CD">
        <w:t xml:space="preserve"> (</w:t>
      </w:r>
      <w:r w:rsidR="00521A49">
        <w:t xml:space="preserve">either </w:t>
      </w:r>
      <w:r w:rsidR="002761CD">
        <w:t xml:space="preserve">of research or </w:t>
      </w:r>
      <w:r w:rsidR="007A66E3">
        <w:t>of graduates</w:t>
      </w:r>
      <w:r w:rsidR="002761CD">
        <w:t>)</w:t>
      </w:r>
      <w:r w:rsidR="003C2B02">
        <w:t xml:space="preserve">. </w:t>
      </w:r>
      <w:r w:rsidR="009B6421">
        <w:t>The</w:t>
      </w:r>
      <w:r w:rsidR="008B7F85">
        <w:t xml:space="preserve"> appointment of an honorary</w:t>
      </w:r>
      <w:r w:rsidR="00460F79" w:rsidRPr="00590F06">
        <w:t xml:space="preserve"> professor based on their reputation in </w:t>
      </w:r>
      <w:r w:rsidR="00460F79">
        <w:t>a</w:t>
      </w:r>
      <w:r w:rsidR="008B7F85">
        <w:t xml:space="preserve"> non-academic</w:t>
      </w:r>
      <w:r w:rsidR="00460F79">
        <w:t xml:space="preserve"> sector</w:t>
      </w:r>
      <w:r w:rsidR="004B5023">
        <w:t xml:space="preserve"> </w:t>
      </w:r>
      <w:r w:rsidR="0043069D">
        <w:t>fits my definition of a boundary</w:t>
      </w:r>
      <w:r w:rsidR="004B5023">
        <w:t xml:space="preserve"> transaction</w:t>
      </w:r>
      <w:r w:rsidR="0043069D">
        <w:t>,</w:t>
      </w:r>
      <w:r w:rsidR="004B5023">
        <w:t xml:space="preserve"> in the sense that the university bestows symbolic status and, more instrumentally, provides the external actor the opportunity to shape the educational and/or research content of the relevant department. </w:t>
      </w:r>
      <w:r w:rsidR="0075587F">
        <w:t>A n</w:t>
      </w:r>
      <w:r w:rsidR="00BB3681">
        <w:t xml:space="preserve">ew ‘boundary structure’ may also be understood as a kind of </w:t>
      </w:r>
      <w:r w:rsidR="004B5023">
        <w:t>transaction</w:t>
      </w:r>
      <w:r w:rsidR="00BB3681">
        <w:t xml:space="preserve"> with wider society</w:t>
      </w:r>
      <w:r w:rsidR="004B5023">
        <w:t xml:space="preserve">, as </w:t>
      </w:r>
      <w:r w:rsidR="00BB3681">
        <w:t>they are</w:t>
      </w:r>
      <w:r w:rsidR="004B5023">
        <w:t xml:space="preserve"> symbolic and institutional announcement</w:t>
      </w:r>
      <w:r w:rsidR="00BB3681">
        <w:t>s</w:t>
      </w:r>
      <w:r w:rsidR="004B5023">
        <w:t xml:space="preserve"> of the university’s entry, or at least partial entry, into a non-academic space. For example, a technology transfer office or a spin-out company signifies the university’s entry into the market as potential competitors with private companies.</w:t>
      </w:r>
      <w:r w:rsidR="00CD3855">
        <w:t xml:space="preserve"> </w:t>
      </w:r>
      <w:r w:rsidR="001D6D93">
        <w:t xml:space="preserve">Similarly, a </w:t>
      </w:r>
      <w:r w:rsidR="00CD3855">
        <w:t xml:space="preserve">problem-focused research centre </w:t>
      </w:r>
      <w:r w:rsidR="009A3A98">
        <w:t>can</w:t>
      </w:r>
      <w:r w:rsidR="00CD3855">
        <w:t xml:space="preserve"> signify entry into</w:t>
      </w:r>
      <w:r w:rsidR="009A3A98">
        <w:t>, say,</w:t>
      </w:r>
      <w:r w:rsidR="008108EF">
        <w:t xml:space="preserve"> areas of</w:t>
      </w:r>
      <w:r w:rsidR="009A3A98">
        <w:t xml:space="preserve"> conservation management</w:t>
      </w:r>
      <w:r w:rsidR="008108EF">
        <w:t xml:space="preserve"> or</w:t>
      </w:r>
      <w:r w:rsidR="009A3A98">
        <w:t xml:space="preserve"> </w:t>
      </w:r>
      <w:r w:rsidR="00C10E43">
        <w:t xml:space="preserve">commercial </w:t>
      </w:r>
      <w:r w:rsidR="009A3A98">
        <w:t>consultancy,</w:t>
      </w:r>
      <w:r w:rsidR="008108EF">
        <w:t xml:space="preserve"> </w:t>
      </w:r>
      <w:r w:rsidR="00593ED1">
        <w:t>to take examples from my own research</w:t>
      </w:r>
      <w:r w:rsidR="000178A4">
        <w:t>.</w:t>
      </w:r>
    </w:p>
    <w:p w14:paraId="11AB84F4" w14:textId="7A43A046" w:rsidR="00241C9D" w:rsidRDefault="00C334A5" w:rsidP="008B7F85">
      <w:pPr>
        <w:pStyle w:val="NormalWeb"/>
        <w:spacing w:before="0" w:beforeAutospacing="0" w:after="120" w:afterAutospacing="0" w:line="360" w:lineRule="auto"/>
      </w:pPr>
      <w:r>
        <w:t>One of the central ideas underpinning my study is that t</w:t>
      </w:r>
      <w:r w:rsidR="002874F9">
        <w:t xml:space="preserve">here is a constant interplay of ‘power’ and ‘control’ (Bernstein, 2000) between academia and wider society over the ‘transactions’ across academic boundaries. </w:t>
      </w:r>
      <w:r>
        <w:t xml:space="preserve">From the perspective of the boundary lens adopted, </w:t>
      </w:r>
      <w:r w:rsidR="00AD01CC">
        <w:t>academia’s</w:t>
      </w:r>
      <w:r>
        <w:t xml:space="preserve"> </w:t>
      </w:r>
      <w:r w:rsidR="002874F9">
        <w:t>interest in transactions is the reproduction of its boundaries</w:t>
      </w:r>
      <w:r w:rsidR="00AD01CC">
        <w:t>. B</w:t>
      </w:r>
      <w:r w:rsidR="002874F9">
        <w:t xml:space="preserve">y contrast, non-academic actors’ interest in transactions is the extraction of value from the bounded group. Although there is </w:t>
      </w:r>
      <w:r w:rsidR="00042795">
        <w:t xml:space="preserve">often </w:t>
      </w:r>
      <w:r w:rsidR="002874F9">
        <w:t xml:space="preserve">a reciprocity between these two goals, they are not necessarily equivalent. As such, boundary transactions </w:t>
      </w:r>
      <w:r w:rsidR="002874F9">
        <w:rPr>
          <w:i/>
        </w:rPr>
        <w:t xml:space="preserve">may </w:t>
      </w:r>
      <w:r w:rsidR="002874F9">
        <w:t xml:space="preserve">serve to reproduce a given boundary, but they may also, over time, act as mechanisms for the </w:t>
      </w:r>
      <w:r w:rsidR="00FF01ED">
        <w:t>“</w:t>
      </w:r>
      <w:r w:rsidR="002874F9">
        <w:t>weakening</w:t>
      </w:r>
      <w:r w:rsidR="00FF01ED">
        <w:t>” (Henkel, 2004, p. 168)</w:t>
      </w:r>
      <w:r w:rsidR="002874F9">
        <w:t xml:space="preserve"> of boundaries.</w:t>
      </w:r>
      <w:r w:rsidR="00DA2146">
        <w:t xml:space="preserve"> </w:t>
      </w:r>
      <w:r w:rsidR="00F05CE0">
        <w:t>I</w:t>
      </w:r>
      <w:r w:rsidR="0063131F">
        <w:t>f the</w:t>
      </w:r>
      <w:r w:rsidR="002874F9">
        <w:t xml:space="preserve"> bounded group becomes </w:t>
      </w:r>
      <w:r w:rsidR="00D714AE">
        <w:t xml:space="preserve">overly </w:t>
      </w:r>
      <w:r w:rsidR="002874F9">
        <w:t>preoccupied with its external validation and valuation</w:t>
      </w:r>
      <w:r w:rsidR="0063131F">
        <w:t>,</w:t>
      </w:r>
      <w:r w:rsidR="00940D98">
        <w:t xml:space="preserve"> </w:t>
      </w:r>
      <w:r w:rsidR="00FE06DF">
        <w:t xml:space="preserve">there is </w:t>
      </w:r>
      <w:r w:rsidR="00C16216">
        <w:t>a possibility</w:t>
      </w:r>
      <w:r w:rsidR="00FE06DF">
        <w:t xml:space="preserve"> that</w:t>
      </w:r>
      <w:r w:rsidR="002874F9">
        <w:t xml:space="preserve"> its activities</w:t>
      </w:r>
      <w:r w:rsidR="00FE06DF">
        <w:t>, objectives and interests</w:t>
      </w:r>
      <w:r w:rsidR="002874F9">
        <w:t xml:space="preserve"> come to be almost identical with those of </w:t>
      </w:r>
      <w:r w:rsidR="00FE06DF">
        <w:t>external actors</w:t>
      </w:r>
      <w:r w:rsidR="003E4585">
        <w:t xml:space="preserve">, thereby losing its </w:t>
      </w:r>
      <w:r w:rsidR="001F2E01">
        <w:t>distinctive identity and potential value</w:t>
      </w:r>
      <w:r w:rsidR="00ED264F">
        <w:t>.</w:t>
      </w:r>
      <w:r w:rsidR="00241C9D">
        <w:t xml:space="preserve"> A diagrammatic representation of these key conceptual relationships is presented in Chapter </w:t>
      </w:r>
      <w:r w:rsidR="00191047">
        <w:t>2</w:t>
      </w:r>
      <w:r w:rsidR="00241C9D">
        <w:t xml:space="preserve"> (</w:t>
      </w:r>
      <w:r w:rsidR="00241C9D">
        <w:fldChar w:fldCharType="begin"/>
      </w:r>
      <w:r w:rsidR="00241C9D">
        <w:instrText xml:space="preserve"> REF _Ref11859168 \h </w:instrText>
      </w:r>
      <w:r w:rsidR="00241C9D">
        <w:fldChar w:fldCharType="separate"/>
      </w:r>
      <w:r w:rsidR="0011424E">
        <w:t xml:space="preserve">Figure </w:t>
      </w:r>
      <w:r w:rsidR="0011424E">
        <w:rPr>
          <w:noProof/>
        </w:rPr>
        <w:t>1</w:t>
      </w:r>
      <w:r w:rsidR="00241C9D">
        <w:fldChar w:fldCharType="end"/>
      </w:r>
      <w:r w:rsidR="00241C9D">
        <w:t>, p.</w:t>
      </w:r>
      <w:r w:rsidR="00241C9D">
        <w:fldChar w:fldCharType="begin"/>
      </w:r>
      <w:r w:rsidR="00241C9D">
        <w:instrText xml:space="preserve"> PAGEREF _Ref11906417 \h </w:instrText>
      </w:r>
      <w:r w:rsidR="00241C9D">
        <w:fldChar w:fldCharType="separate"/>
      </w:r>
      <w:r w:rsidR="0011424E">
        <w:rPr>
          <w:noProof/>
        </w:rPr>
        <w:t>69</w:t>
      </w:r>
      <w:r w:rsidR="00241C9D">
        <w:fldChar w:fldCharType="end"/>
      </w:r>
      <w:r w:rsidR="00241C9D">
        <w:t>) when discussing the analytical framework.</w:t>
      </w:r>
      <w:r w:rsidR="00ED264F">
        <w:t xml:space="preserve"> </w:t>
      </w:r>
    </w:p>
    <w:p w14:paraId="523F3B85" w14:textId="46438DE1" w:rsidR="004B5023" w:rsidRDefault="009B077A" w:rsidP="008B7F85">
      <w:pPr>
        <w:pStyle w:val="NormalWeb"/>
        <w:spacing w:before="0" w:beforeAutospacing="0" w:after="120" w:afterAutospacing="0" w:line="360" w:lineRule="auto"/>
      </w:pPr>
      <w:r>
        <w:t xml:space="preserve">My study </w:t>
      </w:r>
      <w:r w:rsidR="005576F0">
        <w:t>presents</w:t>
      </w:r>
      <w:r>
        <w:t xml:space="preserve"> empirical evidence of how this interplay</w:t>
      </w:r>
      <w:r w:rsidR="00D12AD1">
        <w:t xml:space="preserve"> between power and control</w:t>
      </w:r>
      <w:r>
        <w:t xml:space="preserve"> operates</w:t>
      </w:r>
      <w:r w:rsidR="003129EB">
        <w:t xml:space="preserve"> </w:t>
      </w:r>
      <w:r>
        <w:t>and</w:t>
      </w:r>
      <w:r w:rsidR="003129EB">
        <w:t>, in doing so, contributes to</w:t>
      </w:r>
      <w:r>
        <w:t xml:space="preserve"> </w:t>
      </w:r>
      <w:r w:rsidR="003129EB">
        <w:t xml:space="preserve">(the often </w:t>
      </w:r>
      <w:r>
        <w:t>normative</w:t>
      </w:r>
      <w:r w:rsidR="003129EB">
        <w:t>)</w:t>
      </w:r>
      <w:r>
        <w:t xml:space="preserve"> debates around the current status of universities and academic research. </w:t>
      </w:r>
    </w:p>
    <w:p w14:paraId="6C3552AB" w14:textId="56948BD5" w:rsidR="00157A05" w:rsidRDefault="009B077A" w:rsidP="001241E8">
      <w:pPr>
        <w:pStyle w:val="Heading3"/>
      </w:pPr>
      <w:bookmarkStart w:id="15" w:name="_Toc31701933"/>
      <w:r>
        <w:t>The ‘knowledge-based’ view of the university</w:t>
      </w:r>
      <w:bookmarkEnd w:id="15"/>
    </w:p>
    <w:p w14:paraId="363CF255" w14:textId="43512F59" w:rsidR="00D66280" w:rsidRPr="00EB45DD" w:rsidRDefault="00920335" w:rsidP="001241E8">
      <w:pPr>
        <w:pStyle w:val="NormalWeb"/>
        <w:spacing w:before="0" w:beforeAutospacing="0" w:after="120" w:afterAutospacing="0" w:line="360" w:lineRule="auto"/>
      </w:pPr>
      <w:r>
        <w:t xml:space="preserve">Underpinning my discussion so far has been </w:t>
      </w:r>
      <w:r w:rsidR="00F05CA7">
        <w:t xml:space="preserve">an emphasis on </w:t>
      </w:r>
      <w:r w:rsidR="00DF0578">
        <w:t>universities as</w:t>
      </w:r>
      <w:r w:rsidR="00F05CA7">
        <w:t xml:space="preserve"> “knowledge-processing” (Gumport &amp; Snydman, 2002, p. 380)</w:t>
      </w:r>
      <w:r w:rsidR="00DF0578">
        <w:t xml:space="preserve"> institutions. </w:t>
      </w:r>
      <w:r w:rsidR="00445572">
        <w:t>This reflects</w:t>
      </w:r>
      <w:r w:rsidR="00F000D3">
        <w:t xml:space="preserve"> </w:t>
      </w:r>
      <w:r w:rsidR="00E54EB3">
        <w:t>the</w:t>
      </w:r>
      <w:r w:rsidR="00F000D3">
        <w:t xml:space="preserve"> conceptualisation </w:t>
      </w:r>
      <w:r w:rsidR="00445572">
        <w:t xml:space="preserve">of the university as an institution grounded on its unique relation to knowledge, in particular what might be called ‘transcendental’ </w:t>
      </w:r>
      <w:r w:rsidR="00445572">
        <w:fldChar w:fldCharType="begin">
          <w:fldData xml:space="preserve">PEVuZE5vdGU+PENpdGU+PEF1dGhvcj5CZXJuc3RlaW48L0F1dGhvcj48WWVhcj4yMDAwPC9ZZWFy
PjxJRFRleHQ+UGVkYWdvZ3ksIHN5bWJvbGljIGNvbnRyb2wsIGFuZCBpZGVudGl0eTogVGhlb3J5
LCByZXNlYXJjaCwgY3JpdGlxdWU8L0lEVGV4dD48RGlzcGxheVRleHQ+KEJlcm5zdGVpbiwgMjAw
MDsgc2VlIGFsc28gTmlja29sYWkgZXQgYWwuLCAyMDEyKTwvRGlzcGxheVRleHQ+PHJlY29yZD48
aXNibj4wODQ3Njk1NzZYPC9pc2JuPjx0aXRsZXM+PHRpdGxlPlBlZGFnb2d5LCBzeW1ib2xpYyBj
b250cm9sLCBhbmQgaWRlbnRpdHk6IFRoZW9yeSwgcmVzZWFyY2gsIGNyaXRpcXVlPC90aXRsZT48
L3RpdGxlcz48bnVtYmVyPjQ8L251bWJlcj48Y29udHJpYnV0b3JzPjxhdXRob3JzPjxhdXRob3I+
QmVybnN0ZWluLCBCYXNpbDwvYXV0aG9yPjwvYXV0aG9ycz48L2NvbnRyaWJ1dG9ycz48ZWRpdGlv
bj4ybmQ8L2VkaXRpb24+PGFkZGVkLWRhdGUgZm9ybWF0PSJ1dGMiPjE0NTI3MjU4NTU8L2FkZGVk
LWRhdGU+PHB1Yi1sb2NhdGlvbj5PeGZvcmQ8L3B1Yi1sb2NhdGlvbj48cmVmLXR5cGUgbmFtZT0i
Qm9vayI+NjwvcmVmLXR5cGU+PGRhdGVzPjx5ZWFyPjIwMDA8L3llYXI+PC9kYXRlcz48cmVjLW51
bWJlcj4xODU8L3JlYy1udW1iZXI+PHB1Ymxpc2hlcj5Sb3dtYW4gJmFtcDsgTGl0dGxlZmllbGQ8
L3B1Ymxpc2hlcj48bGFzdC11cGRhdGVkLWRhdGUgZm9ybWF0PSJ1dGMiPjE0Nzc3ODEyMDg8L2xh
c3QtdXBkYXRlZC1kYXRlPjwvcmVjb3JkPjwvQ2l0ZT48Q2l0ZT48QXV0aG9yPk5pY2tvbGFpPC9B
dXRob3I+PFllYXI+MjAxMjwvWWVhcj48SURUZXh0PkNhbiBhIEtub3dsZWRnZSBTYW5jdHVhcnkg
YWxzbyBiZSBhbiBFY29ub21pYyBFbmdpbmU/IFRoZSBNYXJrZXRpemF0aW9uIG9mIEhpZ2hlciBF
ZHVjYXRpb24gYXMgSW5zdGl0dXRpb25hbCBCb3VuZGFyeSBXb3JrPC9JRFRleHQ+PFByZWZpeD5z
ZWUgYWxzbyA8L1ByZWZpeD48cmVjb3JkPjxrZXl3b3Jkcz48a2V5d29yZD5IaWdoZXIgRWR1Y2F0
aW9uPC9rZXl3b3JkPjxrZXl3b3JkPktub3dsZWRnZTwva2V5d29yZD48a2V5d29yZD5Db2xsZWdl
IFN0dWRlbnRzPC9rZXl3b3JkPjxrZXl3b3JkPkxlYXJuaW5nPC9rZXl3b3JkPjxrZXl3b3JkPlN0
dWRlbnRzPC9rZXl3b3JkPjxrZXl3b3JkPk1hcmtldHM8L2tleXdvcmQ+PGtleXdvcmQ+VmFsdWVz
PC9rZXl3b3JkPjxrZXl3b3JkPk9yZ2FuaXphdGlvbmFsIFN0cnVjdHVyZTwva2V5d29yZD48a2V5
d29yZD5DdWx0dXJhbCBHcm91cHM8L2tleXdvcmQ+PGtleXdvcmQ+Q29tcGxleCBPcmdhbml6YXRp
b248L2tleXdvcmQ+PGtleXdvcmQ+QnVyZWF1Y3JhdGljIFN0cnVjdHVyZS9Pcmdhbml6YXRpb25h
bCBTb2Npb2xvZ3k8L2tleXdvcmQ+PGtleXdvcmQ+QXJ0aWNsZTwva2V5d29yZD48L2tleXdvcmRz
Pjxpc2JuPjE3NTEtOTAyMDwvaXNibj48dGl0bGVzPjx0aXRsZT5DYW4gYSBLbm93bGVkZ2UgU2Fu
Y3R1YXJ5IGFsc28gYmUgYW4gRWNvbm9taWMgRW5naW5lPyBUaGUgTWFya2V0aXphdGlvbiBvZiBI
aWdoZXIgRWR1Y2F0aW9uIGFzIEluc3RpdHV0aW9uYWwgQm91bmRhcnkgV29yazwvdGl0bGU+PC90
aXRsZXM+PHBhZ2VzPjIwNS0yMTg8L3BhZ2VzPjxjb250cmlidXRvcnM+PGF1dGhvcnM+PGF1dGhv
cj5OaWNrb2xhaSwgRGFuaWVsIEguPC9hdXRob3I+PGF1dGhvcj5Ib2ZmbWFuLCBTdGV2ZSBHLjwv
YXV0aG9yPjxhdXRob3I+VHJhdXRuZXIsIE1hcnkgTmVsbDwvYXV0aG9yPjwvYXV0aG9ycz48L2Nv
bnRyaWJ1dG9ycz48YWRkZWQtZGF0ZSBmb3JtYXQ9InV0YyI+MTUyMzM3NDA3NDwvYWRkZWQtZGF0
ZT48cHViLWxvY2F0aW9uPk94Zm9yZCwgVUs8L3B1Yi1sb2NhdGlvbj48cmVmLXR5cGUgbmFtZT0i
R2VuZXJpYyI+MTM8L3JlZi10eXBlPjxkYXRlcz48eWVhcj4yMDEyPC95ZWFyPjwvZGF0ZXM+PHJl
Yy1udW1iZXI+NzQ3MDwvcmVjLW51bWJlcj48bGFzdC11cGRhdGVkLWRhdGUgZm9ybWF0PSJ1dGMi
PjE1MjMzNzQwNzQ8L2xhc3QtdXBkYXRlZC1kYXRlPjxlbGVjdHJvbmljLXJlc291cmNlLW51bT4x
MC4xMTExL2ouMTc1MS05MDIwLjIwMTEuMDA0NDkueDwvZWxlY3Ryb25pYy1yZXNvdXJjZS1udW0+
PHZvbHVtZT42PC92b2x1bWU+PC9yZWNvcmQ+PC9DaXRlPjwvRW5kTm90ZT4A
</w:fldData>
        </w:fldChar>
      </w:r>
      <w:r w:rsidR="00A85FB5">
        <w:instrText xml:space="preserve"> ADDIN EN.CITE </w:instrText>
      </w:r>
      <w:r w:rsidR="00A85FB5">
        <w:fldChar w:fldCharType="begin">
          <w:fldData xml:space="preserve">PEVuZE5vdGU+PENpdGU+PEF1dGhvcj5CZXJuc3RlaW48L0F1dGhvcj48WWVhcj4yMDAwPC9ZZWFy
PjxJRFRleHQ+UGVkYWdvZ3ksIHN5bWJvbGljIGNvbnRyb2wsIGFuZCBpZGVudGl0eTogVGhlb3J5
LCByZXNlYXJjaCwgY3JpdGlxdWU8L0lEVGV4dD48RGlzcGxheVRleHQ+KEJlcm5zdGVpbiwgMjAw
MDsgc2VlIGFsc28gTmlja29sYWkgZXQgYWwuLCAyMDEyKTwvRGlzcGxheVRleHQ+PHJlY29yZD48
aXNibj4wODQ3Njk1NzZYPC9pc2JuPjx0aXRsZXM+PHRpdGxlPlBlZGFnb2d5LCBzeW1ib2xpYyBj
b250cm9sLCBhbmQgaWRlbnRpdHk6IFRoZW9yeSwgcmVzZWFyY2gsIGNyaXRpcXVlPC90aXRsZT48
L3RpdGxlcz48bnVtYmVyPjQ8L251bWJlcj48Y29udHJpYnV0b3JzPjxhdXRob3JzPjxhdXRob3I+
QmVybnN0ZWluLCBCYXNpbDwvYXV0aG9yPjwvYXV0aG9ycz48L2NvbnRyaWJ1dG9ycz48ZWRpdGlv
bj4ybmQ8L2VkaXRpb24+PGFkZGVkLWRhdGUgZm9ybWF0PSJ1dGMiPjE0NTI3MjU4NTU8L2FkZGVk
LWRhdGU+PHB1Yi1sb2NhdGlvbj5PeGZvcmQ8L3B1Yi1sb2NhdGlvbj48cmVmLXR5cGUgbmFtZT0i
Qm9vayI+NjwvcmVmLXR5cGU+PGRhdGVzPjx5ZWFyPjIwMDA8L3llYXI+PC9kYXRlcz48cmVjLW51
bWJlcj4xODU8L3JlYy1udW1iZXI+PHB1Ymxpc2hlcj5Sb3dtYW4gJmFtcDsgTGl0dGxlZmllbGQ8
L3B1Ymxpc2hlcj48bGFzdC11cGRhdGVkLWRhdGUgZm9ybWF0PSJ1dGMiPjE0Nzc3ODEyMDg8L2xh
c3QtdXBkYXRlZC1kYXRlPjwvcmVjb3JkPjwvQ2l0ZT48Q2l0ZT48QXV0aG9yPk5pY2tvbGFpPC9B
dXRob3I+PFllYXI+MjAxMjwvWWVhcj48SURUZXh0PkNhbiBhIEtub3dsZWRnZSBTYW5jdHVhcnkg
YWxzbyBiZSBhbiBFY29ub21pYyBFbmdpbmU/IFRoZSBNYXJrZXRpemF0aW9uIG9mIEhpZ2hlciBF
ZHVjYXRpb24gYXMgSW5zdGl0dXRpb25hbCBCb3VuZGFyeSBXb3JrPC9JRFRleHQ+PFByZWZpeD5z
ZWUgYWxzbyA8L1ByZWZpeD48cmVjb3JkPjxrZXl3b3Jkcz48a2V5d29yZD5IaWdoZXIgRWR1Y2F0
aW9uPC9rZXl3b3JkPjxrZXl3b3JkPktub3dsZWRnZTwva2V5d29yZD48a2V5d29yZD5Db2xsZWdl
IFN0dWRlbnRzPC9rZXl3b3JkPjxrZXl3b3JkPkxlYXJuaW5nPC9rZXl3b3JkPjxrZXl3b3JkPlN0
dWRlbnRzPC9rZXl3b3JkPjxrZXl3b3JkPk1hcmtldHM8L2tleXdvcmQ+PGtleXdvcmQ+VmFsdWVz
PC9rZXl3b3JkPjxrZXl3b3JkPk9yZ2FuaXphdGlvbmFsIFN0cnVjdHVyZTwva2V5d29yZD48a2V5
d29yZD5DdWx0dXJhbCBHcm91cHM8L2tleXdvcmQ+PGtleXdvcmQ+Q29tcGxleCBPcmdhbml6YXRp
b248L2tleXdvcmQ+PGtleXdvcmQ+QnVyZWF1Y3JhdGljIFN0cnVjdHVyZS9Pcmdhbml6YXRpb25h
bCBTb2Npb2xvZ3k8L2tleXdvcmQ+PGtleXdvcmQ+QXJ0aWNsZTwva2V5d29yZD48L2tleXdvcmRz
Pjxpc2JuPjE3NTEtOTAyMDwvaXNibj48dGl0bGVzPjx0aXRsZT5DYW4gYSBLbm93bGVkZ2UgU2Fu
Y3R1YXJ5IGFsc28gYmUgYW4gRWNvbm9taWMgRW5naW5lPyBUaGUgTWFya2V0aXphdGlvbiBvZiBI
aWdoZXIgRWR1Y2F0aW9uIGFzIEluc3RpdHV0aW9uYWwgQm91bmRhcnkgV29yazwvdGl0bGU+PC90
aXRsZXM+PHBhZ2VzPjIwNS0yMTg8L3BhZ2VzPjxjb250cmlidXRvcnM+PGF1dGhvcnM+PGF1dGhv
cj5OaWNrb2xhaSwgRGFuaWVsIEguPC9hdXRob3I+PGF1dGhvcj5Ib2ZmbWFuLCBTdGV2ZSBHLjwv
YXV0aG9yPjxhdXRob3I+VHJhdXRuZXIsIE1hcnkgTmVsbDwvYXV0aG9yPjwvYXV0aG9ycz48L2Nv
bnRyaWJ1dG9ycz48YWRkZWQtZGF0ZSBmb3JtYXQ9InV0YyI+MTUyMzM3NDA3NDwvYWRkZWQtZGF0
ZT48cHViLWxvY2F0aW9uPk94Zm9yZCwgVUs8L3B1Yi1sb2NhdGlvbj48cmVmLXR5cGUgbmFtZT0i
R2VuZXJpYyI+MTM8L3JlZi10eXBlPjxkYXRlcz48eWVhcj4yMDEyPC95ZWFyPjwvZGF0ZXM+PHJl
Yy1udW1iZXI+NzQ3MDwvcmVjLW51bWJlcj48bGFzdC11cGRhdGVkLWRhdGUgZm9ybWF0PSJ1dGMi
PjE1MjMzNzQwNzQ8L2xhc3QtdXBkYXRlZC1kYXRlPjxlbGVjdHJvbmljLXJlc291cmNlLW51bT4x
MC4xMTExL2ouMTc1MS05MDIwLjIwMTEuMDA0NDkueDwvZWxlY3Ryb25pYy1yZXNvdXJjZS1udW0+
PHZvbHVtZT42PC92b2x1bWU+PC9yZWNvcmQ+PC9DaXRlPjwvRW5kTm90ZT4A
</w:fldData>
        </w:fldChar>
      </w:r>
      <w:r w:rsidR="00A85FB5">
        <w:instrText xml:space="preserve"> ADDIN EN.CITE.DATA </w:instrText>
      </w:r>
      <w:r w:rsidR="00A85FB5">
        <w:fldChar w:fldCharType="end"/>
      </w:r>
      <w:r w:rsidR="00445572">
        <w:fldChar w:fldCharType="separate"/>
      </w:r>
      <w:r w:rsidR="00A85FB5">
        <w:rPr>
          <w:noProof/>
        </w:rPr>
        <w:t>(Bernstein, 2000; see also Nickolai et al., 2012)</w:t>
      </w:r>
      <w:r w:rsidR="00445572">
        <w:fldChar w:fldCharType="end"/>
      </w:r>
      <w:r w:rsidR="00482F84">
        <w:t xml:space="preserve"> knowledge, or what Young </w:t>
      </w:r>
      <w:r w:rsidR="00482F84">
        <w:fldChar w:fldCharType="begin"/>
      </w:r>
      <w:r w:rsidR="00482F84">
        <w:instrText xml:space="preserve"> ADDIN EN.CITE &lt;EndNote&gt;&lt;Cite ExcludeAuth="1"&gt;&lt;Author&gt;Young&lt;/Author&gt;&lt;Year&gt;2008&lt;/Year&gt;&lt;IDText&gt;Bringing knowledge back in: from social constructivism to social realism in the sociology of education&lt;/IDText&gt;&lt;DisplayText&gt;(2008)&lt;/DisplayText&gt;&lt;record&gt;&lt;keywords&gt;&lt;keyword&gt;Educational sociology&lt;/keyword&gt;&lt;keyword&gt;Education -- Curricula&lt;/keyword&gt;&lt;keyword&gt;Constructivism (Education)&lt;/keyword&gt;&lt;/keywords&gt;&lt;titles&gt;&lt;title&gt;Bringing knowledge back in: from social constructivism to social realism in the sociology of education&lt;/title&gt;&lt;/titles&gt;&lt;contributors&gt;&lt;authors&gt;&lt;author&gt;Young, Michael F. D.&lt;/author&gt;&lt;/authors&gt;&lt;/contributors&gt;&lt;added-date format="utc"&gt;1452829937&lt;/added-date&gt;&lt;pub-location&gt;London&lt;/pub-location&gt;&lt;ref-type name="Book"&gt;6&lt;/ref-type&gt;&lt;dates&gt;&lt;year&gt;2008&lt;/year&gt;&lt;/dates&gt;&lt;rec-number&gt;208&lt;/rec-number&gt;&lt;publisher&gt;Routledge&lt;/publisher&gt;&lt;last-updated-date format="utc"&gt;1469229868&lt;/last-updated-date&gt;&lt;/record&gt;&lt;/Cite&gt;&lt;/EndNote&gt;</w:instrText>
      </w:r>
      <w:r w:rsidR="00482F84">
        <w:fldChar w:fldCharType="separate"/>
      </w:r>
      <w:r w:rsidR="00482F84">
        <w:rPr>
          <w:noProof/>
        </w:rPr>
        <w:t>(2008)</w:t>
      </w:r>
      <w:r w:rsidR="00482F84">
        <w:fldChar w:fldCharType="end"/>
      </w:r>
      <w:r w:rsidR="00482F84">
        <w:t xml:space="preserve"> calls ‘powerful’ knowledge. </w:t>
      </w:r>
      <w:r w:rsidR="00274115">
        <w:rPr>
          <w:color w:val="000000" w:themeColor="text1"/>
        </w:rPr>
        <w:t>This</w:t>
      </w:r>
      <w:r w:rsidR="00D66280" w:rsidRPr="00831BA0">
        <w:rPr>
          <w:color w:val="000000" w:themeColor="text1"/>
        </w:rPr>
        <w:t xml:space="preserve"> has implications for </w:t>
      </w:r>
      <w:r w:rsidR="00D66280">
        <w:rPr>
          <w:color w:val="000000" w:themeColor="text1"/>
        </w:rPr>
        <w:t>the</w:t>
      </w:r>
      <w:r w:rsidR="00D66280" w:rsidRPr="00831BA0">
        <w:rPr>
          <w:color w:val="000000" w:themeColor="text1"/>
        </w:rPr>
        <w:t xml:space="preserve"> conceptualis</w:t>
      </w:r>
      <w:r w:rsidR="00D66280">
        <w:rPr>
          <w:color w:val="000000" w:themeColor="text1"/>
        </w:rPr>
        <w:t>ation and study of</w:t>
      </w:r>
      <w:r w:rsidR="00D66280" w:rsidRPr="00831BA0">
        <w:rPr>
          <w:color w:val="000000" w:themeColor="text1"/>
        </w:rPr>
        <w:t xml:space="preserve"> universities. </w:t>
      </w:r>
      <w:r w:rsidR="00D66280">
        <w:rPr>
          <w:color w:val="000000" w:themeColor="text1"/>
        </w:rPr>
        <w:t xml:space="preserve">Perhaps most significantly, it </w:t>
      </w:r>
      <w:r w:rsidR="00274115">
        <w:rPr>
          <w:color w:val="000000" w:themeColor="text1"/>
        </w:rPr>
        <w:t>suggests</w:t>
      </w:r>
      <w:r w:rsidR="00D66280">
        <w:rPr>
          <w:color w:val="000000" w:themeColor="text1"/>
        </w:rPr>
        <w:t xml:space="preserve"> that the main factor determining the development and evolution of </w:t>
      </w:r>
      <w:r w:rsidR="00AD19F6">
        <w:rPr>
          <w:color w:val="000000" w:themeColor="text1"/>
        </w:rPr>
        <w:t>universities</w:t>
      </w:r>
      <w:r w:rsidR="00D66280">
        <w:rPr>
          <w:color w:val="000000" w:themeColor="text1"/>
        </w:rPr>
        <w:t xml:space="preserve"> is the proliferation and advancement of academic knowledge (B. R. Clark, 1983</w:t>
      </w:r>
      <w:r w:rsidR="005B3D07">
        <w:rPr>
          <w:color w:val="000000" w:themeColor="text1"/>
        </w:rPr>
        <w:t>)</w:t>
      </w:r>
      <w:r w:rsidR="00D66280">
        <w:rPr>
          <w:color w:val="000000" w:themeColor="text1"/>
        </w:rPr>
        <w:t xml:space="preserve">. </w:t>
      </w:r>
      <w:r w:rsidR="00D66280" w:rsidRPr="00831BA0">
        <w:t>This</w:t>
      </w:r>
      <w:r w:rsidR="00D66280" w:rsidRPr="00EB45DD">
        <w:t xml:space="preserve"> was emphasised </w:t>
      </w:r>
      <w:r w:rsidR="00D66280">
        <w:t>as far back as</w:t>
      </w:r>
      <w:r w:rsidR="00D66280" w:rsidRPr="00EB45DD">
        <w:t xml:space="preserve"> Durkheim’s (2013) lectures on the university</w:t>
      </w:r>
      <w:r w:rsidR="00E54EB3">
        <w:t xml:space="preserve"> –</w:t>
      </w:r>
      <w:r w:rsidR="00D66280" w:rsidRPr="00EB45DD">
        <w:t xml:space="preserve"> arguably the </w:t>
      </w:r>
      <w:r w:rsidR="00D66280">
        <w:t>first</w:t>
      </w:r>
      <w:r w:rsidR="00D66280" w:rsidRPr="00EB45DD">
        <w:t xml:space="preserve"> sociolog</w:t>
      </w:r>
      <w:r w:rsidR="00D66280">
        <w:t>ical analysis</w:t>
      </w:r>
      <w:r w:rsidR="00D66280" w:rsidRPr="00EB45DD">
        <w:t xml:space="preserve"> of higher education</w:t>
      </w:r>
      <w:r w:rsidR="00E54EB3">
        <w:t xml:space="preserve"> –</w:t>
      </w:r>
      <w:r w:rsidR="00D66280" w:rsidRPr="00EB45DD">
        <w:t xml:space="preserve"> </w:t>
      </w:r>
      <w:r w:rsidR="00D66280">
        <w:t xml:space="preserve">in which </w:t>
      </w:r>
      <w:r w:rsidR="00D66280" w:rsidRPr="00EB45DD">
        <w:t>he argued that the “</w:t>
      </w:r>
      <w:r w:rsidR="00D66280" w:rsidRPr="00EB45DD">
        <w:rPr>
          <w:i/>
        </w:rPr>
        <w:t>sui generis</w:t>
      </w:r>
      <w:r w:rsidR="00D66280" w:rsidRPr="00EB45DD">
        <w:t xml:space="preserve">” (p. 93, original emphasis) driving force of the European university had always been </w:t>
      </w:r>
    </w:p>
    <w:p w14:paraId="5B297002" w14:textId="77777777" w:rsidR="00D66280" w:rsidRPr="00EB45DD" w:rsidRDefault="00D66280" w:rsidP="001F5DB2">
      <w:pPr>
        <w:spacing w:after="120" w:line="240" w:lineRule="auto"/>
        <w:ind w:left="720"/>
        <w:rPr>
          <w:sz w:val="24"/>
          <w:szCs w:val="24"/>
        </w:rPr>
      </w:pPr>
      <w:r w:rsidRPr="00EB45DD">
        <w:rPr>
          <w:sz w:val="24"/>
          <w:szCs w:val="24"/>
          <w:lang w:eastAsia="ko-KR"/>
        </w:rPr>
        <w:t xml:space="preserve">“a profound feeling ... that the university would never fulfil its true destiny, would never achieve its true identity except in so far as it comprised a plurality or even the totality of the branches of human learning. It was ... an ideal ... towards which the university strove and was expected to strive. This is what we must not overlook if we wish to understand accurately the formation and development of the university. Over and above the external factors which brought it into existence and however these contingent factors affected it, as they certainly did with respect to the organisation of the university, there was still an </w:t>
      </w:r>
      <w:r w:rsidRPr="00EB45DD">
        <w:rPr>
          <w:i/>
          <w:sz w:val="24"/>
          <w:szCs w:val="24"/>
          <w:lang w:eastAsia="ko-KR"/>
        </w:rPr>
        <w:t>inter</w:t>
      </w:r>
      <w:r w:rsidRPr="00EB45DD">
        <w:rPr>
          <w:i/>
          <w:sz w:val="24"/>
          <w:szCs w:val="24"/>
        </w:rPr>
        <w:t xml:space="preserve">nal </w:t>
      </w:r>
      <w:r w:rsidRPr="00EB45DD">
        <w:rPr>
          <w:sz w:val="24"/>
          <w:szCs w:val="24"/>
        </w:rPr>
        <w:t>phenomenon without which they would have remained more or less sterile” (p. 93, original emphasis).</w:t>
      </w:r>
      <w:r w:rsidRPr="00EB45DD">
        <w:rPr>
          <w:i/>
          <w:sz w:val="24"/>
          <w:szCs w:val="24"/>
        </w:rPr>
        <w:t xml:space="preserve"> </w:t>
      </w:r>
    </w:p>
    <w:p w14:paraId="1BB655AC" w14:textId="0A1C35ED" w:rsidR="001E358C" w:rsidRDefault="00634D0E" w:rsidP="00D66280">
      <w:pPr>
        <w:pStyle w:val="NormalWeb"/>
        <w:spacing w:before="0" w:beforeAutospacing="0" w:after="120" w:afterAutospacing="0" w:line="360" w:lineRule="auto"/>
      </w:pPr>
      <w:r>
        <w:rPr>
          <w:color w:val="000000" w:themeColor="text1"/>
        </w:rPr>
        <w:t xml:space="preserve">This internal phenomenon is intimately tied up with the university’s unique relation to knowledge, whereby </w:t>
      </w:r>
      <w:r w:rsidR="00D66280">
        <w:rPr>
          <w:color w:val="000000" w:themeColor="text1"/>
        </w:rPr>
        <w:t xml:space="preserve">“knowledge is the ends as well as the means” </w:t>
      </w:r>
      <w:r w:rsidR="00D66280">
        <w:rPr>
          <w:color w:val="000000" w:themeColor="text1"/>
        </w:rPr>
        <w:fldChar w:fldCharType="begin"/>
      </w:r>
      <w:r w:rsidR="00D66280">
        <w:rPr>
          <w:color w:val="000000" w:themeColor="text1"/>
        </w:rPr>
        <w:instrText xml:space="preserve"> ADDIN EN.CITE &lt;EndNote&gt;&lt;Cite&gt;&lt;Author&gt;Clark&lt;/Author&gt;&lt;Year&gt;1987&lt;/Year&gt;&lt;IDText&gt;The Academic Life. Small Worlds, Different Worlds. A Carnegie Foundation Special Report&lt;/IDText&gt;&lt;Pages&gt;268&lt;/Pages&gt;&lt;DisplayText&gt;(B. R. Clark, 1987, p. 268)&lt;/DisplayText&gt;&lt;record&gt;&lt;urls&gt;&lt;related-urls&gt;&lt;url&gt;https://eric.ed.gov/?id=ED299902&lt;/url&gt;&lt;/related-urls&gt;&lt;/urls&gt;&lt;isbn&gt;0931050324&lt;/isbn&gt;&lt;titles&gt;&lt;title&gt;The Academic Life. Small Worlds, Different Worlds. A Carnegie Foundation Special Report&lt;/title&gt;&lt;/titles&gt;&lt;contributors&gt;&lt;authors&gt;&lt;author&gt;Clark, Burton R.&lt;/author&gt;&lt;/authors&gt;&lt;/contributors&gt;&lt;added-date format="utc"&gt;1537224151&lt;/added-date&gt;&lt;ref-type name="Report"&gt;27&lt;/ref-type&gt;&lt;dates&gt;&lt;year&gt;1987&lt;/year&gt;&lt;/dates&gt;&lt;rec-number&gt;7653&lt;/rec-number&gt;&lt;publisher&gt;Carnegie Foundation for the Advancement of Teaching&lt;/publisher&gt;&lt;last-updated-date format="utc"&gt;1537224498&lt;/last-updated-date&gt;&lt;/record&gt;&lt;/Cite&gt;&lt;/EndNote&gt;</w:instrText>
      </w:r>
      <w:r w:rsidR="00D66280">
        <w:rPr>
          <w:color w:val="000000" w:themeColor="text1"/>
        </w:rPr>
        <w:fldChar w:fldCharType="separate"/>
      </w:r>
      <w:r w:rsidR="00D66280">
        <w:rPr>
          <w:noProof/>
          <w:color w:val="000000" w:themeColor="text1"/>
        </w:rPr>
        <w:t>(B. R. Clark, 1987, p. 268)</w:t>
      </w:r>
      <w:r w:rsidR="00D66280">
        <w:rPr>
          <w:color w:val="000000" w:themeColor="text1"/>
        </w:rPr>
        <w:fldChar w:fldCharType="end"/>
      </w:r>
      <w:r w:rsidR="00D20FB3">
        <w:rPr>
          <w:color w:val="000000" w:themeColor="text1"/>
        </w:rPr>
        <w:t xml:space="preserve">. </w:t>
      </w:r>
      <w:r w:rsidR="00ED5BD9">
        <w:rPr>
          <w:color w:val="000000" w:themeColor="text1"/>
        </w:rPr>
        <w:t>B. R. Clark</w:t>
      </w:r>
      <w:r w:rsidR="009B3B7B">
        <w:rPr>
          <w:color w:val="000000" w:themeColor="text1"/>
        </w:rPr>
        <w:t xml:space="preserve"> </w:t>
      </w:r>
      <w:r w:rsidR="009B3B7B" w:rsidRPr="00590F06">
        <w:fldChar w:fldCharType="begin"/>
      </w:r>
      <w:r w:rsidR="00AF7243">
        <w:instrText xml:space="preserve"> ADDIN EN.CITE &lt;EndNote&gt;&lt;Cite ExcludeAuth="1"&gt;&lt;Author&gt;Clark&lt;/Author&gt;&lt;Year&gt;1983&lt;/Year&gt;&lt;IDText&gt;The higher education system: academic organisation in cross-national perspective&lt;/IDText&gt;&lt;DisplayText&gt;(1983)&lt;/DisplayText&gt;&lt;record&gt;&lt;keywords&gt;&lt;keyword&gt;Education, Higher&lt;/keyword&gt;&lt;keyword&gt;Education, Higher&lt;/keyword&gt;&lt;keyword&gt;Higher education Comparative studies&lt;/keyword&gt;&lt;/keywords&gt;&lt;titles&gt;&lt;title&gt;The higher education system: academic organisation in cross-national perspective&lt;/title&gt;&lt;/titles&gt;&lt;contributors&gt;&lt;authors&gt;&lt;author&gt;Clark, Burton R.&lt;/author&gt;&lt;/authors&gt;&lt;/contributors&gt;&lt;added-date format="utc"&gt;1458139548&lt;/added-date&gt;&lt;pub-location&gt;London&lt;/pub-location&gt;&lt;ref-type name="Book"&gt;6&lt;/ref-type&gt;&lt;dates&gt;&lt;year&gt;1983&lt;/year&gt;&lt;/dates&gt;&lt;rec-number&gt;294&lt;/rec-number&gt;&lt;publisher&gt;University of California Press&lt;/publisher&gt;&lt;last-updated-date format="utc"&gt;1470996932&lt;/last-updated-date&gt;&lt;/record&gt;&lt;/Cite&gt;&lt;/EndNote&gt;</w:instrText>
      </w:r>
      <w:r w:rsidR="009B3B7B" w:rsidRPr="00590F06">
        <w:fldChar w:fldCharType="separate"/>
      </w:r>
      <w:r w:rsidR="00AF7243">
        <w:rPr>
          <w:noProof/>
        </w:rPr>
        <w:t>(1983)</w:t>
      </w:r>
      <w:r w:rsidR="009B3B7B" w:rsidRPr="00590F06">
        <w:fldChar w:fldCharType="end"/>
      </w:r>
      <w:r w:rsidR="002927D9">
        <w:t xml:space="preserve"> has</w:t>
      </w:r>
      <w:r w:rsidR="009B3B7B" w:rsidRPr="00590F06">
        <w:t xml:space="preserve"> characterise</w:t>
      </w:r>
      <w:r w:rsidR="009B3B7B">
        <w:t>d</w:t>
      </w:r>
      <w:r w:rsidR="009B3B7B" w:rsidRPr="00590F06">
        <w:t xml:space="preserve"> knowledge as the “invisible material”</w:t>
      </w:r>
      <w:r w:rsidR="009B3B7B">
        <w:t xml:space="preserve"> </w:t>
      </w:r>
      <w:r w:rsidR="009B3B7B" w:rsidRPr="00590F06">
        <w:fldChar w:fldCharType="begin"/>
      </w:r>
      <w:r w:rsidR="009B3B7B">
        <w:instrText xml:space="preserve"> ADDIN EN.CITE &lt;EndNote&gt;&lt;Cite ExcludeAuth="1" ExcludeYear="1"&gt;&lt;Author&gt;Clark&lt;/Author&gt;&lt;Year&gt;1983&lt;/Year&gt;&lt;IDText&gt;The higher education system: academic organisation in cross-national perspective&lt;/IDText&gt;&lt;Pages&gt;12&lt;/Pages&gt;&lt;DisplayText&gt;(p. 12)&lt;/DisplayText&gt;&lt;record&gt;&lt;keywords&gt;&lt;keyword&gt;Education, Higher&lt;/keyword&gt;&lt;keyword&gt;Education, Higher&lt;/keyword&gt;&lt;keyword&gt;Higher education Comparative studies&lt;/keyword&gt;&lt;/keywords&gt;&lt;titles&gt;&lt;title&gt;The higher education system: academic organisation in cross-national perspective&lt;/title&gt;&lt;/titles&gt;&lt;contributors&gt;&lt;authors&gt;&lt;author&gt;Clark, Burton R.&lt;/author&gt;&lt;/authors&gt;&lt;/contributors&gt;&lt;added-date format="utc"&gt;1458139548&lt;/added-date&gt;&lt;pub-location&gt;London&lt;/pub-location&gt;&lt;ref-type name="Book"&gt;6&lt;/ref-type&gt;&lt;dates&gt;&lt;year&gt;1983&lt;/year&gt;&lt;/dates&gt;&lt;rec-number&gt;294&lt;/rec-number&gt;&lt;publisher&gt;University of California Press&lt;/publisher&gt;&lt;last-updated-date format="utc"&gt;1470996932&lt;/last-updated-date&gt;&lt;/record&gt;&lt;/Cite&gt;&lt;/EndNote&gt;</w:instrText>
      </w:r>
      <w:r w:rsidR="009B3B7B" w:rsidRPr="00590F06">
        <w:fldChar w:fldCharType="separate"/>
      </w:r>
      <w:r w:rsidR="009B3B7B">
        <w:rPr>
          <w:noProof/>
        </w:rPr>
        <w:t>(p. 12)</w:t>
      </w:r>
      <w:r w:rsidR="009B3B7B" w:rsidRPr="00590F06">
        <w:fldChar w:fldCharType="end"/>
      </w:r>
      <w:r w:rsidR="009B3B7B" w:rsidRPr="00590F06">
        <w:t xml:space="preserve"> upon which universities are founded</w:t>
      </w:r>
      <w:r w:rsidR="001002E7">
        <w:t>. Si</w:t>
      </w:r>
      <w:r w:rsidR="00C35A10">
        <w:t xml:space="preserve">milarly, knowledge might be thought of as the invisible </w:t>
      </w:r>
      <w:r w:rsidR="00C35A10" w:rsidRPr="00F763F8">
        <w:rPr>
          <w:i/>
        </w:rPr>
        <w:t>character</w:t>
      </w:r>
      <w:r w:rsidR="00C35A10">
        <w:t xml:space="preserve"> in</w:t>
      </w:r>
      <w:r w:rsidR="0057010B">
        <w:t xml:space="preserve"> my study</w:t>
      </w:r>
      <w:r w:rsidR="001002E7">
        <w:t>:</w:t>
      </w:r>
      <w:r w:rsidR="00516B46">
        <w:t xml:space="preserve"> </w:t>
      </w:r>
      <w:r w:rsidR="00520AD1">
        <w:t>the issue of how the knowledge base of society is organised, nurtured and mobilised</w:t>
      </w:r>
      <w:r w:rsidR="00DF2E21">
        <w:t xml:space="preserve"> (e.g. Bernstein, 2000; B. R. Clark, 1983; Etzkowitz &amp; Viale, 2010; Gumport, 2000)</w:t>
      </w:r>
      <w:r w:rsidR="00520AD1">
        <w:t xml:space="preserve"> underpins my interest in the topic</w:t>
      </w:r>
      <w:r w:rsidR="00F33B8E">
        <w:t>, while the</w:t>
      </w:r>
      <w:r w:rsidR="00DC504F">
        <w:t xml:space="preserve"> </w:t>
      </w:r>
      <w:r w:rsidR="00F33B8E">
        <w:t xml:space="preserve">knowledge-centred view of the university has shaped many aspects of the study. </w:t>
      </w:r>
      <w:r w:rsidR="00DC504F" w:rsidRPr="00F64D6D">
        <w:t>For example,</w:t>
      </w:r>
      <w:r w:rsidR="003E1AC0" w:rsidRPr="00F64D6D">
        <w:t xml:space="preserve"> my decision to focus on STEMM disciplines was largely grounded in my effort to</w:t>
      </w:r>
      <w:r w:rsidR="009F053F" w:rsidRPr="00F64D6D">
        <w:t xml:space="preserve"> extend the ways in which existing analyses have taken epistemic content into account (</w:t>
      </w:r>
      <w:r w:rsidR="00BF55DB" w:rsidRPr="00F64D6D">
        <w:t xml:space="preserve">see for example </w:t>
      </w:r>
      <w:r w:rsidR="009F053F" w:rsidRPr="00F64D6D">
        <w:t>Hoffman, 2011; Slaughter &amp; Leslie, 1997; Ylijoki, 2003)</w:t>
      </w:r>
      <w:r w:rsidR="00013D2E" w:rsidRPr="00F64D6D">
        <w:t xml:space="preserve">. By limiting my study to </w:t>
      </w:r>
      <w:r w:rsidR="003E1AC0" w:rsidRPr="00F64D6D">
        <w:t xml:space="preserve">STEMM fields, I </w:t>
      </w:r>
      <w:r w:rsidR="00013D2E" w:rsidRPr="00F64D6D">
        <w:t>have had greater</w:t>
      </w:r>
      <w:r w:rsidR="003E1AC0" w:rsidRPr="00F64D6D">
        <w:t xml:space="preserve"> scope to go into detail about the variation in knowledge content within STEMM, and </w:t>
      </w:r>
      <w:r w:rsidR="009457B9" w:rsidRPr="00F64D6D">
        <w:t>made myself</w:t>
      </w:r>
      <w:r w:rsidR="003E1AC0" w:rsidRPr="00F64D6D">
        <w:t xml:space="preserve"> well-placed to explore the impacts of </w:t>
      </w:r>
      <w:r w:rsidR="00CE0CB3" w:rsidRPr="00F64D6D">
        <w:t xml:space="preserve">(relatively subtle) </w:t>
      </w:r>
      <w:r w:rsidR="003E1AC0" w:rsidRPr="00F64D6D">
        <w:t>variations in knowledge content.</w:t>
      </w:r>
      <w:r w:rsidR="00587D37" w:rsidRPr="00F64D6D">
        <w:t xml:space="preserve"> My interest in knowledge content also informed my empirical approach, which was focused on capturing the </w:t>
      </w:r>
      <w:r w:rsidR="00587D37" w:rsidRPr="00F64D6D">
        <w:rPr>
          <w:i/>
        </w:rPr>
        <w:t>material traces</w:t>
      </w:r>
      <w:r w:rsidR="00587D37" w:rsidRPr="00F64D6D">
        <w:t xml:space="preserve"> of this “invisible material” </w:t>
      </w:r>
      <w:r w:rsidR="00587D37" w:rsidRPr="00F64D6D">
        <w:rPr>
          <w:color w:val="000000" w:themeColor="text1"/>
        </w:rPr>
        <w:fldChar w:fldCharType="begin"/>
      </w:r>
      <w:r w:rsidR="00587D37" w:rsidRPr="00F64D6D">
        <w:rPr>
          <w:color w:val="000000" w:themeColor="text1"/>
        </w:rPr>
        <w:instrText xml:space="preserve"> ADDIN EN.CITE &lt;EndNote&gt;&lt;Cite&gt;&lt;Author&gt;Clark&lt;/Author&gt;&lt;Year&gt;1987&lt;/Year&gt;&lt;IDText&gt;The Academic Life. Small Worlds, Different Worlds. A Carnegie Foundation Special Report&lt;/IDText&gt;&lt;Pages&gt;268&lt;/Pages&gt;&lt;DisplayText&gt;(B. R. Clark, 1987, p. 268)&lt;/DisplayText&gt;&lt;record&gt;&lt;urls&gt;&lt;related-urls&gt;&lt;url&gt;https://eric.ed.gov/?id=ED299902&lt;/url&gt;&lt;/related-urls&gt;&lt;/urls&gt;&lt;isbn&gt;0931050324&lt;/isbn&gt;&lt;titles&gt;&lt;title&gt;The Academic Life. Small Worlds, Different Worlds. A Carnegie Foundation Special Report&lt;/title&gt;&lt;/titles&gt;&lt;contributors&gt;&lt;authors&gt;&lt;author&gt;Clark, Burton R.&lt;/author&gt;&lt;/authors&gt;&lt;/contributors&gt;&lt;added-date format="utc"&gt;1537224151&lt;/added-date&gt;&lt;ref-type name="Report"&gt;27&lt;/ref-type&gt;&lt;dates&gt;&lt;year&gt;1987&lt;/year&gt;&lt;/dates&gt;&lt;rec-number&gt;7653&lt;/rec-number&gt;&lt;publisher&gt;Carnegie Foundation for the Advancement of Teaching&lt;/publisher&gt;&lt;last-updated-date format="utc"&gt;1537224498&lt;/last-updated-date&gt;&lt;/record&gt;&lt;/Cite&gt;&lt;/EndNote&gt;</w:instrText>
      </w:r>
      <w:r w:rsidR="00587D37" w:rsidRPr="00F64D6D">
        <w:rPr>
          <w:color w:val="000000" w:themeColor="text1"/>
        </w:rPr>
        <w:fldChar w:fldCharType="separate"/>
      </w:r>
      <w:r w:rsidR="00587D37" w:rsidRPr="00F64D6D">
        <w:rPr>
          <w:noProof/>
          <w:color w:val="000000" w:themeColor="text1"/>
        </w:rPr>
        <w:t>(B. R. Clark, 1987, p. 268)</w:t>
      </w:r>
      <w:r w:rsidR="00587D37" w:rsidRPr="00F64D6D">
        <w:rPr>
          <w:color w:val="000000" w:themeColor="text1"/>
        </w:rPr>
        <w:fldChar w:fldCharType="end"/>
      </w:r>
      <w:r w:rsidR="00587D37" w:rsidRPr="00F64D6D">
        <w:rPr>
          <w:color w:val="000000" w:themeColor="text1"/>
        </w:rPr>
        <w:t xml:space="preserve">, specifically, seeking </w:t>
      </w:r>
      <w:r w:rsidR="00587D37" w:rsidRPr="00F64D6D">
        <w:t>these material traces in documents and webpages pertaining to the design, purposes, context, production, dissemination and application of STEMM academic knowledge</w:t>
      </w:r>
      <w:r w:rsidR="00DE06FF" w:rsidRPr="00F64D6D">
        <w:t xml:space="preserve"> (</w:t>
      </w:r>
      <w:r w:rsidR="00587D37" w:rsidRPr="00F64D6D">
        <w:t>and supplement</w:t>
      </w:r>
      <w:r w:rsidR="00DE06FF" w:rsidRPr="00F64D6D">
        <w:t>ing</w:t>
      </w:r>
      <w:r w:rsidR="00587D37" w:rsidRPr="00F64D6D">
        <w:t xml:space="preserve"> these searches with participant interviews</w:t>
      </w:r>
      <w:r w:rsidR="00DE06FF" w:rsidRPr="00F64D6D">
        <w:t>)</w:t>
      </w:r>
      <w:r w:rsidR="00587D37" w:rsidRPr="00F64D6D">
        <w:t xml:space="preserve">. Such documentary-led approaches, although not a majority, are becoming more common in higher education research </w:t>
      </w:r>
      <w:r w:rsidR="00587D37" w:rsidRPr="00F64D6D">
        <w:fldChar w:fldCharType="begin"/>
      </w:r>
      <w:r w:rsidR="00587D37" w:rsidRPr="00F64D6D">
        <w:instrText xml:space="preserve"> ADDIN EN.CITE &lt;EndNote&gt;&lt;Cite&gt;&lt;Author&gt;Brennan&lt;/Author&gt;&lt;Year&gt;2016&lt;/Year&gt;&lt;IDText&gt;Diversity of Higher Education Institutions in Networked Knowledge Societies: A Comparative Examination&lt;/IDText&gt;&lt;DisplayText&gt;(Brennan, Papatsiba, Sousa, &amp;amp; Hoffman, 2016)&lt;/DisplayText&gt;&lt;record&gt;&lt;titles&gt;&lt;title&gt;Diversity of Higher Education Institutions in Networked Knowledge Societies: A Comparative Examination&lt;/title&gt;&lt;secondary-title&gt;Re-becoming universities?: higher education institutions in networked knowledge societies&lt;/secondary-title&gt;&lt;/titles&gt;&lt;contributors&gt;&lt;authors&gt;&lt;author&gt;Brennan, John&lt;/author&gt;&lt;author&gt;Papatsiba, Vassiliki&lt;/author&gt;&lt;author&gt;Sousa, Sofia Branco&lt;/author&gt;&lt;author&gt;Hoffman, David&lt;/author&gt;&lt;/authors&gt;&lt;/contributors&gt;&lt;added-date format="utc"&gt;1458844676&lt;/added-date&gt;&lt;pub-location&gt;Dordrecht&lt;/pub-location&gt;&lt;ref-type name="Book Section"&gt;5&lt;/ref-type&gt;&lt;dates&gt;&lt;year&gt;2016&lt;/year&gt;&lt;/dates&gt;&lt;rec-number&gt;323&lt;/rec-number&gt;&lt;publisher&gt;Springer&lt;/publisher&gt;&lt;last-updated-date format="utc"&gt;1560727286&lt;/last-updated-date&gt;&lt;contributors&gt;&lt;secondary-authors&gt;&lt;author&gt;Hoffman, David M.&lt;/author&gt;&lt;author&gt;Välimaa, Jussi&lt;/author&gt;&lt;/secondary-authors&gt;&lt;/contributors&gt;&lt;/record&gt;&lt;/Cite&gt;&lt;/EndNote&gt;</w:instrText>
      </w:r>
      <w:r w:rsidR="00587D37" w:rsidRPr="00F64D6D">
        <w:fldChar w:fldCharType="separate"/>
      </w:r>
      <w:r w:rsidR="00587D37" w:rsidRPr="00F64D6D">
        <w:rPr>
          <w:noProof/>
        </w:rPr>
        <w:t>(Brennan, Papatsiba, Sousa, &amp; Hoffman, 2016)</w:t>
      </w:r>
      <w:r w:rsidR="00587D37" w:rsidRPr="00F64D6D">
        <w:fldChar w:fldCharType="end"/>
      </w:r>
      <w:r w:rsidR="00587D37" w:rsidRPr="00F64D6D">
        <w:t>. This focus on documentary sources</w:t>
      </w:r>
      <w:r w:rsidR="004209D1" w:rsidRPr="00F64D6D">
        <w:t>,</w:t>
      </w:r>
      <w:r w:rsidR="00587D37" w:rsidRPr="00F64D6D">
        <w:t xml:space="preserve"> bounded by a focus on STEMM disciplines</w:t>
      </w:r>
      <w:r w:rsidR="004209D1" w:rsidRPr="00F64D6D">
        <w:t>,</w:t>
      </w:r>
      <w:r w:rsidR="00587D37" w:rsidRPr="00F64D6D">
        <w:t xml:space="preserve"> enabled me to engage</w:t>
      </w:r>
      <w:r w:rsidR="00040354" w:rsidRPr="00F64D6D">
        <w:t xml:space="preserve"> thoroughly with the </w:t>
      </w:r>
      <w:r w:rsidR="00A4646A" w:rsidRPr="00F64D6D">
        <w:t>epistemic</w:t>
      </w:r>
      <w:r w:rsidR="00040354" w:rsidRPr="00F64D6D">
        <w:t xml:space="preserve"> content of my sampled research (see</w:t>
      </w:r>
      <w:r w:rsidR="00040354">
        <w:t xml:space="preserve">, for example, my narrative accounts of each ‘BoR’ in Appendix </w:t>
      </w:r>
      <w:r w:rsidR="004D3BA5">
        <w:t>D</w:t>
      </w:r>
      <w:r w:rsidR="00040354">
        <w:t>)</w:t>
      </w:r>
      <w:r w:rsidR="00587D37">
        <w:t xml:space="preserve"> </w:t>
      </w:r>
      <w:r w:rsidR="002346DC">
        <w:t>and use tools</w:t>
      </w:r>
      <w:r w:rsidR="00040354">
        <w:t xml:space="preserve"> </w:t>
      </w:r>
      <w:r w:rsidR="0038125F">
        <w:fldChar w:fldCharType="begin"/>
      </w:r>
      <w:r w:rsidR="000C4E25">
        <w:instrText xml:space="preserve"> ADDIN EN.CITE &lt;EndNote&gt;&lt;Cite ExcludeAuth="1" ExcludeYear="1"&gt;&lt;Author&gt;McNie&lt;/Author&gt;&lt;Year&gt;2016&lt;/Year&gt;&lt;IDText&gt;Improving the public value of science: A typology to inform discussion, design and implementation of research&lt;/IDText&gt;&lt;Prefix&gt;i.e.`, the typology constructed by McNie`, Parris and Sarewitz`, 2016&lt;/Prefix&gt;&lt;DisplayText&gt;(i.e., the typology constructed by McNie, Parris and Sarewitz, 2016)&lt;/DisplayText&gt;&lt;record&gt;&lt;urls&gt;&lt;related-urls&gt;&lt;url&gt;https://www.scopus.com/inward/record.uri?eid=2-s2.0-84959431924&amp;amp;partnerID=40&amp;amp;md5=6e4fc01d19d1b61b09084e6d6aa244db&lt;/url&gt;&lt;/related-urls&gt;&lt;/urls&gt;&lt;work-type&gt;Article&lt;/work-type&gt;&lt;titles&gt;&lt;title&gt;Improving the public value of science: A typology to inform discussion, design and implementation of research&lt;/title&gt;&lt;secondary-title&gt;Research Policy&lt;/secondary-title&gt;&lt;/titles&gt;&lt;pages&gt;884-895&lt;/pages&gt;&lt;number&gt;4&lt;/number&gt;&lt;contributors&gt;&lt;authors&gt;&lt;author&gt;McNie, E. C.&lt;/author&gt;&lt;author&gt;Parris, A.&lt;/author&gt;&lt;author&gt;Sarewitz, D.&lt;/author&gt;&lt;/authors&gt;&lt;/contributors&gt;&lt;added-date format="utc"&gt;1473704837&lt;/added-date&gt;&lt;ref-type name="Journal Article"&gt;17&lt;/ref-type&gt;&lt;dates&gt;&lt;year&gt;2016&lt;/year&gt;&lt;/dates&gt;&lt;rec-number&gt;3484&lt;/rec-number&gt;&lt;last-updated-date format="utc"&gt;1473704837&lt;/last-updated-date&gt;&lt;electronic-resource-num&gt;10.1016/j.respol.2016.01.004&lt;/electronic-resource-num&gt;&lt;volume&gt;45&lt;/volume&gt;&lt;remote-database-name&gt;Scopus&lt;/remote-database-name&gt;&lt;/record&gt;&lt;/Cite&gt;&lt;/EndNote&gt;</w:instrText>
      </w:r>
      <w:r w:rsidR="0038125F">
        <w:fldChar w:fldCharType="separate"/>
      </w:r>
      <w:r w:rsidR="000C4E25">
        <w:rPr>
          <w:noProof/>
        </w:rPr>
        <w:t>(i.e., the typology constructed by McNie, Parris and Sarewitz, 2016)</w:t>
      </w:r>
      <w:r w:rsidR="0038125F">
        <w:fldChar w:fldCharType="end"/>
      </w:r>
      <w:r w:rsidR="002346DC">
        <w:t xml:space="preserve"> consistently</w:t>
      </w:r>
      <w:r w:rsidR="00587D37">
        <w:t xml:space="preserve">. </w:t>
      </w:r>
    </w:p>
    <w:p w14:paraId="7D4595FA" w14:textId="65F18D0B" w:rsidR="009B3B7B" w:rsidRDefault="00733DBE" w:rsidP="00D66280">
      <w:pPr>
        <w:pStyle w:val="NormalWeb"/>
        <w:spacing w:before="0" w:beforeAutospacing="0" w:after="120" w:afterAutospacing="0" w:line="360" w:lineRule="auto"/>
      </w:pPr>
      <w:r>
        <w:t>Another</w:t>
      </w:r>
      <w:r w:rsidR="00BA72C6">
        <w:t xml:space="preserve"> </w:t>
      </w:r>
      <w:r w:rsidR="007D221B">
        <w:t xml:space="preserve">important </w:t>
      </w:r>
      <w:r w:rsidR="00BA72C6">
        <w:t xml:space="preserve">concept associated with </w:t>
      </w:r>
      <w:r w:rsidR="00EE61FB">
        <w:t xml:space="preserve">how </w:t>
      </w:r>
      <w:r w:rsidR="00BA72C6">
        <w:t xml:space="preserve">academic </w:t>
      </w:r>
      <w:r w:rsidR="008B3D9D">
        <w:t>boundaries</w:t>
      </w:r>
      <w:r w:rsidR="00376B03">
        <w:t xml:space="preserve"> are confronted, crossed and reproduced</w:t>
      </w:r>
      <w:r w:rsidR="007D221B">
        <w:t xml:space="preserve">, but </w:t>
      </w:r>
      <w:r>
        <w:t xml:space="preserve">one which </w:t>
      </w:r>
      <w:r w:rsidR="00BD43F7">
        <w:t xml:space="preserve">only </w:t>
      </w:r>
      <w:r>
        <w:t xml:space="preserve">emerged from </w:t>
      </w:r>
      <w:r w:rsidR="00BD43F7">
        <w:t xml:space="preserve">later stages of the analysis of my </w:t>
      </w:r>
      <w:r>
        <w:t xml:space="preserve">research findings rather than one which I actively sought to </w:t>
      </w:r>
      <w:r w:rsidR="00BD43F7">
        <w:t>explore</w:t>
      </w:r>
      <w:r w:rsidR="00C257F1">
        <w:t xml:space="preserve"> initially</w:t>
      </w:r>
      <w:r>
        <w:t xml:space="preserve">, </w:t>
      </w:r>
      <w:r w:rsidR="00D965EF">
        <w:t>is</w:t>
      </w:r>
      <w:r w:rsidR="00BA72C6">
        <w:t xml:space="preserve"> that </w:t>
      </w:r>
      <w:r w:rsidR="00D965EF">
        <w:t>of</w:t>
      </w:r>
      <w:r w:rsidR="00BA72C6">
        <w:t xml:space="preserve"> ‘academic identity’ </w:t>
      </w:r>
      <w:r w:rsidR="009F7B6B">
        <w:fldChar w:fldCharType="begin">
          <w:fldData xml:space="preserve">PEVuZE5vdGU+PENpdGU+PEF1dGhvcj5CZXJuc3RlaW48L0F1dGhvcj48WWVhcj4yMDAwPC9ZZWFy
PjxJRFRleHQ+UGVkYWdvZ3ksIHN5bWJvbGljIGNvbnRyb2wsIGFuZCBpZGVudGl0eTogVGhlb3J5
LCByZXNlYXJjaCwgY3JpdGlxdWU8L0lEVGV4dD48RGlzcGxheVRleHQ+KEJlY2ssIDIwMDI7IEJl
cm5zdGVpbiwgMjAwMCwgMjAwMTsgQi4gUi4gQ2xhcmssIDE5NzIsIDE5ODM7IENvbnNpZGluZSwg
MjAwNjsgSGVua2VsLCAyMDA0KTwvRGlzcGxheVRleHQ+PHJlY29yZD48aXNibj4wODQ3Njk1NzZY
PC9pc2JuPjx0aXRsZXM+PHRpdGxlPlBlZGFnb2d5LCBzeW1ib2xpYyBjb250cm9sLCBhbmQgaWRl
bnRpdHk6IFRoZW9yeSwgcmVzZWFyY2gsIGNyaXRpcXVlPC90aXRsZT48L3RpdGxlcz48bnVtYmVy
PjQ8L251bWJlcj48Y29udHJpYnV0b3JzPjxhdXRob3JzPjxhdXRob3I+QmVybnN0ZWluLCBCYXNp
bDwvYXV0aG9yPjwvYXV0aG9ycz48L2NvbnRyaWJ1dG9ycz48ZWRpdGlvbj4ybmQ8L2VkaXRpb24+
PGFkZGVkLWRhdGUgZm9ybWF0PSJ1dGMiPjE0NTI3MjU4NTU8L2FkZGVkLWRhdGU+PHB1Yi1sb2Nh
dGlvbj5PeGZvcmQ8L3B1Yi1sb2NhdGlvbj48cmVmLXR5cGUgbmFtZT0iQm9vayI+NjwvcmVmLXR5
cGU+PGRhdGVzPjx5ZWFyPjIwMDA8L3llYXI+PC9kYXRlcz48cmVjLW51bWJlcj4xODU8L3JlYy1u
dW1iZXI+PHB1Ymxpc2hlcj5Sb3dtYW4gJmFtcDsgTGl0dGxlZmllbGQ8L3B1Ymxpc2hlcj48bGFz
dC11cGRhdGVkLWRhdGUgZm9ybWF0PSJ1dGMiPjE0Nzc3ODEyMDg8L2xhc3QtdXBkYXRlZC1kYXRl
PjwvcmVjb3JkPjwvQ2l0ZT48Q2l0ZT48QXV0aG9yPkJlcm5zdGVpbjwvQXV0aG9yPjxZZWFyPjIw
MDE8L1llYXI+PElEVGV4dD5TeW1ib2xpYyBjb250cm9sOiBJc3N1ZXMgb2YgZW1waXJpY2FsIGRl
c2NyaXB0aW9uIG9mIGFnZW5jaWVzIGFuZCBhZ2VudHM8L0lEVGV4dD48cmVjb3JkPjxrZXl3b3Jk
cz48a2V5d29yZD5Tb2NpYWwgQ2xhc3M8L2tleXdvcmQ+PGtleXdvcmQ+U29jaW9sb2dpY2FsIFRo
ZW9yeTwva2V5d29yZD48a2V5d29yZD5Tb2NpYWwgQ29udHJvbDwva2V5d29yZD48a2V5d29yZD5T
eW1ib2xpc208L2tleXdvcmQ+PGtleXdvcmQ+U29jaW9sb2d5OiBIaXN0b3J5IGFuZCBUaGVvcnk8
L2tleXdvcmQ+PGtleXdvcmQ+VGhlb3JpZXMsIElkZWFzLCAmYW1wOyBTeXN0ZW1zPC9rZXl3b3Jk
PjxrZXl3b3JkPkFydGljbGU8L2tleXdvcmQ+PC9rZXl3b3Jkcz48aXNibj4xMzY0LTU1Nzk8L2lz
Ym4+PHRpdGxlcz48dGl0bGU+U3ltYm9saWMgY29udHJvbDogSXNzdWVzIG9mIGVtcGlyaWNhbCBk
ZXNjcmlwdGlvbiBvZiBhZ2VuY2llcyBhbmQgYWdlbnRzPC90aXRsZT48c2Vjb25kYXJ5LXRpdGxl
PkludGVybmF0aW9uYWwgSm91cm5hbCBvZiBTb2NpYWwgUmVzZWFyY2ggTWV0aG9kb2xvZ3k8L3Nl
Y29uZGFyeS10aXRsZT48L3RpdGxlcz48cGFnZXM+MjEtMzM8L3BhZ2VzPjxudW1iZXI+MTwvbnVt
YmVyPjxjb250cmlidXRvcnM+PGF1dGhvcnM+PGF1dGhvcj5CZXJuc3RlaW4sIEJhc2lsPC9hdXRo
b3I+PC9hdXRob3JzPjwvY29udHJpYnV0b3JzPjxhZGRlZC1kYXRlIGZvcm1hdD0idXRjIj4xNTI3
Nzg3MTA4PC9hZGRlZC1kYXRlPjxyZWYtdHlwZSBuYW1lPSJKb3VybmFsIEFydGljbGUiPjE3PC9y
ZWYtdHlwZT48ZGF0ZXM+PHllYXI+MjAwMTwveWVhcj48L2RhdGVzPjxyZWMtbnVtYmVyPjc1MzQ8
L3JlYy1udW1iZXI+PHB1Ymxpc2hlcj5UYXlsb3IgJmFtcDsgRnJhbmNpcyBHcm91cDwvcHVibGlz
aGVyPjxsYXN0LXVwZGF0ZWQtZGF0ZSBmb3JtYXQ9InV0YyI+MTUyNzc4NzEwODwvbGFzdC11cGRh
dGVkLWRhdGU+PGVsZWN0cm9uaWMtcmVzb3VyY2UtbnVtPjEwLjEwODAvMTM2NDU1NzAxMTgwMTc8
L2VsZWN0cm9uaWMtcmVzb3VyY2UtbnVtPjx2b2x1bWU+NDwvdm9sdW1lPjwvcmVjb3JkPjwvQ2l0
ZT48Q2l0ZT48QXV0aG9yPkNsYXJrPC9BdXRob3I+PFllYXI+MTk4MzwvWWVhcj48SURUZXh0PlRo
ZSBoaWdoZXIgZWR1Y2F0aW9uIHN5c3RlbTogYWNhZGVtaWMgb3JnYW5pc2F0aW9uIGluIGNyb3Nz
LW5hdGlvbmFsIHBlcnNwZWN0aXZlPC9JRFRleHQ+PHJlY29yZD48a2V5d29yZHM+PGtleXdvcmQ+
RWR1Y2F0aW9uLCBIaWdoZXI8L2tleXdvcmQ+PGtleXdvcmQ+RWR1Y2F0aW9uLCBIaWdoZXI8L2tl
eXdvcmQ+PGtleXdvcmQ+SGlnaGVyIGVkdWNhdGlvbiBDb21wYXJhdGl2ZSBzdHVkaWVzPC9rZXl3
b3JkPjwva2V5d29yZHM+PHRpdGxlcz48dGl0bGU+VGhlIGhpZ2hlciBlZHVjYXRpb24gc3lzdGVt
OiBhY2FkZW1pYyBvcmdhbmlzYXRpb24gaW4gY3Jvc3MtbmF0aW9uYWwgcGVyc3BlY3RpdmU8L3Rp
dGxlPjwvdGl0bGVzPjxjb250cmlidXRvcnM+PGF1dGhvcnM+PGF1dGhvcj5DbGFyaywgQnVydG9u
IFIuPC9hdXRob3I+PC9hdXRob3JzPjwvY29udHJpYnV0b3JzPjxhZGRlZC1kYXRlIGZvcm1hdD0i
dXRjIj4xNDU4MTUzOTQ4PC9hZGRlZC1kYXRlPjxwdWItbG9jYXRpb24+TG9uZG9uPC9wdWItbG9j
YXRpb24+PHJlZi10eXBlIG5hbWU9IkJvb2siPjY8L3JlZi10eXBlPjxkYXRlcz48eWVhcj4xOTgz
PC95ZWFyPjwvZGF0ZXM+PHJlYy1udW1iZXI+Mjk0PC9yZWMtbnVtYmVyPjxwdWJsaXNoZXI+VW5p
dmVyc2l0eSBvZiBDYWxpZm9ybmlhIFByZXNzPC9wdWJsaXNoZXI+PGxhc3QtdXBkYXRlZC1kYXRl
IGZvcm1hdD0idXRjIj4xNDcxMDExMzMyPC9sYXN0LXVwZGF0ZWQtZGF0ZT48L3JlY29yZD48L0Np
dGU+PENpdGU+PEF1dGhvcj5CZWNrPC9BdXRob3I+PFllYXI+MjAwMjwvWWVhcj48SURUZXh0PlRo
ZSBTYWNyZWQgYW5kIHRoZSBQcm9mYW5lIGluIFJlY2VudCBTdHJ1Z2dsZXMgdG8gUHJvbW90ZSBP
ZmZpY2lhbCBQZWRhZ29naWMgSWRlbnRpdGllczwvSURUZXh0PjxyZWNvcmQ+PHVybHM+PHJlbGF0
ZWQtdXJscz48dXJsPmh0dHA6Ly93d3cuaW5mb3JtYXdvcmxkLmNvbS8xMC4xMDgwLzAxNDI1Njkw
MjIwMDAwMzg0Njg8L3VybD48L3JlbGF0ZWQtdXJscz48L3VybHM+PGlzYm4+MDE0Mi01NjkyICVb
IE1heSAyMSwgMjAwNzwvaXNibj48dGl0bGVzPjx0aXRsZT5UaGUgU2FjcmVkIGFuZCB0aGUgUHJv
ZmFuZSBpbiBSZWNlbnQgU3RydWdnbGVzIHRvIFByb21vdGUgT2ZmaWNpYWwgUGVkYWdvZ2ljIElk
ZW50aXRpZXM8L3RpdGxlPjxzZWNvbmRhcnktdGl0bGU+QnJpdGlzaCBKb3VybmFsIG9mIFNvY2lv
bG9neSBvZiBFZHVjYXRpb248L3NlY29uZGFyeS10aXRsZT48L3RpdGxlcz48cGFnZXM+NjE3LTYy
NjwvcGFnZXM+PHVybHM+PHBkZi11cmxzPjx1cmw+ZmlsZTovLy9DOi9Vc2Vycy9lbGllbF8wMDAv
QXBwRGF0YS9Mb2NhbC9NZW5kZWxleSBMdGQuL01lbmRlbGV5IERlc2t0b3AvRG93bmxvYWRlZC9C
ZWNrIC0gMjAwMiAtIFRoZSBTYWNyZWQgYW5kIHRoZSBQcm9mYW5lIGluIFJlY2VudCBTdHJ1Z2ds
ZXMgdG8gUHJvbW90ZSBPZmZpY2lhbCBQZWRhZ29naWMgSWRlbnRpdGllcy5wZGY8L3VybD48L3Bk
Zi11cmxzPjwvdXJscz48bnVtYmVyPjQ8L251bWJlcj48Y29udHJpYnV0b3JzPjxhdXRob3JzPjxh
dXRob3I+QmVjaywgSm9objwvYXV0aG9yPjwvYXV0aG9ycz48L2NvbnRyaWJ1dG9ycz48YWRkZWQt
ZGF0ZSBmb3JtYXQ9InV0YyI+MTQ1MjcyMjQyMzwvYWRkZWQtZGF0ZT48cmVmLXR5cGUgbmFtZT0i
Sm91cm5hbCBBcnRpY2xlIj4xNzwvcmVmLXR5cGU+PGRhdGVzPjx5ZWFyPjIwMDI8L3llYXI+PC9k
YXRlcz48cmVjLW51bWJlcj4zNjwvcmVjLW51bWJlcj48bGFzdC11cGRhdGVkLWRhdGUgZm9ybWF0
PSJ1dGMiPjE0NjkyMjk4Njg8L2xhc3QtdXBkYXRlZC1kYXRlPjxlbGVjdHJvbmljLXJlc291cmNl
LW51bT4xMC4xMDgwLzAxNDI1NjkwMjIwMDAwMzg0Njg8L2VsZWN0cm9uaWMtcmVzb3VyY2UtbnVt
Pjx2b2x1bWU+MjM8L3ZvbHVtZT48L3JlY29yZD48L0NpdGU+PENpdGU+PEF1dGhvcj5DbGFyazwv
QXV0aG9yPjxZZWFyPjE5NzI8L1llYXI+PElEVGV4dD5UaGUgT3JnYW5pemF0aW9uYWwgU2FnYSBp
biBIaWdoZXIgRWR1Y2F0aW9uPC9JRFRleHQ+PHJlY29yZD48a2V5d29yZHM+PGtleXdvcmQ+R292
ZXJubWVudDwva2V5d29yZD48a2V5d29yZD5CdXNpbmVzczwva2V5d29yZD48L2tleXdvcmRzPjxp
c2JuPjAwMDE4MzkyPC9pc2JuPjx0aXRsZXM+PHRpdGxlPlRoZSBPcmdhbml6YXRpb25hbCBTYWdh
IGluIEhpZ2hlciBFZHVjYXRpb248L3RpdGxlPjxzZWNvbmRhcnktdGl0bGU+QWRtaW5pc3RyYXRp
dmUgU2NpZW5jZSBRdWFydGVybHk8L3NlY29uZGFyeS10aXRsZT48L3RpdGxlcz48cGFnZXM+MTc4
LTE4NDwvcGFnZXM+PG51bWJlcj4yPC9udW1iZXI+PGNvbnRyaWJ1dG9ycz48YXV0aG9ycz48YXV0
aG9yPkNsYXJrLCBCdXJ0b24gUi48L2F1dGhvcj48L2F1dGhvcnM+PC9jb250cmlidXRvcnM+PGFk
ZGVkLWRhdGUgZm9ybWF0PSJ1dGMiPjE1MzA4NDEzODI8L2FkZGVkLWRhdGU+PHJlZi10eXBlIG5h
bWU9IkpvdXJuYWwgQXJ0aWNsZSI+MTc8L3JlZi10eXBlPjxkYXRlcz48eWVhcj4xOTcyPC95ZWFy
PjwvZGF0ZXM+PHJlYy1udW1iZXI+NzU5NzwvcmVjLW51bWJlcj48bGFzdC11cGRhdGVkLWRhdGUg
Zm9ybWF0PSJ1dGMiPjE1MzA4NDEzODI8L2xhc3QtdXBkYXRlZC1kYXRlPjxlbGVjdHJvbmljLXJl
c291cmNlLW51bT4xMC4yMzA3LzIzOTM5NTI8L2VsZWN0cm9uaWMtcmVzb3VyY2UtbnVtPjx2b2x1
bWU+MTc8L3ZvbHVtZT48L3JlY29yZD48L0NpdGU+PENpdGU+PEF1dGhvcj5Db25zaWRpbmU8L0F1
dGhvcj48WWVhcj4yMDA2PC9ZZWFyPjxJRFRleHQ+VGhlb3JpemluZyB0aGUgVW5pdmVyc2l0eSBh
cyBhIEN1bHR1cmFsIFN5c3RlbTogRGlzdGluY3Rpb25zLCBJZGVudGl0aWVzLCBFbWVyZ2VuY2ll
czwvSURUZXh0PjxyZWNvcmQ+PGtleXdvcmRzPjxrZXl3b3JkPkhpZ2hlciBFZHVjYXRpb248L2tl
eXdvcmQ+PGtleXdvcmQ+VW5pdmVyc2l0aWVzPC9rZXl3b3JkPjxrZXl3b3JkPkluc3RpdHV0aW9u
YWwgTWlzc2lvbjwva2V5d29yZD48a2V5d29yZD5Pcmdhbml6YXRpb25hbCBDdWx0dXJlPC9rZXl3
b3JkPjxrZXl3b3JkPkluc3RpdHV0aW9uYWwgQ2hhcmFjdGVyaXN0aWNzPC9rZXl3b3JkPjxrZXl3
b3JkPlN5c3RlbXMgQW5hbHlzaXM8L2tleXdvcmQ+PGtleXdvcmQ+SW5zdGl0dXRpb25hbCBFbnZp
cm9ubWVudDwva2V5d29yZD48a2V5d29yZD5Hb2FsIERldGVybWluYXRpb248L2tleXdvcmQ+PC9r
ZXl3b3Jkcz48aXNibj4wMDEzLTIwMDQ8L2lzYm4+PHRpdGxlcz48dGl0bGU+VGhlb3JpemluZyB0
aGUgVW5pdmVyc2l0eSBhcyBhIEN1bHR1cmFsIFN5c3RlbTogRGlzdGluY3Rpb25zLCBJZGVudGl0
aWVzLCBFbWVyZ2VuY2llczwvdGl0bGU+PHNlY29uZGFyeS10aXRsZT5FZHVjYXRpb25hbCBUaGVv
cnk8L3NlY29uZGFyeS10aXRsZT48L3RpdGxlcz48cGFnZXM+MjU1LTI3MDwvcGFnZXM+PG51bWJl
cj4zPC9udW1iZXI+PGNvbnRyaWJ1dG9ycz48YXV0aG9ycz48YXV0aG9yPkNvbnNpZGluZSwgTWFy
azwvYXV0aG9yPjwvYXV0aG9ycz48L2NvbnRyaWJ1dG9ycz48YWRkZWQtZGF0ZSBmb3JtYXQ9InV0
YyI+MTUxNzcxNTIyMzwvYWRkZWQtZGF0ZT48cHViLWxvY2F0aW9uPk1hbGRlbiwgVVNBPC9wdWIt
bG9jYXRpb24+PHJlZi10eXBlIG5hbWU9IkpvdXJuYWwgQXJ0aWNsZSI+MTc8L3JlZi10eXBlPjxk
YXRlcz48eWVhcj4yMDA2PC95ZWFyPjwvZGF0ZXM+PHJlYy1udW1iZXI+NzMyNjwvcmVjLW51bWJl
cj48bGFzdC11cGRhdGVkLWRhdGUgZm9ybWF0PSJ1dGMiPjE1MjIyNDQ3NDk8L2xhc3QtdXBkYXRl
ZC1kYXRlPjxlbGVjdHJvbmljLXJlc291cmNlLW51bT4xMC4xMTExL2ouMTc0MS01NDQ2LjIwMDYu
MDAyMzEueDwvZWxlY3Ryb25pYy1yZXNvdXJjZS1udW0+PHZvbHVtZT41Njwvdm9sdW1lPjwvcmVj
b3JkPjwvQ2l0ZT48Q2l0ZT48QXV0aG9yPkhlbmtlbDwvQXV0aG9yPjxZZWFyPjIwMDQ8L1llYXI+
PElEVGV4dD5DdXJyZW50IFNjaWVuY2UgUG9saWNpZXMgYW5kIHRoZWlyIEltcGxpY2F0aW9ucyBm
b3IgdGhlIEZvcm1hdGlvbiBhbmQgTWFpbnRlbmFuY2Ugb2YgQWNhZGVtaWMgSWRlbnRpdHk8L0lE
VGV4dD48cmVjb3JkPjxpc2JuPjA5NTItODczMzwvaXNibj48dGl0bGVzPjx0aXRsZT5DdXJyZW50
IFNjaWVuY2UgUG9saWNpZXMgYW5kIHRoZWlyIEltcGxpY2F0aW9ucyBmb3IgdGhlIEZvcm1hdGlv
biBhbmQgTWFpbnRlbmFuY2Ugb2YgQWNhZGVtaWMgSWRlbnRpdHk8L3RpdGxlPjxzZWNvbmRhcnkt
dGl0bGU+SGlnaGVyIEVkdWNhdGlvbiBQb2xpY3k8L3NlY29uZGFyeS10aXRsZT48L3RpdGxlcz48
cGFnZXM+MTY3PC9wYWdlcz48bnVtYmVyPjI8L251bWJlcj48Y29udHJpYnV0b3JzPjxhdXRob3Jz
PjxhdXRob3I+SGVua2VsLCBNYXJ5PC9hdXRob3I+PC9hdXRob3JzPjwvY29udHJpYnV0b3JzPjxh
ZGRlZC1kYXRlIGZvcm1hdD0idXRjIj4xNTI2MDc2NDY1PC9hZGRlZC1kYXRlPjxyZWYtdHlwZSBu
YW1lPSJKb3VybmFsIEFydGljbGUiPjE3PC9yZWYtdHlwZT48ZGF0ZXM+PHllYXI+MjAwNDwveWVh
cj48L2RhdGVzPjxyZWMtbnVtYmVyPjc1MTk8L3JlYy1udW1iZXI+PGxhc3QtdXBkYXRlZC1kYXRl
IGZvcm1hdD0idXRjIj4xNTI2MDc3MTY0PC9sYXN0LXVwZGF0ZWQtZGF0ZT48ZWxlY3Ryb25pYy1y
ZXNvdXJjZS1udW0+MTAuMTA1Ny9wYWxncmF2ZS5oZXAuODMwMDA0OTwvZWxlY3Ryb25pYy1yZXNv
dXJjZS1udW0+PHZvbHVtZT4xNzwvdm9sdW1lPjwvcmVjb3JkPjwvQ2l0ZT48Q2l0ZT48QXV0aG9y
PkhlbmtlbDwvQXV0aG9yPjxZZWFyPjIwMDQ8L1llYXI+PElEVGV4dD5DdXJyZW50IFNjaWVuY2Ug
UG9saWNpZXMgYW5kIHRoZWlyIEltcGxpY2F0aW9ucyBmb3IgdGhlIEZvcm1hdGlvbiBhbmQgTWFp
bnRlbmFuY2Ugb2YgQWNhZGVtaWMgSWRlbnRpdHk8L0lEVGV4dD48cmVjb3JkPjxpc2JuPjA5NTIt
ODczMzwvaXNibj48dGl0bGVzPjx0aXRsZT5DdXJyZW50IFNjaWVuY2UgUG9saWNpZXMgYW5kIHRo
ZWlyIEltcGxpY2F0aW9ucyBmb3IgdGhlIEZvcm1hdGlvbiBhbmQgTWFpbnRlbmFuY2Ugb2YgQWNh
ZGVtaWMgSWRlbnRpdHk8L3RpdGxlPjxzZWNvbmRhcnktdGl0bGU+SGlnaGVyIEVkdWNhdGlvbiBQ
b2xpY3k8L3NlY29uZGFyeS10aXRsZT48L3RpdGxlcz48cGFnZXM+MTY3PC9wYWdlcz48bnVtYmVy
PjI8L251bWJlcj48Y29udHJpYnV0b3JzPjxhdXRob3JzPjxhdXRob3I+SGVua2VsLCBNYXJ5PC9h
dXRob3I+PC9hdXRob3JzPjwvY29udHJpYnV0b3JzPjxhZGRlZC1kYXRlIGZvcm1hdD0idXRjIj4x
NTI2MDc2NDY1PC9hZGRlZC1kYXRlPjxyZWYtdHlwZSBuYW1lPSJKb3VybmFsIEFydGljbGUiPjE3
PC9yZWYtdHlwZT48ZGF0ZXM+PHllYXI+MjAwNDwveWVhcj48L2RhdGVzPjxyZWMtbnVtYmVyPjc1
MTk8L3JlYy1udW1iZXI+PGxhc3QtdXBkYXRlZC1kYXRlIGZvcm1hdD0idXRjIj4xNTI2MDc3MTY0
PC9sYXN0LXVwZGF0ZWQtZGF0ZT48ZWxlY3Ryb25pYy1yZXNvdXJjZS1udW0+MTAuMTA1Ny9wYWxn
cmF2ZS5oZXAuODMwMDA0OTwvZWxlY3Ryb25pYy1yZXNvdXJjZS1udW0+PHZvbHVtZT4xNzwvdm9s
dW1lPjwvcmVjb3JkPjwvQ2l0ZT48L0VuZE5vdGU+
</w:fldData>
        </w:fldChar>
      </w:r>
      <w:r w:rsidR="00AF7243">
        <w:instrText xml:space="preserve"> ADDIN EN.CITE </w:instrText>
      </w:r>
      <w:r w:rsidR="00AF7243">
        <w:fldChar w:fldCharType="begin">
          <w:fldData xml:space="preserve">PEVuZE5vdGU+PENpdGU+PEF1dGhvcj5CZXJuc3RlaW48L0F1dGhvcj48WWVhcj4yMDAwPC9ZZWFy
PjxJRFRleHQ+UGVkYWdvZ3ksIHN5bWJvbGljIGNvbnRyb2wsIGFuZCBpZGVudGl0eTogVGhlb3J5
LCByZXNlYXJjaCwgY3JpdGlxdWU8L0lEVGV4dD48RGlzcGxheVRleHQ+KEJlY2ssIDIwMDI7IEJl
cm5zdGVpbiwgMjAwMCwgMjAwMTsgQi4gUi4gQ2xhcmssIDE5NzIsIDE5ODM7IENvbnNpZGluZSwg
MjAwNjsgSGVua2VsLCAyMDA0KTwvRGlzcGxheVRleHQ+PHJlY29yZD48aXNibj4wODQ3Njk1NzZY
PC9pc2JuPjx0aXRsZXM+PHRpdGxlPlBlZGFnb2d5LCBzeW1ib2xpYyBjb250cm9sLCBhbmQgaWRl
bnRpdHk6IFRoZW9yeSwgcmVzZWFyY2gsIGNyaXRpcXVlPC90aXRsZT48L3RpdGxlcz48bnVtYmVy
PjQ8L251bWJlcj48Y29udHJpYnV0b3JzPjxhdXRob3JzPjxhdXRob3I+QmVybnN0ZWluLCBCYXNp
bDwvYXV0aG9yPjwvYXV0aG9ycz48L2NvbnRyaWJ1dG9ycz48ZWRpdGlvbj4ybmQ8L2VkaXRpb24+
PGFkZGVkLWRhdGUgZm9ybWF0PSJ1dGMiPjE0NTI3MjU4NTU8L2FkZGVkLWRhdGU+PHB1Yi1sb2Nh
dGlvbj5PeGZvcmQ8L3B1Yi1sb2NhdGlvbj48cmVmLXR5cGUgbmFtZT0iQm9vayI+NjwvcmVmLXR5
cGU+PGRhdGVzPjx5ZWFyPjIwMDA8L3llYXI+PC9kYXRlcz48cmVjLW51bWJlcj4xODU8L3JlYy1u
dW1iZXI+PHB1Ymxpc2hlcj5Sb3dtYW4gJmFtcDsgTGl0dGxlZmllbGQ8L3B1Ymxpc2hlcj48bGFz
dC11cGRhdGVkLWRhdGUgZm9ybWF0PSJ1dGMiPjE0Nzc3ODEyMDg8L2xhc3QtdXBkYXRlZC1kYXRl
PjwvcmVjb3JkPjwvQ2l0ZT48Q2l0ZT48QXV0aG9yPkJlcm5zdGVpbjwvQXV0aG9yPjxZZWFyPjIw
MDE8L1llYXI+PElEVGV4dD5TeW1ib2xpYyBjb250cm9sOiBJc3N1ZXMgb2YgZW1waXJpY2FsIGRl
c2NyaXB0aW9uIG9mIGFnZW5jaWVzIGFuZCBhZ2VudHM8L0lEVGV4dD48cmVjb3JkPjxrZXl3b3Jk
cz48a2V5d29yZD5Tb2NpYWwgQ2xhc3M8L2tleXdvcmQ+PGtleXdvcmQ+U29jaW9sb2dpY2FsIFRo
ZW9yeTwva2V5d29yZD48a2V5d29yZD5Tb2NpYWwgQ29udHJvbDwva2V5d29yZD48a2V5d29yZD5T
eW1ib2xpc208L2tleXdvcmQ+PGtleXdvcmQ+U29jaW9sb2d5OiBIaXN0b3J5IGFuZCBUaGVvcnk8
L2tleXdvcmQ+PGtleXdvcmQ+VGhlb3JpZXMsIElkZWFzLCAmYW1wOyBTeXN0ZW1zPC9rZXl3b3Jk
PjxrZXl3b3JkPkFydGljbGU8L2tleXdvcmQ+PC9rZXl3b3Jkcz48aXNibj4xMzY0LTU1Nzk8L2lz
Ym4+PHRpdGxlcz48dGl0bGU+U3ltYm9saWMgY29udHJvbDogSXNzdWVzIG9mIGVtcGlyaWNhbCBk
ZXNjcmlwdGlvbiBvZiBhZ2VuY2llcyBhbmQgYWdlbnRzPC90aXRsZT48c2Vjb25kYXJ5LXRpdGxl
PkludGVybmF0aW9uYWwgSm91cm5hbCBvZiBTb2NpYWwgUmVzZWFyY2ggTWV0aG9kb2xvZ3k8L3Nl
Y29uZGFyeS10aXRsZT48L3RpdGxlcz48cGFnZXM+MjEtMzM8L3BhZ2VzPjxudW1iZXI+MTwvbnVt
YmVyPjxjb250cmlidXRvcnM+PGF1dGhvcnM+PGF1dGhvcj5CZXJuc3RlaW4sIEJhc2lsPC9hdXRo
b3I+PC9hdXRob3JzPjwvY29udHJpYnV0b3JzPjxhZGRlZC1kYXRlIGZvcm1hdD0idXRjIj4xNTI3
Nzg3MTA4PC9hZGRlZC1kYXRlPjxyZWYtdHlwZSBuYW1lPSJKb3VybmFsIEFydGljbGUiPjE3PC9y
ZWYtdHlwZT48ZGF0ZXM+PHllYXI+MjAwMTwveWVhcj48L2RhdGVzPjxyZWMtbnVtYmVyPjc1MzQ8
L3JlYy1udW1iZXI+PHB1Ymxpc2hlcj5UYXlsb3IgJmFtcDsgRnJhbmNpcyBHcm91cDwvcHVibGlz
aGVyPjxsYXN0LXVwZGF0ZWQtZGF0ZSBmb3JtYXQ9InV0YyI+MTUyNzc4NzEwODwvbGFzdC11cGRh
dGVkLWRhdGU+PGVsZWN0cm9uaWMtcmVzb3VyY2UtbnVtPjEwLjEwODAvMTM2NDU1NzAxMTgwMTc8
L2VsZWN0cm9uaWMtcmVzb3VyY2UtbnVtPjx2b2x1bWU+NDwvdm9sdW1lPjwvcmVjb3JkPjwvQ2l0
ZT48Q2l0ZT48QXV0aG9yPkNsYXJrPC9BdXRob3I+PFllYXI+MTk4MzwvWWVhcj48SURUZXh0PlRo
ZSBoaWdoZXIgZWR1Y2F0aW9uIHN5c3RlbTogYWNhZGVtaWMgb3JnYW5pc2F0aW9uIGluIGNyb3Nz
LW5hdGlvbmFsIHBlcnNwZWN0aXZlPC9JRFRleHQ+PHJlY29yZD48a2V5d29yZHM+PGtleXdvcmQ+
RWR1Y2F0aW9uLCBIaWdoZXI8L2tleXdvcmQ+PGtleXdvcmQ+RWR1Y2F0aW9uLCBIaWdoZXI8L2tl
eXdvcmQ+PGtleXdvcmQ+SGlnaGVyIGVkdWNhdGlvbiBDb21wYXJhdGl2ZSBzdHVkaWVzPC9rZXl3
b3JkPjwva2V5d29yZHM+PHRpdGxlcz48dGl0bGU+VGhlIGhpZ2hlciBlZHVjYXRpb24gc3lzdGVt
OiBhY2FkZW1pYyBvcmdhbmlzYXRpb24gaW4gY3Jvc3MtbmF0aW9uYWwgcGVyc3BlY3RpdmU8L3Rp
dGxlPjwvdGl0bGVzPjxjb250cmlidXRvcnM+PGF1dGhvcnM+PGF1dGhvcj5DbGFyaywgQnVydG9u
IFIuPC9hdXRob3I+PC9hdXRob3JzPjwvY29udHJpYnV0b3JzPjxhZGRlZC1kYXRlIGZvcm1hdD0i
dXRjIj4xNDU4MTUzOTQ4PC9hZGRlZC1kYXRlPjxwdWItbG9jYXRpb24+TG9uZG9uPC9wdWItbG9j
YXRpb24+PHJlZi10eXBlIG5hbWU9IkJvb2siPjY8L3JlZi10eXBlPjxkYXRlcz48eWVhcj4xOTgz
PC95ZWFyPjwvZGF0ZXM+PHJlYy1udW1iZXI+Mjk0PC9yZWMtbnVtYmVyPjxwdWJsaXNoZXI+VW5p
dmVyc2l0eSBvZiBDYWxpZm9ybmlhIFByZXNzPC9wdWJsaXNoZXI+PGxhc3QtdXBkYXRlZC1kYXRl
IGZvcm1hdD0idXRjIj4xNDcxMDExMzMyPC9sYXN0LXVwZGF0ZWQtZGF0ZT48L3JlY29yZD48L0Np
dGU+PENpdGU+PEF1dGhvcj5CZWNrPC9BdXRob3I+PFllYXI+MjAwMjwvWWVhcj48SURUZXh0PlRo
ZSBTYWNyZWQgYW5kIHRoZSBQcm9mYW5lIGluIFJlY2VudCBTdHJ1Z2dsZXMgdG8gUHJvbW90ZSBP
ZmZpY2lhbCBQZWRhZ29naWMgSWRlbnRpdGllczwvSURUZXh0PjxyZWNvcmQ+PHVybHM+PHJlbGF0
ZWQtdXJscz48dXJsPmh0dHA6Ly93d3cuaW5mb3JtYXdvcmxkLmNvbS8xMC4xMDgwLzAxNDI1Njkw
MjIwMDAwMzg0Njg8L3VybD48L3JlbGF0ZWQtdXJscz48L3VybHM+PGlzYm4+MDE0Mi01NjkyICVb
IE1heSAyMSwgMjAwNzwvaXNibj48dGl0bGVzPjx0aXRsZT5UaGUgU2FjcmVkIGFuZCB0aGUgUHJv
ZmFuZSBpbiBSZWNlbnQgU3RydWdnbGVzIHRvIFByb21vdGUgT2ZmaWNpYWwgUGVkYWdvZ2ljIElk
ZW50aXRpZXM8L3RpdGxlPjxzZWNvbmRhcnktdGl0bGU+QnJpdGlzaCBKb3VybmFsIG9mIFNvY2lv
bG9neSBvZiBFZHVjYXRpb248L3NlY29uZGFyeS10aXRsZT48L3RpdGxlcz48cGFnZXM+NjE3LTYy
NjwvcGFnZXM+PHVybHM+PHBkZi11cmxzPjx1cmw+ZmlsZTovLy9DOi9Vc2Vycy9lbGllbF8wMDAv
QXBwRGF0YS9Mb2NhbC9NZW5kZWxleSBMdGQuL01lbmRlbGV5IERlc2t0b3AvRG93bmxvYWRlZC9C
ZWNrIC0gMjAwMiAtIFRoZSBTYWNyZWQgYW5kIHRoZSBQcm9mYW5lIGluIFJlY2VudCBTdHJ1Z2ds
ZXMgdG8gUHJvbW90ZSBPZmZpY2lhbCBQZWRhZ29naWMgSWRlbnRpdGllcy5wZGY8L3VybD48L3Bk
Zi11cmxzPjwvdXJscz48bnVtYmVyPjQ8L251bWJlcj48Y29udHJpYnV0b3JzPjxhdXRob3JzPjxh
dXRob3I+QmVjaywgSm9objwvYXV0aG9yPjwvYXV0aG9ycz48L2NvbnRyaWJ1dG9ycz48YWRkZWQt
ZGF0ZSBmb3JtYXQ9InV0YyI+MTQ1MjcyMjQyMzwvYWRkZWQtZGF0ZT48cmVmLXR5cGUgbmFtZT0i
Sm91cm5hbCBBcnRpY2xlIj4xNzwvcmVmLXR5cGU+PGRhdGVzPjx5ZWFyPjIwMDI8L3llYXI+PC9k
YXRlcz48cmVjLW51bWJlcj4zNjwvcmVjLW51bWJlcj48bGFzdC11cGRhdGVkLWRhdGUgZm9ybWF0
PSJ1dGMiPjE0NjkyMjk4Njg8L2xhc3QtdXBkYXRlZC1kYXRlPjxlbGVjdHJvbmljLXJlc291cmNl
LW51bT4xMC4xMDgwLzAxNDI1NjkwMjIwMDAwMzg0Njg8L2VsZWN0cm9uaWMtcmVzb3VyY2UtbnVt
Pjx2b2x1bWU+MjM8L3ZvbHVtZT48L3JlY29yZD48L0NpdGU+PENpdGU+PEF1dGhvcj5DbGFyazwv
QXV0aG9yPjxZZWFyPjE5NzI8L1llYXI+PElEVGV4dD5UaGUgT3JnYW5pemF0aW9uYWwgU2FnYSBp
biBIaWdoZXIgRWR1Y2F0aW9uPC9JRFRleHQ+PHJlY29yZD48a2V5d29yZHM+PGtleXdvcmQ+R292
ZXJubWVudDwva2V5d29yZD48a2V5d29yZD5CdXNpbmVzczwva2V5d29yZD48L2tleXdvcmRzPjxp
c2JuPjAwMDE4MzkyPC9pc2JuPjx0aXRsZXM+PHRpdGxlPlRoZSBPcmdhbml6YXRpb25hbCBTYWdh
IGluIEhpZ2hlciBFZHVjYXRpb248L3RpdGxlPjxzZWNvbmRhcnktdGl0bGU+QWRtaW5pc3RyYXRp
dmUgU2NpZW5jZSBRdWFydGVybHk8L3NlY29uZGFyeS10aXRsZT48L3RpdGxlcz48cGFnZXM+MTc4
LTE4NDwvcGFnZXM+PG51bWJlcj4yPC9udW1iZXI+PGNvbnRyaWJ1dG9ycz48YXV0aG9ycz48YXV0
aG9yPkNsYXJrLCBCdXJ0b24gUi48L2F1dGhvcj48L2F1dGhvcnM+PC9jb250cmlidXRvcnM+PGFk
ZGVkLWRhdGUgZm9ybWF0PSJ1dGMiPjE1MzA4NDEzODI8L2FkZGVkLWRhdGU+PHJlZi10eXBlIG5h
bWU9IkpvdXJuYWwgQXJ0aWNsZSI+MTc8L3JlZi10eXBlPjxkYXRlcz48eWVhcj4xOTcyPC95ZWFy
PjwvZGF0ZXM+PHJlYy1udW1iZXI+NzU5NzwvcmVjLW51bWJlcj48bGFzdC11cGRhdGVkLWRhdGUg
Zm9ybWF0PSJ1dGMiPjE1MzA4NDEzODI8L2xhc3QtdXBkYXRlZC1kYXRlPjxlbGVjdHJvbmljLXJl
c291cmNlLW51bT4xMC4yMzA3LzIzOTM5NTI8L2VsZWN0cm9uaWMtcmVzb3VyY2UtbnVtPjx2b2x1
bWU+MTc8L3ZvbHVtZT48L3JlY29yZD48L0NpdGU+PENpdGU+PEF1dGhvcj5Db25zaWRpbmU8L0F1
dGhvcj48WWVhcj4yMDA2PC9ZZWFyPjxJRFRleHQ+VGhlb3JpemluZyB0aGUgVW5pdmVyc2l0eSBh
cyBhIEN1bHR1cmFsIFN5c3RlbTogRGlzdGluY3Rpb25zLCBJZGVudGl0aWVzLCBFbWVyZ2VuY2ll
czwvSURUZXh0PjxyZWNvcmQ+PGtleXdvcmRzPjxrZXl3b3JkPkhpZ2hlciBFZHVjYXRpb248L2tl
eXdvcmQ+PGtleXdvcmQ+VW5pdmVyc2l0aWVzPC9rZXl3b3JkPjxrZXl3b3JkPkluc3RpdHV0aW9u
YWwgTWlzc2lvbjwva2V5d29yZD48a2V5d29yZD5Pcmdhbml6YXRpb25hbCBDdWx0dXJlPC9rZXl3
b3JkPjxrZXl3b3JkPkluc3RpdHV0aW9uYWwgQ2hhcmFjdGVyaXN0aWNzPC9rZXl3b3JkPjxrZXl3
b3JkPlN5c3RlbXMgQW5hbHlzaXM8L2tleXdvcmQ+PGtleXdvcmQ+SW5zdGl0dXRpb25hbCBFbnZp
cm9ubWVudDwva2V5d29yZD48a2V5d29yZD5Hb2FsIERldGVybWluYXRpb248L2tleXdvcmQ+PC9r
ZXl3b3Jkcz48aXNibj4wMDEzLTIwMDQ8L2lzYm4+PHRpdGxlcz48dGl0bGU+VGhlb3JpemluZyB0
aGUgVW5pdmVyc2l0eSBhcyBhIEN1bHR1cmFsIFN5c3RlbTogRGlzdGluY3Rpb25zLCBJZGVudGl0
aWVzLCBFbWVyZ2VuY2llczwvdGl0bGU+PHNlY29uZGFyeS10aXRsZT5FZHVjYXRpb25hbCBUaGVv
cnk8L3NlY29uZGFyeS10aXRsZT48L3RpdGxlcz48cGFnZXM+MjU1LTI3MDwvcGFnZXM+PG51bWJl
cj4zPC9udW1iZXI+PGNvbnRyaWJ1dG9ycz48YXV0aG9ycz48YXV0aG9yPkNvbnNpZGluZSwgTWFy
azwvYXV0aG9yPjwvYXV0aG9ycz48L2NvbnRyaWJ1dG9ycz48YWRkZWQtZGF0ZSBmb3JtYXQ9InV0
YyI+MTUxNzcxNTIyMzwvYWRkZWQtZGF0ZT48cHViLWxvY2F0aW9uPk1hbGRlbiwgVVNBPC9wdWIt
bG9jYXRpb24+PHJlZi10eXBlIG5hbWU9IkpvdXJuYWwgQXJ0aWNsZSI+MTc8L3JlZi10eXBlPjxk
YXRlcz48eWVhcj4yMDA2PC95ZWFyPjwvZGF0ZXM+PHJlYy1udW1iZXI+NzMyNjwvcmVjLW51bWJl
cj48bGFzdC11cGRhdGVkLWRhdGUgZm9ybWF0PSJ1dGMiPjE1MjIyNDQ3NDk8L2xhc3QtdXBkYXRl
ZC1kYXRlPjxlbGVjdHJvbmljLXJlc291cmNlLW51bT4xMC4xMTExL2ouMTc0MS01NDQ2LjIwMDYu
MDAyMzEueDwvZWxlY3Ryb25pYy1yZXNvdXJjZS1udW0+PHZvbHVtZT41Njwvdm9sdW1lPjwvcmVj
b3JkPjwvQ2l0ZT48Q2l0ZT48QXV0aG9yPkhlbmtlbDwvQXV0aG9yPjxZZWFyPjIwMDQ8L1llYXI+
PElEVGV4dD5DdXJyZW50IFNjaWVuY2UgUG9saWNpZXMgYW5kIHRoZWlyIEltcGxpY2F0aW9ucyBm
b3IgdGhlIEZvcm1hdGlvbiBhbmQgTWFpbnRlbmFuY2Ugb2YgQWNhZGVtaWMgSWRlbnRpdHk8L0lE
VGV4dD48cmVjb3JkPjxpc2JuPjA5NTItODczMzwvaXNibj48dGl0bGVzPjx0aXRsZT5DdXJyZW50
IFNjaWVuY2UgUG9saWNpZXMgYW5kIHRoZWlyIEltcGxpY2F0aW9ucyBmb3IgdGhlIEZvcm1hdGlv
biBhbmQgTWFpbnRlbmFuY2Ugb2YgQWNhZGVtaWMgSWRlbnRpdHk8L3RpdGxlPjxzZWNvbmRhcnkt
dGl0bGU+SGlnaGVyIEVkdWNhdGlvbiBQb2xpY3k8L3NlY29uZGFyeS10aXRsZT48L3RpdGxlcz48
cGFnZXM+MTY3PC9wYWdlcz48bnVtYmVyPjI8L251bWJlcj48Y29udHJpYnV0b3JzPjxhdXRob3Jz
PjxhdXRob3I+SGVua2VsLCBNYXJ5PC9hdXRob3I+PC9hdXRob3JzPjwvY29udHJpYnV0b3JzPjxh
ZGRlZC1kYXRlIGZvcm1hdD0idXRjIj4xNTI2MDc2NDY1PC9hZGRlZC1kYXRlPjxyZWYtdHlwZSBu
YW1lPSJKb3VybmFsIEFydGljbGUiPjE3PC9yZWYtdHlwZT48ZGF0ZXM+PHllYXI+MjAwNDwveWVh
cj48L2RhdGVzPjxyZWMtbnVtYmVyPjc1MTk8L3JlYy1udW1iZXI+PGxhc3QtdXBkYXRlZC1kYXRl
IGZvcm1hdD0idXRjIj4xNTI2MDc3MTY0PC9sYXN0LXVwZGF0ZWQtZGF0ZT48ZWxlY3Ryb25pYy1y
ZXNvdXJjZS1udW0+MTAuMTA1Ny9wYWxncmF2ZS5oZXAuODMwMDA0OTwvZWxlY3Ryb25pYy1yZXNv
dXJjZS1udW0+PHZvbHVtZT4xNzwvdm9sdW1lPjwvcmVjb3JkPjwvQ2l0ZT48Q2l0ZT48QXV0aG9y
PkhlbmtlbDwvQXV0aG9yPjxZZWFyPjIwMDQ8L1llYXI+PElEVGV4dD5DdXJyZW50IFNjaWVuY2Ug
UG9saWNpZXMgYW5kIHRoZWlyIEltcGxpY2F0aW9ucyBmb3IgdGhlIEZvcm1hdGlvbiBhbmQgTWFp
bnRlbmFuY2Ugb2YgQWNhZGVtaWMgSWRlbnRpdHk8L0lEVGV4dD48cmVjb3JkPjxpc2JuPjA5NTIt
ODczMzwvaXNibj48dGl0bGVzPjx0aXRsZT5DdXJyZW50IFNjaWVuY2UgUG9saWNpZXMgYW5kIHRo
ZWlyIEltcGxpY2F0aW9ucyBmb3IgdGhlIEZvcm1hdGlvbiBhbmQgTWFpbnRlbmFuY2Ugb2YgQWNh
ZGVtaWMgSWRlbnRpdHk8L3RpdGxlPjxzZWNvbmRhcnktdGl0bGU+SGlnaGVyIEVkdWNhdGlvbiBQ
b2xpY3k8L3NlY29uZGFyeS10aXRsZT48L3RpdGxlcz48cGFnZXM+MTY3PC9wYWdlcz48bnVtYmVy
PjI8L251bWJlcj48Y29udHJpYnV0b3JzPjxhdXRob3JzPjxhdXRob3I+SGVua2VsLCBNYXJ5PC9h
dXRob3I+PC9hdXRob3JzPjwvY29udHJpYnV0b3JzPjxhZGRlZC1kYXRlIGZvcm1hdD0idXRjIj4x
NTI2MDc2NDY1PC9hZGRlZC1kYXRlPjxyZWYtdHlwZSBuYW1lPSJKb3VybmFsIEFydGljbGUiPjE3
PC9yZWYtdHlwZT48ZGF0ZXM+PHllYXI+MjAwNDwveWVhcj48L2RhdGVzPjxyZWMtbnVtYmVyPjc1
MTk8L3JlYy1udW1iZXI+PGxhc3QtdXBkYXRlZC1kYXRlIGZvcm1hdD0idXRjIj4xNTI2MDc3MTY0
PC9sYXN0LXVwZGF0ZWQtZGF0ZT48ZWxlY3Ryb25pYy1yZXNvdXJjZS1udW0+MTAuMTA1Ny9wYWxn
cmF2ZS5oZXAuODMwMDA0OTwvZWxlY3Ryb25pYy1yZXNvdXJjZS1udW0+PHZvbHVtZT4xNzwvdm9s
dW1lPjwvcmVjb3JkPjwvQ2l0ZT48L0VuZE5vdGU+
</w:fldData>
        </w:fldChar>
      </w:r>
      <w:r w:rsidR="00AF7243">
        <w:instrText xml:space="preserve"> ADDIN EN.CITE.DATA </w:instrText>
      </w:r>
      <w:r w:rsidR="00AF7243">
        <w:fldChar w:fldCharType="end"/>
      </w:r>
      <w:r w:rsidR="009F7B6B">
        <w:fldChar w:fldCharType="separate"/>
      </w:r>
      <w:r w:rsidR="00AF7243">
        <w:rPr>
          <w:noProof/>
        </w:rPr>
        <w:t>(Beck, 2002; Bernstein, 2000, 2001; B. R. Clark, 1972, 1983; Considine, 2006; Henkel, 2004)</w:t>
      </w:r>
      <w:r w:rsidR="009F7B6B">
        <w:fldChar w:fldCharType="end"/>
      </w:r>
      <w:r w:rsidR="008B3D9D">
        <w:t xml:space="preserve">. </w:t>
      </w:r>
      <w:r w:rsidR="00C06F71">
        <w:t xml:space="preserve">The interview data </w:t>
      </w:r>
      <w:r w:rsidR="00B5534F">
        <w:t>revealed that the</w:t>
      </w:r>
      <w:r w:rsidR="000D705A">
        <w:t xml:space="preserve"> academic identities of those </w:t>
      </w:r>
      <w:r w:rsidR="00B5534F">
        <w:t xml:space="preserve">academics </w:t>
      </w:r>
      <w:r w:rsidR="000D705A">
        <w:t>involved in my sample of research</w:t>
      </w:r>
      <w:r w:rsidR="00B5534F">
        <w:t>, both in terms of their own sense of their academic identity and in the way that academic identities are perceived by non-academics,</w:t>
      </w:r>
      <w:r w:rsidR="000D705A">
        <w:t xml:space="preserve"> was an important factor </w:t>
      </w:r>
      <w:r w:rsidR="00B5534F">
        <w:t>influencing boundary transactions and, in turn, academic boundaries</w:t>
      </w:r>
      <w:r w:rsidR="000D705A">
        <w:t>.</w:t>
      </w:r>
      <w:r w:rsidR="00BD43F7">
        <w:t xml:space="preserve"> Therefore,</w:t>
      </w:r>
      <w:r w:rsidR="000D705A">
        <w:t xml:space="preserve"> </w:t>
      </w:r>
      <w:r w:rsidR="00BD43F7">
        <w:t xml:space="preserve">although my Discussion (Chapter 5) </w:t>
      </w:r>
      <w:r w:rsidR="007B2B6C">
        <w:t>can</w:t>
      </w:r>
      <w:r w:rsidR="00BD43F7">
        <w:t xml:space="preserve"> draw </w:t>
      </w:r>
      <w:r w:rsidR="007B2B6C">
        <w:t xml:space="preserve">some </w:t>
      </w:r>
      <w:r w:rsidR="00BD43F7">
        <w:t>relevant conclusions</w:t>
      </w:r>
      <w:r w:rsidR="007B2B6C">
        <w:t xml:space="preserve"> about the role of academic identity</w:t>
      </w:r>
      <w:r w:rsidR="00BD43F7">
        <w:t xml:space="preserve">, I am not able to do full justice to the apparent significance of this concept in this thesis. </w:t>
      </w:r>
      <w:r w:rsidR="00376B03">
        <w:t>A greater focus on academic identity</w:t>
      </w:r>
      <w:r w:rsidR="001367AD">
        <w:t xml:space="preserve"> would require </w:t>
      </w:r>
      <w:r w:rsidR="007B2B6C">
        <w:t xml:space="preserve">following in the footsteps of </w:t>
      </w:r>
      <w:r w:rsidR="001367AD">
        <w:t xml:space="preserve">existing </w:t>
      </w:r>
      <w:r w:rsidR="00991020">
        <w:t>research</w:t>
      </w:r>
      <w:r w:rsidR="001367AD">
        <w:t xml:space="preserve"> that has</w:t>
      </w:r>
      <w:r w:rsidR="00C30688">
        <w:t xml:space="preserve"> </w:t>
      </w:r>
      <w:r w:rsidR="001361B5">
        <w:t>made</w:t>
      </w:r>
      <w:r w:rsidR="009C7908">
        <w:t xml:space="preserve"> the perceptions, experiences and narratives of individuals </w:t>
      </w:r>
      <w:r w:rsidR="001361B5">
        <w:t>more central to their</w:t>
      </w:r>
      <w:r w:rsidR="009C7908">
        <w:t xml:space="preserve"> </w:t>
      </w:r>
      <w:r w:rsidR="00305BC4">
        <w:t>analysis</w:t>
      </w:r>
      <w:r w:rsidR="00626E61">
        <w:t xml:space="preserve"> </w:t>
      </w:r>
      <w:r w:rsidR="00626E61">
        <w:fldChar w:fldCharType="begin">
          <w:fldData xml:space="preserve">PEVuZE5vdGU+PENpdGU+PEF1dGhvcj5BcmNoZXI8L0F1dGhvcj48WWVhcj4yMDA4PC9ZZWFyPjxJ
RFRleHQ+VGhlIG5ldyBuZW9saWJlcmFsIHN1YmplY3RzPyBZb3VuZy9lciBhY2FkZW1pY3PigJkg
Y29uc3RydWN0aW9ucyBvZiBwcm9mZXNzaW9uYWwgaWRlbnRpdHk8L0lEVGV4dD48RGlzcGxheVRl
eHQ+KEFyY2hlciwgMjAwODsgQ2h1YmIgJmFtcDsgV2F0ZXJtZXllciwgMjAxNzsgQ2h1YmIsIFdh
dGVybWV5ZXIsICZhbXA7IFdha2VsaW5nLCAyMDE3OyBXYXRlcm1leWVyLCAyMDE1LCAyMDE2Yik8
L0Rpc3BsYXlUZXh0PjxyZWNvcmQ+PGtleXdvcmRzPjxrZXl3b3JkPkhpZ2hlciBFZHVjYXRpb248
L2tleXdvcmQ+PGtleXdvcmQ+QWNhZGVtaWM8L2tleXdvcmQ+PGtleXdvcmQ+SWRlbnRpdHk8L2tl
eXdvcmQ+PGtleXdvcmQ+TWFuYWdlcmlhbGlzbTwva2V5d29yZD48a2V5d29yZD5Qcm9mZXNzaW9u
YWw8L2tleXdvcmQ+PC9rZXl3b3Jkcz48aXNibj4wMjY4LTA5Mzk8L2lzYm4+PHRpdGxlcz48dGl0
bGU+VGhlIG5ldyBuZW9saWJlcmFsIHN1YmplY3RzPyBZb3VuZy9lciBhY2FkZW1pY3PigJkgY29u
c3RydWN0aW9ucyBvZiBwcm9mZXNzaW9uYWwgaWRlbnRpdHk8L3RpdGxlPjxzZWNvbmRhcnktdGl0
bGU+Sm91cm5hbCBvZiBFZHVjYXRpb24gUG9saWN5PC9zZWNvbmRhcnktdGl0bGU+PC90aXRsZXM+
PHBhZ2VzPjI2NS0yODU8L3BhZ2VzPjxudW1iZXI+MzwvbnVtYmVyPjxjb250cmlidXRvcnM+PGF1
dGhvcnM+PGF1dGhvcj5BcmNoZXIsIExvdWlzZTwvYXV0aG9yPjwvYXV0aG9ycz48L2NvbnRyaWJ1
dG9ycz48YWRkZWQtZGF0ZSBmb3JtYXQ9InV0YyI+MTQ1ODg2NTcyNjwvYWRkZWQtZGF0ZT48cmVm
LXR5cGUgbmFtZT0iSm91cm5hbCBBcnRpY2xlIj4xNzwvcmVmLXR5cGU+PGRhdGVzPjx5ZWFyPjIw
MDg8L3llYXI+PC9kYXRlcz48cmVjLW51bWJlcj4zNDA8L3JlYy1udW1iZXI+PHB1Ymxpc2hlcj5S
b3V0bGVkZ2U8L3B1Ymxpc2hlcj48bGFzdC11cGRhdGVkLWRhdGUgZm9ybWF0PSJ1dGMiPjE0Njky
Mjk4Njg8L2xhc3QtdXBkYXRlZC1kYXRlPjxlbGVjdHJvbmljLXJlc291cmNlLW51bT4xMC4xMDgw
LzAyNjgwOTMwNzAxNzU0MDQ3PC9lbGVjdHJvbmljLXJlc291cmNlLW51bT48dm9sdW1lPjIzPC92
b2x1bWU+PC9yZWNvcmQ+PC9DaXRlPjxDaXRlPjxBdXRob3I+Q2h1YmI8L0F1dGhvcj48WWVhcj4y
MDE3PC9ZZWFyPjxJRFRleHQ+QXJ0aWZpY2Ugb3IgaW50ZWdyaXR5IGluIHRoZSBtYXJrZXRpemF0
aW9uIG9mIHJlc2VhcmNoIGltcGFjdD8gSW52ZXN0aWdhdGluZyB0aGUgbW9yYWwgZWNvbm9teSBv
ZiAocGF0aHdheXMgdG8pIGltcGFjdCBzdGF0ZW1lbnRzIHdpdGhpbiByZXNlYXJjaCBmdW5kaW5n
IHByb3Bvc2FscyBpbiB0aGUgVUsgYW5kIEF1c3RyYWxpYTwvSURUZXh0PjxyZWNvcmQ+PGtleXdv
cmRzPjxrZXl3b3JkPkFydGljbGU8L2tleXdvcmQ+PGtleXdvcmQ+UmVzZWFyY2ggSW1wYWN0PC9r
ZXl3b3JkPjxrZXl3b3JkPkFjYWRlbWljIFByYWN0aWNlPC9rZXl3b3JkPjxrZXl3b3JkPlJlc2Vh
cmNoIEludGVncml0eTwva2V5d29yZD48a2V5d29yZD5NYXJrZXRpemF0aW9uPC9rZXl3b3JkPjxr
ZXl3b3JkPk5lb2xpYmVyYWxpc208L2tleXdvcmQ+PC9rZXl3b3Jkcz48aXNibj4wMzA3LTUwNzk8
L2lzYm4+PHRpdGxlcz48dGl0bGU+QXJ0aWZpY2Ugb3IgaW50ZWdyaXR5IGluIHRoZSBtYXJrZXRp
emF0aW9uIG9mIHJlc2VhcmNoIGltcGFjdD8gSW52ZXN0aWdhdGluZyB0aGUgbW9yYWwgZWNvbm9t
eSBvZiAocGF0aHdheXMgdG8pIGltcGFjdCBzdGF0ZW1lbnRzIHdpdGhpbiByZXNlYXJjaCBmdW5k
aW5nIHByb3Bvc2FscyBpbiB0aGUgVUsgYW5kIEF1c3RyYWxpYTwvdGl0bGU+PHNlY29uZGFyeS10
aXRsZT5TdHVkaWVzIGluIEhpZ2hlciBFZHVjYXRpb248L3NlY29uZGFyeS10aXRsZT48L3RpdGxl
cz48cGFnZXM+MjM2MC0yMzcyPC9wYWdlcz48bnVtYmVyPjEyPC9udW1iZXI+PGNvbnRyaWJ1dG9y
cz48YXV0aG9ycz48YXV0aG9yPkNodWJiLCBKZW5uaWZlcjwvYXV0aG9yPjxhdXRob3I+V2F0ZXJt
ZXllciwgUmljaGFyZDwvYXV0aG9yPjwvYXV0aG9ycz48L2NvbnRyaWJ1dG9ycz48YWRkZWQtZGF0
ZSBmb3JtYXQ9InV0YyI+MTUzMDcxNDIzODwvYWRkZWQtZGF0ZT48cmVmLXR5cGUgbmFtZT0iSm91
cm5hbCBBcnRpY2xlIj4xNzwvcmVmLXR5cGU+PGRhdGVzPjx5ZWFyPjIwMTc8L3llYXI+PC9kYXRl
cz48cmVjLW51bWJlcj43NTgyPC9yZWMtbnVtYmVyPjxwdWJsaXNoZXI+Um91dGxlZGdlPC9wdWJs
aXNoZXI+PGxhc3QtdXBkYXRlZC1kYXRlIGZvcm1hdD0idXRjIj4xNTMwNzE0MzIxPC9sYXN0LXVw
ZGF0ZWQtZGF0ZT48ZWxlY3Ryb25pYy1yZXNvdXJjZS1udW0+MTAuMTA4MC8wMzA3NTA3OS4yMDE2
LjExNDQxODI8L2VsZWN0cm9uaWMtcmVzb3VyY2UtbnVtPjx2b2x1bWU+NDI8L3ZvbHVtZT48L3Jl
Y29yZD48L0NpdGU+PENpdGU+PEF1dGhvcj5DaHViYjwvQXV0aG9yPjxZZWFyPjIwMTc8L1llYXI+
PElEVGV4dD5GZWFyIGFuZCBsb2F0aGluZyBpbiB0aGUgYWNhZGVteT8gVGhlIHJvbGUgb2YgZW1v
dGlvbiBpbiByZXNwb25zZSB0byBhbiBpbXBhY3QgYWdlbmRhIGluIHRoZSBVSyBhbmQgQXVzdHJh
bGlhPC9JRFRleHQ+PHJlY29yZD48a2V5d29yZHM+PGtleXdvcmQ+QXJ0aWNsZTwva2V5d29yZD48
a2V5d29yZD5BY2FkZW1pYyBJZGVudGl0eTwva2V5d29yZD48a2V5d29yZD5FbW90aW9uczwva2V5
d29yZD48a2V5d29yZD5IaWdoZXIgRWR1Y2F0aW9uIFBvbGljeTwva2V5d29yZD48a2V5d29yZD5J
bXBhY3Q8L2tleXdvcmQ+PGtleXdvcmQ+S25vd2xlZGdlPC9rZXl3b3JkPjwva2V5d29yZHM+PGlz
Ym4+MDcyOS00MzYwPC9pc2JuPjx0aXRsZXM+PHRpdGxlPkZlYXIgYW5kIGxvYXRoaW5nIGluIHRo
ZSBhY2FkZW15PyBUaGUgcm9sZSBvZiBlbW90aW9uIGluIHJlc3BvbnNlIHRvIGFuIGltcGFjdCBh
Z2VuZGEgaW4gdGhlIFVLIGFuZCBBdXN0cmFsaWE8L3RpdGxlPjxzZWNvbmRhcnktdGl0bGU+SGln
aGVyIEVkdWNhdGlvbiBSZXNlYXJjaCAmYW1wOyBEZXZlbG9wbWVudDwvc2Vjb25kYXJ5LXRpdGxl
PjwvdGl0bGVzPjxwYWdlcz41NTUtNTY4PC9wYWdlcz48bnVtYmVyPjM8L251bWJlcj48Y29udHJp
YnV0b3JzPjxhdXRob3JzPjxhdXRob3I+Q2h1YmIsIEplbm5pZmVyPC9hdXRob3I+PGF1dGhvcj5X
YXRlcm1leWVyLCBSaWNoYXJkPC9hdXRob3I+PGF1dGhvcj5XYWtlbGluZywgUGF1bDwvYXV0aG9y
PjwvYXV0aG9ycz48L2NvbnRyaWJ1dG9ycz48YWRkZWQtZGF0ZSBmb3JtYXQ9InV0YyI+MTU0OTQ3
MTU2MjwvYWRkZWQtZGF0ZT48cmVmLXR5cGUgbmFtZT0iSm91cm5hbCBBcnRpY2xlIj4xNzwvcmVm
LXR5cGU+PGRhdGVzPjx5ZWFyPjIwMTc8L3llYXI+PC9kYXRlcz48cmVjLW51bWJlcj43NzI5PC9y
ZWMtbnVtYmVyPjxwdWJsaXNoZXI+Um91dGxlZGdlPC9wdWJsaXNoZXI+PGxhc3QtdXBkYXRlZC1k
YXRlIGZvcm1hdD0idXRjIj4xNTQ5NDcxNTYyPC9sYXN0LXVwZGF0ZWQtZGF0ZT48ZWxlY3Ryb25p
Yy1yZXNvdXJjZS1udW0+MTAuMTA4MC8wNzI5NDM2MC4yMDE3LjEyODg3MDk8L2VsZWN0cm9uaWMt
cmVzb3VyY2UtbnVtPjx2b2x1bWU+MzY8L3ZvbHVtZT48L3JlY29yZD48L0NpdGU+PENpdGU+PEF1
dGhvcj5XYXRlcm1leWVyPC9BdXRob3I+PFllYXI+MjAxNTwvWWVhcj48SURUZXh0Pkxvc3QgaW4g
dGhlIOKAmCB0aGlyZCBzcGFjZeKAmTogdGhlIGltcGFjdCBvZiBwdWJsaWMgZW5nYWdlbWVudCBp
biBoaWdoZXIgZWR1Y2F0aW9uIG9uIGFjYWRlbWljIGlkZW50aXR5LCByZXNlYXJjaCBwcmFjdGlj
ZSBhbmQgY2FyZWVyIHByb2dyZXNzaW9uPC9JRFRleHQ+PHJlY29yZD48a2V5d29yZHM+PGtleXdv
cmQ+UHVibGljIEVuZ2FnZW1lbnQ8L2tleXdvcmQ+PGtleXdvcmQ+QWNhZGVtaWMgSWRlbnRpdHk8
L2tleXdvcmQ+PGtleXdvcmQ+UmVzZWFyY2ggUHJhY3RpY2U8L2tleXdvcmQ+PGtleXdvcmQ+Q2Fy
ZWVyIFByb2dyZXNzaW9uPC9rZXl3b3JkPjxrZXl3b3JkPkltcGFjdDwva2V5d29yZD48L2tleXdv
cmRzPjxpc2JuPjIxNTYtODIzNTwvaXNibj48dGl0bGVzPjx0aXRsZT5Mb3N0IGluIHRoZSDigJgg
dGhpcmQgc3BhY2XigJk6IHRoZSBpbXBhY3Qgb2YgcHVibGljIGVuZ2FnZW1lbnQgaW4gaGlnaGVy
IGVkdWNhdGlvbiBvbiBhY2FkZW1pYyBpZGVudGl0eSwgcmVzZWFyY2ggcHJhY3RpY2UgYW5kIGNh
cmVlciBwcm9ncmVzc2lvbjwvdGl0bGU+PHNlY29uZGFyeS10aXRsZT5FdXJvcGVhbiBKb3VybmFs
IG9mIEhpZ2hlciBFZHVjYXRpb248L3NlY29uZGFyeS10aXRsZT48L3RpdGxlcz48cGFnZXM+MS0x
NzwvcGFnZXM+PG51bWJlcj4zPC9udW1iZXI+PGNvbnRyaWJ1dG9ycz48YXV0aG9ycz48YXV0aG9y
PldhdGVybWV5ZXIsIFJpY2hhcmQ8L2F1dGhvcj48L2F1dGhvcnM+PC9jb250cmlidXRvcnM+PGFk
ZGVkLWRhdGUgZm9ybWF0PSJ1dGMiPjE1NDkyOTc2OTE8L2FkZGVkLWRhdGU+PHJlZi10eXBlIG5h
bWU9IkpvdXJuYWwgQXJ0aWNsZSI+MTc8L3JlZi10eXBlPjxkYXRlcz48eWVhcj4yMDE1PC95ZWFy
PjwvZGF0ZXM+PHJlYy1udW1iZXI+NzcyMzwvcmVjLW51bWJlcj48cHVibGlzaGVyPlJvdXRsZWRn
ZTwvcHVibGlzaGVyPjxsYXN0LXVwZGF0ZWQtZGF0ZSBmb3JtYXQ9InV0YyI+MTU0OTI5NzY5MTwv
bGFzdC11cGRhdGVkLWRhdGU+PGVsZWN0cm9uaWMtcmVzb3VyY2UtbnVtPjEwLjEwODAvMjE1Njgy
MzUuMjAxNS4xMDQ0NTQ2PC9lbGVjdHJvbmljLXJlc291cmNlLW51bT48dm9sdW1lPjU8L3ZvbHVt
ZT48L3JlY29yZD48L0NpdGU+PENpdGU+PEF1dGhvcj5XYXRlcm1leWVyPC9BdXRob3I+PFllYXI+
MjAxNjwvWWVhcj48SURUZXh0PlB1YmxpYyBpbnRlbGxlY3R1YWxzIHZzLiBuZXcgcHVibGljIG1h
bmFnZW1lbnQ6IHRoZSBkZWZlYXQgb2YgcHVibGljIGVuZ2FnZW1lbnQgaW4gaGlnaGVyIGVkdWNh
dGlvbjwvSURUZXh0PjxyZWNvcmQ+PGtleXdvcmRzPjxrZXl3b3JkPkFydGljbGU8L2tleXdvcmQ+
PGtleXdvcmQ+QWNhZGVtaWMgRW5nYWdlbWVudDwva2V5d29yZD48a2V5d29yZD5BY2FkZW1pYyBN
YW5hZ2VtZW50PC9rZXl3b3JkPjxrZXl3b3JkPkVkdWNhdGlvbmFsIFBvbGljeTwva2V5d29yZD48
a2V5d29yZD5BY2FkZW1pYyBXb3JrIEFuZCBJZGVudGl0eTwva2V5d29yZD48a2V5d29yZD5Db21t
dW5pdHkgRW5nYWdlbWVudDwva2V5d29yZD48L2tleXdvcmRzPjxpc2JuPjAzMDctNTA3OTwvaXNi
bj48dGl0bGVzPjx0aXRsZT5QdWJsaWMgaW50ZWxsZWN0dWFscyB2cy4gbmV3IHB1YmxpYyBtYW5h
Z2VtZW50OiB0aGUgZGVmZWF0IG9mIHB1YmxpYyBlbmdhZ2VtZW50IGluIGhpZ2hlciBlZHVjYXRp
b248L3RpdGxlPjxzZWNvbmRhcnktdGl0bGU+U3R1ZGllcyBpbiBIaWdoZXIgRWR1Y2F0aW9uPC9z
ZWNvbmRhcnktdGl0bGU+PC90aXRsZXM+PHBhZ2VzPjIyNzEtMjI4NTwvcGFnZXM+PG51bWJlcj4x
MjwvbnVtYmVyPjxjb250cmlidXRvcnM+PGF1dGhvcnM+PGF1dGhvcj5XYXRlcm1leWVyLCBSaWNo
YXJkPC9hdXRob3I+PC9hdXRob3JzPjwvY29udHJpYnV0b3JzPjxhZGRlZC1kYXRlIGZvcm1hdD0i
dXRjIj4xNTU5NzY5NjEzPC9hZGRlZC1kYXRlPjxyZWYtdHlwZSBuYW1lPSJKb3VybmFsIEFydGlj
bGUiPjE3PC9yZWYtdHlwZT48ZGF0ZXM+PHllYXI+MjAxNjwveWVhcj48L2RhdGVzPjxyZWMtbnVt
YmVyPjc4MDA8L3JlYy1udW1iZXI+PHB1Ymxpc2hlcj5Sb3V0bGVkZ2U8L3B1Ymxpc2hlcj48bGFz
dC11cGRhdGVkLWRhdGUgZm9ybWF0PSJ1dGMiPjE1NTk3Njk2MTM8L2xhc3QtdXBkYXRlZC1kYXRl
PjxlbGVjdHJvbmljLXJlc291cmNlLW51bT4xMC4xMDgwLzAzMDc1MDc5LjIwMTUuMTAzNDI2MTwv
ZWxlY3Ryb25pYy1yZXNvdXJjZS1udW0+PHZvbHVtZT40MTwvdm9sdW1lPjwvcmVjb3JkPjwvQ2l0
ZT48L0VuZE5vdGU+
</w:fldData>
        </w:fldChar>
      </w:r>
      <w:r w:rsidR="0034419A">
        <w:instrText xml:space="preserve"> ADDIN EN.CITE </w:instrText>
      </w:r>
      <w:r w:rsidR="0034419A">
        <w:fldChar w:fldCharType="begin">
          <w:fldData xml:space="preserve">PEVuZE5vdGU+PENpdGU+PEF1dGhvcj5BcmNoZXI8L0F1dGhvcj48WWVhcj4yMDA4PC9ZZWFyPjxJ
RFRleHQ+VGhlIG5ldyBuZW9saWJlcmFsIHN1YmplY3RzPyBZb3VuZy9lciBhY2FkZW1pY3PigJkg
Y29uc3RydWN0aW9ucyBvZiBwcm9mZXNzaW9uYWwgaWRlbnRpdHk8L0lEVGV4dD48RGlzcGxheVRl
eHQ+KEFyY2hlciwgMjAwODsgQ2h1YmIgJmFtcDsgV2F0ZXJtZXllciwgMjAxNzsgQ2h1YmIsIFdh
dGVybWV5ZXIsICZhbXA7IFdha2VsaW5nLCAyMDE3OyBXYXRlcm1leWVyLCAyMDE1LCAyMDE2Yik8
L0Rpc3BsYXlUZXh0PjxyZWNvcmQ+PGtleXdvcmRzPjxrZXl3b3JkPkhpZ2hlciBFZHVjYXRpb248
L2tleXdvcmQ+PGtleXdvcmQ+QWNhZGVtaWM8L2tleXdvcmQ+PGtleXdvcmQ+SWRlbnRpdHk8L2tl
eXdvcmQ+PGtleXdvcmQ+TWFuYWdlcmlhbGlzbTwva2V5d29yZD48a2V5d29yZD5Qcm9mZXNzaW9u
YWw8L2tleXdvcmQ+PC9rZXl3b3Jkcz48aXNibj4wMjY4LTA5Mzk8L2lzYm4+PHRpdGxlcz48dGl0
bGU+VGhlIG5ldyBuZW9saWJlcmFsIHN1YmplY3RzPyBZb3VuZy9lciBhY2FkZW1pY3PigJkgY29u
c3RydWN0aW9ucyBvZiBwcm9mZXNzaW9uYWwgaWRlbnRpdHk8L3RpdGxlPjxzZWNvbmRhcnktdGl0
bGU+Sm91cm5hbCBvZiBFZHVjYXRpb24gUG9saWN5PC9zZWNvbmRhcnktdGl0bGU+PC90aXRsZXM+
PHBhZ2VzPjI2NS0yODU8L3BhZ2VzPjxudW1iZXI+MzwvbnVtYmVyPjxjb250cmlidXRvcnM+PGF1
dGhvcnM+PGF1dGhvcj5BcmNoZXIsIExvdWlzZTwvYXV0aG9yPjwvYXV0aG9ycz48L2NvbnRyaWJ1
dG9ycz48YWRkZWQtZGF0ZSBmb3JtYXQ9InV0YyI+MTQ1ODg2NTcyNjwvYWRkZWQtZGF0ZT48cmVm
LXR5cGUgbmFtZT0iSm91cm5hbCBBcnRpY2xlIj4xNzwvcmVmLXR5cGU+PGRhdGVzPjx5ZWFyPjIw
MDg8L3llYXI+PC9kYXRlcz48cmVjLW51bWJlcj4zNDA8L3JlYy1udW1iZXI+PHB1Ymxpc2hlcj5S
b3V0bGVkZ2U8L3B1Ymxpc2hlcj48bGFzdC11cGRhdGVkLWRhdGUgZm9ybWF0PSJ1dGMiPjE0Njky
Mjk4Njg8L2xhc3QtdXBkYXRlZC1kYXRlPjxlbGVjdHJvbmljLXJlc291cmNlLW51bT4xMC4xMDgw
LzAyNjgwOTMwNzAxNzU0MDQ3PC9lbGVjdHJvbmljLXJlc291cmNlLW51bT48dm9sdW1lPjIzPC92
b2x1bWU+PC9yZWNvcmQ+PC9DaXRlPjxDaXRlPjxBdXRob3I+Q2h1YmI8L0F1dGhvcj48WWVhcj4y
MDE3PC9ZZWFyPjxJRFRleHQ+QXJ0aWZpY2Ugb3IgaW50ZWdyaXR5IGluIHRoZSBtYXJrZXRpemF0
aW9uIG9mIHJlc2VhcmNoIGltcGFjdD8gSW52ZXN0aWdhdGluZyB0aGUgbW9yYWwgZWNvbm9teSBv
ZiAocGF0aHdheXMgdG8pIGltcGFjdCBzdGF0ZW1lbnRzIHdpdGhpbiByZXNlYXJjaCBmdW5kaW5n
IHByb3Bvc2FscyBpbiB0aGUgVUsgYW5kIEF1c3RyYWxpYTwvSURUZXh0PjxyZWNvcmQ+PGtleXdv
cmRzPjxrZXl3b3JkPkFydGljbGU8L2tleXdvcmQ+PGtleXdvcmQ+UmVzZWFyY2ggSW1wYWN0PC9r
ZXl3b3JkPjxrZXl3b3JkPkFjYWRlbWljIFByYWN0aWNlPC9rZXl3b3JkPjxrZXl3b3JkPlJlc2Vh
cmNoIEludGVncml0eTwva2V5d29yZD48a2V5d29yZD5NYXJrZXRpemF0aW9uPC9rZXl3b3JkPjxr
ZXl3b3JkPk5lb2xpYmVyYWxpc208L2tleXdvcmQ+PC9rZXl3b3Jkcz48aXNibj4wMzA3LTUwNzk8
L2lzYm4+PHRpdGxlcz48dGl0bGU+QXJ0aWZpY2Ugb3IgaW50ZWdyaXR5IGluIHRoZSBtYXJrZXRp
emF0aW9uIG9mIHJlc2VhcmNoIGltcGFjdD8gSW52ZXN0aWdhdGluZyB0aGUgbW9yYWwgZWNvbm9t
eSBvZiAocGF0aHdheXMgdG8pIGltcGFjdCBzdGF0ZW1lbnRzIHdpdGhpbiByZXNlYXJjaCBmdW5k
aW5nIHByb3Bvc2FscyBpbiB0aGUgVUsgYW5kIEF1c3RyYWxpYTwvdGl0bGU+PHNlY29uZGFyeS10
aXRsZT5TdHVkaWVzIGluIEhpZ2hlciBFZHVjYXRpb248L3NlY29uZGFyeS10aXRsZT48L3RpdGxl
cz48cGFnZXM+MjM2MC0yMzcyPC9wYWdlcz48bnVtYmVyPjEyPC9udW1iZXI+PGNvbnRyaWJ1dG9y
cz48YXV0aG9ycz48YXV0aG9yPkNodWJiLCBKZW5uaWZlcjwvYXV0aG9yPjxhdXRob3I+V2F0ZXJt
ZXllciwgUmljaGFyZDwvYXV0aG9yPjwvYXV0aG9ycz48L2NvbnRyaWJ1dG9ycz48YWRkZWQtZGF0
ZSBmb3JtYXQ9InV0YyI+MTUzMDcxNDIzODwvYWRkZWQtZGF0ZT48cmVmLXR5cGUgbmFtZT0iSm91
cm5hbCBBcnRpY2xlIj4xNzwvcmVmLXR5cGU+PGRhdGVzPjx5ZWFyPjIwMTc8L3llYXI+PC9kYXRl
cz48cmVjLW51bWJlcj43NTgyPC9yZWMtbnVtYmVyPjxwdWJsaXNoZXI+Um91dGxlZGdlPC9wdWJs
aXNoZXI+PGxhc3QtdXBkYXRlZC1kYXRlIGZvcm1hdD0idXRjIj4xNTMwNzE0MzIxPC9sYXN0LXVw
ZGF0ZWQtZGF0ZT48ZWxlY3Ryb25pYy1yZXNvdXJjZS1udW0+MTAuMTA4MC8wMzA3NTA3OS4yMDE2
LjExNDQxODI8L2VsZWN0cm9uaWMtcmVzb3VyY2UtbnVtPjx2b2x1bWU+NDI8L3ZvbHVtZT48L3Jl
Y29yZD48L0NpdGU+PENpdGU+PEF1dGhvcj5DaHViYjwvQXV0aG9yPjxZZWFyPjIwMTc8L1llYXI+
PElEVGV4dD5GZWFyIGFuZCBsb2F0aGluZyBpbiB0aGUgYWNhZGVteT8gVGhlIHJvbGUgb2YgZW1v
dGlvbiBpbiByZXNwb25zZSB0byBhbiBpbXBhY3QgYWdlbmRhIGluIHRoZSBVSyBhbmQgQXVzdHJh
bGlhPC9JRFRleHQ+PHJlY29yZD48a2V5d29yZHM+PGtleXdvcmQ+QXJ0aWNsZTwva2V5d29yZD48
a2V5d29yZD5BY2FkZW1pYyBJZGVudGl0eTwva2V5d29yZD48a2V5d29yZD5FbW90aW9uczwva2V5
d29yZD48a2V5d29yZD5IaWdoZXIgRWR1Y2F0aW9uIFBvbGljeTwva2V5d29yZD48a2V5d29yZD5J
bXBhY3Q8L2tleXdvcmQ+PGtleXdvcmQ+S25vd2xlZGdlPC9rZXl3b3JkPjwva2V5d29yZHM+PGlz
Ym4+MDcyOS00MzYwPC9pc2JuPjx0aXRsZXM+PHRpdGxlPkZlYXIgYW5kIGxvYXRoaW5nIGluIHRo
ZSBhY2FkZW15PyBUaGUgcm9sZSBvZiBlbW90aW9uIGluIHJlc3BvbnNlIHRvIGFuIGltcGFjdCBh
Z2VuZGEgaW4gdGhlIFVLIGFuZCBBdXN0cmFsaWE8L3RpdGxlPjxzZWNvbmRhcnktdGl0bGU+SGln
aGVyIEVkdWNhdGlvbiBSZXNlYXJjaCAmYW1wOyBEZXZlbG9wbWVudDwvc2Vjb25kYXJ5LXRpdGxl
PjwvdGl0bGVzPjxwYWdlcz41NTUtNTY4PC9wYWdlcz48bnVtYmVyPjM8L251bWJlcj48Y29udHJp
YnV0b3JzPjxhdXRob3JzPjxhdXRob3I+Q2h1YmIsIEplbm5pZmVyPC9hdXRob3I+PGF1dGhvcj5X
YXRlcm1leWVyLCBSaWNoYXJkPC9hdXRob3I+PGF1dGhvcj5XYWtlbGluZywgUGF1bDwvYXV0aG9y
PjwvYXV0aG9ycz48L2NvbnRyaWJ1dG9ycz48YWRkZWQtZGF0ZSBmb3JtYXQ9InV0YyI+MTU0OTQ3
MTU2MjwvYWRkZWQtZGF0ZT48cmVmLXR5cGUgbmFtZT0iSm91cm5hbCBBcnRpY2xlIj4xNzwvcmVm
LXR5cGU+PGRhdGVzPjx5ZWFyPjIwMTc8L3llYXI+PC9kYXRlcz48cmVjLW51bWJlcj43NzI5PC9y
ZWMtbnVtYmVyPjxwdWJsaXNoZXI+Um91dGxlZGdlPC9wdWJsaXNoZXI+PGxhc3QtdXBkYXRlZC1k
YXRlIGZvcm1hdD0idXRjIj4xNTQ5NDcxNTYyPC9sYXN0LXVwZGF0ZWQtZGF0ZT48ZWxlY3Ryb25p
Yy1yZXNvdXJjZS1udW0+MTAuMTA4MC8wNzI5NDM2MC4yMDE3LjEyODg3MDk8L2VsZWN0cm9uaWMt
cmVzb3VyY2UtbnVtPjx2b2x1bWU+MzY8L3ZvbHVtZT48L3JlY29yZD48L0NpdGU+PENpdGU+PEF1
dGhvcj5XYXRlcm1leWVyPC9BdXRob3I+PFllYXI+MjAxNTwvWWVhcj48SURUZXh0Pkxvc3QgaW4g
dGhlIOKAmCB0aGlyZCBzcGFjZeKAmTogdGhlIGltcGFjdCBvZiBwdWJsaWMgZW5nYWdlbWVudCBp
biBoaWdoZXIgZWR1Y2F0aW9uIG9uIGFjYWRlbWljIGlkZW50aXR5LCByZXNlYXJjaCBwcmFjdGlj
ZSBhbmQgY2FyZWVyIHByb2dyZXNzaW9uPC9JRFRleHQ+PHJlY29yZD48a2V5d29yZHM+PGtleXdv
cmQ+UHVibGljIEVuZ2FnZW1lbnQ8L2tleXdvcmQ+PGtleXdvcmQ+QWNhZGVtaWMgSWRlbnRpdHk8
L2tleXdvcmQ+PGtleXdvcmQ+UmVzZWFyY2ggUHJhY3RpY2U8L2tleXdvcmQ+PGtleXdvcmQ+Q2Fy
ZWVyIFByb2dyZXNzaW9uPC9rZXl3b3JkPjxrZXl3b3JkPkltcGFjdDwva2V5d29yZD48L2tleXdv
cmRzPjxpc2JuPjIxNTYtODIzNTwvaXNibj48dGl0bGVzPjx0aXRsZT5Mb3N0IGluIHRoZSDigJgg
dGhpcmQgc3BhY2XigJk6IHRoZSBpbXBhY3Qgb2YgcHVibGljIGVuZ2FnZW1lbnQgaW4gaGlnaGVy
IGVkdWNhdGlvbiBvbiBhY2FkZW1pYyBpZGVudGl0eSwgcmVzZWFyY2ggcHJhY3RpY2UgYW5kIGNh
cmVlciBwcm9ncmVzc2lvbjwvdGl0bGU+PHNlY29uZGFyeS10aXRsZT5FdXJvcGVhbiBKb3VybmFs
IG9mIEhpZ2hlciBFZHVjYXRpb248L3NlY29uZGFyeS10aXRsZT48L3RpdGxlcz48cGFnZXM+MS0x
NzwvcGFnZXM+PG51bWJlcj4zPC9udW1iZXI+PGNvbnRyaWJ1dG9ycz48YXV0aG9ycz48YXV0aG9y
PldhdGVybWV5ZXIsIFJpY2hhcmQ8L2F1dGhvcj48L2F1dGhvcnM+PC9jb250cmlidXRvcnM+PGFk
ZGVkLWRhdGUgZm9ybWF0PSJ1dGMiPjE1NDkyOTc2OTE8L2FkZGVkLWRhdGU+PHJlZi10eXBlIG5h
bWU9IkpvdXJuYWwgQXJ0aWNsZSI+MTc8L3JlZi10eXBlPjxkYXRlcz48eWVhcj4yMDE1PC95ZWFy
PjwvZGF0ZXM+PHJlYy1udW1iZXI+NzcyMzwvcmVjLW51bWJlcj48cHVibGlzaGVyPlJvdXRsZWRn
ZTwvcHVibGlzaGVyPjxsYXN0LXVwZGF0ZWQtZGF0ZSBmb3JtYXQ9InV0YyI+MTU0OTI5NzY5MTwv
bGFzdC11cGRhdGVkLWRhdGU+PGVsZWN0cm9uaWMtcmVzb3VyY2UtbnVtPjEwLjEwODAvMjE1Njgy
MzUuMjAxNS4xMDQ0NTQ2PC9lbGVjdHJvbmljLXJlc291cmNlLW51bT48dm9sdW1lPjU8L3ZvbHVt
ZT48L3JlY29yZD48L0NpdGU+PENpdGU+PEF1dGhvcj5XYXRlcm1leWVyPC9BdXRob3I+PFllYXI+
MjAxNjwvWWVhcj48SURUZXh0PlB1YmxpYyBpbnRlbGxlY3R1YWxzIHZzLiBuZXcgcHVibGljIG1h
bmFnZW1lbnQ6IHRoZSBkZWZlYXQgb2YgcHVibGljIGVuZ2FnZW1lbnQgaW4gaGlnaGVyIGVkdWNh
dGlvbjwvSURUZXh0PjxyZWNvcmQ+PGtleXdvcmRzPjxrZXl3b3JkPkFydGljbGU8L2tleXdvcmQ+
PGtleXdvcmQ+QWNhZGVtaWMgRW5nYWdlbWVudDwva2V5d29yZD48a2V5d29yZD5BY2FkZW1pYyBN
YW5hZ2VtZW50PC9rZXl3b3JkPjxrZXl3b3JkPkVkdWNhdGlvbmFsIFBvbGljeTwva2V5d29yZD48
a2V5d29yZD5BY2FkZW1pYyBXb3JrIEFuZCBJZGVudGl0eTwva2V5d29yZD48a2V5d29yZD5Db21t
dW5pdHkgRW5nYWdlbWVudDwva2V5d29yZD48L2tleXdvcmRzPjxpc2JuPjAzMDctNTA3OTwvaXNi
bj48dGl0bGVzPjx0aXRsZT5QdWJsaWMgaW50ZWxsZWN0dWFscyB2cy4gbmV3IHB1YmxpYyBtYW5h
Z2VtZW50OiB0aGUgZGVmZWF0IG9mIHB1YmxpYyBlbmdhZ2VtZW50IGluIGhpZ2hlciBlZHVjYXRp
b248L3RpdGxlPjxzZWNvbmRhcnktdGl0bGU+U3R1ZGllcyBpbiBIaWdoZXIgRWR1Y2F0aW9uPC9z
ZWNvbmRhcnktdGl0bGU+PC90aXRsZXM+PHBhZ2VzPjIyNzEtMjI4NTwvcGFnZXM+PG51bWJlcj4x
MjwvbnVtYmVyPjxjb250cmlidXRvcnM+PGF1dGhvcnM+PGF1dGhvcj5XYXRlcm1leWVyLCBSaWNo
YXJkPC9hdXRob3I+PC9hdXRob3JzPjwvY29udHJpYnV0b3JzPjxhZGRlZC1kYXRlIGZvcm1hdD0i
dXRjIj4xNTU5NzY5NjEzPC9hZGRlZC1kYXRlPjxyZWYtdHlwZSBuYW1lPSJKb3VybmFsIEFydGlj
bGUiPjE3PC9yZWYtdHlwZT48ZGF0ZXM+PHllYXI+MjAxNjwveWVhcj48L2RhdGVzPjxyZWMtbnVt
YmVyPjc4MDA8L3JlYy1udW1iZXI+PHB1Ymxpc2hlcj5Sb3V0bGVkZ2U8L3B1Ymxpc2hlcj48bGFz
dC11cGRhdGVkLWRhdGUgZm9ybWF0PSJ1dGMiPjE1NTk3Njk2MTM8L2xhc3QtdXBkYXRlZC1kYXRl
PjxlbGVjdHJvbmljLXJlc291cmNlLW51bT4xMC4xMDgwLzAzMDc1MDc5LjIwMTUuMTAzNDI2MTwv
ZWxlY3Ryb25pYy1yZXNvdXJjZS1udW0+PHZvbHVtZT40MTwvdm9sdW1lPjwvcmVjb3JkPjwvQ2l0
ZT48L0VuZE5vdGU+
</w:fldData>
        </w:fldChar>
      </w:r>
      <w:r w:rsidR="0034419A">
        <w:instrText xml:space="preserve"> ADDIN EN.CITE.DATA </w:instrText>
      </w:r>
      <w:r w:rsidR="0034419A">
        <w:fldChar w:fldCharType="end"/>
      </w:r>
      <w:r w:rsidR="00626E61">
        <w:fldChar w:fldCharType="separate"/>
      </w:r>
      <w:r w:rsidR="0034419A">
        <w:rPr>
          <w:noProof/>
        </w:rPr>
        <w:t>(Archer, 2008; Chubb &amp; Watermeyer, 2017; Chubb, Watermeyer, &amp; Wakeling, 2017; Watermeyer, 2015, 2016b)</w:t>
      </w:r>
      <w:r w:rsidR="00626E61">
        <w:fldChar w:fldCharType="end"/>
      </w:r>
      <w:r w:rsidR="001367AD">
        <w:t xml:space="preserve">. </w:t>
      </w:r>
    </w:p>
    <w:p w14:paraId="1CC1C736" w14:textId="4D165C2F" w:rsidR="00835A23" w:rsidRDefault="00CB21C6" w:rsidP="007C5D51">
      <w:pPr>
        <w:pStyle w:val="Heading2"/>
      </w:pPr>
      <w:bookmarkStart w:id="16" w:name="_Toc31701934"/>
      <w:r>
        <w:t xml:space="preserve">Contemporary context: </w:t>
      </w:r>
      <w:r w:rsidR="002D5602">
        <w:t>The</w:t>
      </w:r>
      <w:r w:rsidR="0069633B">
        <w:t xml:space="preserve"> ‘impact agenda’</w:t>
      </w:r>
      <w:r w:rsidR="005F4712">
        <w:t xml:space="preserve"> and the Research Excellence Framework</w:t>
      </w:r>
      <w:bookmarkEnd w:id="16"/>
    </w:p>
    <w:p w14:paraId="726DDCB2" w14:textId="6CEF4BED" w:rsidR="00A25C9C" w:rsidRDefault="00A25C9C" w:rsidP="00AB1978">
      <w:pPr>
        <w:pStyle w:val="NormalWeb"/>
        <w:spacing w:before="0" w:beforeAutospacing="0" w:after="120" w:afterAutospacing="0" w:line="360" w:lineRule="auto"/>
        <w:rPr>
          <w:color w:val="000000"/>
        </w:rPr>
      </w:pPr>
      <w:r>
        <w:t>The REF is t</w:t>
      </w:r>
      <w:r w:rsidRPr="00045016">
        <w:t>he UK’s quality-related research (QR) funding allocation mechanism</w:t>
      </w:r>
      <w:r>
        <w:t>. It runs approximately every seven years, the last being in 2014 and the next in 2021. REF2014</w:t>
      </w:r>
      <w:r w:rsidRPr="418505C0">
        <w:t xml:space="preserve"> </w:t>
      </w:r>
      <w:r>
        <w:t>was the first in which</w:t>
      </w:r>
      <w:r w:rsidR="00172862">
        <w:t xml:space="preserve"> the non-academic</w:t>
      </w:r>
      <w:r>
        <w:t xml:space="preserve"> ‘impact’ </w:t>
      </w:r>
      <w:r w:rsidR="00172862">
        <w:t xml:space="preserve">of academic research </w:t>
      </w:r>
      <w:r>
        <w:t>was assessed.</w:t>
      </w:r>
      <w:r w:rsidRPr="00A25C9C">
        <w:t xml:space="preserve"> </w:t>
      </w:r>
      <w:r>
        <w:t>Although the introduction of the ‘impact’ element of the REF is only recent, it is a culmination of a much</w:t>
      </w:r>
      <w:r w:rsidRPr="00590F06">
        <w:t xml:space="preserve"> longer-term</w:t>
      </w:r>
      <w:r>
        <w:t xml:space="preserve"> politically and economically </w:t>
      </w:r>
      <w:r w:rsidRPr="00590F06">
        <w:t xml:space="preserve">driven </w:t>
      </w:r>
      <w:r>
        <w:t xml:space="preserve">agenda which coalesces under the term ‘impact agenda’. The inclusion of ‘impact’ is a significant manifestation and institutionalisation of the pressures and demands being faced by universities to produce useful or ‘impactful’ </w:t>
      </w:r>
      <w:r>
        <w:fldChar w:fldCharType="begin"/>
      </w:r>
      <w:r>
        <w:instrText xml:space="preserve"> ADDIN EN.CITE &lt;EndNote&gt;&lt;Cite&gt;&lt;Author&gt;Watermeyer&lt;/Author&gt;&lt;Year&gt;2016&lt;/Year&gt;&lt;IDText&gt;Selling ‘impact’: peer reviewer projections of what is needed and what counts in REF impact case studies. A retrospective analysis&lt;/IDText&gt;&lt;Pages&gt;652&lt;/Pages&gt;&lt;DisplayText&gt;(Watermeyer &amp;amp; Hedgecoe, 2016, p. 652)&lt;/DisplayText&gt;&lt;record&gt;&lt;keywords&gt;&lt;keyword&gt;Article&lt;/keyword&gt;&lt;keyword&gt;Critical Analysis&lt;/keyword&gt;&lt;keyword&gt;Actors Institutions&lt;/keyword&gt;&lt;/keywords&gt;&lt;isbn&gt;0268-0939&lt;/isbn&gt;&lt;titles&gt;&lt;title&gt;Selling ‘impact’: peer reviewer projections of what is needed and what counts in REF impact case studies. A retrospective analysis&lt;/title&gt;&lt;secondary-title&gt;Journal of Education Policy&lt;/secondary-title&gt;&lt;/titles&gt;&lt;pages&gt;651-665&lt;/pages&gt;&lt;number&gt;5&lt;/number&gt;&lt;contributors&gt;&lt;authors&gt;&lt;author&gt;Watermeyer, Richard&lt;/author&gt;&lt;author&gt;Hedgecoe, Adam&lt;/author&gt;&lt;/authors&gt;&lt;/contributors&gt;&lt;added-date format="utc"&gt;1530896606&lt;/added-date&gt;&lt;ref-type name="Journal Article"&gt;17&lt;/ref-type&gt;&lt;dates&gt;&lt;year&gt;2016&lt;/year&gt;&lt;/dates&gt;&lt;rec-number&gt;7602&lt;/rec-number&gt;&lt;publisher&gt;Routledge&lt;/publisher&gt;&lt;last-updated-date format="utc"&gt;1530896606&lt;/last-updated-date&gt;&lt;electronic-resource-num&gt;10.1080/02680939.2016.1170885&lt;/electronic-resource-num&gt;&lt;volume&gt;31&lt;/volume&gt;&lt;/record&gt;&lt;/Cite&gt;&lt;/EndNote&gt;</w:instrText>
      </w:r>
      <w:r>
        <w:fldChar w:fldCharType="separate"/>
      </w:r>
      <w:r>
        <w:rPr>
          <w:noProof/>
        </w:rPr>
        <w:t>(Watermeyer &amp; Hedgecoe, 2016, p. 652)</w:t>
      </w:r>
      <w:r>
        <w:fldChar w:fldCharType="end"/>
      </w:r>
      <w:r>
        <w:t xml:space="preserve"> knowledge by re</w:t>
      </w:r>
      <w:r w:rsidRPr="00590F06">
        <w:t>orient</w:t>
      </w:r>
      <w:r>
        <w:t>ing</w:t>
      </w:r>
      <w:r w:rsidRPr="00590F06">
        <w:t xml:space="preserve"> their organisation and practices towards societal rather than solely scientific problems and to </w:t>
      </w:r>
      <w:r>
        <w:t xml:space="preserve">generate and </w:t>
      </w:r>
      <w:r w:rsidRPr="00590F06">
        <w:t>evidence the</w:t>
      </w:r>
      <w:r>
        <w:t>ir</w:t>
      </w:r>
      <w:r w:rsidRPr="00590F06">
        <w:t xml:space="preserve"> non-academic </w:t>
      </w:r>
      <w:r>
        <w:t>research impact</w:t>
      </w:r>
      <w:r w:rsidRPr="00590F06">
        <w:t xml:space="preserve"> </w:t>
      </w:r>
      <w:r w:rsidRPr="00590F06">
        <w:rPr>
          <w:color w:val="000000"/>
        </w:rPr>
        <w:fldChar w:fldCharType="begin">
          <w:fldData xml:space="preserve">PEVuZE5vdGU+PENpdGU+PEF1dGhvcj5NYXJ0aW48L0F1dGhvcj48WWVhcj4yMDExPC9ZZWFyPjxJ
RFRleHQ+VGhlIFJlc2VhcmNoIEV4Y2VsbGVuY2UgRnJhbWV3b3JrIGFuZCB0aGUgJmFwb3M7aW1w
YWN0IGFnZW5kYSZhcG9zOzogYXJlIHdlIGNyZWF0aW5nIGEgRnJhbmtlbnN0ZWluIG1vbnN0ZXI/
PC9JRFRleHQ+PERpc3BsYXlUZXh0PihNYXJ0aW4sIDIwMTE7IFdhdGVybWV5ZXIsIDIwMTZhKTwv
RGlzcGxheVRleHQ+PHJlY29yZD48ZGF0ZXM+PHB1Yi1kYXRlcz48ZGF0ZT5TZXA8L2RhdGU+PC9w
dWItZGF0ZXM+PHllYXI+MjAxMTwveWVhcj48L2RhdGVzPjx1cmxzPjxyZWxhdGVkLXVybHM+PHVy
bD4mbHQ7R28gdG8gSVNJJmd0OzovL1dPUzowMDAyOTYyMDcyMDAwMTA8L3VybD48L3JlbGF0ZWQt
dXJscz48L3VybHM+PGlzYm4+MDk1OC0yMDI5PC9pc2JuPjx0aXRsZXM+PHRpdGxlPlRoZSBSZXNl
YXJjaCBFeGNlbGxlbmNlIEZyYW1ld29yayBhbmQgdGhlICZhcG9zO2ltcGFjdCBhZ2VuZGEmYXBv
czs6IGFyZSB3ZSBjcmVhdGluZyBhIEZyYW5rZW5zdGVpbiBtb25zdGVyPzwvdGl0bGU+PHNlY29u
ZGFyeS10aXRsZT5SZXNlYXJjaCBFdmFsdWF0aW9uPC9zZWNvbmRhcnktdGl0bGU+PC90aXRsZXM+
PHBhZ2VzPjI0Ny0yNTQ8L3BhZ2VzPjxudW1iZXI+MzwvbnVtYmVyPjxjb250cmlidXRvcnM+PGF1
dGhvcnM+PGF1dGhvcj5NYXJ0aW4sIEJlbiBSLjwvYXV0aG9yPjwvYXV0aG9ycz48L2NvbnRyaWJ1
dG9ycz48YWRkZWQtZGF0ZSBmb3JtYXQ9InV0YyI+MTQ2OTIxNTg4NDwvYWRkZWQtZGF0ZT48cmVm
LXR5cGUgbmFtZT0iSm91cm5hbCBBcnRpY2xlIj4xNzwvcmVmLXR5cGU+PHJlYy1udW1iZXI+NzE2
PC9yZWMtbnVtYmVyPjxsYXN0LXVwZGF0ZWQtZGF0ZSBmb3JtYXQ9InV0YyI+MTQ2OTIxNTkzNDwv
bGFzdC11cGRhdGVkLWRhdGU+PGFjY2Vzc2lvbi1udW0+V09TOjAwMDI5NjIwNzIwMDAxMDwvYWNj
ZXNzaW9uLW51bT48ZWxlY3Ryb25pYy1yZXNvdXJjZS1udW0+MTAuMzE1Mi8wOTU4MjAyMTF4MTMx
MTg1ODM2MzU2OTM8L2VsZWN0cm9uaWMtcmVzb3VyY2UtbnVtPjx2b2x1bWU+MjA8L3ZvbHVtZT48
L3JlY29yZD48L0NpdGU+PENpdGU+PEF1dGhvcj5XYXRlcm1leWVyPC9BdXRob3I+PFllYXI+MjAx
NjwvWWVhcj48SURUZXh0PkltcGFjdCBpbiB0aGUgUkVGOiBpc3N1ZXMgYW5kIG9ic3RhY2xlczwv
SURUZXh0PjxyZWNvcmQ+PGtleXdvcmRzPjxrZXl3b3JkPmFjYWRlbWljIGlkZW50aXR5PC9rZXl3
b3JkPjxrZXl3b3JkPmFjYWRlbWljIHBlcmZvcm1hbmNlPC9rZXl3b3JkPjxrZXl3b3JkPnBlcmZv
cm1hbmNlIGFzc2Vzc21lbnQ8L2tleXdvcmQ+PGtleXdvcmQ+cGVyZm9ybWFuY2UtYmFzZWQgZnVu
ZGluZzwva2V5d29yZD48a2V5d29yZD5yZXNlYXJjaCBmdW5kaW5nIGFuZCBldmFsdWF0aW9uPC9r
ZXl3b3JkPjwva2V5d29yZHM+PHVybHM+PHJlbGF0ZWQtdXJscz48dXJsPmh0dHA6Ly93d3cudGFu
ZGZvbmxpbmUuY29tL2RvaS9mdWxsLzEwLjEwODAvMDMwNzUwNzkuMjAxNC45MTUzMDM8L3VybD48
L3JlbGF0ZWQtdXJscz48L3VybHM+PHRpdGxlcz48dGl0bGU+SW1wYWN0IGluIHRoZSBSRUY6IGlz
c3VlcyBhbmQgb2JzdGFjbGVzPC90aXRsZT48c2Vjb25kYXJ5LXRpdGxlPlN0dWRpZXMgaW4gSGln
aGVyIEVkdWNhdGlvbjwvc2Vjb25kYXJ5LXRpdGxlPjwvdGl0bGVzPjxwYWdlcz4xOTktMjE0PC9w
YWdlcz48dXJscz48cGRmLXVybHM+PHVybD5maWxlOi8vL0M6L1VzZXJzL2VsaWVsXzAwMC9Eb2N1
bWVudHMvQWNhZGVtaWMvUGhEL0ltcGFjdC9JbXBhY3QgaW4gUkVGLnBkZjwvdXJsPjwvcGRmLXVy
bHM+PC91cmxzPjxudW1iZXI+MjwvbnVtYmVyPjxjb250cmlidXRvcnM+PGF1dGhvcnM+PGF1dGhv
cj5XYXRlcm1leWVyLCBSaWNoYXJkPC9hdXRob3I+PC9hdXRob3JzPjwvY29udHJpYnV0b3JzPjxh
ZGRlZC1kYXRlIGZvcm1hdD0idXRjIj4xNDUyNzIyNDI1PC9hZGRlZC1kYXRlPjxyZWYtdHlwZSBu
YW1lPSJKb3VybmFsIEFydGljbGUiPjE3PC9yZWYtdHlwZT48ZGF0ZXM+PHllYXI+MjAxNjwveWVh
cj48L2RhdGVzPjxyZWMtbnVtYmVyPjE3MDwvcmVjLW51bWJlcj48bGFzdC11cGRhdGVkLWRhdGUg
Zm9ybWF0PSJ1dGMiPjE0NjkyMjk4Njg8L2xhc3QtdXBkYXRlZC1kYXRlPjxlbGVjdHJvbmljLXJl
c291cmNlLW51bT4xMC4xMDgwLzAzMDc1MDc5LjIwMTQuOTE1MzAzPC9lbGVjdHJvbmljLXJlc291
cmNlLW51bT48dm9sdW1lPjQxPC92b2x1bWU+PC9yZWNvcmQ+PC9DaXRlPjwvRW5kTm90ZT5=
</w:fldData>
        </w:fldChar>
      </w:r>
      <w:r>
        <w:rPr>
          <w:color w:val="000000"/>
        </w:rPr>
        <w:instrText xml:space="preserve"> ADDIN EN.CITE </w:instrText>
      </w:r>
      <w:r>
        <w:rPr>
          <w:color w:val="000000"/>
        </w:rPr>
        <w:fldChar w:fldCharType="begin">
          <w:fldData xml:space="preserve">PEVuZE5vdGU+PENpdGU+PEF1dGhvcj5NYXJ0aW48L0F1dGhvcj48WWVhcj4yMDExPC9ZZWFyPjxJ
RFRleHQ+VGhlIFJlc2VhcmNoIEV4Y2VsbGVuY2UgRnJhbWV3b3JrIGFuZCB0aGUgJmFwb3M7aW1w
YWN0IGFnZW5kYSZhcG9zOzogYXJlIHdlIGNyZWF0aW5nIGEgRnJhbmtlbnN0ZWluIG1vbnN0ZXI/
PC9JRFRleHQ+PERpc3BsYXlUZXh0PihNYXJ0aW4sIDIwMTE7IFdhdGVybWV5ZXIsIDIwMTZhKTwv
RGlzcGxheVRleHQ+PHJlY29yZD48ZGF0ZXM+PHB1Yi1kYXRlcz48ZGF0ZT5TZXA8L2RhdGU+PC9w
dWItZGF0ZXM+PHllYXI+MjAxMTwveWVhcj48L2RhdGVzPjx1cmxzPjxyZWxhdGVkLXVybHM+PHVy
bD4mbHQ7R28gdG8gSVNJJmd0OzovL1dPUzowMDAyOTYyMDcyMDAwMTA8L3VybD48L3JlbGF0ZWQt
dXJscz48L3VybHM+PGlzYm4+MDk1OC0yMDI5PC9pc2JuPjx0aXRsZXM+PHRpdGxlPlRoZSBSZXNl
YXJjaCBFeGNlbGxlbmNlIEZyYW1ld29yayBhbmQgdGhlICZhcG9zO2ltcGFjdCBhZ2VuZGEmYXBv
czs6IGFyZSB3ZSBjcmVhdGluZyBhIEZyYW5rZW5zdGVpbiBtb25zdGVyPzwvdGl0bGU+PHNlY29u
ZGFyeS10aXRsZT5SZXNlYXJjaCBFdmFsdWF0aW9uPC9zZWNvbmRhcnktdGl0bGU+PC90aXRsZXM+
PHBhZ2VzPjI0Ny0yNTQ8L3BhZ2VzPjxudW1iZXI+MzwvbnVtYmVyPjxjb250cmlidXRvcnM+PGF1
dGhvcnM+PGF1dGhvcj5NYXJ0aW4sIEJlbiBSLjwvYXV0aG9yPjwvYXV0aG9ycz48L2NvbnRyaWJ1
dG9ycz48YWRkZWQtZGF0ZSBmb3JtYXQ9InV0YyI+MTQ2OTIxNTg4NDwvYWRkZWQtZGF0ZT48cmVm
LXR5cGUgbmFtZT0iSm91cm5hbCBBcnRpY2xlIj4xNzwvcmVmLXR5cGU+PHJlYy1udW1iZXI+NzE2
PC9yZWMtbnVtYmVyPjxsYXN0LXVwZGF0ZWQtZGF0ZSBmb3JtYXQ9InV0YyI+MTQ2OTIxNTkzNDwv
bGFzdC11cGRhdGVkLWRhdGU+PGFjY2Vzc2lvbi1udW0+V09TOjAwMDI5NjIwNzIwMDAxMDwvYWNj
ZXNzaW9uLW51bT48ZWxlY3Ryb25pYy1yZXNvdXJjZS1udW0+MTAuMzE1Mi8wOTU4MjAyMTF4MTMx
MTg1ODM2MzU2OTM8L2VsZWN0cm9uaWMtcmVzb3VyY2UtbnVtPjx2b2x1bWU+MjA8L3ZvbHVtZT48
L3JlY29yZD48L0NpdGU+PENpdGU+PEF1dGhvcj5XYXRlcm1leWVyPC9BdXRob3I+PFllYXI+MjAx
NjwvWWVhcj48SURUZXh0PkltcGFjdCBpbiB0aGUgUkVGOiBpc3N1ZXMgYW5kIG9ic3RhY2xlczwv
SURUZXh0PjxyZWNvcmQ+PGtleXdvcmRzPjxrZXl3b3JkPmFjYWRlbWljIGlkZW50aXR5PC9rZXl3
b3JkPjxrZXl3b3JkPmFjYWRlbWljIHBlcmZvcm1hbmNlPC9rZXl3b3JkPjxrZXl3b3JkPnBlcmZv
cm1hbmNlIGFzc2Vzc21lbnQ8L2tleXdvcmQ+PGtleXdvcmQ+cGVyZm9ybWFuY2UtYmFzZWQgZnVu
ZGluZzwva2V5d29yZD48a2V5d29yZD5yZXNlYXJjaCBmdW5kaW5nIGFuZCBldmFsdWF0aW9uPC9r
ZXl3b3JkPjwva2V5d29yZHM+PHVybHM+PHJlbGF0ZWQtdXJscz48dXJsPmh0dHA6Ly93d3cudGFu
ZGZvbmxpbmUuY29tL2RvaS9mdWxsLzEwLjEwODAvMDMwNzUwNzkuMjAxNC45MTUzMDM8L3VybD48
L3JlbGF0ZWQtdXJscz48L3VybHM+PHRpdGxlcz48dGl0bGU+SW1wYWN0IGluIHRoZSBSRUY6IGlz
c3VlcyBhbmQgb2JzdGFjbGVzPC90aXRsZT48c2Vjb25kYXJ5LXRpdGxlPlN0dWRpZXMgaW4gSGln
aGVyIEVkdWNhdGlvbjwvc2Vjb25kYXJ5LXRpdGxlPjwvdGl0bGVzPjxwYWdlcz4xOTktMjE0PC9w
YWdlcz48dXJscz48cGRmLXVybHM+PHVybD5maWxlOi8vL0M6L1VzZXJzL2VsaWVsXzAwMC9Eb2N1
bWVudHMvQWNhZGVtaWMvUGhEL0ltcGFjdC9JbXBhY3QgaW4gUkVGLnBkZjwvdXJsPjwvcGRmLXVy
bHM+PC91cmxzPjxudW1iZXI+MjwvbnVtYmVyPjxjb250cmlidXRvcnM+PGF1dGhvcnM+PGF1dGhv
cj5XYXRlcm1leWVyLCBSaWNoYXJkPC9hdXRob3I+PC9hdXRob3JzPjwvY29udHJpYnV0b3JzPjxh
ZGRlZC1kYXRlIGZvcm1hdD0idXRjIj4xNDUyNzIyNDI1PC9hZGRlZC1kYXRlPjxyZWYtdHlwZSBu
YW1lPSJKb3VybmFsIEFydGljbGUiPjE3PC9yZWYtdHlwZT48ZGF0ZXM+PHllYXI+MjAxNjwveWVh
cj48L2RhdGVzPjxyZWMtbnVtYmVyPjE3MDwvcmVjLW51bWJlcj48bGFzdC11cGRhdGVkLWRhdGUg
Zm9ybWF0PSJ1dGMiPjE0NjkyMjk4Njg8L2xhc3QtdXBkYXRlZC1kYXRlPjxlbGVjdHJvbmljLXJl
c291cmNlLW51bT4xMC4xMDgwLzAzMDc1MDc5LjIwMTQuOTE1MzAzPC9lbGVjdHJvbmljLXJlc291
cmNlLW51bT48dm9sdW1lPjQxPC92b2x1bWU+PC9yZWNvcmQ+PC9DaXRlPjwvRW5kTm90ZT5=
</w:fldData>
        </w:fldChar>
      </w:r>
      <w:r>
        <w:rPr>
          <w:color w:val="000000"/>
        </w:rPr>
        <w:instrText xml:space="preserve"> ADDIN EN.CITE.DATA </w:instrText>
      </w:r>
      <w:r>
        <w:rPr>
          <w:color w:val="000000"/>
        </w:rPr>
      </w:r>
      <w:r>
        <w:rPr>
          <w:color w:val="000000"/>
        </w:rPr>
        <w:fldChar w:fldCharType="end"/>
      </w:r>
      <w:r w:rsidRPr="00590F06">
        <w:rPr>
          <w:color w:val="000000"/>
        </w:rPr>
      </w:r>
      <w:r w:rsidRPr="00590F06">
        <w:rPr>
          <w:color w:val="000000"/>
        </w:rPr>
        <w:fldChar w:fldCharType="separate"/>
      </w:r>
      <w:r>
        <w:rPr>
          <w:noProof/>
          <w:color w:val="000000"/>
        </w:rPr>
        <w:t>(Martin, 2011; Watermeyer, 2016a)</w:t>
      </w:r>
      <w:r w:rsidRPr="00590F06">
        <w:rPr>
          <w:color w:val="000000"/>
        </w:rPr>
        <w:fldChar w:fldCharType="end"/>
      </w:r>
      <w:r w:rsidRPr="00590F06">
        <w:rPr>
          <w:color w:val="000000"/>
        </w:rPr>
        <w:t>.</w:t>
      </w:r>
      <w:r>
        <w:rPr>
          <w:color w:val="000000"/>
        </w:rPr>
        <w:t xml:space="preserve"> </w:t>
      </w:r>
      <w:r w:rsidR="00AB1978">
        <w:rPr>
          <w:color w:val="000000"/>
        </w:rPr>
        <w:t>In the below sections, I</w:t>
      </w:r>
      <w:r w:rsidR="00A6305D">
        <w:rPr>
          <w:color w:val="000000"/>
        </w:rPr>
        <w:t xml:space="preserve"> (i)</w:t>
      </w:r>
      <w:r w:rsidR="00AB1978">
        <w:rPr>
          <w:color w:val="000000"/>
        </w:rPr>
        <w:t xml:space="preserve"> describe the REF</w:t>
      </w:r>
      <w:r w:rsidR="00F52186">
        <w:rPr>
          <w:color w:val="000000"/>
        </w:rPr>
        <w:t>2014</w:t>
      </w:r>
      <w:r w:rsidR="00772201">
        <w:rPr>
          <w:rStyle w:val="FootnoteReference"/>
          <w:color w:val="000000"/>
        </w:rPr>
        <w:footnoteReference w:id="2"/>
      </w:r>
      <w:r w:rsidR="00AB1978">
        <w:rPr>
          <w:color w:val="000000"/>
        </w:rPr>
        <w:t xml:space="preserve"> process and the way in which it assesse</w:t>
      </w:r>
      <w:r w:rsidR="00CD5375">
        <w:rPr>
          <w:color w:val="000000"/>
        </w:rPr>
        <w:t>d</w:t>
      </w:r>
      <w:r w:rsidR="00AB1978">
        <w:rPr>
          <w:color w:val="000000"/>
        </w:rPr>
        <w:t xml:space="preserve"> ‘impact</w:t>
      </w:r>
      <w:r w:rsidR="004E2A43">
        <w:rPr>
          <w:color w:val="000000"/>
        </w:rPr>
        <w:t>’</w:t>
      </w:r>
      <w:r w:rsidR="00A6305D">
        <w:rPr>
          <w:color w:val="000000"/>
        </w:rPr>
        <w:t>, (ii) then</w:t>
      </w:r>
      <w:r w:rsidR="00AB1978">
        <w:rPr>
          <w:color w:val="000000"/>
        </w:rPr>
        <w:t xml:space="preserve"> take a step back </w:t>
      </w:r>
      <w:r w:rsidR="00D57EC5">
        <w:rPr>
          <w:color w:val="000000"/>
        </w:rPr>
        <w:t>to discuss</w:t>
      </w:r>
      <w:r w:rsidR="00AB1978">
        <w:rPr>
          <w:color w:val="000000"/>
        </w:rPr>
        <w:t xml:space="preserve"> the historical background to both the ‘impact agenda’ and the </w:t>
      </w:r>
      <w:r w:rsidR="00AB1978" w:rsidRPr="00B33BCF">
        <w:rPr>
          <w:color w:val="000000"/>
        </w:rPr>
        <w:t>REF</w:t>
      </w:r>
      <w:r w:rsidR="00EA476A" w:rsidRPr="00B33BCF">
        <w:rPr>
          <w:color w:val="000000"/>
        </w:rPr>
        <w:t>, as well as how these developments are part of broader</w:t>
      </w:r>
      <w:r w:rsidR="005B6CAF" w:rsidRPr="00B33BCF">
        <w:rPr>
          <w:color w:val="000000"/>
        </w:rPr>
        <w:t xml:space="preserve"> forces towards increased</w:t>
      </w:r>
      <w:r w:rsidR="00FE7076" w:rsidRPr="00B33BCF">
        <w:rPr>
          <w:color w:val="000000"/>
        </w:rPr>
        <w:t xml:space="preserve"> accountability</w:t>
      </w:r>
      <w:r w:rsidR="0096118B" w:rsidRPr="00B33BCF">
        <w:rPr>
          <w:color w:val="000000"/>
        </w:rPr>
        <w:t xml:space="preserve"> and production pressures</w:t>
      </w:r>
      <w:r w:rsidR="005B6CAF" w:rsidRPr="00B33BCF">
        <w:rPr>
          <w:color w:val="000000"/>
        </w:rPr>
        <w:t xml:space="preserve"> </w:t>
      </w:r>
      <w:r w:rsidR="00D57EC5" w:rsidRPr="00B33BCF">
        <w:rPr>
          <w:color w:val="000000"/>
        </w:rPr>
        <w:t>and</w:t>
      </w:r>
      <w:r w:rsidR="00F76F04" w:rsidRPr="00B33BCF">
        <w:rPr>
          <w:color w:val="000000"/>
        </w:rPr>
        <w:t xml:space="preserve"> (iii)</w:t>
      </w:r>
      <w:r w:rsidR="00D57EC5" w:rsidRPr="00B33BCF">
        <w:rPr>
          <w:color w:val="000000"/>
        </w:rPr>
        <w:t xml:space="preserve"> lastly, </w:t>
      </w:r>
      <w:r w:rsidR="0096118B" w:rsidRPr="00B33BCF">
        <w:rPr>
          <w:color w:val="000000"/>
        </w:rPr>
        <w:t xml:space="preserve">I theorise </w:t>
      </w:r>
      <w:r w:rsidR="00AB1978" w:rsidRPr="00B33BCF">
        <w:rPr>
          <w:color w:val="000000"/>
        </w:rPr>
        <w:t xml:space="preserve">‘impact’ </w:t>
      </w:r>
      <w:r w:rsidR="0096118B" w:rsidRPr="00B33BCF">
        <w:rPr>
          <w:color w:val="000000"/>
        </w:rPr>
        <w:t xml:space="preserve">through </w:t>
      </w:r>
      <w:r w:rsidR="00AB1978" w:rsidRPr="00B33BCF">
        <w:rPr>
          <w:color w:val="000000"/>
        </w:rPr>
        <w:t>the Bernsteinian ‘boundary’ lens adopted.</w:t>
      </w:r>
      <w:r w:rsidR="00AB1978">
        <w:rPr>
          <w:color w:val="000000"/>
        </w:rPr>
        <w:t xml:space="preserve"> </w:t>
      </w:r>
    </w:p>
    <w:p w14:paraId="615AAAEA" w14:textId="75C13977" w:rsidR="00FD7CF3" w:rsidRDefault="00C15E2E" w:rsidP="002A4064">
      <w:pPr>
        <w:pStyle w:val="Heading3"/>
      </w:pPr>
      <w:bookmarkStart w:id="17" w:name="_Toc31701935"/>
      <w:r>
        <w:t xml:space="preserve">Impact in the </w:t>
      </w:r>
      <w:r w:rsidR="002A4064">
        <w:t>R</w:t>
      </w:r>
      <w:r w:rsidR="00FE442B">
        <w:t>esearch Excellence Framework</w:t>
      </w:r>
      <w:r w:rsidR="00292998">
        <w:t xml:space="preserve"> and its relevance to my study</w:t>
      </w:r>
      <w:bookmarkEnd w:id="17"/>
    </w:p>
    <w:p w14:paraId="74C8DC6C" w14:textId="58901825" w:rsidR="00FD7CF3" w:rsidRPr="002F7B3C" w:rsidRDefault="00A25C9C" w:rsidP="00B63342">
      <w:pPr>
        <w:spacing w:after="120" w:line="360" w:lineRule="auto"/>
        <w:rPr>
          <w:sz w:val="24"/>
          <w:szCs w:val="24"/>
        </w:rPr>
      </w:pPr>
      <w:r>
        <w:rPr>
          <w:rFonts w:eastAsia="Times New Roman"/>
          <w:sz w:val="24"/>
          <w:szCs w:val="24"/>
        </w:rPr>
        <w:t xml:space="preserve">REF2014 </w:t>
      </w:r>
      <w:r w:rsidR="00FD7CF3" w:rsidRPr="418505C0">
        <w:rPr>
          <w:rFonts w:eastAsia="Times New Roman"/>
          <w:sz w:val="24"/>
          <w:szCs w:val="24"/>
        </w:rPr>
        <w:t>comprise</w:t>
      </w:r>
      <w:r w:rsidR="00FD7CF3">
        <w:rPr>
          <w:rFonts w:eastAsia="Times New Roman"/>
          <w:sz w:val="24"/>
          <w:szCs w:val="24"/>
        </w:rPr>
        <w:t>d</w:t>
      </w:r>
      <w:r w:rsidR="00FD7CF3" w:rsidRPr="418505C0">
        <w:rPr>
          <w:rFonts w:eastAsia="Times New Roman"/>
          <w:sz w:val="24"/>
          <w:szCs w:val="24"/>
        </w:rPr>
        <w:t xml:space="preserve"> four Main Panels, A to D, which group together a total of 36 Units of Assessment (UoAs), each representing a discipline or research </w:t>
      </w:r>
      <w:r w:rsidR="00FD7CF3">
        <w:rPr>
          <w:rFonts w:eastAsia="Times New Roman"/>
          <w:sz w:val="24"/>
          <w:szCs w:val="24"/>
        </w:rPr>
        <w:t>field, or sometimes</w:t>
      </w:r>
      <w:r w:rsidR="00FD7CF3" w:rsidRPr="418505C0">
        <w:rPr>
          <w:rFonts w:eastAsia="Times New Roman"/>
          <w:sz w:val="24"/>
          <w:szCs w:val="24"/>
        </w:rPr>
        <w:t xml:space="preserve"> a group of related fields. STEM</w:t>
      </w:r>
      <w:r w:rsidR="00FD7CF3">
        <w:rPr>
          <w:rFonts w:eastAsia="Times New Roman"/>
          <w:sz w:val="24"/>
          <w:szCs w:val="24"/>
        </w:rPr>
        <w:t>M</w:t>
      </w:r>
      <w:r w:rsidR="00FD7CF3" w:rsidRPr="418505C0">
        <w:rPr>
          <w:rFonts w:eastAsia="Times New Roman"/>
          <w:sz w:val="24"/>
          <w:szCs w:val="24"/>
        </w:rPr>
        <w:t xml:space="preserve"> fields fall under Main Panels A</w:t>
      </w:r>
      <w:r w:rsidR="00FD7CF3">
        <w:rPr>
          <w:rFonts w:eastAsia="Times New Roman"/>
          <w:sz w:val="24"/>
          <w:szCs w:val="24"/>
        </w:rPr>
        <w:t xml:space="preserve"> and B. Main Panel A</w:t>
      </w:r>
      <w:r w:rsidR="00FD7CF3" w:rsidRPr="418505C0">
        <w:rPr>
          <w:rFonts w:eastAsia="Times New Roman"/>
          <w:sz w:val="24"/>
          <w:szCs w:val="24"/>
        </w:rPr>
        <w:t xml:space="preserve"> (UoAs 1-6) cover</w:t>
      </w:r>
      <w:r w:rsidR="00FD7CF3">
        <w:rPr>
          <w:rFonts w:eastAsia="Times New Roman"/>
          <w:sz w:val="24"/>
          <w:szCs w:val="24"/>
        </w:rPr>
        <w:t>s</w:t>
      </w:r>
      <w:r w:rsidR="00FD7CF3" w:rsidRPr="418505C0">
        <w:rPr>
          <w:rFonts w:eastAsia="Times New Roman"/>
          <w:sz w:val="24"/>
          <w:szCs w:val="24"/>
        </w:rPr>
        <w:t xml:space="preserve"> disciplines related to health, biological and psychological sciences</w:t>
      </w:r>
      <w:r w:rsidR="00FD7CF3">
        <w:rPr>
          <w:rFonts w:eastAsia="Times New Roman"/>
          <w:sz w:val="24"/>
          <w:szCs w:val="24"/>
        </w:rPr>
        <w:t>,</w:t>
      </w:r>
      <w:r w:rsidR="00FD7CF3" w:rsidRPr="418505C0">
        <w:rPr>
          <w:rFonts w:eastAsia="Times New Roman"/>
          <w:sz w:val="24"/>
          <w:szCs w:val="24"/>
        </w:rPr>
        <w:t xml:space="preserve"> and </w:t>
      </w:r>
      <w:r w:rsidR="00FD7CF3">
        <w:rPr>
          <w:rFonts w:eastAsia="Times New Roman"/>
          <w:sz w:val="24"/>
          <w:szCs w:val="24"/>
        </w:rPr>
        <w:t xml:space="preserve">Main Panel </w:t>
      </w:r>
      <w:r w:rsidR="00FD7CF3" w:rsidRPr="418505C0">
        <w:rPr>
          <w:rFonts w:eastAsia="Times New Roman"/>
          <w:sz w:val="24"/>
          <w:szCs w:val="24"/>
        </w:rPr>
        <w:t>B (UoAs 7-15) cover</w:t>
      </w:r>
      <w:r w:rsidR="00FD7CF3">
        <w:rPr>
          <w:rFonts w:eastAsia="Times New Roman"/>
          <w:sz w:val="24"/>
          <w:szCs w:val="24"/>
        </w:rPr>
        <w:t xml:space="preserve">s </w:t>
      </w:r>
      <w:r w:rsidR="00FD7CF3" w:rsidRPr="418505C0">
        <w:rPr>
          <w:rFonts w:eastAsia="Times New Roman"/>
          <w:sz w:val="24"/>
          <w:szCs w:val="24"/>
        </w:rPr>
        <w:t>the physical sciences, mathematics, computer science and engineering fields</w:t>
      </w:r>
      <w:r w:rsidR="00FD7CF3">
        <w:rPr>
          <w:rFonts w:eastAsia="Times New Roman"/>
          <w:sz w:val="24"/>
          <w:szCs w:val="24"/>
        </w:rPr>
        <w:t xml:space="preserve"> (while the social sciences and the arts &amp; humanities are covered primarily in Main Panels C and D, respectively).</w:t>
      </w:r>
    </w:p>
    <w:p w14:paraId="58BD2254" w14:textId="459D33A1" w:rsidR="00FD7CF3" w:rsidRDefault="00FD7CF3" w:rsidP="00B63342">
      <w:pPr>
        <w:spacing w:after="120" w:line="360" w:lineRule="auto"/>
        <w:rPr>
          <w:rFonts w:eastAsia="Times New Roman"/>
          <w:sz w:val="24"/>
          <w:szCs w:val="24"/>
        </w:rPr>
      </w:pPr>
      <w:r>
        <w:rPr>
          <w:rFonts w:eastAsia="Times New Roman"/>
          <w:sz w:val="24"/>
          <w:szCs w:val="24"/>
        </w:rPr>
        <w:t xml:space="preserve">Institutions are not assessed as a whole. Rather, individual departments submit their research to a relevant </w:t>
      </w:r>
      <w:r w:rsidRPr="418505C0">
        <w:rPr>
          <w:rFonts w:eastAsia="Times New Roman"/>
          <w:sz w:val="24"/>
          <w:szCs w:val="24"/>
        </w:rPr>
        <w:t>UoA</w:t>
      </w:r>
      <w:r>
        <w:rPr>
          <w:rFonts w:eastAsia="Times New Roman"/>
          <w:sz w:val="24"/>
          <w:szCs w:val="24"/>
        </w:rPr>
        <w:t>, so that assessments are conducted at the level of individual submitting departments. Departments wishing to be assessed under a given UoA must submit evidence in support of three distinct areas: ‘Outputs’, ‘Environment’ and ‘Impact’. ‘Outputs’ refers to the quality of research outputs, such as journal articles, patents, or in some fields this might also include events such as performances. ‘Impact’ refers to the ‘reach’ and ‘significance’ of the non-academic impact which resulted from research – its o</w:t>
      </w:r>
      <w:r w:rsidRPr="00045016">
        <w:rPr>
          <w:sz w:val="24"/>
          <w:szCs w:val="24"/>
        </w:rPr>
        <w:t>fficial definitio</w:t>
      </w:r>
      <w:r>
        <w:rPr>
          <w:sz w:val="24"/>
          <w:szCs w:val="24"/>
        </w:rPr>
        <w:t>n</w:t>
      </w:r>
      <w:r w:rsidRPr="00045016">
        <w:rPr>
          <w:sz w:val="24"/>
          <w:szCs w:val="24"/>
        </w:rPr>
        <w:t>, as provided by the Higher Education Funding Council for England (HEFCE, 2009), which oversaw the REF until this role was passed on to the new body Research England in 2018, is “an effect on, change or benefit to the economy, society, culture, public policy or services, health, the environment or quality of life, beyond academia”.</w:t>
      </w:r>
      <w:r>
        <w:t xml:space="preserve"> </w:t>
      </w:r>
      <w:r>
        <w:rPr>
          <w:rFonts w:eastAsia="Times New Roman"/>
          <w:sz w:val="24"/>
          <w:szCs w:val="24"/>
        </w:rPr>
        <w:t xml:space="preserve">‘Environment’ refers to the size, sustainability and support for research within the department. The three areas are weighted as follows: the Output score contributes 65% to the total (although this is to be reduced to 60% in the next REF in 2021); </w:t>
      </w:r>
      <w:r w:rsidRPr="418505C0">
        <w:rPr>
          <w:rFonts w:eastAsia="Times New Roman"/>
          <w:sz w:val="24"/>
          <w:szCs w:val="24"/>
        </w:rPr>
        <w:t xml:space="preserve">Impact </w:t>
      </w:r>
      <w:r>
        <w:rPr>
          <w:rFonts w:eastAsia="Times New Roman"/>
          <w:sz w:val="24"/>
          <w:szCs w:val="24"/>
        </w:rPr>
        <w:t>contributes 20% (to be increased to 25% in REF2021),</w:t>
      </w:r>
      <w:r w:rsidRPr="418505C0">
        <w:rPr>
          <w:rFonts w:eastAsia="Times New Roman"/>
          <w:sz w:val="24"/>
          <w:szCs w:val="24"/>
        </w:rPr>
        <w:t xml:space="preserve"> and Environment 15%</w:t>
      </w:r>
      <w:r>
        <w:rPr>
          <w:rFonts w:eastAsia="Times New Roman"/>
          <w:sz w:val="24"/>
          <w:szCs w:val="24"/>
        </w:rPr>
        <w:t xml:space="preserve">. </w:t>
      </w:r>
      <w:r>
        <w:rPr>
          <w:sz w:val="24"/>
          <w:szCs w:val="24"/>
        </w:rPr>
        <w:t xml:space="preserve">Each of these areas are rated by the Panel </w:t>
      </w:r>
      <w:r w:rsidRPr="418505C0">
        <w:rPr>
          <w:rFonts w:eastAsia="Times New Roman"/>
          <w:sz w:val="24"/>
          <w:szCs w:val="24"/>
        </w:rPr>
        <w:t>according to the following classifications</w:t>
      </w:r>
      <w:r>
        <w:rPr>
          <w:rFonts w:eastAsia="Times New Roman"/>
          <w:sz w:val="24"/>
          <w:szCs w:val="24"/>
        </w:rPr>
        <w:t xml:space="preserve"> (detailed definitions of which are presented in Appendix A), </w:t>
      </w:r>
      <w:r w:rsidRPr="418505C0">
        <w:rPr>
          <w:rFonts w:eastAsia="Times New Roman"/>
          <w:sz w:val="24"/>
          <w:szCs w:val="24"/>
        </w:rPr>
        <w:t>in ascending order of quality: Unclassified</w:t>
      </w:r>
      <w:r>
        <w:rPr>
          <w:rFonts w:eastAsia="Times New Roman"/>
          <w:sz w:val="24"/>
          <w:szCs w:val="24"/>
        </w:rPr>
        <w:t xml:space="preserve"> (U/C)</w:t>
      </w:r>
      <w:r w:rsidRPr="418505C0">
        <w:rPr>
          <w:rFonts w:eastAsia="Times New Roman"/>
          <w:sz w:val="24"/>
          <w:szCs w:val="24"/>
        </w:rPr>
        <w:t xml:space="preserve">, 1*, 2*, 3* or 4*. Thus, each submission’s final result takes the form of percentages of </w:t>
      </w:r>
      <w:r>
        <w:rPr>
          <w:rFonts w:eastAsia="Times New Roman"/>
          <w:sz w:val="24"/>
          <w:szCs w:val="24"/>
        </w:rPr>
        <w:t xml:space="preserve">each </w:t>
      </w:r>
      <w:r w:rsidRPr="418505C0">
        <w:rPr>
          <w:rFonts w:eastAsia="Times New Roman"/>
          <w:sz w:val="24"/>
          <w:szCs w:val="24"/>
        </w:rPr>
        <w:t xml:space="preserve">starred level achieved in </w:t>
      </w:r>
      <w:r>
        <w:rPr>
          <w:rFonts w:eastAsia="Times New Roman"/>
          <w:sz w:val="24"/>
          <w:szCs w:val="24"/>
        </w:rPr>
        <w:t>all three</w:t>
      </w:r>
      <w:r w:rsidRPr="418505C0">
        <w:rPr>
          <w:rFonts w:eastAsia="Times New Roman"/>
          <w:sz w:val="24"/>
          <w:szCs w:val="24"/>
        </w:rPr>
        <w:t xml:space="preserve"> sub-profile</w:t>
      </w:r>
      <w:r>
        <w:rPr>
          <w:rFonts w:eastAsia="Times New Roman"/>
          <w:sz w:val="24"/>
          <w:szCs w:val="24"/>
        </w:rPr>
        <w:t>s, contributing to an ‘Overall’ percentage of starred ratings.</w:t>
      </w:r>
      <w:r w:rsidRPr="00DB1F90">
        <w:rPr>
          <w:rFonts w:eastAsia="Times New Roman"/>
          <w:sz w:val="24"/>
          <w:szCs w:val="24"/>
        </w:rPr>
        <w:t xml:space="preserve"> </w:t>
      </w:r>
      <w:r w:rsidR="00DB1F90" w:rsidRPr="00DB1F90">
        <w:rPr>
          <w:sz w:val="24"/>
          <w:szCs w:val="24"/>
        </w:rPr>
        <w:fldChar w:fldCharType="begin"/>
      </w:r>
      <w:r w:rsidR="00DB1F90" w:rsidRPr="00DB1F90">
        <w:rPr>
          <w:rFonts w:eastAsia="Times New Roman"/>
          <w:sz w:val="24"/>
          <w:szCs w:val="24"/>
        </w:rPr>
        <w:instrText xml:space="preserve"> REF _Ref19751701 \h </w:instrText>
      </w:r>
      <w:r w:rsidR="00DB1F90">
        <w:rPr>
          <w:sz w:val="24"/>
          <w:szCs w:val="24"/>
        </w:rPr>
        <w:instrText xml:space="preserve"> \* MERGEFORMAT </w:instrText>
      </w:r>
      <w:r w:rsidR="00DB1F90" w:rsidRPr="00DB1F90">
        <w:rPr>
          <w:sz w:val="24"/>
          <w:szCs w:val="24"/>
        </w:rPr>
      </w:r>
      <w:r w:rsidR="00DB1F90" w:rsidRPr="00DB1F90">
        <w:rPr>
          <w:sz w:val="24"/>
          <w:szCs w:val="24"/>
        </w:rPr>
        <w:fldChar w:fldCharType="separate"/>
      </w:r>
      <w:r w:rsidR="0011424E" w:rsidRPr="0011424E">
        <w:rPr>
          <w:sz w:val="24"/>
          <w:szCs w:val="24"/>
        </w:rPr>
        <w:t xml:space="preserve">Table </w:t>
      </w:r>
      <w:r w:rsidR="0011424E" w:rsidRPr="0011424E">
        <w:rPr>
          <w:noProof/>
          <w:sz w:val="24"/>
          <w:szCs w:val="24"/>
        </w:rPr>
        <w:t>1</w:t>
      </w:r>
      <w:r w:rsidR="00DB1F90" w:rsidRPr="00DB1F90">
        <w:rPr>
          <w:sz w:val="24"/>
          <w:szCs w:val="24"/>
        </w:rPr>
        <w:fldChar w:fldCharType="end"/>
      </w:r>
      <w:r w:rsidR="00DB1F90">
        <w:t xml:space="preserve"> </w:t>
      </w:r>
      <w:r w:rsidRPr="009C142E">
        <w:rPr>
          <w:rFonts w:eastAsia="Times New Roman"/>
          <w:sz w:val="24"/>
          <w:szCs w:val="24"/>
        </w:rPr>
        <w:t>presents an example:</w:t>
      </w:r>
    </w:p>
    <w:tbl>
      <w:tblPr>
        <w:tblStyle w:val="TableGrid"/>
        <w:tblW w:w="0" w:type="auto"/>
        <w:tblLook w:val="04A0" w:firstRow="1" w:lastRow="0" w:firstColumn="1" w:lastColumn="0" w:noHBand="0" w:noVBand="1"/>
      </w:tblPr>
      <w:tblGrid>
        <w:gridCol w:w="1577"/>
        <w:gridCol w:w="1502"/>
        <w:gridCol w:w="1503"/>
        <w:gridCol w:w="1503"/>
        <w:gridCol w:w="1503"/>
        <w:gridCol w:w="1503"/>
      </w:tblGrid>
      <w:tr w:rsidR="00C02355" w14:paraId="16E7A0CE" w14:textId="77777777" w:rsidTr="0004747B">
        <w:tc>
          <w:tcPr>
            <w:tcW w:w="1502" w:type="dxa"/>
            <w:vAlign w:val="bottom"/>
          </w:tcPr>
          <w:p w14:paraId="34039263" w14:textId="385193F5" w:rsidR="00C02355" w:rsidRDefault="00C02355" w:rsidP="00C02355">
            <w:pPr>
              <w:spacing w:after="120" w:line="360" w:lineRule="auto"/>
              <w:rPr>
                <w:sz w:val="24"/>
                <w:szCs w:val="24"/>
              </w:rPr>
            </w:pPr>
            <w:r w:rsidRPr="00B179BF">
              <w:rPr>
                <w:rFonts w:eastAsia="Times New Roman"/>
                <w:b/>
                <w:bCs/>
                <w:sz w:val="24"/>
                <w:szCs w:val="24"/>
              </w:rPr>
              <w:t>Profile Type</w:t>
            </w:r>
          </w:p>
        </w:tc>
        <w:tc>
          <w:tcPr>
            <w:tcW w:w="1502" w:type="dxa"/>
            <w:vAlign w:val="bottom"/>
          </w:tcPr>
          <w:p w14:paraId="0813B756" w14:textId="2CA5F7EB" w:rsidR="00C02355" w:rsidRDefault="00C02355" w:rsidP="00C02355">
            <w:pPr>
              <w:spacing w:after="120" w:line="360" w:lineRule="auto"/>
              <w:rPr>
                <w:sz w:val="24"/>
                <w:szCs w:val="24"/>
              </w:rPr>
            </w:pPr>
            <w:r w:rsidRPr="00B179BF">
              <w:rPr>
                <w:rFonts w:eastAsia="Times New Roman"/>
                <w:b/>
                <w:bCs/>
                <w:sz w:val="24"/>
                <w:szCs w:val="24"/>
              </w:rPr>
              <w:t xml:space="preserve">4* </w:t>
            </w:r>
          </w:p>
        </w:tc>
        <w:tc>
          <w:tcPr>
            <w:tcW w:w="1503" w:type="dxa"/>
            <w:vAlign w:val="bottom"/>
          </w:tcPr>
          <w:p w14:paraId="776D09C6" w14:textId="7624CB02" w:rsidR="00C02355" w:rsidRDefault="00C02355" w:rsidP="00C02355">
            <w:pPr>
              <w:spacing w:after="120" w:line="360" w:lineRule="auto"/>
              <w:rPr>
                <w:sz w:val="24"/>
                <w:szCs w:val="24"/>
              </w:rPr>
            </w:pPr>
            <w:r w:rsidRPr="00B179BF">
              <w:rPr>
                <w:rFonts w:eastAsia="Times New Roman"/>
                <w:b/>
                <w:bCs/>
                <w:sz w:val="24"/>
                <w:szCs w:val="24"/>
              </w:rPr>
              <w:t xml:space="preserve">3* </w:t>
            </w:r>
          </w:p>
        </w:tc>
        <w:tc>
          <w:tcPr>
            <w:tcW w:w="1503" w:type="dxa"/>
            <w:vAlign w:val="bottom"/>
          </w:tcPr>
          <w:p w14:paraId="2D1CDF3A" w14:textId="7C8D075B" w:rsidR="00C02355" w:rsidRDefault="00C02355" w:rsidP="00C02355">
            <w:pPr>
              <w:spacing w:after="120" w:line="360" w:lineRule="auto"/>
              <w:rPr>
                <w:sz w:val="24"/>
                <w:szCs w:val="24"/>
              </w:rPr>
            </w:pPr>
            <w:r w:rsidRPr="00B179BF">
              <w:rPr>
                <w:rFonts w:eastAsia="Times New Roman"/>
                <w:b/>
                <w:bCs/>
                <w:sz w:val="24"/>
                <w:szCs w:val="24"/>
              </w:rPr>
              <w:t xml:space="preserve">2* </w:t>
            </w:r>
          </w:p>
        </w:tc>
        <w:tc>
          <w:tcPr>
            <w:tcW w:w="1503" w:type="dxa"/>
            <w:vAlign w:val="bottom"/>
          </w:tcPr>
          <w:p w14:paraId="47AC75EF" w14:textId="4960232C" w:rsidR="00C02355" w:rsidRDefault="00C02355" w:rsidP="00C02355">
            <w:pPr>
              <w:spacing w:after="120" w:line="360" w:lineRule="auto"/>
              <w:rPr>
                <w:sz w:val="24"/>
                <w:szCs w:val="24"/>
              </w:rPr>
            </w:pPr>
            <w:r w:rsidRPr="00B179BF">
              <w:rPr>
                <w:rFonts w:eastAsia="Times New Roman"/>
                <w:b/>
                <w:bCs/>
                <w:sz w:val="24"/>
                <w:szCs w:val="24"/>
              </w:rPr>
              <w:t xml:space="preserve">1* </w:t>
            </w:r>
          </w:p>
        </w:tc>
        <w:tc>
          <w:tcPr>
            <w:tcW w:w="1503" w:type="dxa"/>
            <w:vAlign w:val="bottom"/>
          </w:tcPr>
          <w:p w14:paraId="3E351EB3" w14:textId="0832253B" w:rsidR="00C02355" w:rsidRDefault="00C02355" w:rsidP="00C02355">
            <w:pPr>
              <w:spacing w:after="120" w:line="360" w:lineRule="auto"/>
              <w:rPr>
                <w:sz w:val="24"/>
                <w:szCs w:val="24"/>
              </w:rPr>
            </w:pPr>
            <w:r w:rsidRPr="00B179BF">
              <w:rPr>
                <w:rFonts w:eastAsia="Times New Roman"/>
                <w:b/>
                <w:bCs/>
                <w:sz w:val="24"/>
                <w:szCs w:val="24"/>
              </w:rPr>
              <w:t xml:space="preserve">U/C </w:t>
            </w:r>
          </w:p>
        </w:tc>
      </w:tr>
      <w:tr w:rsidR="00C02355" w14:paraId="37A55F64" w14:textId="77777777" w:rsidTr="0004747B">
        <w:tc>
          <w:tcPr>
            <w:tcW w:w="1502" w:type="dxa"/>
            <w:vAlign w:val="bottom"/>
          </w:tcPr>
          <w:p w14:paraId="4F10C844" w14:textId="2F493431" w:rsidR="00C02355" w:rsidRPr="00C02355" w:rsidRDefault="00C02355" w:rsidP="00C02355">
            <w:pPr>
              <w:spacing w:after="120" w:line="360" w:lineRule="auto"/>
              <w:rPr>
                <w:b/>
                <w:bCs/>
                <w:sz w:val="24"/>
                <w:szCs w:val="24"/>
              </w:rPr>
            </w:pPr>
            <w:r w:rsidRPr="00C02355">
              <w:rPr>
                <w:rFonts w:eastAsia="Times New Roman"/>
                <w:b/>
                <w:bCs/>
                <w:sz w:val="24"/>
                <w:szCs w:val="24"/>
              </w:rPr>
              <w:t xml:space="preserve">Outputs </w:t>
            </w:r>
          </w:p>
        </w:tc>
        <w:tc>
          <w:tcPr>
            <w:tcW w:w="1502" w:type="dxa"/>
            <w:vAlign w:val="bottom"/>
          </w:tcPr>
          <w:p w14:paraId="51DFB2D7" w14:textId="26641AE3" w:rsidR="00C02355" w:rsidRDefault="00C02355" w:rsidP="00C02355">
            <w:pPr>
              <w:spacing w:after="120" w:line="360" w:lineRule="auto"/>
              <w:rPr>
                <w:sz w:val="24"/>
                <w:szCs w:val="24"/>
              </w:rPr>
            </w:pPr>
            <w:r w:rsidRPr="002F7B3C">
              <w:rPr>
                <w:rFonts w:eastAsia="Times New Roman"/>
                <w:sz w:val="24"/>
                <w:szCs w:val="24"/>
              </w:rPr>
              <w:t>23.9</w:t>
            </w:r>
          </w:p>
        </w:tc>
        <w:tc>
          <w:tcPr>
            <w:tcW w:w="1503" w:type="dxa"/>
            <w:vAlign w:val="bottom"/>
          </w:tcPr>
          <w:p w14:paraId="0DDCCFA7" w14:textId="69683D32" w:rsidR="00C02355" w:rsidRDefault="00C02355" w:rsidP="00C02355">
            <w:pPr>
              <w:spacing w:after="120" w:line="360" w:lineRule="auto"/>
              <w:rPr>
                <w:sz w:val="24"/>
                <w:szCs w:val="24"/>
              </w:rPr>
            </w:pPr>
            <w:r w:rsidRPr="002F7B3C">
              <w:rPr>
                <w:rFonts w:eastAsia="Times New Roman"/>
                <w:sz w:val="24"/>
                <w:szCs w:val="24"/>
              </w:rPr>
              <w:t>51.1</w:t>
            </w:r>
          </w:p>
        </w:tc>
        <w:tc>
          <w:tcPr>
            <w:tcW w:w="1503" w:type="dxa"/>
            <w:vAlign w:val="bottom"/>
          </w:tcPr>
          <w:p w14:paraId="6B170292" w14:textId="5F0092FC" w:rsidR="00C02355" w:rsidRDefault="00C02355" w:rsidP="00C02355">
            <w:pPr>
              <w:spacing w:after="120" w:line="360" w:lineRule="auto"/>
              <w:rPr>
                <w:sz w:val="24"/>
                <w:szCs w:val="24"/>
              </w:rPr>
            </w:pPr>
            <w:r w:rsidRPr="002F7B3C">
              <w:rPr>
                <w:rFonts w:eastAsia="Times New Roman"/>
                <w:sz w:val="24"/>
                <w:szCs w:val="24"/>
              </w:rPr>
              <w:t>22.1</w:t>
            </w:r>
          </w:p>
        </w:tc>
        <w:tc>
          <w:tcPr>
            <w:tcW w:w="1503" w:type="dxa"/>
            <w:vAlign w:val="bottom"/>
          </w:tcPr>
          <w:p w14:paraId="6CCA9120" w14:textId="3413B5FF" w:rsidR="00C02355" w:rsidRDefault="00C02355" w:rsidP="00C02355">
            <w:pPr>
              <w:spacing w:after="120" w:line="360" w:lineRule="auto"/>
              <w:rPr>
                <w:sz w:val="24"/>
                <w:szCs w:val="24"/>
              </w:rPr>
            </w:pPr>
            <w:r w:rsidRPr="002F7B3C">
              <w:rPr>
                <w:rFonts w:eastAsia="Times New Roman"/>
                <w:sz w:val="24"/>
                <w:szCs w:val="24"/>
              </w:rPr>
              <w:t>1.9</w:t>
            </w:r>
          </w:p>
        </w:tc>
        <w:tc>
          <w:tcPr>
            <w:tcW w:w="1503" w:type="dxa"/>
            <w:vAlign w:val="bottom"/>
          </w:tcPr>
          <w:p w14:paraId="322E5CA8" w14:textId="7339D96A" w:rsidR="00C02355" w:rsidRDefault="00C02355" w:rsidP="00C02355">
            <w:pPr>
              <w:spacing w:after="120" w:line="360" w:lineRule="auto"/>
              <w:rPr>
                <w:sz w:val="24"/>
                <w:szCs w:val="24"/>
              </w:rPr>
            </w:pPr>
            <w:r w:rsidRPr="418505C0">
              <w:rPr>
                <w:rFonts w:eastAsia="Times New Roman"/>
                <w:sz w:val="24"/>
                <w:szCs w:val="24"/>
              </w:rPr>
              <w:t>1</w:t>
            </w:r>
          </w:p>
        </w:tc>
      </w:tr>
      <w:tr w:rsidR="00C02355" w14:paraId="51D03495" w14:textId="77777777" w:rsidTr="0004747B">
        <w:tc>
          <w:tcPr>
            <w:tcW w:w="1502" w:type="dxa"/>
            <w:vAlign w:val="bottom"/>
          </w:tcPr>
          <w:p w14:paraId="5E49484F" w14:textId="0D56B949" w:rsidR="00C02355" w:rsidRPr="00C02355" w:rsidRDefault="00C02355" w:rsidP="00C02355">
            <w:pPr>
              <w:spacing w:after="120" w:line="360" w:lineRule="auto"/>
              <w:rPr>
                <w:b/>
                <w:bCs/>
                <w:sz w:val="24"/>
                <w:szCs w:val="24"/>
              </w:rPr>
            </w:pPr>
            <w:r w:rsidRPr="00C02355">
              <w:rPr>
                <w:rFonts w:eastAsia="Times New Roman"/>
                <w:b/>
                <w:bCs/>
                <w:sz w:val="24"/>
                <w:szCs w:val="24"/>
              </w:rPr>
              <w:t xml:space="preserve">Impact </w:t>
            </w:r>
          </w:p>
        </w:tc>
        <w:tc>
          <w:tcPr>
            <w:tcW w:w="1502" w:type="dxa"/>
            <w:vAlign w:val="bottom"/>
          </w:tcPr>
          <w:p w14:paraId="3C67D564" w14:textId="530EF013" w:rsidR="00C02355" w:rsidRDefault="00C02355" w:rsidP="00C02355">
            <w:pPr>
              <w:spacing w:after="120" w:line="360" w:lineRule="auto"/>
              <w:rPr>
                <w:sz w:val="24"/>
                <w:szCs w:val="24"/>
              </w:rPr>
            </w:pPr>
            <w:r w:rsidRPr="002F7B3C">
              <w:rPr>
                <w:rFonts w:eastAsia="Times New Roman"/>
                <w:sz w:val="24"/>
                <w:szCs w:val="24"/>
              </w:rPr>
              <w:t>60.9</w:t>
            </w:r>
          </w:p>
        </w:tc>
        <w:tc>
          <w:tcPr>
            <w:tcW w:w="1503" w:type="dxa"/>
            <w:vAlign w:val="bottom"/>
          </w:tcPr>
          <w:p w14:paraId="76723D3C" w14:textId="7F1CD879" w:rsidR="00C02355" w:rsidRDefault="00C02355" w:rsidP="00C02355">
            <w:pPr>
              <w:spacing w:after="120" w:line="360" w:lineRule="auto"/>
              <w:rPr>
                <w:sz w:val="24"/>
                <w:szCs w:val="24"/>
              </w:rPr>
            </w:pPr>
            <w:r w:rsidRPr="002F7B3C">
              <w:rPr>
                <w:rFonts w:eastAsia="Times New Roman"/>
                <w:sz w:val="24"/>
                <w:szCs w:val="24"/>
              </w:rPr>
              <w:t>30.2</w:t>
            </w:r>
          </w:p>
        </w:tc>
        <w:tc>
          <w:tcPr>
            <w:tcW w:w="1503" w:type="dxa"/>
            <w:vAlign w:val="bottom"/>
          </w:tcPr>
          <w:p w14:paraId="17A413D2" w14:textId="10A9966B" w:rsidR="00C02355" w:rsidRDefault="00C02355" w:rsidP="00C02355">
            <w:pPr>
              <w:spacing w:after="120" w:line="360" w:lineRule="auto"/>
              <w:rPr>
                <w:sz w:val="24"/>
                <w:szCs w:val="24"/>
              </w:rPr>
            </w:pPr>
            <w:r w:rsidRPr="002F7B3C">
              <w:rPr>
                <w:rFonts w:eastAsia="Times New Roman"/>
                <w:sz w:val="24"/>
                <w:szCs w:val="24"/>
              </w:rPr>
              <w:t>7.4</w:t>
            </w:r>
          </w:p>
        </w:tc>
        <w:tc>
          <w:tcPr>
            <w:tcW w:w="1503" w:type="dxa"/>
            <w:vAlign w:val="bottom"/>
          </w:tcPr>
          <w:p w14:paraId="0C991DDC" w14:textId="54FC2F1B" w:rsidR="00C02355" w:rsidRDefault="00C02355" w:rsidP="00C02355">
            <w:pPr>
              <w:spacing w:after="120" w:line="360" w:lineRule="auto"/>
              <w:rPr>
                <w:sz w:val="24"/>
                <w:szCs w:val="24"/>
              </w:rPr>
            </w:pPr>
            <w:r w:rsidRPr="002F7B3C">
              <w:rPr>
                <w:rFonts w:eastAsia="Times New Roman"/>
                <w:sz w:val="24"/>
                <w:szCs w:val="24"/>
              </w:rPr>
              <w:t>0.8</w:t>
            </w:r>
          </w:p>
        </w:tc>
        <w:tc>
          <w:tcPr>
            <w:tcW w:w="1503" w:type="dxa"/>
            <w:vAlign w:val="bottom"/>
          </w:tcPr>
          <w:p w14:paraId="691B27BC" w14:textId="69A80D67" w:rsidR="00C02355" w:rsidRDefault="00C02355" w:rsidP="00C02355">
            <w:pPr>
              <w:spacing w:after="120" w:line="360" w:lineRule="auto"/>
              <w:rPr>
                <w:sz w:val="24"/>
                <w:szCs w:val="24"/>
              </w:rPr>
            </w:pPr>
            <w:r w:rsidRPr="002F7B3C">
              <w:rPr>
                <w:rFonts w:eastAsia="Times New Roman"/>
                <w:sz w:val="24"/>
                <w:szCs w:val="24"/>
              </w:rPr>
              <w:t>0.7</w:t>
            </w:r>
          </w:p>
        </w:tc>
      </w:tr>
      <w:tr w:rsidR="00C02355" w14:paraId="7F17B524" w14:textId="77777777" w:rsidTr="0004747B">
        <w:tc>
          <w:tcPr>
            <w:tcW w:w="1502" w:type="dxa"/>
            <w:vAlign w:val="bottom"/>
          </w:tcPr>
          <w:p w14:paraId="3B7E1770" w14:textId="6F170627" w:rsidR="00C02355" w:rsidRPr="00C02355" w:rsidRDefault="00C02355" w:rsidP="00C02355">
            <w:pPr>
              <w:spacing w:after="120" w:line="360" w:lineRule="auto"/>
              <w:rPr>
                <w:b/>
                <w:bCs/>
                <w:sz w:val="24"/>
                <w:szCs w:val="24"/>
              </w:rPr>
            </w:pPr>
            <w:r w:rsidRPr="00C02355">
              <w:rPr>
                <w:rFonts w:eastAsia="Times New Roman"/>
                <w:b/>
                <w:bCs/>
                <w:sz w:val="24"/>
                <w:szCs w:val="24"/>
              </w:rPr>
              <w:t xml:space="preserve">Environment </w:t>
            </w:r>
          </w:p>
        </w:tc>
        <w:tc>
          <w:tcPr>
            <w:tcW w:w="1502" w:type="dxa"/>
            <w:vAlign w:val="bottom"/>
          </w:tcPr>
          <w:p w14:paraId="6F55FF52" w14:textId="6153E8EC" w:rsidR="00C02355" w:rsidRDefault="00C02355" w:rsidP="00C02355">
            <w:pPr>
              <w:spacing w:after="120" w:line="360" w:lineRule="auto"/>
              <w:rPr>
                <w:sz w:val="24"/>
                <w:szCs w:val="24"/>
              </w:rPr>
            </w:pPr>
            <w:r w:rsidRPr="002F7B3C">
              <w:rPr>
                <w:rFonts w:eastAsia="Times New Roman"/>
                <w:sz w:val="24"/>
                <w:szCs w:val="24"/>
              </w:rPr>
              <w:t>58.9</w:t>
            </w:r>
          </w:p>
        </w:tc>
        <w:tc>
          <w:tcPr>
            <w:tcW w:w="1503" w:type="dxa"/>
            <w:vAlign w:val="bottom"/>
          </w:tcPr>
          <w:p w14:paraId="5130F29C" w14:textId="6B1B8F28" w:rsidR="00C02355" w:rsidRDefault="00C02355" w:rsidP="00C02355">
            <w:pPr>
              <w:spacing w:after="120" w:line="360" w:lineRule="auto"/>
              <w:rPr>
                <w:sz w:val="24"/>
                <w:szCs w:val="24"/>
              </w:rPr>
            </w:pPr>
            <w:r w:rsidRPr="002F7B3C">
              <w:rPr>
                <w:rFonts w:eastAsia="Times New Roman"/>
                <w:sz w:val="24"/>
                <w:szCs w:val="24"/>
              </w:rPr>
              <w:t>32.5</w:t>
            </w:r>
          </w:p>
        </w:tc>
        <w:tc>
          <w:tcPr>
            <w:tcW w:w="1503" w:type="dxa"/>
            <w:vAlign w:val="bottom"/>
          </w:tcPr>
          <w:p w14:paraId="5DD83465" w14:textId="1B4FE12D" w:rsidR="00C02355" w:rsidRDefault="00C02355" w:rsidP="00C02355">
            <w:pPr>
              <w:spacing w:after="120" w:line="360" w:lineRule="auto"/>
              <w:rPr>
                <w:sz w:val="24"/>
                <w:szCs w:val="24"/>
              </w:rPr>
            </w:pPr>
            <w:r w:rsidRPr="002F7B3C">
              <w:rPr>
                <w:rFonts w:eastAsia="Times New Roman"/>
                <w:sz w:val="24"/>
                <w:szCs w:val="24"/>
              </w:rPr>
              <w:t>7.4</w:t>
            </w:r>
          </w:p>
        </w:tc>
        <w:tc>
          <w:tcPr>
            <w:tcW w:w="1503" w:type="dxa"/>
            <w:vAlign w:val="bottom"/>
          </w:tcPr>
          <w:p w14:paraId="4A5EEBD8" w14:textId="627E47B3" w:rsidR="00C02355" w:rsidRDefault="00C02355" w:rsidP="00C02355">
            <w:pPr>
              <w:spacing w:after="120" w:line="360" w:lineRule="auto"/>
              <w:rPr>
                <w:sz w:val="24"/>
                <w:szCs w:val="24"/>
              </w:rPr>
            </w:pPr>
            <w:r w:rsidRPr="002F7B3C">
              <w:rPr>
                <w:rFonts w:eastAsia="Times New Roman"/>
                <w:sz w:val="24"/>
                <w:szCs w:val="24"/>
              </w:rPr>
              <w:t>1.1</w:t>
            </w:r>
          </w:p>
        </w:tc>
        <w:tc>
          <w:tcPr>
            <w:tcW w:w="1503" w:type="dxa"/>
            <w:vAlign w:val="bottom"/>
          </w:tcPr>
          <w:p w14:paraId="368A9F8D" w14:textId="21917B64" w:rsidR="00C02355" w:rsidRDefault="00C02355" w:rsidP="00C02355">
            <w:pPr>
              <w:spacing w:after="120" w:line="360" w:lineRule="auto"/>
              <w:rPr>
                <w:sz w:val="24"/>
                <w:szCs w:val="24"/>
              </w:rPr>
            </w:pPr>
            <w:r w:rsidRPr="002F7B3C">
              <w:rPr>
                <w:rFonts w:eastAsia="Times New Roman"/>
                <w:sz w:val="24"/>
                <w:szCs w:val="24"/>
              </w:rPr>
              <w:t>0.1</w:t>
            </w:r>
          </w:p>
        </w:tc>
      </w:tr>
      <w:tr w:rsidR="00C02355" w14:paraId="55179235" w14:textId="77777777" w:rsidTr="0004747B">
        <w:tc>
          <w:tcPr>
            <w:tcW w:w="1502" w:type="dxa"/>
            <w:vAlign w:val="bottom"/>
          </w:tcPr>
          <w:p w14:paraId="4B8D2CE0" w14:textId="785060E3" w:rsidR="00C02355" w:rsidRPr="00C02355" w:rsidRDefault="00C02355" w:rsidP="00C02355">
            <w:pPr>
              <w:spacing w:after="120" w:line="360" w:lineRule="auto"/>
              <w:rPr>
                <w:b/>
                <w:bCs/>
                <w:sz w:val="24"/>
                <w:szCs w:val="24"/>
              </w:rPr>
            </w:pPr>
            <w:r w:rsidRPr="00C02355">
              <w:rPr>
                <w:rFonts w:eastAsia="Times New Roman"/>
                <w:b/>
                <w:bCs/>
                <w:sz w:val="24"/>
                <w:szCs w:val="24"/>
              </w:rPr>
              <w:t xml:space="preserve">Overall </w:t>
            </w:r>
          </w:p>
        </w:tc>
        <w:tc>
          <w:tcPr>
            <w:tcW w:w="1502" w:type="dxa"/>
            <w:vAlign w:val="bottom"/>
          </w:tcPr>
          <w:p w14:paraId="01FF5E87" w14:textId="3EA1C9EB" w:rsidR="00C02355" w:rsidRPr="00C02355" w:rsidRDefault="00C02355" w:rsidP="00C02355">
            <w:pPr>
              <w:spacing w:after="120" w:line="360" w:lineRule="auto"/>
              <w:rPr>
                <w:b/>
                <w:bCs/>
                <w:sz w:val="24"/>
                <w:szCs w:val="24"/>
              </w:rPr>
            </w:pPr>
            <w:r w:rsidRPr="00C02355">
              <w:rPr>
                <w:rFonts w:eastAsia="Times New Roman"/>
                <w:b/>
                <w:bCs/>
                <w:sz w:val="24"/>
                <w:szCs w:val="24"/>
              </w:rPr>
              <w:t>37</w:t>
            </w:r>
          </w:p>
        </w:tc>
        <w:tc>
          <w:tcPr>
            <w:tcW w:w="1503" w:type="dxa"/>
            <w:vAlign w:val="bottom"/>
          </w:tcPr>
          <w:p w14:paraId="3CDA09A8" w14:textId="5FCC141C" w:rsidR="00C02355" w:rsidRPr="00C02355" w:rsidRDefault="00C02355" w:rsidP="00C02355">
            <w:pPr>
              <w:spacing w:after="120" w:line="360" w:lineRule="auto"/>
              <w:rPr>
                <w:b/>
                <w:bCs/>
                <w:sz w:val="24"/>
                <w:szCs w:val="24"/>
              </w:rPr>
            </w:pPr>
            <w:r w:rsidRPr="00C02355">
              <w:rPr>
                <w:rFonts w:eastAsia="Times New Roman"/>
                <w:b/>
                <w:bCs/>
                <w:sz w:val="24"/>
                <w:szCs w:val="24"/>
              </w:rPr>
              <w:t>44</w:t>
            </w:r>
          </w:p>
        </w:tc>
        <w:tc>
          <w:tcPr>
            <w:tcW w:w="1503" w:type="dxa"/>
            <w:vAlign w:val="bottom"/>
          </w:tcPr>
          <w:p w14:paraId="13B136BF" w14:textId="332C6AE9" w:rsidR="00C02355" w:rsidRPr="00C02355" w:rsidRDefault="00C02355" w:rsidP="00C02355">
            <w:pPr>
              <w:spacing w:after="120" w:line="360" w:lineRule="auto"/>
              <w:rPr>
                <w:b/>
                <w:bCs/>
                <w:sz w:val="24"/>
                <w:szCs w:val="24"/>
              </w:rPr>
            </w:pPr>
            <w:r w:rsidRPr="00C02355">
              <w:rPr>
                <w:rFonts w:eastAsia="Times New Roman"/>
                <w:b/>
                <w:bCs/>
                <w:sz w:val="24"/>
                <w:szCs w:val="24"/>
              </w:rPr>
              <w:t>17</w:t>
            </w:r>
          </w:p>
        </w:tc>
        <w:tc>
          <w:tcPr>
            <w:tcW w:w="1503" w:type="dxa"/>
            <w:vAlign w:val="bottom"/>
          </w:tcPr>
          <w:p w14:paraId="108DF729" w14:textId="4A0E4655" w:rsidR="00C02355" w:rsidRPr="00C02355" w:rsidRDefault="00C02355" w:rsidP="00C02355">
            <w:pPr>
              <w:spacing w:after="120" w:line="360" w:lineRule="auto"/>
              <w:rPr>
                <w:b/>
                <w:bCs/>
                <w:sz w:val="24"/>
                <w:szCs w:val="24"/>
              </w:rPr>
            </w:pPr>
            <w:r w:rsidRPr="00C02355">
              <w:rPr>
                <w:rFonts w:eastAsia="Times New Roman"/>
                <w:b/>
                <w:bCs/>
                <w:sz w:val="24"/>
                <w:szCs w:val="24"/>
              </w:rPr>
              <w:t>1</w:t>
            </w:r>
          </w:p>
        </w:tc>
        <w:tc>
          <w:tcPr>
            <w:tcW w:w="1503" w:type="dxa"/>
            <w:vAlign w:val="bottom"/>
          </w:tcPr>
          <w:p w14:paraId="314F9518" w14:textId="20AD14FB" w:rsidR="00C02355" w:rsidRPr="00C02355" w:rsidRDefault="00C02355" w:rsidP="00DB1F90">
            <w:pPr>
              <w:keepNext/>
              <w:spacing w:after="120" w:line="360" w:lineRule="auto"/>
              <w:rPr>
                <w:b/>
                <w:bCs/>
                <w:sz w:val="24"/>
                <w:szCs w:val="24"/>
              </w:rPr>
            </w:pPr>
            <w:r w:rsidRPr="00C02355">
              <w:rPr>
                <w:rFonts w:eastAsia="Times New Roman"/>
                <w:b/>
                <w:bCs/>
                <w:sz w:val="24"/>
                <w:szCs w:val="24"/>
              </w:rPr>
              <w:t>1</w:t>
            </w:r>
          </w:p>
        </w:tc>
      </w:tr>
    </w:tbl>
    <w:p w14:paraId="675B8FDB" w14:textId="2F1AF07A" w:rsidR="00C02355" w:rsidRPr="00BB0997" w:rsidRDefault="00DB1F90" w:rsidP="00DB1F90">
      <w:pPr>
        <w:pStyle w:val="Caption"/>
        <w:rPr>
          <w:sz w:val="24"/>
          <w:szCs w:val="24"/>
        </w:rPr>
      </w:pPr>
      <w:bookmarkStart w:id="18" w:name="_Ref19751701"/>
      <w:bookmarkStart w:id="19" w:name="_Toc31702030"/>
      <w:r>
        <w:t xml:space="preserve">Table </w:t>
      </w:r>
      <w:r w:rsidR="00A56355">
        <w:fldChar w:fldCharType="begin"/>
      </w:r>
      <w:r w:rsidR="00A56355">
        <w:instrText xml:space="preserve"> SEQ Table \* ARABIC </w:instrText>
      </w:r>
      <w:r w:rsidR="00A56355">
        <w:fldChar w:fldCharType="separate"/>
      </w:r>
      <w:r w:rsidR="0011424E">
        <w:rPr>
          <w:noProof/>
        </w:rPr>
        <w:t>1</w:t>
      </w:r>
      <w:r w:rsidR="00A56355">
        <w:rPr>
          <w:noProof/>
        </w:rPr>
        <w:fldChar w:fldCharType="end"/>
      </w:r>
      <w:bookmarkEnd w:id="18"/>
      <w:r>
        <w:t xml:space="preserve">. </w:t>
      </w:r>
      <w:r w:rsidRPr="001576C2">
        <w:t>Example of REF2014 submission result</w:t>
      </w:r>
      <w:r>
        <w:t xml:space="preserve"> (all figures are percentages</w:t>
      </w:r>
      <w:r w:rsidR="004371DA">
        <w:t>)</w:t>
      </w:r>
      <w:bookmarkEnd w:id="19"/>
    </w:p>
    <w:p w14:paraId="1B185399" w14:textId="3AD28274" w:rsidR="00FD7CF3" w:rsidRDefault="00FD7CF3" w:rsidP="00595B84">
      <w:pPr>
        <w:spacing w:after="120" w:line="360" w:lineRule="auto"/>
        <w:rPr>
          <w:rFonts w:eastAsia="Times New Roman"/>
          <w:sz w:val="24"/>
          <w:szCs w:val="24"/>
        </w:rPr>
      </w:pPr>
      <w:r w:rsidRPr="418505C0">
        <w:rPr>
          <w:rFonts w:eastAsia="Times New Roman"/>
          <w:sz w:val="24"/>
          <w:szCs w:val="24"/>
        </w:rPr>
        <w:t xml:space="preserve">In support of the Impact </w:t>
      </w:r>
      <w:r>
        <w:rPr>
          <w:rFonts w:eastAsia="Times New Roman"/>
          <w:sz w:val="24"/>
          <w:szCs w:val="24"/>
        </w:rPr>
        <w:t>submission</w:t>
      </w:r>
      <w:r w:rsidRPr="418505C0">
        <w:rPr>
          <w:rFonts w:eastAsia="Times New Roman"/>
          <w:sz w:val="24"/>
          <w:szCs w:val="24"/>
        </w:rPr>
        <w:t>, institutions submit Impact Case Studies</w:t>
      </w:r>
      <w:r>
        <w:rPr>
          <w:rFonts w:eastAsia="Times New Roman"/>
          <w:sz w:val="24"/>
          <w:szCs w:val="24"/>
        </w:rPr>
        <w:t>, at a minimum of two Case Studies per submission, with more Case Studies required depending on the size of the submitting department. Impact Case Studies are four-page narrative documents which describe a body of research with references to relevant research outputs, and which detail and evidence specific impacts which resulted from that research.</w:t>
      </w:r>
      <w:r w:rsidRPr="418505C0">
        <w:rPr>
          <w:rFonts w:eastAsia="Times New Roman"/>
          <w:sz w:val="24"/>
          <w:szCs w:val="24"/>
        </w:rPr>
        <w:t xml:space="preserve"> </w:t>
      </w:r>
      <w:r>
        <w:rPr>
          <w:rFonts w:eastAsia="Times New Roman"/>
          <w:sz w:val="24"/>
          <w:szCs w:val="24"/>
        </w:rPr>
        <w:t>The descriptions and evidence of research outputs are provided in order to demonstrate how the submitting department’s contributions were crucial to the impact</w:t>
      </w:r>
      <w:r>
        <w:rPr>
          <w:rStyle w:val="FootnoteReference"/>
          <w:rFonts w:eastAsia="Times New Roman"/>
          <w:sz w:val="24"/>
          <w:szCs w:val="24"/>
        </w:rPr>
        <w:footnoteReference w:id="3"/>
      </w:r>
      <w:r>
        <w:rPr>
          <w:rFonts w:eastAsia="Times New Roman"/>
          <w:sz w:val="24"/>
          <w:szCs w:val="24"/>
        </w:rPr>
        <w:t xml:space="preserve">. </w:t>
      </w:r>
      <w:r w:rsidRPr="009D2C4F">
        <w:rPr>
          <w:rFonts w:eastAsia="Times New Roman"/>
          <w:sz w:val="24"/>
          <w:szCs w:val="24"/>
        </w:rPr>
        <w:t>An online database,</w:t>
      </w:r>
      <w:r>
        <w:rPr>
          <w:rFonts w:eastAsia="Times New Roman"/>
          <w:sz w:val="24"/>
          <w:szCs w:val="24"/>
        </w:rPr>
        <w:t xml:space="preserve"> which is an output of the commissioned work by </w:t>
      </w:r>
      <w:r w:rsidRPr="009D2C4F">
        <w:rPr>
          <w:rFonts w:eastAsia="Times New Roman"/>
          <w:sz w:val="24"/>
          <w:szCs w:val="24"/>
        </w:rPr>
        <w:t>K</w:t>
      </w:r>
      <w:r>
        <w:rPr>
          <w:rFonts w:eastAsia="Times New Roman"/>
          <w:sz w:val="24"/>
          <w:szCs w:val="24"/>
        </w:rPr>
        <w:t>ing’s College London</w:t>
      </w:r>
      <w:r w:rsidRPr="009D2C4F">
        <w:rPr>
          <w:rFonts w:eastAsia="Times New Roman"/>
          <w:sz w:val="24"/>
          <w:szCs w:val="24"/>
        </w:rPr>
        <w:t xml:space="preserve"> and D</w:t>
      </w:r>
      <w:r>
        <w:rPr>
          <w:rFonts w:eastAsia="Times New Roman"/>
          <w:sz w:val="24"/>
          <w:szCs w:val="24"/>
        </w:rPr>
        <w:t xml:space="preserve">igital </w:t>
      </w:r>
      <w:r w:rsidRPr="009D2C4F">
        <w:rPr>
          <w:rFonts w:eastAsia="Times New Roman"/>
          <w:sz w:val="24"/>
          <w:szCs w:val="24"/>
        </w:rPr>
        <w:t>S</w:t>
      </w:r>
      <w:r>
        <w:rPr>
          <w:rFonts w:eastAsia="Times New Roman"/>
          <w:sz w:val="24"/>
          <w:szCs w:val="24"/>
        </w:rPr>
        <w:t>cience</w:t>
      </w:r>
      <w:r w:rsidRPr="009D2C4F">
        <w:rPr>
          <w:rFonts w:eastAsia="Times New Roman"/>
          <w:sz w:val="24"/>
          <w:szCs w:val="24"/>
        </w:rPr>
        <w:t xml:space="preserve"> </w:t>
      </w:r>
      <w:r w:rsidRPr="009D2C4F">
        <w:rPr>
          <w:rFonts w:asciiTheme="majorBidi" w:hAnsiTheme="majorBidi" w:cstheme="majorBidi"/>
          <w:color w:val="000000"/>
          <w:sz w:val="24"/>
          <w:szCs w:val="24"/>
        </w:rPr>
        <w:fldChar w:fldCharType="begin"/>
      </w:r>
      <w:r w:rsidRPr="009D2C4F">
        <w:rPr>
          <w:rFonts w:asciiTheme="majorBidi" w:hAnsiTheme="majorBidi" w:cstheme="majorBidi"/>
          <w:color w:val="000000"/>
          <w:sz w:val="24"/>
          <w:szCs w:val="24"/>
        </w:rPr>
        <w:instrText xml:space="preserve"> ADDIN EN.CITE &lt;EndNote&gt;&lt;Cite ExcludeAuth="1"&gt;&lt;Author&gt;King&amp;apos;s College London&lt;/Author&gt;&lt;Year&gt;2015&lt;/Year&gt;&lt;IDText&gt;The nature, scale and beneficiaries of research impact: An initial analysis of Research Excellence Framework (REF) 2014 impact case studies&lt;/IDText&gt;&lt;DisplayText&gt;(2015)&lt;/DisplayText&gt;&lt;record&gt;&lt;urls&gt;&lt;related-urls&gt;&lt;url&gt;http://www.kcl.ac.uk/sspp/policy-institute/publications/Analysis-of-REF-impact.pdf&lt;/url&gt;&lt;/related-urls&gt;&lt;/urls&gt;&lt;titles&gt;&lt;title&gt;The nature, scale and beneficiaries of research impact: An initial analysis of Research Excellence Framework (REF) 2014 impact case studies&lt;/title&gt;&lt;/titles&gt;&lt;contributors&gt;&lt;authors&gt;&lt;author&gt;King&amp;apos;s College London,&lt;/author&gt;&lt;author&gt;Digital Science,&lt;/author&gt;&lt;/authors&gt;&lt;/contributors&gt;&lt;added-date format="utc"&gt;1480108432&lt;/added-date&gt;&lt;ref-type name="Report"&gt;27&lt;/ref-type&gt;&lt;dates&gt;&lt;year&gt;2015&lt;/year&gt;&lt;/dates&gt;&lt;rec-number&gt;6402&lt;/rec-number&gt;&lt;publisher&gt;King&amp;apos;s College London &amp;amp;amp; Digital Science&lt;/publisher&gt;&lt;last-updated-date format="utc"&gt;1480334598&lt;/last-updated-date&gt;&lt;/record&gt;&lt;/Cite&gt;&lt;/EndNote&gt;</w:instrText>
      </w:r>
      <w:r w:rsidRPr="009D2C4F">
        <w:rPr>
          <w:rFonts w:asciiTheme="majorBidi" w:hAnsiTheme="majorBidi" w:cstheme="majorBidi"/>
          <w:color w:val="000000"/>
          <w:sz w:val="24"/>
          <w:szCs w:val="24"/>
        </w:rPr>
        <w:fldChar w:fldCharType="separate"/>
      </w:r>
      <w:r w:rsidRPr="009D2C4F">
        <w:rPr>
          <w:rFonts w:asciiTheme="majorBidi" w:hAnsiTheme="majorBidi" w:cstheme="majorBidi"/>
          <w:noProof/>
          <w:color w:val="000000"/>
          <w:sz w:val="24"/>
          <w:szCs w:val="24"/>
        </w:rPr>
        <w:t>(2015)</w:t>
      </w:r>
      <w:r w:rsidRPr="009D2C4F">
        <w:rPr>
          <w:rFonts w:asciiTheme="majorBidi" w:hAnsiTheme="majorBidi" w:cstheme="majorBidi"/>
          <w:color w:val="000000"/>
          <w:sz w:val="24"/>
          <w:szCs w:val="24"/>
        </w:rPr>
        <w:fldChar w:fldCharType="end"/>
      </w:r>
      <w:r>
        <w:rPr>
          <w:rFonts w:asciiTheme="majorBidi" w:hAnsiTheme="majorBidi" w:cstheme="majorBidi"/>
          <w:color w:val="000000"/>
          <w:sz w:val="24"/>
          <w:szCs w:val="24"/>
        </w:rPr>
        <w:t>, is</w:t>
      </w:r>
      <w:r w:rsidRPr="009D2C4F">
        <w:rPr>
          <w:rFonts w:eastAsia="Times New Roman"/>
          <w:sz w:val="24"/>
          <w:szCs w:val="24"/>
        </w:rPr>
        <w:t xml:space="preserve"> accessible via the REF website (</w:t>
      </w:r>
      <w:hyperlink r:id="rId9" w:history="1">
        <w:r w:rsidRPr="009D2C4F">
          <w:rPr>
            <w:rStyle w:val="Hyperlink"/>
            <w:rFonts w:eastAsia="Times New Roman"/>
            <w:sz w:val="24"/>
            <w:szCs w:val="24"/>
          </w:rPr>
          <w:t>https://impact.ref.ac.uk/casestudies/</w:t>
        </w:r>
      </w:hyperlink>
      <w:r w:rsidRPr="009D2C4F">
        <w:rPr>
          <w:rStyle w:val="Hyperlink"/>
          <w:rFonts w:eastAsia="Times New Roman"/>
          <w:sz w:val="24"/>
          <w:szCs w:val="24"/>
        </w:rPr>
        <w:t>)</w:t>
      </w:r>
      <w:r>
        <w:rPr>
          <w:rFonts w:eastAsia="Times New Roman"/>
          <w:sz w:val="24"/>
          <w:szCs w:val="24"/>
        </w:rPr>
        <w:t xml:space="preserve"> and </w:t>
      </w:r>
      <w:r w:rsidRPr="009D2C4F">
        <w:rPr>
          <w:rFonts w:eastAsia="Times New Roman"/>
          <w:sz w:val="24"/>
          <w:szCs w:val="24"/>
        </w:rPr>
        <w:t>allows free access to these Case Studies.</w:t>
      </w:r>
    </w:p>
    <w:p w14:paraId="3425B732" w14:textId="0687A448" w:rsidR="00990B34" w:rsidRDefault="00FD7CF3" w:rsidP="005C7D74">
      <w:pPr>
        <w:spacing w:after="120" w:line="360" w:lineRule="auto"/>
        <w:rPr>
          <w:sz w:val="24"/>
          <w:szCs w:val="24"/>
        </w:rPr>
      </w:pPr>
      <w:r>
        <w:rPr>
          <w:rFonts w:eastAsia="Times New Roman"/>
          <w:sz w:val="24"/>
          <w:szCs w:val="24"/>
        </w:rPr>
        <w:t>For the purposes of my research, it is these Case Studies, or more specifically, the</w:t>
      </w:r>
      <w:r w:rsidR="00990B34">
        <w:rPr>
          <w:rFonts w:eastAsia="Times New Roman"/>
          <w:sz w:val="24"/>
          <w:szCs w:val="24"/>
        </w:rPr>
        <w:t xml:space="preserve"> bodies of academic</w:t>
      </w:r>
      <w:r>
        <w:rPr>
          <w:rFonts w:eastAsia="Times New Roman"/>
          <w:sz w:val="24"/>
          <w:szCs w:val="24"/>
        </w:rPr>
        <w:t xml:space="preserve"> research which underpin them, that I am interested in. They represent a ready-made and well-reviewed database of</w:t>
      </w:r>
      <w:r w:rsidR="00F30698">
        <w:rPr>
          <w:rFonts w:eastAsia="Times New Roman"/>
          <w:sz w:val="24"/>
          <w:szCs w:val="24"/>
        </w:rPr>
        <w:t xml:space="preserve"> bodies of</w:t>
      </w:r>
      <w:r>
        <w:rPr>
          <w:rFonts w:eastAsia="Times New Roman"/>
          <w:sz w:val="24"/>
          <w:szCs w:val="24"/>
        </w:rPr>
        <w:t xml:space="preserve"> academic research which ha</w:t>
      </w:r>
      <w:r w:rsidR="00F30698">
        <w:rPr>
          <w:rFonts w:eastAsia="Times New Roman"/>
          <w:sz w:val="24"/>
          <w:szCs w:val="24"/>
        </w:rPr>
        <w:t>ve</w:t>
      </w:r>
      <w:r>
        <w:rPr>
          <w:rFonts w:eastAsia="Times New Roman"/>
          <w:sz w:val="24"/>
          <w:szCs w:val="24"/>
        </w:rPr>
        <w:t xml:space="preserve"> been recognised for </w:t>
      </w:r>
      <w:r w:rsidR="00F30698">
        <w:rPr>
          <w:rFonts w:eastAsia="Times New Roman"/>
          <w:sz w:val="24"/>
          <w:szCs w:val="24"/>
        </w:rPr>
        <w:t>their</w:t>
      </w:r>
      <w:r>
        <w:rPr>
          <w:rFonts w:eastAsia="Times New Roman"/>
          <w:sz w:val="24"/>
          <w:szCs w:val="24"/>
        </w:rPr>
        <w:t xml:space="preserve"> impact</w:t>
      </w:r>
      <w:r w:rsidR="00EB6DD9">
        <w:rPr>
          <w:rFonts w:eastAsia="Times New Roman"/>
          <w:sz w:val="24"/>
          <w:szCs w:val="24"/>
        </w:rPr>
        <w:t xml:space="preserve"> and</w:t>
      </w:r>
      <w:r w:rsidR="00F30698">
        <w:rPr>
          <w:rFonts w:eastAsia="Times New Roman"/>
          <w:sz w:val="24"/>
          <w:szCs w:val="24"/>
        </w:rPr>
        <w:t xml:space="preserve"> which are</w:t>
      </w:r>
      <w:r w:rsidR="00EB6DD9">
        <w:rPr>
          <w:rFonts w:eastAsia="Times New Roman"/>
          <w:sz w:val="24"/>
          <w:szCs w:val="24"/>
        </w:rPr>
        <w:t xml:space="preserve"> </w:t>
      </w:r>
      <w:r w:rsidR="00F30698">
        <w:rPr>
          <w:rFonts w:eastAsia="Times New Roman"/>
          <w:sz w:val="24"/>
          <w:szCs w:val="24"/>
        </w:rPr>
        <w:t xml:space="preserve">therefore </w:t>
      </w:r>
      <w:r w:rsidR="00EB6DD9">
        <w:rPr>
          <w:rFonts w:eastAsia="Times New Roman"/>
          <w:sz w:val="24"/>
          <w:szCs w:val="24"/>
        </w:rPr>
        <w:t xml:space="preserve">likely to include </w:t>
      </w:r>
      <w:r w:rsidR="00EA6A60">
        <w:rPr>
          <w:rFonts w:eastAsia="Times New Roman"/>
          <w:sz w:val="24"/>
          <w:szCs w:val="24"/>
        </w:rPr>
        <w:t>various</w:t>
      </w:r>
      <w:r w:rsidR="00EB6DD9">
        <w:rPr>
          <w:rFonts w:eastAsia="Times New Roman"/>
          <w:sz w:val="24"/>
          <w:szCs w:val="24"/>
        </w:rPr>
        <w:t xml:space="preserve"> boundary transaction</w:t>
      </w:r>
      <w:r w:rsidR="00EA6A60">
        <w:rPr>
          <w:rFonts w:eastAsia="Times New Roman"/>
          <w:sz w:val="24"/>
          <w:szCs w:val="24"/>
        </w:rPr>
        <w:t>s</w:t>
      </w:r>
      <w:r>
        <w:rPr>
          <w:rFonts w:eastAsia="Times New Roman"/>
          <w:sz w:val="24"/>
          <w:szCs w:val="24"/>
        </w:rPr>
        <w:t>.</w:t>
      </w:r>
      <w:r w:rsidR="00973746">
        <w:rPr>
          <w:rFonts w:eastAsia="Times New Roman"/>
          <w:sz w:val="24"/>
          <w:szCs w:val="24"/>
        </w:rPr>
        <w:t xml:space="preserve"> </w:t>
      </w:r>
      <w:r w:rsidR="00973746">
        <w:rPr>
          <w:sz w:val="24"/>
          <w:szCs w:val="24"/>
        </w:rPr>
        <w:t>Moreover, the Case Studies describe</w:t>
      </w:r>
      <w:r w:rsidR="00990B34">
        <w:rPr>
          <w:sz w:val="24"/>
          <w:szCs w:val="24"/>
        </w:rPr>
        <w:t xml:space="preserve"> </w:t>
      </w:r>
      <w:r w:rsidR="00973746">
        <w:rPr>
          <w:sz w:val="24"/>
          <w:szCs w:val="24"/>
        </w:rPr>
        <w:t>the</w:t>
      </w:r>
      <w:r w:rsidR="00990B34">
        <w:rPr>
          <w:sz w:val="24"/>
          <w:szCs w:val="24"/>
        </w:rPr>
        <w:t xml:space="preserve"> underpinning</w:t>
      </w:r>
      <w:r w:rsidR="00973746">
        <w:rPr>
          <w:sz w:val="24"/>
          <w:szCs w:val="24"/>
        </w:rPr>
        <w:t xml:space="preserve"> research </w:t>
      </w:r>
      <w:r w:rsidR="00990B34">
        <w:rPr>
          <w:sz w:val="24"/>
          <w:szCs w:val="24"/>
        </w:rPr>
        <w:t>in non-specialist terms,</w:t>
      </w:r>
      <w:r w:rsidR="00973746">
        <w:rPr>
          <w:sz w:val="24"/>
          <w:szCs w:val="24"/>
        </w:rPr>
        <w:t xml:space="preserve"> provid</w:t>
      </w:r>
      <w:r w:rsidR="005C7D74">
        <w:rPr>
          <w:sz w:val="24"/>
          <w:szCs w:val="24"/>
        </w:rPr>
        <w:t xml:space="preserve">ing </w:t>
      </w:r>
      <w:r w:rsidR="00973746">
        <w:rPr>
          <w:sz w:val="24"/>
          <w:szCs w:val="24"/>
        </w:rPr>
        <w:t xml:space="preserve">me with an </w:t>
      </w:r>
      <w:r w:rsidR="00990B34">
        <w:rPr>
          <w:sz w:val="24"/>
          <w:szCs w:val="24"/>
        </w:rPr>
        <w:t>accessible starting point to understanding the contexts and processes related to</w:t>
      </w:r>
      <w:r w:rsidR="00973746">
        <w:rPr>
          <w:sz w:val="24"/>
          <w:szCs w:val="24"/>
        </w:rPr>
        <w:t xml:space="preserve"> the </w:t>
      </w:r>
      <w:r w:rsidR="005C7D74">
        <w:rPr>
          <w:sz w:val="24"/>
          <w:szCs w:val="24"/>
        </w:rPr>
        <w:t>bodies of research which I then study in greater detail</w:t>
      </w:r>
      <w:r w:rsidR="00990B34">
        <w:rPr>
          <w:sz w:val="24"/>
          <w:szCs w:val="24"/>
        </w:rPr>
        <w:t xml:space="preserve"> in relation to their boundary transactions</w:t>
      </w:r>
      <w:r w:rsidR="005C7D74">
        <w:rPr>
          <w:sz w:val="24"/>
          <w:szCs w:val="24"/>
        </w:rPr>
        <w:t xml:space="preserve">. </w:t>
      </w:r>
      <w:r w:rsidR="00DD40C5">
        <w:rPr>
          <w:sz w:val="24"/>
          <w:szCs w:val="24"/>
        </w:rPr>
        <w:t xml:space="preserve">The Methodology (Chapter </w:t>
      </w:r>
      <w:r w:rsidR="009C6D9B">
        <w:rPr>
          <w:sz w:val="24"/>
          <w:szCs w:val="24"/>
        </w:rPr>
        <w:t>3</w:t>
      </w:r>
      <w:r w:rsidR="00DD40C5">
        <w:rPr>
          <w:sz w:val="24"/>
          <w:szCs w:val="24"/>
        </w:rPr>
        <w:t xml:space="preserve">) explains how I sampled </w:t>
      </w:r>
      <w:r w:rsidR="006D566B">
        <w:rPr>
          <w:sz w:val="24"/>
          <w:szCs w:val="24"/>
        </w:rPr>
        <w:t>Case Studies for analysis and what the analytical procedures entailed.</w:t>
      </w:r>
    </w:p>
    <w:p w14:paraId="4B6CBC0C" w14:textId="7648E618" w:rsidR="0007140A" w:rsidRPr="0052524C" w:rsidRDefault="00ED5A52" w:rsidP="00ED5A52">
      <w:pPr>
        <w:spacing w:after="120" w:line="360" w:lineRule="auto"/>
        <w:rPr>
          <w:sz w:val="24"/>
          <w:szCs w:val="24"/>
        </w:rPr>
      </w:pPr>
      <w:r w:rsidRPr="0052524C">
        <w:rPr>
          <w:sz w:val="24"/>
          <w:szCs w:val="24"/>
        </w:rPr>
        <w:t>In the following section, I contextualise my study by introducing the background and recent history of the impact agenda in the UK. Much of the literature drawn upon</w:t>
      </w:r>
      <w:r w:rsidR="00D7431F" w:rsidRPr="0052524C">
        <w:rPr>
          <w:sz w:val="24"/>
          <w:szCs w:val="24"/>
        </w:rPr>
        <w:t xml:space="preserve"> in the following section</w:t>
      </w:r>
      <w:r w:rsidR="00E651BD" w:rsidRPr="0052524C">
        <w:rPr>
          <w:sz w:val="24"/>
          <w:szCs w:val="24"/>
        </w:rPr>
        <w:t xml:space="preserve"> is</w:t>
      </w:r>
      <w:r w:rsidRPr="0052524C">
        <w:rPr>
          <w:sz w:val="24"/>
          <w:szCs w:val="24"/>
        </w:rPr>
        <w:t xml:space="preserve"> </w:t>
      </w:r>
      <w:r w:rsidR="002821CE" w:rsidRPr="0052524C">
        <w:rPr>
          <w:sz w:val="24"/>
          <w:szCs w:val="24"/>
        </w:rPr>
        <w:t>directly</w:t>
      </w:r>
      <w:r w:rsidR="00E651BD" w:rsidRPr="0052524C">
        <w:rPr>
          <w:sz w:val="24"/>
          <w:szCs w:val="24"/>
        </w:rPr>
        <w:t xml:space="preserve"> focused on</w:t>
      </w:r>
      <w:r w:rsidR="002821CE" w:rsidRPr="0052524C">
        <w:rPr>
          <w:sz w:val="24"/>
          <w:szCs w:val="24"/>
        </w:rPr>
        <w:t xml:space="preserve"> issues arising from the impact agenda</w:t>
      </w:r>
      <w:r w:rsidRPr="0052524C">
        <w:rPr>
          <w:sz w:val="24"/>
          <w:szCs w:val="24"/>
        </w:rPr>
        <w:t xml:space="preserve">: how to operationally define and measure impact; impact policy evaluations; situating ‘impact’ in broader systems, policies and theories of research and academia; discursive or philosophical critique of ‘impact’; experiences of conducting ‘impactful’ research; the ‘impact of impact’, e.g. on research practice and institutional management. </w:t>
      </w:r>
      <w:r w:rsidR="009E5220" w:rsidRPr="0052524C">
        <w:rPr>
          <w:sz w:val="24"/>
          <w:szCs w:val="24"/>
        </w:rPr>
        <w:t>W</w:t>
      </w:r>
      <w:r w:rsidR="0007140A" w:rsidRPr="0052524C">
        <w:rPr>
          <w:sz w:val="24"/>
          <w:szCs w:val="24"/>
        </w:rPr>
        <w:t>hile</w:t>
      </w:r>
      <w:r w:rsidRPr="0052524C">
        <w:rPr>
          <w:sz w:val="24"/>
          <w:szCs w:val="24"/>
        </w:rPr>
        <w:t xml:space="preserve"> this literature helps to contextualise my study and to highlight links </w:t>
      </w:r>
      <w:r w:rsidR="0030501B" w:rsidRPr="0052524C">
        <w:rPr>
          <w:sz w:val="24"/>
          <w:szCs w:val="24"/>
        </w:rPr>
        <w:t xml:space="preserve">to </w:t>
      </w:r>
      <w:r w:rsidRPr="0052524C">
        <w:rPr>
          <w:sz w:val="24"/>
          <w:szCs w:val="24"/>
        </w:rPr>
        <w:t xml:space="preserve">existing work, it is worth noting that, to a large extent, my own research does </w:t>
      </w:r>
      <w:r w:rsidRPr="0052524C">
        <w:rPr>
          <w:i/>
          <w:sz w:val="24"/>
          <w:szCs w:val="24"/>
        </w:rPr>
        <w:t xml:space="preserve">not </w:t>
      </w:r>
      <w:r w:rsidRPr="0052524C">
        <w:rPr>
          <w:iCs/>
          <w:sz w:val="24"/>
          <w:szCs w:val="24"/>
        </w:rPr>
        <w:t>aim to</w:t>
      </w:r>
      <w:r w:rsidRPr="0052524C">
        <w:rPr>
          <w:i/>
          <w:sz w:val="24"/>
          <w:szCs w:val="24"/>
        </w:rPr>
        <w:t xml:space="preserve"> </w:t>
      </w:r>
      <w:r w:rsidRPr="0052524C">
        <w:rPr>
          <w:sz w:val="24"/>
          <w:szCs w:val="24"/>
        </w:rPr>
        <w:t>contribute to th</w:t>
      </w:r>
      <w:r w:rsidR="00ED1970" w:rsidRPr="0052524C">
        <w:rPr>
          <w:sz w:val="24"/>
          <w:szCs w:val="24"/>
        </w:rPr>
        <w:t>is</w:t>
      </w:r>
      <w:r w:rsidR="00EC5C98" w:rsidRPr="0052524C">
        <w:rPr>
          <w:sz w:val="24"/>
          <w:szCs w:val="24"/>
        </w:rPr>
        <w:t xml:space="preserve"> wide-ranging</w:t>
      </w:r>
      <w:r w:rsidR="00B838BA" w:rsidRPr="0052524C">
        <w:rPr>
          <w:sz w:val="24"/>
          <w:szCs w:val="24"/>
        </w:rPr>
        <w:t xml:space="preserve"> body of</w:t>
      </w:r>
      <w:r w:rsidRPr="0052524C">
        <w:rPr>
          <w:sz w:val="24"/>
          <w:szCs w:val="24"/>
        </w:rPr>
        <w:t xml:space="preserve"> ‘impact’ literature. For example, </w:t>
      </w:r>
      <w:r w:rsidR="00DC1F3E" w:rsidRPr="0052524C">
        <w:rPr>
          <w:sz w:val="24"/>
          <w:szCs w:val="24"/>
        </w:rPr>
        <w:t>it is not directly interested in</w:t>
      </w:r>
      <w:r w:rsidRPr="0052524C">
        <w:rPr>
          <w:sz w:val="24"/>
          <w:szCs w:val="24"/>
        </w:rPr>
        <w:t xml:space="preserve"> issues of how to measure impact or how academic researchers and institutions should be assessed on their impact </w:t>
      </w:r>
      <w:r w:rsidRPr="0052524C">
        <w:rPr>
          <w:sz w:val="24"/>
          <w:szCs w:val="24"/>
        </w:rPr>
        <w:fldChar w:fldCharType="begin">
          <w:fldData xml:space="preserve">PEVuZE5vdGU+PENpdGU+PEF1dGhvcj5LaGF6cmFndWk8L0F1dGhvcj48WWVhcj4yMDE1PC9ZZWFy
PjxJRFRleHQ+TWVhc3VyaW5nIHRoZSBiZW5lZml0cyBvZiB1bml2ZXJzaXR5IHJlc2VhcmNoOiBJ
bXBhY3QgYW5kIHRoZSBSRUYgaW4gdGhlIFVLPC9JRFRleHQ+PERpc3BsYXlUZXh0PihDaG93ZGh1
cnksIEtveWEsIFBoaWxpcHNvbiwgJmFtcDsgRG9ydGEtR29uesOhbGV6LCAyMDE2OyBHcmVlbmhh
bGdoLCBSYWZ0ZXJ5LCBIYW5uZXksICZhbXA7IEdsb3ZlciwgMjAxNjsgR3VubiAmYW1wOyBNaW50
cm9tLCAyMDE3OyBLaGF6cmFndWkgJmFtcDsgSHVkc29uLCAyMDE1OyBLbGF1dHplciBldCBhbC4s
IDIwMTE7IE92c2Vpa28sIE9hbmNlYSwgJmFtcDsgQnVjaGFuLCAyMDEyKTwvRGlzcGxheVRleHQ+
PHJlY29yZD48dXJscz48cmVsYXRlZC11cmxzPjx1cmw+aHR0cHM6Ly93d3cuc2NvcHVzLmNvbS9p
bndhcmQvcmVjb3JkLnVyaT9laWQ9Mi1zMi4wLTg0OTI4OTQ4Nzc4JmFtcDtwYXJ0bmVySUQ9NDAm
YW1wO21kNT00ODZiOWI5MzRmN2FhZGI4M2E1MWNiMGQxYzhjOTQ1NDwvdXJsPjwvcmVsYXRlZC11
cmxzPjwvdXJscz48d29yay10eXBlPkFydGljbGU8L3dvcmstdHlwZT48dGl0bGVzPjx0aXRsZT5N
ZWFzdXJpbmcgdGhlIGJlbmVmaXRzIG9mIHVuaXZlcnNpdHkgcmVzZWFyY2g6IEltcGFjdCBhbmQg
dGhlIFJFRiBpbiB0aGUgVUs8L3RpdGxlPjxzZWNvbmRhcnktdGl0bGU+UmVzZWFyY2ggRXZhbHVh
dGlvbjwvc2Vjb25kYXJ5LXRpdGxlPjwvdGl0bGVzPjxwYWdlcz41MS02MjwvcGFnZXM+PG51bWJl
cj4xPC9udW1iZXI+PGNvbnRyaWJ1dG9ycz48YXV0aG9ycz48YXV0aG9yPktoYXpyYWd1aSwgSC48
L2F1dGhvcj48YXV0aG9yPkh1ZHNvbiwgSi48L2F1dGhvcj48L2F1dGhvcnM+PC9jb250cmlidXRv
cnM+PGFkZGVkLWRhdGUgZm9ybWF0PSJ1dGMiPjE0NzA4NjM2MDc8L2FkZGVkLWRhdGU+PHJlZi10
eXBlIG5hbWU9IkpvdXJuYWwgQXJ0aWNsZSI+MTc8L3JlZi10eXBlPjxkYXRlcz48eWVhcj4yMDE1
PC95ZWFyPjwvZGF0ZXM+PHJlYy1udW1iZXI+MjEzNjwvcmVjLW51bWJlcj48bGFzdC11cGRhdGVk
LWRhdGUgZm9ybWF0PSJ1dGMiPjE0OTAxMjYzMzI8L2xhc3QtdXBkYXRlZC1kYXRlPjxlbGVjdHJv
bmljLXJlc291cmNlLW51bT4xMC4xMDkzL3Jlc2V2YWwvcnZ1MDI4PC9lbGVjdHJvbmljLXJlc291
cmNlLW51bT48dm9sdW1lPjI0PC92b2x1bWU+PHJlbW90ZS1kYXRhYmFzZS1uYW1lPlNjb3B1czwv
cmVtb3RlLWRhdGFiYXNlLW5hbWU+PC9yZWNvcmQ+PC9DaXRlPjxDaXRlPjxBdXRob3I+Q2hvd2Ro
dXJ5PC9BdXRob3I+PFllYXI+MjAxNjwvWWVhcj48SURUZXh0Pk1lYXN1cmluZyB0aGUgSW1wYWN0
IG9mIFJlc2VhcmNoOiBMZXNzb25zIGZyb20gdGhlIFVL4oCZcyBSZXNlYXJjaCBFeGNlbGxlbmNl
IEZyYW1ld29yayAyMDE0PC9JRFRleHQ+PHJlY29yZD48a2V5d29yZHM+PGtleXdvcmQ+UmVzZWFy
Y2ggQXJ0aWNsZTwva2V5d29yZD48a2V5d29yZD5NZWRpY2luZSBBbmQgSGVhbHRoIFNjaWVuY2Vz
PC9rZXl3b3JkPjxrZXl3b3JkPlJlc2VhcmNoIEFuZCBBbmFseXNpcyBNZXRob2RzPC9rZXl3b3Jk
PjxrZXl3b3JkPk1lZGljaW5lIEFuZCBIZWFsdGggU2NpZW5jZXM8L2tleXdvcmQ+PGtleXdvcmQ+
RW5naW5lZXJpbmcgQW5kIFRlY2hub2xvZ3k8L2tleXdvcmQ+PGtleXdvcmQ+U29jaWFsIFNjaWVu
Y2VzPC9rZXl3b3JkPjxrZXl3b3JkPlNjaWVuY2UgUG9saWN5PC9rZXl3b3JkPjxrZXl3b3JkPlJl
c2VhcmNoIEFuZCBBbmFseXNpcyBNZXRob2RzPC9rZXl3b3JkPjxrZXl3b3JkPlNvY2lhbCBTY2ll
bmNlczwva2V5d29yZD48L2tleXdvcmRzPjx0aXRsZXM+PHRpdGxlPk1lYXN1cmluZyB0aGUgSW1w
YWN0IG9mIFJlc2VhcmNoOiBMZXNzb25zIGZyb20gdGhlIFVL4oCZcyBSZXNlYXJjaCBFeGNlbGxl
bmNlIEZyYW1ld29yayAyMDE0PC90aXRsZT48c2Vjb25kYXJ5LXRpdGxlPlBMb1MgT05FPC9zZWNv
bmRhcnktdGl0bGU+PC90aXRsZXM+PG51bWJlcj42PC9udW1iZXI+PGNvbnRyaWJ1dG9ycz48YXV0
aG9ycz48YXV0aG9yPkNob3dkaHVyeSwgR29iaW5kYTwvYXV0aG9yPjxhdXRob3I+S295YSwgS3Vz
aHdhbnRoPC9hdXRob3I+PGF1dGhvcj5QaGlsaXBzb24sIFBldGU8L2F1dGhvcj48YXV0aG9yPkRv
cnRhLUdvbnrDoWxleiwgUGFibG88L2F1dGhvcj48L2F1dGhvcnM+PC9jb250cmlidXRvcnM+PGFk
ZGVkLWRhdGUgZm9ybWF0PSJ1dGMiPjE0NzYwMzcxNjE8L2FkZGVkLWRhdGU+PHJlZi10eXBlIG5h
bWU9IkpvdXJuYWwgQXJ0aWNsZSI+MTc8L3JlZi10eXBlPjxkYXRlcz48eWVhcj4yMDE2PC95ZWFy
PjwvZGF0ZXM+PHJlYy1udW1iZXI+NjAyNTwvcmVjLW51bWJlcj48bGFzdC11cGRhdGVkLWRhdGUg
Zm9ybWF0PSJ1dGMiPjE0ODE2NTUxOTY8L2xhc3QtdXBkYXRlZC1kYXRlPjxlbGVjdHJvbmljLXJl
c291cmNlLW51bT4xMC4xMzcxL2pvdXJuYWwucG9uZS4wMTU2OTc4PC9lbGVjdHJvbmljLXJlc291
cmNlLW51bT48dm9sdW1lPjExPC92b2x1bWU+PC9yZWNvcmQ+PC9DaXRlPjxDaXRlPjxBdXRob3I+
T3ZzZWlrbzwvQXV0aG9yPjxZZWFyPjIwMTI8L1llYXI+PElEVGV4dD5Bc3Nlc3NpbmcgcmVzZWFy
Y2ggaW1wYWN0IGluIGFjYWRlbWljIGNsaW5pY2FsIG1lZGljaW5lOiBhIHN0dWR5IHVzaW5nIFJl
c2VhcmNoIEV4Y2VsbGVuY2UgRnJhbWV3b3JrIHBpbG90IGltcGFjdCBpbmRpY2F0b3JzPC9JRFRl
eHQ+PHJlY29yZD48a2V5d29yZHM+PGtleXdvcmQ+Q2xpbmljYWwgTWVkaWNpbmU8L2tleXdvcmQ+
PGtleXdvcmQ+T3V0Y29tZSBBc3Nlc3NtZW50IChIZWFsdGggQ2FyZSk8L2tleXdvcmQ+PGtleXdv
cmQ+UXVhbGl0eSBJbmRpY2F0b3JzLCBIZWFsdGggQ2FyZTwva2V5d29yZD48a2V5d29yZD5SZXNl
YXJjaCAtLSBTdGFuZGFyZHM8L2tleXdvcmQ+PGtleXdvcmQ+U2Nob29scywgTWVkaWNhbCAtLSBF
Y29ub21pY3M8L2tleXdvcmQ+PC9rZXl3b3Jkcz48dGl0bGVzPjx0aXRsZT5Bc3Nlc3NpbmcgcmVz
ZWFyY2ggaW1wYWN0IGluIGFjYWRlbWljIGNsaW5pY2FsIG1lZGljaW5lOiBhIHN0dWR5IHVzaW5n
IFJlc2VhcmNoIEV4Y2VsbGVuY2UgRnJhbWV3b3JrIHBpbG90IGltcGFjdCBpbmRpY2F0b3JzPC90
aXRsZT48c2Vjb25kYXJ5LXRpdGxlPkJNQyBoZWFsdGggc2VydmljZXMgcmVzZWFyY2g8L3NlY29u
ZGFyeS10aXRsZT48L3RpdGxlcz48cGFnZXM+NDc4PC9wYWdlcz48Y29udHJpYnV0b3JzPjxhdXRo
b3JzPjxhdXRob3I+T3ZzZWlrbywgUGF2ZWwgVi48L2F1dGhvcj48YXV0aG9yPk9hbmNlYSwgQWxp
czwvYXV0aG9yPjxhdXRob3I+QnVjaGFuLCBBbGFzdGFpciBNLjwvYXV0aG9yPjwvYXV0aG9ycz48
L2NvbnRyaWJ1dG9ycz48YWRkZWQtZGF0ZSBmb3JtYXQ9InV0YyI+MTQ1NjQ0MTQ0MDwvYWRkZWQt
ZGF0ZT48cmVmLXR5cGUgbmFtZT0iSm91cm5hbCBBcnRpY2xlIj4xNzwvcmVmLXR5cGU+PGRhdGVz
Pjx5ZWFyPjIwMTI8L3llYXI+PC9kYXRlcz48cmVjLW51bWJlcj4yNzA8L3JlYy1udW1iZXI+PGxh
c3QtdXBkYXRlZC1kYXRlIGZvcm1hdD0idXRjIj4xNDY5MjI5ODY4PC9sYXN0LXVwZGF0ZWQtZGF0
ZT48ZWxlY3Ryb25pYy1yZXNvdXJjZS1udW0+MTAuMTE4Ni8xNDcyLTY5NjMtMTItNDc4PC9lbGVj
dHJvbmljLXJlc291cmNlLW51bT48dm9sdW1lPjEyPC92b2x1bWU+PC9yZWNvcmQ+PC9DaXRlPjxD
aXRlPjxBdXRob3I+S2xhdXR6ZXI8L0F1dGhvcj48WWVhcj4yMDExPC9ZZWFyPjxJRFRleHQ+QXNz
ZXNzaW5nIHBvbGljeSBhbmQgcHJhY3RpY2UgaW1wYWN0cyBvZiBzb2NpYWwgc2NpZW5jZSByZXNl
YXJjaDogVGhlIGFwcGxpY2F0aW9uIG9mIHRoZSBwYXliYWNrIGZyYW1ld29yayB0byBhc3Nlc3Mg
dGhlIGZ1dHVyZSBvZiB3b3JrIHByb2dyYW1tZTwvSURUZXh0PjxyZWNvcmQ+PHVybHM+PHJlbGF0
ZWQtdXJscz48dXJsPmh0dHBzOi8vd3d3LnNjb3B1cy5jb20vaW53YXJkL3JlY29yZC51cmk/ZWlk
PTItczIuMC04MDA1MzYwODUxMiZhbXA7cGFydG5lcklEPTQwJmFtcDttZDU9ZGM4OTE2OGQ3N2Rk
ZDk3N2MzNWM5MjE1NzdmYWQ0ZmE8L3VybD48L3JlbGF0ZWQtdXJscz48L3VybHM+PHdvcmstdHlw
ZT5BcnRpY2xlPC93b3JrLXR5cGU+PHRpdGxlcz48dGl0bGU+QXNzZXNzaW5nIHBvbGljeSBhbmQg
cHJhY3RpY2UgaW1wYWN0cyBvZiBzb2NpYWwgc2NpZW5jZSByZXNlYXJjaDogVGhlIGFwcGxpY2F0
aW9uIG9mIHRoZSBwYXliYWNrIGZyYW1ld29yayB0byBhc3Nlc3MgdGhlIGZ1dHVyZSBvZiB3b3Jr
IHByb2dyYW1tZTwvdGl0bGU+PHNlY29uZGFyeS10aXRsZT5SZXNlYXJjaCBFdmFsdWF0aW9uPC9z
ZWNvbmRhcnktdGl0bGU+PC90aXRsZXM+PHBhZ2VzPjIwMS0yMDk8L3BhZ2VzPjxudW1iZXI+Mzwv
bnVtYmVyPjxjb250cmlidXRvcnM+PGF1dGhvcnM+PGF1dGhvcj5LbGF1dHplciwgTC48L2F1dGhv
cj48YXV0aG9yPkhhbm5leSwgUy48L2F1dGhvcj48YXV0aG9yPk5hc29uLCBFLjwvYXV0aG9yPjxh
dXRob3I+UnViaW4sIEouPC9hdXRob3I+PGF1dGhvcj5HcmFudCwgSi48L2F1dGhvcj48YXV0aG9y
Pldvb2RpbmcsIFMuPC9hdXRob3I+PC9hdXRob3JzPjwvY29udHJpYnV0b3JzPjxhZGRlZC1kYXRl
IGZvcm1hdD0idXRjIj4xNDczNzE5MjM5PC9hZGRlZC1kYXRlPjxyZWYtdHlwZSBuYW1lPSJKb3Vy
bmFsIEFydGljbGUiPjE3PC9yZWYtdHlwZT48ZGF0ZXM+PHllYXI+MjAxMTwveWVhcj48L2RhdGVz
PjxyZWMtbnVtYmVyPjM2OTY8L3JlYy1udW1iZXI+PGxhc3QtdXBkYXRlZC1kYXRlIGZvcm1hdD0i
dXRjIj4xNDczNzE5MjM5PC9sYXN0LXVwZGF0ZWQtZGF0ZT48ZWxlY3Ryb25pYy1yZXNvdXJjZS1u
dW0+MTAuMzE1Mi8wOTU4MjAyMTFYMTMxMTg1ODM2MzU2NzU8L2VsZWN0cm9uaWMtcmVzb3VyY2Ut
bnVtPjx2b2x1bWU+MjA8L3ZvbHVtZT48cmVtb3RlLWRhdGFiYXNlLW5hbWU+U2NvcHVzPC9yZW1v
dGUtZGF0YWJhc2UtbmFtZT48L3JlY29yZD48L0NpdGU+PENpdGU+PEF1dGhvcj5HcmVlbmhhbGdo
PC9BdXRob3I+PFllYXI+MjAxNjwvWWVhcj48SURUZXh0PlJlc2VhcmNoIGltcGFjdDogYSBuYXJy
YXRpdmUgcmV2aWV3PC9JRFRleHQ+PHJlY29yZD48ZGF0ZXM+PHB1Yi1kYXRlcz48ZGF0ZT5NYXkg
MjM8L2RhdGU+PC9wdWItZGF0ZXM+PHllYXI+MjAxNjwveWVhcj48L2RhdGVzPjx1cmxzPjxyZWxh
dGVkLXVybHM+PHVybD4mbHQ7R28gdG8gSVNJJmd0OzovL1dPUzowMDAzNzY1NzU5MDAwMDE8L3Vy
bD48L3JlbGF0ZWQtdXJscz48L3VybHM+PGlzYm4+MTc0MS03MDE1PC9pc2JuPjx0aXRsZXM+PHRp
dGxlPlJlc2VhcmNoIGltcGFjdDogYSBuYXJyYXRpdmUgcmV2aWV3PC90aXRsZT48c2Vjb25kYXJ5
LXRpdGxlPkJtYyBNZWRpY2luZTwvc2Vjb25kYXJ5LXRpdGxlPjwvdGl0bGVzPjxjb250cmlidXRv
cnM+PGF1dGhvcnM+PGF1dGhvcj5HcmVlbmhhbGdoLCBUcmlzaGE8L2F1dGhvcj48YXV0aG9yPlJh
ZnRlcnksIEphbWVzPC9hdXRob3I+PGF1dGhvcj5IYW5uZXksIFN0ZXZlPC9hdXRob3I+PGF1dGhv
cj5HbG92ZXIsIE1hdHRoZXc8L2F1dGhvcj48L2F1dGhvcnM+PC9jb250cmlidXRvcnM+PGN1c3Rv
bTc+Nzg8L2N1c3RvbTc+PGFkZGVkLWRhdGUgZm9ybWF0PSJ1dGMiPjE0NzA4NjMwNDU8L2FkZGVk
LWRhdGU+PHJlZi10eXBlIG5hbWU9IkpvdXJuYWwgQXJ0aWNsZSI+MTc8L3JlZi10eXBlPjxyZWMt
bnVtYmVyPjIwNDc8L3JlYy1udW1iZXI+PGxhc3QtdXBkYXRlZC1kYXRlIGZvcm1hdD0idXRjIj4x
NDcwODYzMDY2PC9sYXN0LXVwZGF0ZWQtZGF0ZT48YWNjZXNzaW9uLW51bT5XT1M6MDAwMzc2NTc1
OTAwMDAxPC9hY2Nlc3Npb24tbnVtPjxlbGVjdHJvbmljLXJlc291cmNlLW51bT4xMC4xMTg2L3Mx
MjkxNi0wMTYtMDYyMC04PC9lbGVjdHJvbmljLXJlc291cmNlLW51bT48dm9sdW1lPjE0PC92b2x1
bWU+PC9yZWNvcmQ+PC9DaXRlPjxDaXRlPjxBdXRob3I+R3VubjwvQXV0aG9yPjxZZWFyPjIwMTc8
L1llYXI+PElEVGV4dD5FdmFsdWF0aW5nIHRoZSBub24tYWNhZGVtaWMgaW1wYWN0IG9mIGFjYWRl
bWljIHJlc2VhcmNoOiBkZXNpZ24gY29uc2lkZXJhdGlvbnM8L0lEVGV4dD48cmVjb3JkPjxrZXl3
b3Jkcz48a2V5d29yZD5BcnRpY2xlPC9rZXl3b3JkPjxrZXl3b3JkPkFjYWRlbWljIFJlc2VhcmNo
PC9rZXl3b3JkPjxrZXl3b3JkPkV2YWx1YXRpb24gTWV0aG9kczwva2V5d29yZD48a2V5d29yZD5Q
b2xpY3kgRGVzaWduPC9rZXl3b3JkPjxrZXl3b3JkPlJlc2VhcmNoIEFzc2Vzc21lbnQ8L2tleXdv
cmQ+PGtleXdvcmQ+UmVzZWFyY2ggRnVuZGluZyBDeWNsZXM8L2tleXdvcmQ+PGtleXdvcmQ+UmVz
ZWFyY2ggSW1wYWN0PC9rZXl3b3JkPjxrZXl3b3JkPk5vbi0gQWNhZGVtaWMgSW1wYWN0PC9rZXl3
b3JkPjwva2V5d29yZHM+PGlzYm4+MTM2MC0wODBYPC9pc2JuPjx0aXRsZXM+PHRpdGxlPkV2YWx1
YXRpbmcgdGhlIG5vbi1hY2FkZW1pYyBpbXBhY3Qgb2YgYWNhZGVtaWMgcmVzZWFyY2g6IGRlc2ln
biBjb25zaWRlcmF0aW9uczwvdGl0bGU+PHNlY29uZGFyeS10aXRsZT5Kb3VybmFsIG9mIEhpZ2hl
ciBFZHVjYXRpb24gUG9saWN5IGFuZCBNYW5hZ2VtZW50PC9zZWNvbmRhcnktdGl0bGU+PC90aXRs
ZXM+PHBhZ2VzPjIwLTMwPC9wYWdlcz48bnVtYmVyPjE8L251bWJlcj48Y29udHJpYnV0b3JzPjxh
dXRob3JzPjxhdXRob3I+R3VubiwgQW5kcmV3PC9hdXRob3I+PGF1dGhvcj5NaW50cm9tLCBNaWNo
YWVsPC9hdXRob3I+PC9hdXRob3JzPjwvY29udHJpYnV0b3JzPjxhZGRlZC1kYXRlIGZvcm1hdD0i
dXRjIj4xNTU1NzUzNTg0PC9hZGRlZC1kYXRlPjxyZWYtdHlwZSBuYW1lPSJKb3VybmFsIEFydGlj
bGUiPjE3PC9yZWYtdHlwZT48ZGF0ZXM+PHllYXI+MjAxNzwveWVhcj48L2RhdGVzPjxyZWMtbnVt
YmVyPjc3Njg8L3JlYy1udW1iZXI+PHB1Ymxpc2hlcj5Sb3V0bGVkZ2U8L3B1Ymxpc2hlcj48bGFz
dC11cGRhdGVkLWRhdGUgZm9ybWF0PSJ1dGMiPjE1NTkwODA5Nzk8L2xhc3QtdXBkYXRlZC1kYXRl
PjxlbGVjdHJvbmljLXJlc291cmNlLW51bT4xMC4xMDgwLzEzNjAwODBYLjIwMTYuMTI1NDQyOTwv
ZWxlY3Ryb25pYy1yZXNvdXJjZS1udW0+PHZvbHVtZT4zOTwvdm9sdW1lPjwvcmVjb3JkPjwvQ2l0
ZT48L0VuZE5vdGU+AG==
</w:fldData>
        </w:fldChar>
      </w:r>
      <w:r w:rsidRPr="0052524C">
        <w:rPr>
          <w:sz w:val="24"/>
          <w:szCs w:val="24"/>
        </w:rPr>
        <w:instrText xml:space="preserve"> ADDIN EN.CITE </w:instrText>
      </w:r>
      <w:r w:rsidRPr="0052524C">
        <w:rPr>
          <w:sz w:val="24"/>
          <w:szCs w:val="24"/>
        </w:rPr>
        <w:fldChar w:fldCharType="begin">
          <w:fldData xml:space="preserve">PEVuZE5vdGU+PENpdGU+PEF1dGhvcj5LaGF6cmFndWk8L0F1dGhvcj48WWVhcj4yMDE1PC9ZZWFy
PjxJRFRleHQ+TWVhc3VyaW5nIHRoZSBiZW5lZml0cyBvZiB1bml2ZXJzaXR5IHJlc2VhcmNoOiBJ
bXBhY3QgYW5kIHRoZSBSRUYgaW4gdGhlIFVLPC9JRFRleHQ+PERpc3BsYXlUZXh0PihDaG93ZGh1
cnksIEtveWEsIFBoaWxpcHNvbiwgJmFtcDsgRG9ydGEtR29uesOhbGV6LCAyMDE2OyBHcmVlbmhh
bGdoLCBSYWZ0ZXJ5LCBIYW5uZXksICZhbXA7IEdsb3ZlciwgMjAxNjsgR3VubiAmYW1wOyBNaW50
cm9tLCAyMDE3OyBLaGF6cmFndWkgJmFtcDsgSHVkc29uLCAyMDE1OyBLbGF1dHplciBldCBhbC4s
IDIwMTE7IE92c2Vpa28sIE9hbmNlYSwgJmFtcDsgQnVjaGFuLCAyMDEyKTwvRGlzcGxheVRleHQ+
PHJlY29yZD48dXJscz48cmVsYXRlZC11cmxzPjx1cmw+aHR0cHM6Ly93d3cuc2NvcHVzLmNvbS9p
bndhcmQvcmVjb3JkLnVyaT9laWQ9Mi1zMi4wLTg0OTI4OTQ4Nzc4JmFtcDtwYXJ0bmVySUQ9NDAm
YW1wO21kNT00ODZiOWI5MzRmN2FhZGI4M2E1MWNiMGQxYzhjOTQ1NDwvdXJsPjwvcmVsYXRlZC11
cmxzPjwvdXJscz48d29yay10eXBlPkFydGljbGU8L3dvcmstdHlwZT48dGl0bGVzPjx0aXRsZT5N
ZWFzdXJpbmcgdGhlIGJlbmVmaXRzIG9mIHVuaXZlcnNpdHkgcmVzZWFyY2g6IEltcGFjdCBhbmQg
dGhlIFJFRiBpbiB0aGUgVUs8L3RpdGxlPjxzZWNvbmRhcnktdGl0bGU+UmVzZWFyY2ggRXZhbHVh
dGlvbjwvc2Vjb25kYXJ5LXRpdGxlPjwvdGl0bGVzPjxwYWdlcz41MS02MjwvcGFnZXM+PG51bWJl
cj4xPC9udW1iZXI+PGNvbnRyaWJ1dG9ycz48YXV0aG9ycz48YXV0aG9yPktoYXpyYWd1aSwgSC48
L2F1dGhvcj48YXV0aG9yPkh1ZHNvbiwgSi48L2F1dGhvcj48L2F1dGhvcnM+PC9jb250cmlidXRv
cnM+PGFkZGVkLWRhdGUgZm9ybWF0PSJ1dGMiPjE0NzA4NjM2MDc8L2FkZGVkLWRhdGU+PHJlZi10
eXBlIG5hbWU9IkpvdXJuYWwgQXJ0aWNsZSI+MTc8L3JlZi10eXBlPjxkYXRlcz48eWVhcj4yMDE1
PC95ZWFyPjwvZGF0ZXM+PHJlYy1udW1iZXI+MjEzNjwvcmVjLW51bWJlcj48bGFzdC11cGRhdGVk
LWRhdGUgZm9ybWF0PSJ1dGMiPjE0OTAxMjYzMzI8L2xhc3QtdXBkYXRlZC1kYXRlPjxlbGVjdHJv
bmljLXJlc291cmNlLW51bT4xMC4xMDkzL3Jlc2V2YWwvcnZ1MDI4PC9lbGVjdHJvbmljLXJlc291
cmNlLW51bT48dm9sdW1lPjI0PC92b2x1bWU+PHJlbW90ZS1kYXRhYmFzZS1uYW1lPlNjb3B1czwv
cmVtb3RlLWRhdGFiYXNlLW5hbWU+PC9yZWNvcmQ+PC9DaXRlPjxDaXRlPjxBdXRob3I+Q2hvd2Ro
dXJ5PC9BdXRob3I+PFllYXI+MjAxNjwvWWVhcj48SURUZXh0Pk1lYXN1cmluZyB0aGUgSW1wYWN0
IG9mIFJlc2VhcmNoOiBMZXNzb25zIGZyb20gdGhlIFVL4oCZcyBSZXNlYXJjaCBFeGNlbGxlbmNl
IEZyYW1ld29yayAyMDE0PC9JRFRleHQ+PHJlY29yZD48a2V5d29yZHM+PGtleXdvcmQ+UmVzZWFy
Y2ggQXJ0aWNsZTwva2V5d29yZD48a2V5d29yZD5NZWRpY2luZSBBbmQgSGVhbHRoIFNjaWVuY2Vz
PC9rZXl3b3JkPjxrZXl3b3JkPlJlc2VhcmNoIEFuZCBBbmFseXNpcyBNZXRob2RzPC9rZXl3b3Jk
PjxrZXl3b3JkPk1lZGljaW5lIEFuZCBIZWFsdGggU2NpZW5jZXM8L2tleXdvcmQ+PGtleXdvcmQ+
RW5naW5lZXJpbmcgQW5kIFRlY2hub2xvZ3k8L2tleXdvcmQ+PGtleXdvcmQ+U29jaWFsIFNjaWVu
Y2VzPC9rZXl3b3JkPjxrZXl3b3JkPlNjaWVuY2UgUG9saWN5PC9rZXl3b3JkPjxrZXl3b3JkPlJl
c2VhcmNoIEFuZCBBbmFseXNpcyBNZXRob2RzPC9rZXl3b3JkPjxrZXl3b3JkPlNvY2lhbCBTY2ll
bmNlczwva2V5d29yZD48L2tleXdvcmRzPjx0aXRsZXM+PHRpdGxlPk1lYXN1cmluZyB0aGUgSW1w
YWN0IG9mIFJlc2VhcmNoOiBMZXNzb25zIGZyb20gdGhlIFVL4oCZcyBSZXNlYXJjaCBFeGNlbGxl
bmNlIEZyYW1ld29yayAyMDE0PC90aXRsZT48c2Vjb25kYXJ5LXRpdGxlPlBMb1MgT05FPC9zZWNv
bmRhcnktdGl0bGU+PC90aXRsZXM+PG51bWJlcj42PC9udW1iZXI+PGNvbnRyaWJ1dG9ycz48YXV0
aG9ycz48YXV0aG9yPkNob3dkaHVyeSwgR29iaW5kYTwvYXV0aG9yPjxhdXRob3I+S295YSwgS3Vz
aHdhbnRoPC9hdXRob3I+PGF1dGhvcj5QaGlsaXBzb24sIFBldGU8L2F1dGhvcj48YXV0aG9yPkRv
cnRhLUdvbnrDoWxleiwgUGFibG88L2F1dGhvcj48L2F1dGhvcnM+PC9jb250cmlidXRvcnM+PGFk
ZGVkLWRhdGUgZm9ybWF0PSJ1dGMiPjE0NzYwMzcxNjE8L2FkZGVkLWRhdGU+PHJlZi10eXBlIG5h
bWU9IkpvdXJuYWwgQXJ0aWNsZSI+MTc8L3JlZi10eXBlPjxkYXRlcz48eWVhcj4yMDE2PC95ZWFy
PjwvZGF0ZXM+PHJlYy1udW1iZXI+NjAyNTwvcmVjLW51bWJlcj48bGFzdC11cGRhdGVkLWRhdGUg
Zm9ybWF0PSJ1dGMiPjE0ODE2NTUxOTY8L2xhc3QtdXBkYXRlZC1kYXRlPjxlbGVjdHJvbmljLXJl
c291cmNlLW51bT4xMC4xMzcxL2pvdXJuYWwucG9uZS4wMTU2OTc4PC9lbGVjdHJvbmljLXJlc291
cmNlLW51bT48dm9sdW1lPjExPC92b2x1bWU+PC9yZWNvcmQ+PC9DaXRlPjxDaXRlPjxBdXRob3I+
T3ZzZWlrbzwvQXV0aG9yPjxZZWFyPjIwMTI8L1llYXI+PElEVGV4dD5Bc3Nlc3NpbmcgcmVzZWFy
Y2ggaW1wYWN0IGluIGFjYWRlbWljIGNsaW5pY2FsIG1lZGljaW5lOiBhIHN0dWR5IHVzaW5nIFJl
c2VhcmNoIEV4Y2VsbGVuY2UgRnJhbWV3b3JrIHBpbG90IGltcGFjdCBpbmRpY2F0b3JzPC9JRFRl
eHQ+PHJlY29yZD48a2V5d29yZHM+PGtleXdvcmQ+Q2xpbmljYWwgTWVkaWNpbmU8L2tleXdvcmQ+
PGtleXdvcmQ+T3V0Y29tZSBBc3Nlc3NtZW50IChIZWFsdGggQ2FyZSk8L2tleXdvcmQ+PGtleXdv
cmQ+UXVhbGl0eSBJbmRpY2F0b3JzLCBIZWFsdGggQ2FyZTwva2V5d29yZD48a2V5d29yZD5SZXNl
YXJjaCAtLSBTdGFuZGFyZHM8L2tleXdvcmQ+PGtleXdvcmQ+U2Nob29scywgTWVkaWNhbCAtLSBF
Y29ub21pY3M8L2tleXdvcmQ+PC9rZXl3b3Jkcz48dGl0bGVzPjx0aXRsZT5Bc3Nlc3NpbmcgcmVz
ZWFyY2ggaW1wYWN0IGluIGFjYWRlbWljIGNsaW5pY2FsIG1lZGljaW5lOiBhIHN0dWR5IHVzaW5n
IFJlc2VhcmNoIEV4Y2VsbGVuY2UgRnJhbWV3b3JrIHBpbG90IGltcGFjdCBpbmRpY2F0b3JzPC90
aXRsZT48c2Vjb25kYXJ5LXRpdGxlPkJNQyBoZWFsdGggc2VydmljZXMgcmVzZWFyY2g8L3NlY29u
ZGFyeS10aXRsZT48L3RpdGxlcz48cGFnZXM+NDc4PC9wYWdlcz48Y29udHJpYnV0b3JzPjxhdXRo
b3JzPjxhdXRob3I+T3ZzZWlrbywgUGF2ZWwgVi48L2F1dGhvcj48YXV0aG9yPk9hbmNlYSwgQWxp
czwvYXV0aG9yPjxhdXRob3I+QnVjaGFuLCBBbGFzdGFpciBNLjwvYXV0aG9yPjwvYXV0aG9ycz48
L2NvbnRyaWJ1dG9ycz48YWRkZWQtZGF0ZSBmb3JtYXQ9InV0YyI+MTQ1NjQ0MTQ0MDwvYWRkZWQt
ZGF0ZT48cmVmLXR5cGUgbmFtZT0iSm91cm5hbCBBcnRpY2xlIj4xNzwvcmVmLXR5cGU+PGRhdGVz
Pjx5ZWFyPjIwMTI8L3llYXI+PC9kYXRlcz48cmVjLW51bWJlcj4yNzA8L3JlYy1udW1iZXI+PGxh
c3QtdXBkYXRlZC1kYXRlIGZvcm1hdD0idXRjIj4xNDY5MjI5ODY4PC9sYXN0LXVwZGF0ZWQtZGF0
ZT48ZWxlY3Ryb25pYy1yZXNvdXJjZS1udW0+MTAuMTE4Ni8xNDcyLTY5NjMtMTItNDc4PC9lbGVj
dHJvbmljLXJlc291cmNlLW51bT48dm9sdW1lPjEyPC92b2x1bWU+PC9yZWNvcmQ+PC9DaXRlPjxD
aXRlPjxBdXRob3I+S2xhdXR6ZXI8L0F1dGhvcj48WWVhcj4yMDExPC9ZZWFyPjxJRFRleHQ+QXNz
ZXNzaW5nIHBvbGljeSBhbmQgcHJhY3RpY2UgaW1wYWN0cyBvZiBzb2NpYWwgc2NpZW5jZSByZXNl
YXJjaDogVGhlIGFwcGxpY2F0aW9uIG9mIHRoZSBwYXliYWNrIGZyYW1ld29yayB0byBhc3Nlc3Mg
dGhlIGZ1dHVyZSBvZiB3b3JrIHByb2dyYW1tZTwvSURUZXh0PjxyZWNvcmQ+PHVybHM+PHJlbGF0
ZWQtdXJscz48dXJsPmh0dHBzOi8vd3d3LnNjb3B1cy5jb20vaW53YXJkL3JlY29yZC51cmk/ZWlk
PTItczIuMC04MDA1MzYwODUxMiZhbXA7cGFydG5lcklEPTQwJmFtcDttZDU9ZGM4OTE2OGQ3N2Rk
ZDk3N2MzNWM5MjE1NzdmYWQ0ZmE8L3VybD48L3JlbGF0ZWQtdXJscz48L3VybHM+PHdvcmstdHlw
ZT5BcnRpY2xlPC93b3JrLXR5cGU+PHRpdGxlcz48dGl0bGU+QXNzZXNzaW5nIHBvbGljeSBhbmQg
cHJhY3RpY2UgaW1wYWN0cyBvZiBzb2NpYWwgc2NpZW5jZSByZXNlYXJjaDogVGhlIGFwcGxpY2F0
aW9uIG9mIHRoZSBwYXliYWNrIGZyYW1ld29yayB0byBhc3Nlc3MgdGhlIGZ1dHVyZSBvZiB3b3Jr
IHByb2dyYW1tZTwvdGl0bGU+PHNlY29uZGFyeS10aXRsZT5SZXNlYXJjaCBFdmFsdWF0aW9uPC9z
ZWNvbmRhcnktdGl0bGU+PC90aXRsZXM+PHBhZ2VzPjIwMS0yMDk8L3BhZ2VzPjxudW1iZXI+Mzwv
bnVtYmVyPjxjb250cmlidXRvcnM+PGF1dGhvcnM+PGF1dGhvcj5LbGF1dHplciwgTC48L2F1dGhv
cj48YXV0aG9yPkhhbm5leSwgUy48L2F1dGhvcj48YXV0aG9yPk5hc29uLCBFLjwvYXV0aG9yPjxh
dXRob3I+UnViaW4sIEouPC9hdXRob3I+PGF1dGhvcj5HcmFudCwgSi48L2F1dGhvcj48YXV0aG9y
Pldvb2RpbmcsIFMuPC9hdXRob3I+PC9hdXRob3JzPjwvY29udHJpYnV0b3JzPjxhZGRlZC1kYXRl
IGZvcm1hdD0idXRjIj4xNDczNzE5MjM5PC9hZGRlZC1kYXRlPjxyZWYtdHlwZSBuYW1lPSJKb3Vy
bmFsIEFydGljbGUiPjE3PC9yZWYtdHlwZT48ZGF0ZXM+PHllYXI+MjAxMTwveWVhcj48L2RhdGVz
PjxyZWMtbnVtYmVyPjM2OTY8L3JlYy1udW1iZXI+PGxhc3QtdXBkYXRlZC1kYXRlIGZvcm1hdD0i
dXRjIj4xNDczNzE5MjM5PC9sYXN0LXVwZGF0ZWQtZGF0ZT48ZWxlY3Ryb25pYy1yZXNvdXJjZS1u
dW0+MTAuMzE1Mi8wOTU4MjAyMTFYMTMxMTg1ODM2MzU2NzU8L2VsZWN0cm9uaWMtcmVzb3VyY2Ut
bnVtPjx2b2x1bWU+MjA8L3ZvbHVtZT48cmVtb3RlLWRhdGFiYXNlLW5hbWU+U2NvcHVzPC9yZW1v
dGUtZGF0YWJhc2UtbmFtZT48L3JlY29yZD48L0NpdGU+PENpdGU+PEF1dGhvcj5HcmVlbmhhbGdo
PC9BdXRob3I+PFllYXI+MjAxNjwvWWVhcj48SURUZXh0PlJlc2VhcmNoIGltcGFjdDogYSBuYXJy
YXRpdmUgcmV2aWV3PC9JRFRleHQ+PHJlY29yZD48ZGF0ZXM+PHB1Yi1kYXRlcz48ZGF0ZT5NYXkg
MjM8L2RhdGU+PC9wdWItZGF0ZXM+PHllYXI+MjAxNjwveWVhcj48L2RhdGVzPjx1cmxzPjxyZWxh
dGVkLXVybHM+PHVybD4mbHQ7R28gdG8gSVNJJmd0OzovL1dPUzowMDAzNzY1NzU5MDAwMDE8L3Vy
bD48L3JlbGF0ZWQtdXJscz48L3VybHM+PGlzYm4+MTc0MS03MDE1PC9pc2JuPjx0aXRsZXM+PHRp
dGxlPlJlc2VhcmNoIGltcGFjdDogYSBuYXJyYXRpdmUgcmV2aWV3PC90aXRsZT48c2Vjb25kYXJ5
LXRpdGxlPkJtYyBNZWRpY2luZTwvc2Vjb25kYXJ5LXRpdGxlPjwvdGl0bGVzPjxjb250cmlidXRv
cnM+PGF1dGhvcnM+PGF1dGhvcj5HcmVlbmhhbGdoLCBUcmlzaGE8L2F1dGhvcj48YXV0aG9yPlJh
ZnRlcnksIEphbWVzPC9hdXRob3I+PGF1dGhvcj5IYW5uZXksIFN0ZXZlPC9hdXRob3I+PGF1dGhv
cj5HbG92ZXIsIE1hdHRoZXc8L2F1dGhvcj48L2F1dGhvcnM+PC9jb250cmlidXRvcnM+PGN1c3Rv
bTc+Nzg8L2N1c3RvbTc+PGFkZGVkLWRhdGUgZm9ybWF0PSJ1dGMiPjE0NzA4NjMwNDU8L2FkZGVk
LWRhdGU+PHJlZi10eXBlIG5hbWU9IkpvdXJuYWwgQXJ0aWNsZSI+MTc8L3JlZi10eXBlPjxyZWMt
bnVtYmVyPjIwNDc8L3JlYy1udW1iZXI+PGxhc3QtdXBkYXRlZC1kYXRlIGZvcm1hdD0idXRjIj4x
NDcwODYzMDY2PC9sYXN0LXVwZGF0ZWQtZGF0ZT48YWNjZXNzaW9uLW51bT5XT1M6MDAwMzc2NTc1
OTAwMDAxPC9hY2Nlc3Npb24tbnVtPjxlbGVjdHJvbmljLXJlc291cmNlLW51bT4xMC4xMTg2L3Mx
MjkxNi0wMTYtMDYyMC04PC9lbGVjdHJvbmljLXJlc291cmNlLW51bT48dm9sdW1lPjE0PC92b2x1
bWU+PC9yZWNvcmQ+PC9DaXRlPjxDaXRlPjxBdXRob3I+R3VubjwvQXV0aG9yPjxZZWFyPjIwMTc8
L1llYXI+PElEVGV4dD5FdmFsdWF0aW5nIHRoZSBub24tYWNhZGVtaWMgaW1wYWN0IG9mIGFjYWRl
bWljIHJlc2VhcmNoOiBkZXNpZ24gY29uc2lkZXJhdGlvbnM8L0lEVGV4dD48cmVjb3JkPjxrZXl3
b3Jkcz48a2V5d29yZD5BcnRpY2xlPC9rZXl3b3JkPjxrZXl3b3JkPkFjYWRlbWljIFJlc2VhcmNo
PC9rZXl3b3JkPjxrZXl3b3JkPkV2YWx1YXRpb24gTWV0aG9kczwva2V5d29yZD48a2V5d29yZD5Q
b2xpY3kgRGVzaWduPC9rZXl3b3JkPjxrZXl3b3JkPlJlc2VhcmNoIEFzc2Vzc21lbnQ8L2tleXdv
cmQ+PGtleXdvcmQ+UmVzZWFyY2ggRnVuZGluZyBDeWNsZXM8L2tleXdvcmQ+PGtleXdvcmQ+UmVz
ZWFyY2ggSW1wYWN0PC9rZXl3b3JkPjxrZXl3b3JkPk5vbi0gQWNhZGVtaWMgSW1wYWN0PC9rZXl3
b3JkPjwva2V5d29yZHM+PGlzYm4+MTM2MC0wODBYPC9pc2JuPjx0aXRsZXM+PHRpdGxlPkV2YWx1
YXRpbmcgdGhlIG5vbi1hY2FkZW1pYyBpbXBhY3Qgb2YgYWNhZGVtaWMgcmVzZWFyY2g6IGRlc2ln
biBjb25zaWRlcmF0aW9uczwvdGl0bGU+PHNlY29uZGFyeS10aXRsZT5Kb3VybmFsIG9mIEhpZ2hl
ciBFZHVjYXRpb24gUG9saWN5IGFuZCBNYW5hZ2VtZW50PC9zZWNvbmRhcnktdGl0bGU+PC90aXRs
ZXM+PHBhZ2VzPjIwLTMwPC9wYWdlcz48bnVtYmVyPjE8L251bWJlcj48Y29udHJpYnV0b3JzPjxh
dXRob3JzPjxhdXRob3I+R3VubiwgQW5kcmV3PC9hdXRob3I+PGF1dGhvcj5NaW50cm9tLCBNaWNo
YWVsPC9hdXRob3I+PC9hdXRob3JzPjwvY29udHJpYnV0b3JzPjxhZGRlZC1kYXRlIGZvcm1hdD0i
dXRjIj4xNTU1NzUzNTg0PC9hZGRlZC1kYXRlPjxyZWYtdHlwZSBuYW1lPSJKb3VybmFsIEFydGlj
bGUiPjE3PC9yZWYtdHlwZT48ZGF0ZXM+PHllYXI+MjAxNzwveWVhcj48L2RhdGVzPjxyZWMtbnVt
YmVyPjc3Njg8L3JlYy1udW1iZXI+PHB1Ymxpc2hlcj5Sb3V0bGVkZ2U8L3B1Ymxpc2hlcj48bGFz
dC11cGRhdGVkLWRhdGUgZm9ybWF0PSJ1dGMiPjE1NTkwODA5Nzk8L2xhc3QtdXBkYXRlZC1kYXRl
PjxlbGVjdHJvbmljLXJlc291cmNlLW51bT4xMC4xMDgwLzEzNjAwODBYLjIwMTYuMTI1NDQyOTwv
ZWxlY3Ryb25pYy1yZXNvdXJjZS1udW0+PHZvbHVtZT4zOTwvdm9sdW1lPjwvcmVjb3JkPjwvQ2l0
ZT48L0VuZE5vdGU+AG==
</w:fldData>
        </w:fldChar>
      </w:r>
      <w:r w:rsidRPr="0052524C">
        <w:rPr>
          <w:sz w:val="24"/>
          <w:szCs w:val="24"/>
        </w:rPr>
        <w:instrText xml:space="preserve"> ADDIN EN.CITE.DATA </w:instrText>
      </w:r>
      <w:r w:rsidRPr="0052524C">
        <w:rPr>
          <w:sz w:val="24"/>
          <w:szCs w:val="24"/>
        </w:rPr>
      </w:r>
      <w:r w:rsidRPr="0052524C">
        <w:rPr>
          <w:sz w:val="24"/>
          <w:szCs w:val="24"/>
        </w:rPr>
        <w:fldChar w:fldCharType="end"/>
      </w:r>
      <w:r w:rsidRPr="0052524C">
        <w:rPr>
          <w:sz w:val="24"/>
          <w:szCs w:val="24"/>
        </w:rPr>
      </w:r>
      <w:r w:rsidRPr="0052524C">
        <w:rPr>
          <w:sz w:val="24"/>
          <w:szCs w:val="24"/>
        </w:rPr>
        <w:fldChar w:fldCharType="separate"/>
      </w:r>
      <w:r w:rsidRPr="0052524C">
        <w:rPr>
          <w:noProof/>
          <w:sz w:val="24"/>
          <w:szCs w:val="24"/>
        </w:rPr>
        <w:t>(Chowdhury, Koya, Philipson, &amp; Dorta-González, 2016; Greenhalgh, Raftery, Hanney, &amp; Glover, 2016; Gunn &amp; Mintrom, 2017; Khazragui &amp; Hudson, 2015; Klautzer et al., 2011; Ovseiko, Oancea, &amp; Buchan, 2012)</w:t>
      </w:r>
      <w:r w:rsidRPr="0052524C">
        <w:rPr>
          <w:sz w:val="24"/>
          <w:szCs w:val="24"/>
        </w:rPr>
        <w:fldChar w:fldCharType="end"/>
      </w:r>
      <w:r w:rsidRPr="0052524C">
        <w:rPr>
          <w:sz w:val="24"/>
          <w:szCs w:val="24"/>
        </w:rPr>
        <w:t xml:space="preserve">. </w:t>
      </w:r>
      <w:r w:rsidR="00141994" w:rsidRPr="0052524C">
        <w:rPr>
          <w:sz w:val="24"/>
          <w:szCs w:val="24"/>
        </w:rPr>
        <w:t>Nor do I aim</w:t>
      </w:r>
      <w:r w:rsidRPr="0052524C">
        <w:rPr>
          <w:sz w:val="24"/>
          <w:szCs w:val="24"/>
        </w:rPr>
        <w:t xml:space="preserve"> investigate the conditions for impact or of good practices for generating impact </w:t>
      </w:r>
      <w:r w:rsidRPr="0052524C">
        <w:rPr>
          <w:sz w:val="24"/>
          <w:szCs w:val="24"/>
        </w:rPr>
        <w:fldChar w:fldCharType="begin">
          <w:fldData xml:space="preserve">PEVuZE5vdGU+PENpdGU+PEF1dGhvcj5EZW5pY29sbzwvQXV0aG9yPjxZZWFyPjIwMTQ8L1llYXI+
PElEVGV4dD5BY2hpZXZpbmcgaW1wYWN0IGluIHJlc2VhcmNoPC9JRFRleHQ+PERpc3BsYXlUZXh0
PihEZW5pY29sbywgMjAxNDsgR3JhbnQsIEJydXRzY2hlciwgS2lyaywgQnV0bGVyLCAmYW1wOyBX
b29kaW5nLCAyMDEwOyBSZWVkLCAyMDE3OyBSZWVkLCBCcnljZSwgJmFtcDsgTWFjaGVuLCAyMDE4
KTwvRGlzcGxheVRleHQ+PHJlY29yZD48a2V5d29yZHM+PGtleXdvcmQ+UmVzZWFyY2ggLS0gTWV0
aG9kb2xvZ3k8L2tleXdvcmQ+PC9rZXl3b3Jkcz48dGl0bGVzPjx0aXRsZT5BY2hpZXZpbmcgaW1w
YWN0IGluIHJlc2VhcmNoPC90aXRsZT48L3RpdGxlcz48Y29udHJpYnV0b3JzPjxhdXRob3JzPjxh
dXRob3I+RGVuaWNvbG8sIFBhbTwvYXV0aG9yPjwvYXV0aG9ycz48L2NvbnRyaWJ1dG9ycz48YWRk
ZWQtZGF0ZSBmb3JtYXQ9InV0YyI+MTQ1OTM1MTgyMzwvYWRkZWQtZGF0ZT48cmVmLXR5cGUgbmFt
ZT0iQm9vayI+NjwvcmVmLXR5cGU+PGRhdGVzPjx5ZWFyPjIwMTQ8L3llYXI+PC9kYXRlcz48cmVj
LW51bWJlcj4zNDY8L3JlYy1udW1iZXI+PHB1Ymxpc2hlcj5Mb3MgQW5nZWxlcyA6IFNBR0UsIDIw
MTQ8L3B1Ymxpc2hlcj48bGFzdC11cGRhdGVkLWRhdGUgZm9ybWF0PSJ1dGMiPjE0NjkyMjk4Njg8
L2xhc3QtdXBkYXRlZC1kYXRlPjwvcmVjb3JkPjwvQ2l0ZT48Q2l0ZT48QXV0aG9yPlJlZWQ8L0F1
dGhvcj48WWVhcj4yMDE3PC9ZZWFyPjxJRFRleHQ+VGhlIFByb2R1Y3RpdmUgUmVzZWFyY2hlcjwv
SURUZXh0PjxyZWNvcmQ+PHVybHM+PHJlbGF0ZWQtdXJscz48dXJsPnd3dy5BbWF6b24uY29tPC91
cmw+PC9yZWxhdGVkLXVybHM+PC91cmxzPjx0aXRsZXM+PHRpdGxlPlRoZSBQcm9kdWN0aXZlIFJl
c2VhcmNoZXI8L3RpdGxlPjwvdGl0bGVzPjxjb250cmlidXRvcnM+PGF1dGhvcnM+PGF1dGhvcj5S
ZWVkLCBNYXJrPC9hdXRob3I+PC9hdXRob3JzPjwvY29udHJpYnV0b3JzPjxhZGRlZC1kYXRlIGZv
cm1hdD0idXRjIj4xNTI1ODUxODg1PC9hZGRlZC1kYXRlPjxyZWYtdHlwZSBuYW1lPSJHZW5lcmlj
Ij4xMzwvcmVmLXR5cGU+PGRhdGVzPjx5ZWFyPjIwMTc8L3llYXI+PC9kYXRlcz48cmVjLW51bWJl
cj43NTE3PC9yZWMtbnVtYmVyPjxwdWJsaXNoZXI+S2luZGxlIGZvciBBbWF6b248L3B1Ymxpc2hl
cj48bGFzdC11cGRhdGVkLWRhdGUgZm9ybWF0PSJ1dGMiPjE1MjU4NTE5OTI8L2xhc3QtdXBkYXRl
ZC1kYXRlPjwvcmVjb3JkPjwvQ2l0ZT48Q2l0ZT48QXV0aG9yPlJlZWQ8L0F1dGhvcj48WWVhcj4y
MDE4PC9ZZWFyPjxJRFRleHQ+UGF0aHdheXMgdG8gcG9saWN5IGltcGFjdDogYSBuZXcgYXBwcm9h
Y2ggZm9yIHBsYW5uaW5nIGFuZCBldmlkZW5jaW5nIHJlc2VhcmNoIGltcGFjdDwvSURUZXh0Pjxy
ZWNvcmQ+PGlzYm4+MTc0NC0yNjQ4PC9pc2JuPjx0aXRsZXM+PHRpdGxlPlBhdGh3YXlzIHRvIHBv
bGljeSBpbXBhY3Q6IGEgbmV3IGFwcHJvYWNoIGZvciBwbGFubmluZyBhbmQgZXZpZGVuY2luZyBy
ZXNlYXJjaCBpbXBhY3Q8L3RpdGxlPjxzZWNvbmRhcnktdGl0bGU+RXZpZGVuY2UgJmFtcDsgcG9s
aWN5IDogYSBqb3VybmFsIG9mIHJlc2VhcmNoLCBkZWJhdGUgYW5kIHByYWN0aWNlLjwvc2Vjb25k
YXJ5LXRpdGxlPjwvdGl0bGVzPjxwYWdlcz40MzEtNDU4PC9wYWdlcz48bnVtYmVyPjM8L251bWJl
cj48Y29udHJpYnV0b3JzPjxhdXRob3JzPjxhdXRob3I+UmVlZCwgTWFyazwvYXV0aG9yPjxhdXRo
b3I+QnJ5Y2UsIFJvc2FsaW5kPC9hdXRob3I+PGF1dGhvcj5NYWNoZW4sIFJ1dGg8L2F1dGhvcj48
L2F1dGhvcnM+PC9jb250cmlidXRvcnM+PGFkZGVkLWRhdGUgZm9ybWF0PSJ1dGMiPjE1NTcyMjk0
OTc8L2FkZGVkLWRhdGU+PHB1Yi1sb2NhdGlvbj5CcmlzdG9sLCBVSyA6PC9wdWItbG9jYXRpb24+
PHJlZi10eXBlIG5hbWU9IkpvdXJuYWwgQXJ0aWNsZSI+MTc8L3JlZi10eXBlPjxkYXRlcz48eWVh
cj4yMDE4PC95ZWFyPjwvZGF0ZXM+PHJlYy1udW1iZXI+Nzc4MTwvcmVjLW51bWJlcj48bGFzdC11
cGRhdGVkLWRhdGUgZm9ybWF0PSJ1dGMiPjE1NTkwNzMyNTM8L2xhc3QtdXBkYXRlZC1kYXRlPjxl
bGVjdHJvbmljLXJlc291cmNlLW51bT4xMC4xMzMyLzE3NDQyNjQxOFgxNTMyNjk2NzU0NzI0Mjwv
ZWxlY3Ryb25pYy1yZXNvdXJjZS1udW0+PHZvbHVtZT4xNDwvdm9sdW1lPjwvcmVjb3JkPjwvQ2l0
ZT48Q2l0ZT48QXV0aG9yPkdyYW50PC9BdXRob3I+PFllYXI+MjAxMDwvWWVhcj48SURUZXh0PkNh
cHR1cmluZyBSZXNlYXJjaCBJbXBhY3RzOiBBIFJldmlldyBvZiBJbnRlcm5hdGlvbmFsIFByYWN0
aWNlLiBEb2N1bWVudGVkIEJyaWVmaW5nPC9JRFRleHQ+PHJlY29yZD48dGl0bGVzPjx0aXRsZT5D
YXB0dXJpbmcgUmVzZWFyY2ggSW1wYWN0czogQSBSZXZpZXcgb2YgSW50ZXJuYXRpb25hbCBQcmFj
dGljZS4gRG9jdW1lbnRlZCBCcmllZmluZzwvdGl0bGU+PHNlY29uZGFyeS10aXRsZT5SYW5kIENv
cnBvcmF0aW9uPC9zZWNvbmRhcnktdGl0bGU+PC90aXRsZXM+PGNvbnRyaWJ1dG9ycz48YXV0aG9y
cz48YXV0aG9yPkdyYW50LCBKb25hdGhhbjwvYXV0aG9yPjxhdXRob3I+QnJ1dHNjaGVyLCBQaGls
aXBwLUJhc3RpYW48L2F1dGhvcj48YXV0aG9yPktpcmssIFN1c2FuIEVsbGE8L2F1dGhvcj48YXV0
aG9yPkJ1dGxlciwgTGluZGE8L2F1dGhvcj48YXV0aG9yPldvb2RpbmcsIFN0ZXZlbjwvYXV0aG9y
PjwvYXV0aG9ycz48L2NvbnRyaWJ1dG9ycz48YWRkZWQtZGF0ZSBmb3JtYXQ9InV0YyI+MTQ3ODcy
NjY4NjwvYWRkZWQtZGF0ZT48cmVmLXR5cGUgbmFtZT0iSm91cm5hbCBBcnRpY2xlIj4xNzwvcmVm
LXR5cGU+PGRhdGVzPjx5ZWFyPjIwMTA8L3llYXI+PC9kYXRlcz48cmVjLW51bWJlcj42MTU1PC9y
ZWMtbnVtYmVyPjxsYXN0LXVwZGF0ZWQtZGF0ZSBmb3JtYXQ9InV0YyI+MTQ3ODcyNjY4NjwvbGFz
dC11cGRhdGVkLWRhdGU+PC9yZWNvcmQ+PC9DaXRlPjwvRW5kTm90ZT4A
</w:fldData>
        </w:fldChar>
      </w:r>
      <w:r w:rsidRPr="0052524C">
        <w:rPr>
          <w:sz w:val="24"/>
          <w:szCs w:val="24"/>
        </w:rPr>
        <w:instrText xml:space="preserve"> ADDIN EN.CITE </w:instrText>
      </w:r>
      <w:r w:rsidRPr="0052524C">
        <w:rPr>
          <w:sz w:val="24"/>
          <w:szCs w:val="24"/>
        </w:rPr>
        <w:fldChar w:fldCharType="begin">
          <w:fldData xml:space="preserve">PEVuZE5vdGU+PENpdGU+PEF1dGhvcj5EZW5pY29sbzwvQXV0aG9yPjxZZWFyPjIwMTQ8L1llYXI+
PElEVGV4dD5BY2hpZXZpbmcgaW1wYWN0IGluIHJlc2VhcmNoPC9JRFRleHQ+PERpc3BsYXlUZXh0
PihEZW5pY29sbywgMjAxNDsgR3JhbnQsIEJydXRzY2hlciwgS2lyaywgQnV0bGVyLCAmYW1wOyBX
b29kaW5nLCAyMDEwOyBSZWVkLCAyMDE3OyBSZWVkLCBCcnljZSwgJmFtcDsgTWFjaGVuLCAyMDE4
KTwvRGlzcGxheVRleHQ+PHJlY29yZD48a2V5d29yZHM+PGtleXdvcmQ+UmVzZWFyY2ggLS0gTWV0
aG9kb2xvZ3k8L2tleXdvcmQ+PC9rZXl3b3Jkcz48dGl0bGVzPjx0aXRsZT5BY2hpZXZpbmcgaW1w
YWN0IGluIHJlc2VhcmNoPC90aXRsZT48L3RpdGxlcz48Y29udHJpYnV0b3JzPjxhdXRob3JzPjxh
dXRob3I+RGVuaWNvbG8sIFBhbTwvYXV0aG9yPjwvYXV0aG9ycz48L2NvbnRyaWJ1dG9ycz48YWRk
ZWQtZGF0ZSBmb3JtYXQ9InV0YyI+MTQ1OTM1MTgyMzwvYWRkZWQtZGF0ZT48cmVmLXR5cGUgbmFt
ZT0iQm9vayI+NjwvcmVmLXR5cGU+PGRhdGVzPjx5ZWFyPjIwMTQ8L3llYXI+PC9kYXRlcz48cmVj
LW51bWJlcj4zNDY8L3JlYy1udW1iZXI+PHB1Ymxpc2hlcj5Mb3MgQW5nZWxlcyA6IFNBR0UsIDIw
MTQ8L3B1Ymxpc2hlcj48bGFzdC11cGRhdGVkLWRhdGUgZm9ybWF0PSJ1dGMiPjE0NjkyMjk4Njg8
L2xhc3QtdXBkYXRlZC1kYXRlPjwvcmVjb3JkPjwvQ2l0ZT48Q2l0ZT48QXV0aG9yPlJlZWQ8L0F1
dGhvcj48WWVhcj4yMDE3PC9ZZWFyPjxJRFRleHQ+VGhlIFByb2R1Y3RpdmUgUmVzZWFyY2hlcjwv
SURUZXh0PjxyZWNvcmQ+PHVybHM+PHJlbGF0ZWQtdXJscz48dXJsPnd3dy5BbWF6b24uY29tPC91
cmw+PC9yZWxhdGVkLXVybHM+PC91cmxzPjx0aXRsZXM+PHRpdGxlPlRoZSBQcm9kdWN0aXZlIFJl
c2VhcmNoZXI8L3RpdGxlPjwvdGl0bGVzPjxjb250cmlidXRvcnM+PGF1dGhvcnM+PGF1dGhvcj5S
ZWVkLCBNYXJrPC9hdXRob3I+PC9hdXRob3JzPjwvY29udHJpYnV0b3JzPjxhZGRlZC1kYXRlIGZv
cm1hdD0idXRjIj4xNTI1ODUxODg1PC9hZGRlZC1kYXRlPjxyZWYtdHlwZSBuYW1lPSJHZW5lcmlj
Ij4xMzwvcmVmLXR5cGU+PGRhdGVzPjx5ZWFyPjIwMTc8L3llYXI+PC9kYXRlcz48cmVjLW51bWJl
cj43NTE3PC9yZWMtbnVtYmVyPjxwdWJsaXNoZXI+S2luZGxlIGZvciBBbWF6b248L3B1Ymxpc2hl
cj48bGFzdC11cGRhdGVkLWRhdGUgZm9ybWF0PSJ1dGMiPjE1MjU4NTE5OTI8L2xhc3QtdXBkYXRl
ZC1kYXRlPjwvcmVjb3JkPjwvQ2l0ZT48Q2l0ZT48QXV0aG9yPlJlZWQ8L0F1dGhvcj48WWVhcj4y
MDE4PC9ZZWFyPjxJRFRleHQ+UGF0aHdheXMgdG8gcG9saWN5IGltcGFjdDogYSBuZXcgYXBwcm9h
Y2ggZm9yIHBsYW5uaW5nIGFuZCBldmlkZW5jaW5nIHJlc2VhcmNoIGltcGFjdDwvSURUZXh0Pjxy
ZWNvcmQ+PGlzYm4+MTc0NC0yNjQ4PC9pc2JuPjx0aXRsZXM+PHRpdGxlPlBhdGh3YXlzIHRvIHBv
bGljeSBpbXBhY3Q6IGEgbmV3IGFwcHJvYWNoIGZvciBwbGFubmluZyBhbmQgZXZpZGVuY2luZyBy
ZXNlYXJjaCBpbXBhY3Q8L3RpdGxlPjxzZWNvbmRhcnktdGl0bGU+RXZpZGVuY2UgJmFtcDsgcG9s
aWN5IDogYSBqb3VybmFsIG9mIHJlc2VhcmNoLCBkZWJhdGUgYW5kIHByYWN0aWNlLjwvc2Vjb25k
YXJ5LXRpdGxlPjwvdGl0bGVzPjxwYWdlcz40MzEtNDU4PC9wYWdlcz48bnVtYmVyPjM8L251bWJl
cj48Y29udHJpYnV0b3JzPjxhdXRob3JzPjxhdXRob3I+UmVlZCwgTWFyazwvYXV0aG9yPjxhdXRo
b3I+QnJ5Y2UsIFJvc2FsaW5kPC9hdXRob3I+PGF1dGhvcj5NYWNoZW4sIFJ1dGg8L2F1dGhvcj48
L2F1dGhvcnM+PC9jb250cmlidXRvcnM+PGFkZGVkLWRhdGUgZm9ybWF0PSJ1dGMiPjE1NTcyMjk0
OTc8L2FkZGVkLWRhdGU+PHB1Yi1sb2NhdGlvbj5CcmlzdG9sLCBVSyA6PC9wdWItbG9jYXRpb24+
PHJlZi10eXBlIG5hbWU9IkpvdXJuYWwgQXJ0aWNsZSI+MTc8L3JlZi10eXBlPjxkYXRlcz48eWVh
cj4yMDE4PC95ZWFyPjwvZGF0ZXM+PHJlYy1udW1iZXI+Nzc4MTwvcmVjLW51bWJlcj48bGFzdC11
cGRhdGVkLWRhdGUgZm9ybWF0PSJ1dGMiPjE1NTkwNzMyNTM8L2xhc3QtdXBkYXRlZC1kYXRlPjxl
bGVjdHJvbmljLXJlc291cmNlLW51bT4xMC4xMzMyLzE3NDQyNjQxOFgxNTMyNjk2NzU0NzI0Mjwv
ZWxlY3Ryb25pYy1yZXNvdXJjZS1udW0+PHZvbHVtZT4xNDwvdm9sdW1lPjwvcmVjb3JkPjwvQ2l0
ZT48Q2l0ZT48QXV0aG9yPkdyYW50PC9BdXRob3I+PFllYXI+MjAxMDwvWWVhcj48SURUZXh0PkNh
cHR1cmluZyBSZXNlYXJjaCBJbXBhY3RzOiBBIFJldmlldyBvZiBJbnRlcm5hdGlvbmFsIFByYWN0
aWNlLiBEb2N1bWVudGVkIEJyaWVmaW5nPC9JRFRleHQ+PHJlY29yZD48dGl0bGVzPjx0aXRsZT5D
YXB0dXJpbmcgUmVzZWFyY2ggSW1wYWN0czogQSBSZXZpZXcgb2YgSW50ZXJuYXRpb25hbCBQcmFj
dGljZS4gRG9jdW1lbnRlZCBCcmllZmluZzwvdGl0bGU+PHNlY29uZGFyeS10aXRsZT5SYW5kIENv
cnBvcmF0aW9uPC9zZWNvbmRhcnktdGl0bGU+PC90aXRsZXM+PGNvbnRyaWJ1dG9ycz48YXV0aG9y
cz48YXV0aG9yPkdyYW50LCBKb25hdGhhbjwvYXV0aG9yPjxhdXRob3I+QnJ1dHNjaGVyLCBQaGls
aXBwLUJhc3RpYW48L2F1dGhvcj48YXV0aG9yPktpcmssIFN1c2FuIEVsbGE8L2F1dGhvcj48YXV0
aG9yPkJ1dGxlciwgTGluZGE8L2F1dGhvcj48YXV0aG9yPldvb2RpbmcsIFN0ZXZlbjwvYXV0aG9y
PjwvYXV0aG9ycz48L2NvbnRyaWJ1dG9ycz48YWRkZWQtZGF0ZSBmb3JtYXQ9InV0YyI+MTQ3ODcy
NjY4NjwvYWRkZWQtZGF0ZT48cmVmLXR5cGUgbmFtZT0iSm91cm5hbCBBcnRpY2xlIj4xNzwvcmVm
LXR5cGU+PGRhdGVzPjx5ZWFyPjIwMTA8L3llYXI+PC9kYXRlcz48cmVjLW51bWJlcj42MTU1PC9y
ZWMtbnVtYmVyPjxsYXN0LXVwZGF0ZWQtZGF0ZSBmb3JtYXQ9InV0YyI+MTQ3ODcyNjY4NjwvbGFz
dC11cGRhdGVkLWRhdGU+PC9yZWNvcmQ+PC9DaXRlPjwvRW5kTm90ZT4A
</w:fldData>
        </w:fldChar>
      </w:r>
      <w:r w:rsidRPr="0052524C">
        <w:rPr>
          <w:sz w:val="24"/>
          <w:szCs w:val="24"/>
        </w:rPr>
        <w:instrText xml:space="preserve"> ADDIN EN.CITE.DATA </w:instrText>
      </w:r>
      <w:r w:rsidRPr="0052524C">
        <w:rPr>
          <w:sz w:val="24"/>
          <w:szCs w:val="24"/>
        </w:rPr>
      </w:r>
      <w:r w:rsidRPr="0052524C">
        <w:rPr>
          <w:sz w:val="24"/>
          <w:szCs w:val="24"/>
        </w:rPr>
        <w:fldChar w:fldCharType="end"/>
      </w:r>
      <w:r w:rsidRPr="0052524C">
        <w:rPr>
          <w:sz w:val="24"/>
          <w:szCs w:val="24"/>
        </w:rPr>
      </w:r>
      <w:r w:rsidRPr="0052524C">
        <w:rPr>
          <w:sz w:val="24"/>
          <w:szCs w:val="24"/>
        </w:rPr>
        <w:fldChar w:fldCharType="separate"/>
      </w:r>
      <w:r w:rsidRPr="0052524C">
        <w:rPr>
          <w:noProof/>
          <w:sz w:val="24"/>
          <w:szCs w:val="24"/>
        </w:rPr>
        <w:t>(Denicolo, 2014; Grant, Brutscher, Kirk, Butler, &amp; Wooding, 2010; Reed, 2017; Reed, Bryce, &amp; Machen, 2018)</w:t>
      </w:r>
      <w:r w:rsidRPr="0052524C">
        <w:rPr>
          <w:sz w:val="24"/>
          <w:szCs w:val="24"/>
        </w:rPr>
        <w:fldChar w:fldCharType="end"/>
      </w:r>
      <w:r w:rsidRPr="0052524C">
        <w:rPr>
          <w:sz w:val="24"/>
          <w:szCs w:val="24"/>
        </w:rPr>
        <w:t xml:space="preserve">. Nor is my research an evaluation of impact policy </w:t>
      </w:r>
      <w:r w:rsidRPr="0052524C">
        <w:rPr>
          <w:sz w:val="24"/>
          <w:szCs w:val="24"/>
        </w:rPr>
        <w:fldChar w:fldCharType="begin"/>
      </w:r>
      <w:r w:rsidRPr="0052524C">
        <w:rPr>
          <w:sz w:val="24"/>
          <w:szCs w:val="24"/>
        </w:rPr>
        <w:instrText xml:space="preserve"> ADDIN EN.CITE &lt;EndNote&gt;&lt;Cite&gt;&lt;Author&gt;Martin&lt;/Author&gt;&lt;Year&gt;2011&lt;/Year&gt;&lt;IDText&gt;The Research Excellence Framework and the &amp;apos;impact agenda&amp;apos;: are we creating a Frankenstein monster?&lt;/IDText&gt;&lt;DisplayText&gt;(Martin, 2011)&lt;/DisplayText&gt;&lt;record&gt;&lt;dates&gt;&lt;pub-dates&gt;&lt;date&gt;Sep&lt;/date&gt;&lt;/pub-dates&gt;&lt;year&gt;2011&lt;/year&gt;&lt;/dates&gt;&lt;urls&gt;&lt;related-urls&gt;&lt;url&gt;&amp;lt;Go to ISI&amp;gt;://WOS:000296207200010&lt;/url&gt;&lt;/related-urls&gt;&lt;/urls&gt;&lt;isbn&gt;0958-2029&lt;/isbn&gt;&lt;titles&gt;&lt;title&gt;The Research Excellence Framework and the &amp;apos;impact agenda&amp;apos;: are we creating a Frankenstein monster?&lt;/title&gt;&lt;secondary-title&gt;Research Evaluation&lt;/secondary-title&gt;&lt;/titles&gt;&lt;pages&gt;247-254&lt;/pages&gt;&lt;number&gt;3&lt;/number&gt;&lt;contributors&gt;&lt;authors&gt;&lt;author&gt;Martin, Ben R.&lt;/author&gt;&lt;/authors&gt;&lt;/contributors&gt;&lt;added-date format="utc"&gt;1469230284&lt;/added-date&gt;&lt;ref-type name="Journal Article"&gt;17&lt;/ref-type&gt;&lt;rec-number&gt;716&lt;/rec-number&gt;&lt;last-updated-date format="utc"&gt;1469230334&lt;/last-updated-date&gt;&lt;accession-num&gt;WOS:000296207200010&lt;/accession-num&gt;&lt;electronic-resource-num&gt;10.3152/095820211x13118583635693&lt;/electronic-resource-num&gt;&lt;volume&gt;20&lt;/volume&gt;&lt;/record&gt;&lt;/Cite&gt;&lt;/EndNote&gt;</w:instrText>
      </w:r>
      <w:r w:rsidRPr="0052524C">
        <w:rPr>
          <w:sz w:val="24"/>
          <w:szCs w:val="24"/>
        </w:rPr>
        <w:fldChar w:fldCharType="separate"/>
      </w:r>
      <w:r w:rsidRPr="0052524C">
        <w:rPr>
          <w:noProof/>
          <w:sz w:val="24"/>
          <w:szCs w:val="24"/>
        </w:rPr>
        <w:t>(Martin, 2011)</w:t>
      </w:r>
      <w:r w:rsidRPr="0052524C">
        <w:rPr>
          <w:sz w:val="24"/>
          <w:szCs w:val="24"/>
        </w:rPr>
        <w:fldChar w:fldCharType="end"/>
      </w:r>
      <w:r w:rsidRPr="0052524C">
        <w:rPr>
          <w:sz w:val="24"/>
          <w:szCs w:val="24"/>
        </w:rPr>
        <w:t xml:space="preserve"> or its enactment in practice </w:t>
      </w:r>
      <w:r w:rsidRPr="0052524C">
        <w:rPr>
          <w:sz w:val="24"/>
          <w:szCs w:val="24"/>
        </w:rPr>
        <w:fldChar w:fldCharType="begin">
          <w:fldData xml:space="preserve">PEVuZE5vdGU+PENpdGU+PEF1dGhvcj5EZXJyaWNrPC9BdXRob3I+PFllYXI+MjAxODwvWWVhcj48
SURUZXh0PlRoZSBFdmFsdWF0b3ImYXBvcztzIEV5ZTogSW1wYWN0IEFzc2Vzc21lbnQgYW5kIEFj
YWRlbWljIFBlZXIgUmV2aWV3PC9JRFRleHQ+PERpc3BsYXlUZXh0PihEZXJyaWNrLCAyMDE4OyBT
YW11ZWwgJmFtcDsgRGVycmljaywgMjAxNTsgV2F0ZXJtZXllciAmYW1wOyBDaHViYiwgMjAxOCk8
L0Rpc3BsYXlUZXh0PjxyZWNvcmQ+PHRpdGxlcz48dGl0bGU+VGhlIEV2YWx1YXRvciZhcG9zO3Mg
RXllOiBJbXBhY3QgQXNzZXNzbWVudCBhbmQgQWNhZGVtaWMgUGVlciBSZXZpZXc8L3RpdGxlPjwv
dGl0bGVzPjxjb250cmlidXRvcnM+PGF1dGhvcnM+PGF1dGhvcj5EZXJyaWNrLCBHZW1tYTwvYXV0
aG9yPjwvYXV0aG9ycz48L2NvbnRyaWJ1dG9ycz48YWRkZWQtZGF0ZSBmb3JtYXQ9InV0YyI+MTUz
MDkwODc0ODwvYWRkZWQtZGF0ZT48cmVmLXR5cGUgbmFtZT0iQm9vayI+NjwvcmVmLXR5cGU+PGRh
dGVzPjx5ZWFyPjIwMTg8L3llYXI+PC9kYXRlcz48cmVjLW51bWJlcj43NjA0PC9yZWMtbnVtYmVy
PjxwdWJsaXNoZXI+UGFsZ3JhdmUgTWFjbWlsbGFuPC9wdWJsaXNoZXI+PGxhc3QtdXBkYXRlZC1k
YXRlIGZvcm1hdD0idXRjIj4xNTMwOTA4ODM3PC9sYXN0LXVwZGF0ZWQtZGF0ZT48L3JlY29yZD48
L0NpdGU+PENpdGU+PEF1dGhvcj5TYW11ZWw8L0F1dGhvcj48WWVhcj4yMDE1PC9ZZWFyPjxJRFRl
eHQ+U29jaWV0YWwgaW1wYWN0IGV2YWx1YXRpb246IEV4cGxvcmluZyBldmFsdWF0b3IgcGVyY2Vw
dGlvbnMgb2YgdGhlIGNoYXJhY3Rlcml6YXRpb24gb2YgaW1wYWN0IHVuZGVyIHRoZSBSRUYyMDE0
PC9JRFRleHQ+PHJlY29yZD48a2V5d29yZHM+PGtleXdvcmQ+U29jaWV0YWwgSW1wYWN0PC9rZXl3
b3JkPjxrZXl3b3JkPlJlc2VhcmNoIEV4Y2VsbGVuY2UgRnJhbWV3b3JrPC9rZXl3b3JkPjxrZXl3
b3JkPlF1YWxpdGF0aXZlIFJlc2VhcmNoPC9rZXl3b3JkPjxrZXl3b3JkPlJlc2VhcmNoIEV2YWx1
YXRpb248L2tleXdvcmQ+PC9rZXl3b3Jkcz48aXNibj4wOTU4LTIwMjk8L2lzYm4+PHRpdGxlcz48
dGl0bGU+U29jaWV0YWwgaW1wYWN0IGV2YWx1YXRpb246IEV4cGxvcmluZyBldmFsdWF0b3IgcGVy
Y2VwdGlvbnMgb2YgdGhlIGNoYXJhY3Rlcml6YXRpb24gb2YgaW1wYWN0IHVuZGVyIHRoZSBSRUYy
MDE0PC90aXRsZT48c2Vjb25kYXJ5LXRpdGxlPlJlc2VhcmNoIEV2YWx1YXRpb248L3NlY29uZGFy
eS10aXRsZT48L3RpdGxlcz48cGFnZXM+MjI5LTI0MTwvcGFnZXM+PG51bWJlcj4zPC9udW1iZXI+
PGNvbnRyaWJ1dG9ycz48YXV0aG9ycz48YXV0aG9yPlNhbXVlbCwgR2FicmllbGxlIE4uPC9hdXRo
b3I+PGF1dGhvcj5EZXJyaWNrLCBHZW1tYSBFLjwvYXV0aG9yPjwvYXV0aG9ycz48L2NvbnRyaWJ1
dG9ycz48YWRkZWQtZGF0ZSBmb3JtYXQ9InV0YyI+MTUxNTQ1MTQ2NjwvYWRkZWQtZGF0ZT48cmVm
LXR5cGUgbmFtZT0iSm91cm5hbCBBcnRpY2xlIj4xNzwvcmVmLXR5cGU+PGRhdGVzPjx5ZWFyPjIw
MTU8L3llYXI+PC9kYXRlcz48cmVjLW51bWJlcj43MzAxPC9yZWMtbnVtYmVyPjxsYXN0LXVwZGF0
ZWQtZGF0ZSBmb3JtYXQ9InV0YyI+MTUxNTQ1MTQ2NjwvbGFzdC11cGRhdGVkLWRhdGU+PGVsZWN0
cm9uaWMtcmVzb3VyY2UtbnVtPjEwLjEwOTMvcmVzZXZhbC9ydnYwMDc8L2VsZWN0cm9uaWMtcmVz
b3VyY2UtbnVtPjx2b2x1bWU+MjQ8L3ZvbHVtZT48L3JlY29yZD48L0NpdGU+PENpdGU+PEF1dGhv
cj5XYXRlcm1leWVyPC9BdXRob3I+PFllYXI+MjAxODwvWWVhcj48SURUZXh0PkV2YWx1YXRpbmcg
4oCYaW1wYWN04oCZIGluIHRoZSBVS+KAmXMgUmVzZWFyY2ggRXhjZWxsZW5jZSBGcmFtZXdvcmsg
KFJFRik6IGxpbWluYWxpdHksIGxvb3NlbmVzcyBhbmQgbmV3IG1vZGFsaXRpZXMgb2Ygc2Nob2xh
cmx5IGRpc3RpbmN0aW9uPC9JRFRleHQ+PHJlY29yZD48a2V5d29yZHM+PGtleXdvcmQ+QXJ0aWNs
ZTwva2V5d29yZD48a2V5d29yZD5SZXNlYXJjaCBGdW5kaW5nIEFuZCBFdmFsdWF0aW9uPC9rZXl3
b3JkPjxrZXl3b3JkPlJlc2VhcmNoIFBvbGljeTwva2V5d29yZD48a2V5d29yZD5SZXNlYXJjaCBJ
bXBhY3Q8L2tleXdvcmQ+PGtleXdvcmQ+QWNjb3VudGFiaWxpdHk8L2tleXdvcmQ+PGtleXdvcmQ+
UmVzZWFyY2ggRXhjZWxsZW5jZTwva2V5d29yZD48L2tleXdvcmRzPjxpc2JuPjAzMDctNTA3OTwv
aXNibj48dGl0bGVzPjx0aXRsZT5FdmFsdWF0aW5nIOKAmGltcGFjdOKAmSBpbiB0aGUgVUvigJlz
IFJlc2VhcmNoIEV4Y2VsbGVuY2UgRnJhbWV3b3JrIChSRUYpOiBsaW1pbmFsaXR5LCBsb29zZW5l
c3MgYW5kIG5ldyBtb2RhbGl0aWVzIG9mIHNjaG9sYXJseSBkaXN0aW5jdGlvbjwvdGl0bGU+PHNl
Y29uZGFyeS10aXRsZT5TdHVkaWVzIGluIEhpZ2hlciBFZHVjYXRpb248L3NlY29uZGFyeS10aXRs
ZT48L3RpdGxlcz48cGFnZXM+MS0xMzwvcGFnZXM+PGNvbnRyaWJ1dG9ycz48YXV0aG9ycz48YXV0
aG9yPldhdGVybWV5ZXIsIFJpY2hhcmQ8L2F1dGhvcj48YXV0aG9yPkNodWJiLCBKZW5uaWZlcjwv
YXV0aG9yPjwvYXV0aG9ycz48L2NvbnRyaWJ1dG9ycz48YWRkZWQtZGF0ZSBmb3JtYXQ9InV0YyI+
MTUzMDg5NjY5NTwvYWRkZWQtZGF0ZT48cmVmLXR5cGUgbmFtZT0iSm91cm5hbCBBcnRpY2xlIj4x
NzwvcmVmLXR5cGU+PGRhdGVzPjx5ZWFyPjIwMTg8L3llYXI+PC9kYXRlcz48cmVjLW51bWJlcj43
NjAzPC9yZWMtbnVtYmVyPjxwdWJsaXNoZXI+Um91dGxlZGdlPC9wdWJsaXNoZXI+PGxhc3QtdXBk
YXRlZC1kYXRlIGZvcm1hdD0idXRjIj4xNTMwODk2Njk1PC9sYXN0LXVwZGF0ZWQtZGF0ZT48ZWxl
Y3Ryb25pYy1yZXNvdXJjZS1udW0+MTAuMTA4MC8wMzA3NTA3OS4yMDE4LjE0NTUwODI8L2VsZWN0
cm9uaWMtcmVzb3VyY2UtbnVtPjwvcmVjb3JkPjwvQ2l0ZT48L0VuZE5vdGU+
</w:fldData>
        </w:fldChar>
      </w:r>
      <w:r w:rsidRPr="0052524C">
        <w:rPr>
          <w:sz w:val="24"/>
          <w:szCs w:val="24"/>
        </w:rPr>
        <w:instrText xml:space="preserve"> ADDIN EN.CITE </w:instrText>
      </w:r>
      <w:r w:rsidRPr="0052524C">
        <w:rPr>
          <w:sz w:val="24"/>
          <w:szCs w:val="24"/>
        </w:rPr>
        <w:fldChar w:fldCharType="begin">
          <w:fldData xml:space="preserve">PEVuZE5vdGU+PENpdGU+PEF1dGhvcj5EZXJyaWNrPC9BdXRob3I+PFllYXI+MjAxODwvWWVhcj48
SURUZXh0PlRoZSBFdmFsdWF0b3ImYXBvcztzIEV5ZTogSW1wYWN0IEFzc2Vzc21lbnQgYW5kIEFj
YWRlbWljIFBlZXIgUmV2aWV3PC9JRFRleHQ+PERpc3BsYXlUZXh0PihEZXJyaWNrLCAyMDE4OyBT
YW11ZWwgJmFtcDsgRGVycmljaywgMjAxNTsgV2F0ZXJtZXllciAmYW1wOyBDaHViYiwgMjAxOCk8
L0Rpc3BsYXlUZXh0PjxyZWNvcmQ+PHRpdGxlcz48dGl0bGU+VGhlIEV2YWx1YXRvciZhcG9zO3Mg
RXllOiBJbXBhY3QgQXNzZXNzbWVudCBhbmQgQWNhZGVtaWMgUGVlciBSZXZpZXc8L3RpdGxlPjwv
dGl0bGVzPjxjb250cmlidXRvcnM+PGF1dGhvcnM+PGF1dGhvcj5EZXJyaWNrLCBHZW1tYTwvYXV0
aG9yPjwvYXV0aG9ycz48L2NvbnRyaWJ1dG9ycz48YWRkZWQtZGF0ZSBmb3JtYXQ9InV0YyI+MTUz
MDkwODc0ODwvYWRkZWQtZGF0ZT48cmVmLXR5cGUgbmFtZT0iQm9vayI+NjwvcmVmLXR5cGU+PGRh
dGVzPjx5ZWFyPjIwMTg8L3llYXI+PC9kYXRlcz48cmVjLW51bWJlcj43NjA0PC9yZWMtbnVtYmVy
PjxwdWJsaXNoZXI+UGFsZ3JhdmUgTWFjbWlsbGFuPC9wdWJsaXNoZXI+PGxhc3QtdXBkYXRlZC1k
YXRlIGZvcm1hdD0idXRjIj4xNTMwOTA4ODM3PC9sYXN0LXVwZGF0ZWQtZGF0ZT48L3JlY29yZD48
L0NpdGU+PENpdGU+PEF1dGhvcj5TYW11ZWw8L0F1dGhvcj48WWVhcj4yMDE1PC9ZZWFyPjxJRFRl
eHQ+U29jaWV0YWwgaW1wYWN0IGV2YWx1YXRpb246IEV4cGxvcmluZyBldmFsdWF0b3IgcGVyY2Vw
dGlvbnMgb2YgdGhlIGNoYXJhY3Rlcml6YXRpb24gb2YgaW1wYWN0IHVuZGVyIHRoZSBSRUYyMDE0
PC9JRFRleHQ+PHJlY29yZD48a2V5d29yZHM+PGtleXdvcmQ+U29jaWV0YWwgSW1wYWN0PC9rZXl3
b3JkPjxrZXl3b3JkPlJlc2VhcmNoIEV4Y2VsbGVuY2UgRnJhbWV3b3JrPC9rZXl3b3JkPjxrZXl3
b3JkPlF1YWxpdGF0aXZlIFJlc2VhcmNoPC9rZXl3b3JkPjxrZXl3b3JkPlJlc2VhcmNoIEV2YWx1
YXRpb248L2tleXdvcmQ+PC9rZXl3b3Jkcz48aXNibj4wOTU4LTIwMjk8L2lzYm4+PHRpdGxlcz48
dGl0bGU+U29jaWV0YWwgaW1wYWN0IGV2YWx1YXRpb246IEV4cGxvcmluZyBldmFsdWF0b3IgcGVy
Y2VwdGlvbnMgb2YgdGhlIGNoYXJhY3Rlcml6YXRpb24gb2YgaW1wYWN0IHVuZGVyIHRoZSBSRUYy
MDE0PC90aXRsZT48c2Vjb25kYXJ5LXRpdGxlPlJlc2VhcmNoIEV2YWx1YXRpb248L3NlY29uZGFy
eS10aXRsZT48L3RpdGxlcz48cGFnZXM+MjI5LTI0MTwvcGFnZXM+PG51bWJlcj4zPC9udW1iZXI+
PGNvbnRyaWJ1dG9ycz48YXV0aG9ycz48YXV0aG9yPlNhbXVlbCwgR2FicmllbGxlIE4uPC9hdXRo
b3I+PGF1dGhvcj5EZXJyaWNrLCBHZW1tYSBFLjwvYXV0aG9yPjwvYXV0aG9ycz48L2NvbnRyaWJ1
dG9ycz48YWRkZWQtZGF0ZSBmb3JtYXQ9InV0YyI+MTUxNTQ1MTQ2NjwvYWRkZWQtZGF0ZT48cmVm
LXR5cGUgbmFtZT0iSm91cm5hbCBBcnRpY2xlIj4xNzwvcmVmLXR5cGU+PGRhdGVzPjx5ZWFyPjIw
MTU8L3llYXI+PC9kYXRlcz48cmVjLW51bWJlcj43MzAxPC9yZWMtbnVtYmVyPjxsYXN0LXVwZGF0
ZWQtZGF0ZSBmb3JtYXQ9InV0YyI+MTUxNTQ1MTQ2NjwvbGFzdC11cGRhdGVkLWRhdGU+PGVsZWN0
cm9uaWMtcmVzb3VyY2UtbnVtPjEwLjEwOTMvcmVzZXZhbC9ydnYwMDc8L2VsZWN0cm9uaWMtcmVz
b3VyY2UtbnVtPjx2b2x1bWU+MjQ8L3ZvbHVtZT48L3JlY29yZD48L0NpdGU+PENpdGU+PEF1dGhv
cj5XYXRlcm1leWVyPC9BdXRob3I+PFllYXI+MjAxODwvWWVhcj48SURUZXh0PkV2YWx1YXRpbmcg
4oCYaW1wYWN04oCZIGluIHRoZSBVS+KAmXMgUmVzZWFyY2ggRXhjZWxsZW5jZSBGcmFtZXdvcmsg
KFJFRik6IGxpbWluYWxpdHksIGxvb3NlbmVzcyBhbmQgbmV3IG1vZGFsaXRpZXMgb2Ygc2Nob2xh
cmx5IGRpc3RpbmN0aW9uPC9JRFRleHQ+PHJlY29yZD48a2V5d29yZHM+PGtleXdvcmQ+QXJ0aWNs
ZTwva2V5d29yZD48a2V5d29yZD5SZXNlYXJjaCBGdW5kaW5nIEFuZCBFdmFsdWF0aW9uPC9rZXl3
b3JkPjxrZXl3b3JkPlJlc2VhcmNoIFBvbGljeTwva2V5d29yZD48a2V5d29yZD5SZXNlYXJjaCBJ
bXBhY3Q8L2tleXdvcmQ+PGtleXdvcmQ+QWNjb3VudGFiaWxpdHk8L2tleXdvcmQ+PGtleXdvcmQ+
UmVzZWFyY2ggRXhjZWxsZW5jZTwva2V5d29yZD48L2tleXdvcmRzPjxpc2JuPjAzMDctNTA3OTwv
aXNibj48dGl0bGVzPjx0aXRsZT5FdmFsdWF0aW5nIOKAmGltcGFjdOKAmSBpbiB0aGUgVUvigJlz
IFJlc2VhcmNoIEV4Y2VsbGVuY2UgRnJhbWV3b3JrIChSRUYpOiBsaW1pbmFsaXR5LCBsb29zZW5l
c3MgYW5kIG5ldyBtb2RhbGl0aWVzIG9mIHNjaG9sYXJseSBkaXN0aW5jdGlvbjwvdGl0bGU+PHNl
Y29uZGFyeS10aXRsZT5TdHVkaWVzIGluIEhpZ2hlciBFZHVjYXRpb248L3NlY29uZGFyeS10aXRs
ZT48L3RpdGxlcz48cGFnZXM+MS0xMzwvcGFnZXM+PGNvbnRyaWJ1dG9ycz48YXV0aG9ycz48YXV0
aG9yPldhdGVybWV5ZXIsIFJpY2hhcmQ8L2F1dGhvcj48YXV0aG9yPkNodWJiLCBKZW5uaWZlcjwv
YXV0aG9yPjwvYXV0aG9ycz48L2NvbnRyaWJ1dG9ycz48YWRkZWQtZGF0ZSBmb3JtYXQ9InV0YyI+
MTUzMDg5NjY5NTwvYWRkZWQtZGF0ZT48cmVmLXR5cGUgbmFtZT0iSm91cm5hbCBBcnRpY2xlIj4x
NzwvcmVmLXR5cGU+PGRhdGVzPjx5ZWFyPjIwMTg8L3llYXI+PC9kYXRlcz48cmVjLW51bWJlcj43
NjAzPC9yZWMtbnVtYmVyPjxwdWJsaXNoZXI+Um91dGxlZGdlPC9wdWJsaXNoZXI+PGxhc3QtdXBk
YXRlZC1kYXRlIGZvcm1hdD0idXRjIj4xNTMwODk2Njk1PC9sYXN0LXVwZGF0ZWQtZGF0ZT48ZWxl
Y3Ryb25pYy1yZXNvdXJjZS1udW0+MTAuMTA4MC8wMzA3NTA3OS4yMDE4LjE0NTUwODI8L2VsZWN0
cm9uaWMtcmVzb3VyY2UtbnVtPjwvcmVjb3JkPjwvQ2l0ZT48L0VuZE5vdGU+
</w:fldData>
        </w:fldChar>
      </w:r>
      <w:r w:rsidRPr="0052524C">
        <w:rPr>
          <w:sz w:val="24"/>
          <w:szCs w:val="24"/>
        </w:rPr>
        <w:instrText xml:space="preserve"> ADDIN EN.CITE.DATA </w:instrText>
      </w:r>
      <w:r w:rsidRPr="0052524C">
        <w:rPr>
          <w:sz w:val="24"/>
          <w:szCs w:val="24"/>
        </w:rPr>
      </w:r>
      <w:r w:rsidRPr="0052524C">
        <w:rPr>
          <w:sz w:val="24"/>
          <w:szCs w:val="24"/>
        </w:rPr>
        <w:fldChar w:fldCharType="end"/>
      </w:r>
      <w:r w:rsidRPr="0052524C">
        <w:rPr>
          <w:sz w:val="24"/>
          <w:szCs w:val="24"/>
        </w:rPr>
      </w:r>
      <w:r w:rsidRPr="0052524C">
        <w:rPr>
          <w:sz w:val="24"/>
          <w:szCs w:val="24"/>
        </w:rPr>
        <w:fldChar w:fldCharType="separate"/>
      </w:r>
      <w:r w:rsidRPr="0052524C">
        <w:rPr>
          <w:noProof/>
          <w:sz w:val="24"/>
          <w:szCs w:val="24"/>
        </w:rPr>
        <w:t>(Derrick, 2018; Samuel &amp; Derrick, 2015; Watermeyer &amp; Chubb, 2018)</w:t>
      </w:r>
      <w:r w:rsidRPr="0052524C">
        <w:rPr>
          <w:sz w:val="24"/>
          <w:szCs w:val="24"/>
        </w:rPr>
        <w:fldChar w:fldCharType="end"/>
      </w:r>
      <w:r w:rsidRPr="0052524C">
        <w:rPr>
          <w:sz w:val="24"/>
          <w:szCs w:val="24"/>
        </w:rPr>
        <w:t xml:space="preserve"> – although my research does have some implications for impact policy and its critique, as discussed in the Conclusion (Chapter 6). </w:t>
      </w:r>
    </w:p>
    <w:p w14:paraId="1CB61A1A" w14:textId="1A0CD0BA" w:rsidR="00ED5A52" w:rsidRDefault="0007140A" w:rsidP="005C7D74">
      <w:pPr>
        <w:spacing w:after="120" w:line="360" w:lineRule="auto"/>
        <w:rPr>
          <w:sz w:val="24"/>
          <w:szCs w:val="24"/>
        </w:rPr>
      </w:pPr>
      <w:r w:rsidRPr="0052524C">
        <w:rPr>
          <w:sz w:val="24"/>
          <w:szCs w:val="24"/>
        </w:rPr>
        <w:t xml:space="preserve">Having said that, there are also many </w:t>
      </w:r>
      <w:r w:rsidR="00E0457A" w:rsidRPr="0052524C">
        <w:rPr>
          <w:sz w:val="24"/>
          <w:szCs w:val="24"/>
        </w:rPr>
        <w:t>features</w:t>
      </w:r>
      <w:r w:rsidR="00104C63" w:rsidRPr="0052524C">
        <w:rPr>
          <w:sz w:val="24"/>
          <w:szCs w:val="24"/>
        </w:rPr>
        <w:t xml:space="preserve"> and focal points</w:t>
      </w:r>
      <w:r w:rsidR="00E0457A" w:rsidRPr="0052524C">
        <w:rPr>
          <w:sz w:val="24"/>
          <w:szCs w:val="24"/>
        </w:rPr>
        <w:t xml:space="preserve"> </w:t>
      </w:r>
      <w:r w:rsidR="00104C63" w:rsidRPr="0052524C">
        <w:rPr>
          <w:sz w:val="24"/>
          <w:szCs w:val="24"/>
        </w:rPr>
        <w:t xml:space="preserve">that are </w:t>
      </w:r>
      <w:r w:rsidR="00E0457A" w:rsidRPr="0052524C">
        <w:rPr>
          <w:sz w:val="24"/>
          <w:szCs w:val="24"/>
        </w:rPr>
        <w:t>shared between</w:t>
      </w:r>
      <w:r w:rsidRPr="0052524C">
        <w:rPr>
          <w:sz w:val="24"/>
          <w:szCs w:val="24"/>
        </w:rPr>
        <w:t xml:space="preserve"> my research and </w:t>
      </w:r>
      <w:r w:rsidR="00E0457A" w:rsidRPr="0052524C">
        <w:rPr>
          <w:sz w:val="24"/>
          <w:szCs w:val="24"/>
        </w:rPr>
        <w:t>the growing body of ‘impact’</w:t>
      </w:r>
      <w:r w:rsidRPr="0052524C">
        <w:rPr>
          <w:sz w:val="24"/>
          <w:szCs w:val="24"/>
        </w:rPr>
        <w:t xml:space="preserve"> literature</w:t>
      </w:r>
      <w:r w:rsidR="00DE620B" w:rsidRPr="0052524C">
        <w:rPr>
          <w:sz w:val="24"/>
          <w:szCs w:val="24"/>
        </w:rPr>
        <w:t>. These include</w:t>
      </w:r>
      <w:r w:rsidRPr="0052524C">
        <w:rPr>
          <w:sz w:val="24"/>
          <w:szCs w:val="24"/>
        </w:rPr>
        <w:t xml:space="preserve">: a commitment to problematising the notion and role of the ‘user’ in research </w:t>
      </w:r>
      <w:r w:rsidRPr="0052524C">
        <w:rPr>
          <w:sz w:val="24"/>
          <w:szCs w:val="24"/>
        </w:rPr>
        <w:fldChar w:fldCharType="begin"/>
      </w:r>
      <w:r w:rsidRPr="0052524C">
        <w:rPr>
          <w:sz w:val="24"/>
          <w:szCs w:val="24"/>
        </w:rPr>
        <w:instrText xml:space="preserve"> ADDIN EN.CITE &lt;EndNote&gt;&lt;Cite&gt;&lt;Author&gt;Morton&lt;/Author&gt;&lt;Year&gt;2015&lt;/Year&gt;&lt;IDText&gt;Creating research impact: the roles of research users in interactive research mobilisation&lt;/IDText&gt;&lt;DisplayText&gt;(Morton, 2015a, 2015b)&lt;/DisplayText&gt;&lt;record&gt;&lt;dates&gt;&lt;pub-dates&gt;&lt;date&gt;Jan&lt;/date&gt;&lt;/pub-dates&gt;&lt;year&gt;2015&lt;/year&gt;&lt;/dates&gt;&lt;urls&gt;&lt;related-urls&gt;&lt;url&gt;&amp;lt;Go to ISI&amp;gt;://WOS:000351254200004&lt;/url&gt;&lt;/related-urls&gt;&lt;/urls&gt;&lt;isbn&gt;1744-2648&lt;/isbn&gt;&lt;titles&gt;&lt;title&gt;Creating research impact: the roles of research users in interactive research mobilisation&lt;/title&gt;&lt;secondary-title&gt;Evidence &amp;amp; Policy&lt;/secondary-title&gt;&lt;/titles&gt;&lt;pages&gt;35-55&lt;/pages&gt;&lt;number&gt;1&lt;/number&gt;&lt;contributors&gt;&lt;authors&gt;&lt;author&gt;Morton, Sarah&lt;/author&gt;&lt;/authors&gt;&lt;/contributors&gt;&lt;added-date format="utc"&gt;1470863044&lt;/added-date&gt;&lt;ref-type name="Journal Article"&gt;17&lt;/ref-type&gt;&lt;rec-number&gt;1996&lt;/rec-number&gt;&lt;last-updated-date format="utc"&gt;1470863066&lt;/last-updated-date&gt;&lt;accession-num&gt;WOS:000351254200004&lt;/accession-num&gt;&lt;electronic-resource-num&gt;10.1332/174426514x13976529631798&lt;/electronic-resource-num&gt;&lt;volume&gt;11&lt;/volume&gt;&lt;/record&gt;&lt;/Cite&gt;&lt;Cite&gt;&lt;Author&gt;Morton&lt;/Author&gt;&lt;Year&gt;2015&lt;/Year&gt;&lt;IDText&gt;Progressing research impact assessment: A &amp;apos;contributions&amp;apos; approach&lt;/IDText&gt;&lt;record&gt;&lt;dates&gt;&lt;pub-dates&gt;&lt;date&gt;Oct&lt;/date&gt;&lt;/pub-dates&gt;&lt;year&gt;2015&lt;/year&gt;&lt;/dates&gt;&lt;urls&gt;&lt;related-urls&gt;&lt;url&gt;&amp;lt;Go to ISI&amp;gt;://WOS:000365535900007&lt;/url&gt;&lt;/related-urls&gt;&lt;/urls&gt;&lt;isbn&gt;0958-2029&lt;/isbn&gt;&lt;titles&gt;&lt;title&gt;Progressing research impact assessment: A &amp;apos;contributions&amp;apos; approach&lt;/title&gt;&lt;secondary-title&gt;Research Evaluation&lt;/secondary-title&gt;&lt;/titles&gt;&lt;pages&gt;405-419&lt;/pages&gt;&lt;number&gt;4&lt;/number&gt;&lt;contributors&gt;&lt;authors&gt;&lt;author&gt;Morton, Sarah&lt;/author&gt;&lt;/authors&gt;&lt;/contributors&gt;&lt;added-date format="utc"&gt;1470863045&lt;/added-date&gt;&lt;ref-type name="Journal Article"&gt;17&lt;/ref-type&gt;&lt;rec-number&gt;2031&lt;/rec-number&gt;&lt;last-updated-date format="utc"&gt;1470863066&lt;/last-updated-date&gt;&lt;accession-num&gt;WOS:000365535900007&lt;/accession-num&gt;&lt;electronic-resource-num&gt;10.1093/reseval/rvv016&lt;/electronic-resource-num&gt;&lt;volume&gt;24&lt;/volume&gt;&lt;/record&gt;&lt;/Cite&gt;&lt;/EndNote&gt;</w:instrText>
      </w:r>
      <w:r w:rsidRPr="0052524C">
        <w:rPr>
          <w:sz w:val="24"/>
          <w:szCs w:val="24"/>
        </w:rPr>
        <w:fldChar w:fldCharType="separate"/>
      </w:r>
      <w:r w:rsidRPr="0052524C">
        <w:rPr>
          <w:noProof/>
          <w:sz w:val="24"/>
          <w:szCs w:val="24"/>
        </w:rPr>
        <w:t>(Morton, 2015a, 2015b)</w:t>
      </w:r>
      <w:r w:rsidRPr="0052524C">
        <w:rPr>
          <w:sz w:val="24"/>
          <w:szCs w:val="24"/>
        </w:rPr>
        <w:fldChar w:fldCharType="end"/>
      </w:r>
      <w:r w:rsidRPr="0052524C">
        <w:rPr>
          <w:sz w:val="24"/>
          <w:szCs w:val="24"/>
        </w:rPr>
        <w:t>; a methodological decision to focus on research which</w:t>
      </w:r>
      <w:r w:rsidR="00371B3F" w:rsidRPr="0052524C">
        <w:rPr>
          <w:sz w:val="24"/>
          <w:szCs w:val="24"/>
        </w:rPr>
        <w:t xml:space="preserve"> has</w:t>
      </w:r>
      <w:r w:rsidRPr="0052524C">
        <w:rPr>
          <w:sz w:val="24"/>
          <w:szCs w:val="24"/>
        </w:rPr>
        <w:t xml:space="preserve"> received high impact ratings in REF2014 in order to </w:t>
      </w:r>
      <w:r w:rsidRPr="0052524C">
        <w:rPr>
          <w:rFonts w:eastAsia="Times New Roman"/>
          <w:sz w:val="24"/>
          <w:szCs w:val="24"/>
        </w:rPr>
        <w:t xml:space="preserve">“make inferences about the kind of impact that was valued in the REF process, and the kind of research leading to such impact” </w:t>
      </w:r>
      <w:r w:rsidRPr="0052524C">
        <w:rPr>
          <w:rFonts w:eastAsia="Times New Roman"/>
          <w:sz w:val="24"/>
          <w:szCs w:val="24"/>
        </w:rPr>
        <w:fldChar w:fldCharType="begin"/>
      </w:r>
      <w:r w:rsidRPr="0052524C">
        <w:rPr>
          <w:rFonts w:eastAsia="Times New Roman"/>
          <w:sz w:val="24"/>
          <w:szCs w:val="24"/>
        </w:rPr>
        <w:instrText xml:space="preserve"> ADDIN EN.CITE &lt;EndNote&gt;&lt;Cite&gt;&lt;Author&gt;Laing&lt;/Author&gt;&lt;Year&gt;2018&lt;/Year&gt;&lt;IDText&gt;The impact agenda and critical social research in education: Hitting the target but missing the spot?&lt;/IDText&gt;&lt;Pages&gt;175&lt;/Pages&gt;&lt;DisplayText&gt;(Laing, Mazzoli Smith, &amp;amp; Todd, 2018, p. 175)&lt;/DisplayText&gt;&lt;record&gt;&lt;keywords&gt;&lt;keyword&gt;Impact&lt;/keyword&gt;&lt;keyword&gt;Critical Educational Research&lt;/keyword&gt;&lt;keyword&gt;Social Justice&lt;/keyword&gt;&lt;keyword&gt;Bourdieu&lt;/keyword&gt;&lt;keyword&gt;Valorization&lt;/keyword&gt;&lt;/keywords&gt;&lt;isbn&gt;1478-2103&lt;/isbn&gt;&lt;titles&gt;&lt;title&gt;The impact agenda and critical social research in education: Hitting the target but missing the spot?&lt;/title&gt;&lt;secondary-title&gt;Policy Futures in Education&lt;/secondary-title&gt;&lt;/titles&gt;&lt;pages&gt;169-184&lt;/pages&gt;&lt;number&gt;2&lt;/number&gt;&lt;contributors&gt;&lt;authors&gt;&lt;author&gt;Laing, Karen&lt;/author&gt;&lt;author&gt;Mazzoli Smith, Laura&lt;/author&gt;&lt;author&gt;Todd, Liz&lt;/author&gt;&lt;/authors&gt;&lt;/contributors&gt;&lt;added-date format="utc"&gt;1520866013&lt;/added-date&gt;&lt;ref-type name="Journal Article"&gt;17&lt;/ref-type&gt;&lt;dates&gt;&lt;year&gt;2018&lt;/year&gt;&lt;/dates&gt;&lt;rec-number&gt;7393&lt;/rec-number&gt;&lt;last-updated-date format="utc"&gt;1520866013&lt;/last-updated-date&gt;&lt;electronic-resource-num&gt;10.1177/1478210317742214&lt;/electronic-resource-num&gt;&lt;volume&gt;16&lt;/volume&gt;&lt;/record&gt;&lt;/Cite&gt;&lt;/EndNote&gt;</w:instrText>
      </w:r>
      <w:r w:rsidRPr="0052524C">
        <w:rPr>
          <w:rFonts w:eastAsia="Times New Roman"/>
          <w:sz w:val="24"/>
          <w:szCs w:val="24"/>
        </w:rPr>
        <w:fldChar w:fldCharType="separate"/>
      </w:r>
      <w:r w:rsidRPr="0052524C">
        <w:rPr>
          <w:rFonts w:eastAsia="Times New Roman"/>
          <w:noProof/>
          <w:sz w:val="24"/>
          <w:szCs w:val="24"/>
        </w:rPr>
        <w:t>(Laing, Mazzoli Smith, &amp; Todd, 2018, p. 175)</w:t>
      </w:r>
      <w:r w:rsidRPr="0052524C">
        <w:rPr>
          <w:rFonts w:eastAsia="Times New Roman"/>
          <w:sz w:val="24"/>
          <w:szCs w:val="24"/>
        </w:rPr>
        <w:fldChar w:fldCharType="end"/>
      </w:r>
      <w:r w:rsidRPr="0052524C">
        <w:rPr>
          <w:rFonts w:eastAsia="Times New Roman"/>
          <w:sz w:val="24"/>
          <w:szCs w:val="24"/>
        </w:rPr>
        <w:t xml:space="preserve">; </w:t>
      </w:r>
      <w:r w:rsidRPr="0052524C">
        <w:rPr>
          <w:sz w:val="24"/>
          <w:szCs w:val="24"/>
        </w:rPr>
        <w:t xml:space="preserve">a greater interest in the </w:t>
      </w:r>
      <w:r w:rsidRPr="0052524C">
        <w:rPr>
          <w:i/>
          <w:iCs/>
          <w:sz w:val="24"/>
          <w:szCs w:val="24"/>
        </w:rPr>
        <w:t>‘interactions’ (or what I call ‘transactions’) which underpin</w:t>
      </w:r>
      <w:r w:rsidRPr="0052524C">
        <w:rPr>
          <w:i/>
          <w:sz w:val="24"/>
          <w:szCs w:val="24"/>
        </w:rPr>
        <w:t xml:space="preserve"> </w:t>
      </w:r>
      <w:r w:rsidRPr="0052524C">
        <w:rPr>
          <w:sz w:val="24"/>
          <w:szCs w:val="24"/>
        </w:rPr>
        <w:t xml:space="preserve">impacts rather than in the impacts themselves </w:t>
      </w:r>
      <w:r w:rsidRPr="0052524C">
        <w:rPr>
          <w:sz w:val="24"/>
          <w:szCs w:val="24"/>
        </w:rPr>
        <w:fldChar w:fldCharType="begin">
          <w:fldData xml:space="preserve">PEVuZE5vdGU+PENpdGU+PEF1dGhvcj5kZSBKb25nPC9BdXRob3I+PFllYXI+MjAxMzwvWWVhcj48
SURUZXh0PlVuZGVyc3RhbmRpbmcgU29jaWV0YWwgSW1wYWN0IFRocm91Z2ggU3R1ZHlpbmcgUHJv
ZHVjdGl2ZSBJbnRlcmFjdGlvbnMuIFdvcmtpbmcgcGFwZXIgMTMwNDwvSURUZXh0PjxEaXNwbGF5
VGV4dD4oQWtrZXIsIDIwMTc7IGRlIEpvbmcsIEJhcmtlciwgQ294LCBTdmVpbnNkb3R0aXIsICZh
bXA7IFZhbiBkZW4gQmVzc2VsYWFyLCAyMDEzOyBNb2xhcy1HYWxsYXJ0ICZhbXA7IFRhbmcsIDIw
MTE7IFNwYWFwZW4gJmFtcDsgdmFuIERyb29nZSwgMjAxMTsgVXB0b24sIFZhbGxhbmNlLCAmYW1w
OyBHb2RkYXJkLCAyMDE0OyB2YW4gZGVuIEFra2VyICZhbXA7IFNwYWFwZW4sIDIwMTcpPC9EaXNw
bGF5VGV4dD48cmVjb3JkPjx1cmxzPjxyZWxhdGVkLXVybHM+PHVybD5odHRwczovL3d3dy5yYXRo
ZW5hdS5ubC9lbi9wdWJsaWNhdGlvbi91bmRlcnN0YW5kaW5nLXNvY2lldGFsLWltcGFjdC10aHJv
dWdoLXN0dWR5aW5nLXByb2R1Y3RpdmUtaW50ZXJhY3Rpb25zPC91cmw+PC9yZWxhdGVkLXVybHM+
PC91cmxzPjx0aXRsZXM+PHRpdGxlPlVuZGVyc3RhbmRpbmcgU29jaWV0YWwgSW1wYWN0IFRocm91
Z2ggU3R1ZHlpbmcgUHJvZHVjdGl2ZSBJbnRlcmFjdGlvbnMuIFdvcmtpbmcgcGFwZXIgMTMwNDwv
dGl0bGU+PC90aXRsZXM+PGFjY2Vzcy1kYXRlPjEwIEphbnVhcnkgMjAxODwvYWNjZXNzLWRhdGU+
PGNvbnRyaWJ1dG9ycz48YXV0aG9ycz48YXV0aG9yPmRlIEpvbmcsIFN0ZWZhbjwvYXV0aG9yPjxh
dXRob3I+QmFya2VyLCBLYXRoYXJpbmU8L2F1dGhvcj48YXV0aG9yPkNveCwgRGVib3JhaDwvYXV0
aG9yPjxhdXRob3I+U3ZlaW5zZG90dGlyLCBUaG9yZGlzPC9hdXRob3I+PGF1dGhvcj5WYW4gZGVu
IEJlc3NlbGFhciwgUGV0ZXI8L2F1dGhvcj48L2F1dGhvcnM+PC9jb250cmlidXRvcnM+PGFkZGVk
LWRhdGUgZm9ybWF0PSJ1dGMiPjE1MTU2MTU3NjI8L2FkZGVkLWRhdGU+PHJlZi10eXBlIG5hbWU9
IkdlbmVyaWMiPjEzPC9yZWYtdHlwZT48ZGF0ZXM+PHllYXI+MjAxMzwveWVhcj48L2RhdGVzPjxy
ZWMtbnVtYmVyPjczMTI8L3JlYy1udW1iZXI+PHB1Ymxpc2hlcj5SZXRoZW5hdSBJbnN0aXR1dDwv
cHVibGlzaGVyPjxsYXN0LXVwZGF0ZWQtZGF0ZSBmb3JtYXQ9InV0YyI+MTUxNTYxNTc2MjwvbGFz
dC11cGRhdGVkLWRhdGU+PC9yZWNvcmQ+PC9DaXRlPjxDaXRlPjxBdXRob3I+TW9sYXMtR2FsbGFy
dDwvQXV0aG9yPjxZZWFyPjIwMTE8L1llYXI+PElEVGV4dD5UcmFjaW5nIOKAmCBwcm9kdWN0aXZl
IGludGVyYWN0aW9uc+KAmSB0byBpZGVudGlmeSBzb2NpYWwgaW1wYWN0czogYW4gZXhhbXBsZSBm
cm9tIHRoZSBzb2NpYWwgc2NpZW5jZXM8L0lEVGV4dD48cmVjb3JkPjxrZXl3b3Jkcz48a2V5d29y
ZD5TY2llbmNlcyAoR2VuZXJhbCk8L2tleXdvcmQ+PC9rZXl3b3Jkcz48aXNibj4wOTU4LTIwMjk8
L2lzYm4+PHRpdGxlcz48dGl0bGU+VHJhY2luZyDigJggcHJvZHVjdGl2ZSBpbnRlcmFjdGlvbnPi
gJkgdG8gaWRlbnRpZnkgc29jaWFsIGltcGFjdHM6IGFuIGV4YW1wbGUgZnJvbSB0aGUgc29jaWFs
IHNjaWVuY2VzPC90aXRsZT48c2Vjb25kYXJ5LXRpdGxlPlJlc2VhcmNoIEV2YWx1YXRpb248L3Nl
Y29uZGFyeS10aXRsZT48L3RpdGxlcz48cGFnZXM+MjE5LTIyNjwvcGFnZXM+PG51bWJlcj4zPC9u
dW1iZXI+PGNvbnRyaWJ1dG9ycz48YXV0aG9ycz48YXV0aG9yPk1vbGFzLUdhbGxhcnQsIEpvcmRp
PC9hdXRob3I+PGF1dGhvcj5UYW5nLCBQdWF5PC9hdXRob3I+PC9hdXRob3JzPjwvY29udHJpYnV0
b3JzPjxhZGRlZC1kYXRlIGZvcm1hdD0idXRjIj4xNTE1NjE2MzMzPC9hZGRlZC1kYXRlPjxyZWYt
dHlwZSBuYW1lPSJKb3VybmFsIEFydGljbGUiPjE3PC9yZWYtdHlwZT48ZGF0ZXM+PHllYXI+MjAx
MTwveWVhcj48L2RhdGVzPjxyZWMtbnVtYmVyPjczMTM8L3JlYy1udW1iZXI+PGxhc3QtdXBkYXRl
ZC1kYXRlIGZvcm1hdD0idXRjIj4xNTE1NjE2MzMzPC9sYXN0LXVwZGF0ZWQtZGF0ZT48ZWxlY3Ry
b25pYy1yZXNvdXJjZS1udW0+MTAuMzE1Mi8wOTU4MjAyMTFYMTI5NDEzNzE4NzY3MDY8L2VsZWN0
cm9uaWMtcmVzb3VyY2UtbnVtPjx2b2x1bWU+MjA8L3ZvbHVtZT48L3JlY29yZD48L0NpdGU+PENp
dGU+PEF1dGhvcj5TcGFhcGVuPC9BdXRob3I+PFllYXI+MjAxMTwvWWVhcj48SURUZXh0PkludHJv
ZHVjaW5nIOKAmHByb2R1Y3RpdmUgaW50ZXJhY3Rpb25z4oCZIGluIHNvY2lhbCBpbXBhY3QgYXNz
ZXNzbWVudDwvSURUZXh0PjxyZWNvcmQ+PGtleXdvcmRzPjxrZXl3b3JkPlNjaWVuY2VzIChHZW5l
cmFsKTwva2V5d29yZD48L2tleXdvcmRzPjxpc2JuPjA5NTgtMjAyOTwvaXNibj48dGl0bGVzPjx0
aXRsZT5JbnRyb2R1Y2luZyDigJhwcm9kdWN0aXZlIGludGVyYWN0aW9uc+KAmSBpbiBzb2NpYWwg
aW1wYWN0IGFzc2Vzc21lbnQ8L3RpdGxlPjxzZWNvbmRhcnktdGl0bGU+UmVzZWFyY2ggRXZhbHVh
dGlvbjwvc2Vjb25kYXJ5LXRpdGxlPjwvdGl0bGVzPjxwYWdlcz4yMTEtMjE4PC9wYWdlcz48bnVt
YmVyPjM8L251bWJlcj48Y29udHJpYnV0b3JzPjxhdXRob3JzPjxhdXRob3I+U3BhYXBlbiwgSmFj
azwvYXV0aG9yPjxhdXRob3I+dmFuIERyb29nZSwgTGVvbmllPC9hdXRob3I+PC9hdXRob3JzPjwv
Y29udHJpYnV0b3JzPjxhZGRlZC1kYXRlIGZvcm1hdD0idXRjIj4xNTE1NjE2NTAyPC9hZGRlZC1k
YXRlPjxyZWYtdHlwZSBuYW1lPSJKb3VybmFsIEFydGljbGUiPjE3PC9yZWYtdHlwZT48ZGF0ZXM+
PHllYXI+MjAxMTwveWVhcj48L2RhdGVzPjxyZWMtbnVtYmVyPjczMTQ8L3JlYy1udW1iZXI+PGxh
c3QtdXBkYXRlZC1kYXRlIGZvcm1hdD0idXRjIj4xNTE1NjE2NTAyPC9sYXN0LXVwZGF0ZWQtZGF0
ZT48ZWxlY3Ryb25pYy1yZXNvdXJjZS1udW0+MTAuMzE1Mi8wOTU4MjAyMTFYMTI5NDEzNzE4NzY3
NDI8L2VsZWN0cm9uaWMtcmVzb3VyY2UtbnVtPjx2b2x1bWU+MjA8L3ZvbHVtZT48L3JlY29yZD48
L0NpdGU+PENpdGU+PEF1dGhvcj52YW4gZGVuIEFra2VyPC9BdXRob3I+PFllYXI+MjAxNzwvWWVh
cj48SURUZXh0PlByb2R1Y3RpdmUgaW50ZXJhY3Rpb25zOiBzb2NpZXRhbCBpbXBhY3Qgb2YgYWNh
ZGVtaWMgcmVzZWFyY2ggaW4gdGhlIGtub3dsZWRnZSBzb2NpZXR5PC9JRFRleHQ+PHJlY29yZD48
dXJscz48cmVsYXRlZC11cmxzPjx1cmw+aHR0cDovL3d3dy5sZXJ1Lm9yZy9maWxlcy9wdWJsaWNh
dGlvbnMvTEVSVV9Qb3NpdGlvbl9QYXBlcl9Tb2NpZXRhbF9JbXBhY3QucGRmPC91cmw+PC9yZWxh
dGVkLXVybHM+PC91cmxzPjx0aXRsZXM+PHRpdGxlPlByb2R1Y3RpdmUgaW50ZXJhY3Rpb25zOiBz
b2NpZXRhbCBpbXBhY3Qgb2YgYWNhZGVtaWMgcmVzZWFyY2ggaW4gdGhlIGtub3dsZWRnZSBzb2Np
ZXR5PC90aXRsZT48c2Vjb25kYXJ5LXRpdGxlPlBvc2l0aW9uIFBhcGVyPC9zZWNvbmRhcnktdGl0
bGU+PC90aXRsZXM+PGNvbnRyaWJ1dG9ycz48YXV0aG9ycz48YXV0aG9yPnZhbiBkZW4gQWtrZXIs
IFdpbGphbjwvYXV0aG9yPjxhdXRob3I+U3BhYXBlbiwgSmFjazwvYXV0aG9yPjwvYXV0aG9ycz48
L2NvbnRyaWJ1dG9ycz48YWRkZWQtZGF0ZSBmb3JtYXQ9InV0YyI+MTQ5MjY0Mzc2NTwvYWRkZWQt
ZGF0ZT48cmVmLXR5cGUgbmFtZT0iUmVwb3J0Ij4yNzwvcmVmLXR5cGU+PGRhdGVzPjx5ZWFyPjIw
MTc8L3llYXI+PC9kYXRlcz48cmVjLW51bWJlcj42NzMwPC9yZWMtbnVtYmVyPjxwdWJsaXNoZXI+
TGVhZ3VlIG9mIEV1cm9wZWFuIFJlc2VhcmNoIFVuaXZlcnNpdGllczwvcHVibGlzaGVyPjxsYXN0
LXVwZGF0ZWQtZGF0ZSBmb3JtYXQ9InV0YyI+MTUwNTM5Mzg4OTwvbGFzdC11cGRhdGVkLWRhdGU+
PC9yZWNvcmQ+PC9DaXRlPjxDaXRlPjxBdXRob3I+V2lsamFuPC9BdXRob3I+PFllYXI+MjAxNzwv
WWVhcj48SURUZXh0PlByb2R1Y3RpdmUgaW50ZXJhY3Rpb25zOiBzb2NpZXRhbCBpbXBhY3Qgb2Yg
YWNhZGVtaWMgcmVzZWFyY2ggaW4gdGhlIGtub3dsZWRnZSBzb2NpZXR5PC9JRFRleHQ+PHJlY29y
ZD48dXJscz48cmVsYXRlZC11cmxzPjx1cmw+aHR0cDovL3d3dy5sZXJ1Lm9yZy9maWxlcy9wdWJs
aWNhdGlvbnMvTEVSVV9Qb3NpdGlvbl9QYXBlcl9Tb2NpZXRhbF9JbXBhY3QucGRmPC91cmw+PC9y
ZWxhdGVkLXVybHM+PC91cmxzPjx0aXRsZXM+PHRpdGxlPlByb2R1Y3RpdmUgaW50ZXJhY3Rpb25z
OiBzb2NpZXRhbCBpbXBhY3Qgb2YgYWNhZGVtaWMgcmVzZWFyY2ggaW4gdGhlIGtub3dsZWRnZSBz
b2NpZXR5PC90aXRsZT48c2Vjb25kYXJ5LXRpdGxlPlBvc2l0aW9uIFBhcGVyPC9zZWNvbmRhcnkt
dGl0bGU+PC90aXRsZXM+PGNvbnRyaWJ1dG9ycz48YXV0aG9ycz48YXV0aG9yPldpbGphbiB2YW4g
ZGVuIEFra2VyPC9hdXRob3I+PC9hdXRob3JzPjwvY29udHJpYnV0b3JzPjxhZGRlZC1kYXRlIGZv
cm1hdD0idXRjIj4xNDkyNjQzNzI5PC9hZGRlZC1kYXRlPjxyZWYtdHlwZSBuYW1lPSJSZXBvcnQi
PjI3PC9yZWYtdHlwZT48ZGF0ZXM+PHllYXI+MjAxNzwveWVhcj48L2RhdGVzPjxyZWMtbnVtYmVy
PjY3Mjk8L3JlYy1udW1iZXI+PHB1Ymxpc2hlcj5MZWFndWUgb2YgRXVyb3BlYW4gUmVzZWFyY2gg
VW5pdmVyc2l0aWVzPC9wdWJsaXNoZXI+PGxhc3QtdXBkYXRlZC1kYXRlIGZvcm1hdD0idXRjIj4x
NTA1MzkzODg5PC9sYXN0LXVwZGF0ZWQtZGF0ZT48L3JlY29yZD48L0NpdGU+PENpdGU+PEF1dGhv
cj5VcHRvbjwvQXV0aG9yPjxZZWFyPjIwMTQ8L1llYXI+PElEVGV4dD5Gcm9tIG91dGNvbWVzIHRv
IHByb2Nlc3M6IGV2aWRlbmNlIGZvciBhIG5ldyBhcHByb2FjaCB0byByZXNlYXJjaCBpbXBhY3Qg
YXNzZXNzbWVudDwvSURUZXh0PjxyZWNvcmQ+PGRhdGVzPjxwdWItZGF0ZXM+PGRhdGU+T2N0PC9k
YXRlPjwvcHViLWRhdGVzPjx5ZWFyPjIwMTQ8L3llYXI+PC9kYXRlcz48dXJscz48cmVsYXRlZC11
cmxzPjx1cmw+Jmx0O0dvIHRvIElTSSZndDs6Ly9XT1M6MDAwMzQ0MjM4NDAwMDA3PC91cmw+PC9y
ZWxhdGVkLXVybHM+PC91cmxzPjxpc2JuPjA5NTgtMjAyOTwvaXNibj48dGl0bGVzPjx0aXRsZT5G
cm9tIG91dGNvbWVzIHRvIHByb2Nlc3M6IGV2aWRlbmNlIGZvciBhIG5ldyBhcHByb2FjaCB0byBy
ZXNlYXJjaCBpbXBhY3QgYXNzZXNzbWVudDwvdGl0bGU+PHNlY29uZGFyeS10aXRsZT5SZXNlYXJj
aCBFdmFsdWF0aW9uPC9zZWNvbmRhcnktdGl0bGU+PC90aXRsZXM+PHBhZ2VzPjM1Mi0zNjU8L3Bh
Z2VzPjxudW1iZXI+NDwvbnVtYmVyPjxjb250cmlidXRvcnM+PGF1dGhvcnM+PGF1dGhvcj5VcHRv
biwgU3RldmllPC9hdXRob3I+PGF1dGhvcj5WYWxsYW5jZSwgUGF1bDwvYXV0aG9yPjxhdXRob3I+
R29kZGFyZCwgSm9objwvYXV0aG9yPjwvYXV0aG9ycz48L2NvbnRyaWJ1dG9ycz48YWRkZWQtZGF0
ZSBmb3JtYXQ9InV0YyI+MTQ3MDg2MzA0NDwvYWRkZWQtZGF0ZT48cmVmLXR5cGUgbmFtZT0iSm91
cm5hbCBBcnRpY2xlIj4xNzwvcmVmLXR5cGU+PHJlYy1udW1iZXI+MTk4MjwvcmVjLW51bWJlcj48
bGFzdC11cGRhdGVkLWRhdGUgZm9ybWF0PSJ1dGMiPjE0NzA4NjMwNjY8L2xhc3QtdXBkYXRlZC1k
YXRlPjxhY2Nlc3Npb24tbnVtPldPUzowMDAzNDQyMzg0MDAwMDc8L2FjY2Vzc2lvbi1udW0+PGVs
ZWN0cm9uaWMtcmVzb3VyY2UtbnVtPjEwLjEwOTMvcmVzZXZhbC9ydnUwMjE8L2VsZWN0cm9uaWMt
cmVzb3VyY2UtbnVtPjx2b2x1bWU+MjM8L3ZvbHVtZT48L3JlY29yZD48L0NpdGU+PC9FbmROb3Rl
Pn==
</w:fldData>
        </w:fldChar>
      </w:r>
      <w:r w:rsidR="00C12E4D">
        <w:rPr>
          <w:sz w:val="24"/>
          <w:szCs w:val="24"/>
        </w:rPr>
        <w:instrText xml:space="preserve"> ADDIN EN.CITE </w:instrText>
      </w:r>
      <w:r w:rsidR="00C12E4D">
        <w:rPr>
          <w:sz w:val="24"/>
          <w:szCs w:val="24"/>
        </w:rPr>
        <w:fldChar w:fldCharType="begin">
          <w:fldData xml:space="preserve">PEVuZE5vdGU+PENpdGU+PEF1dGhvcj5kZSBKb25nPC9BdXRob3I+PFllYXI+MjAxMzwvWWVhcj48
SURUZXh0PlVuZGVyc3RhbmRpbmcgU29jaWV0YWwgSW1wYWN0IFRocm91Z2ggU3R1ZHlpbmcgUHJv
ZHVjdGl2ZSBJbnRlcmFjdGlvbnMuIFdvcmtpbmcgcGFwZXIgMTMwNDwvSURUZXh0PjxEaXNwbGF5
VGV4dD4oQWtrZXIsIDIwMTc7IGRlIEpvbmcsIEJhcmtlciwgQ294LCBTdmVpbnNkb3R0aXIsICZh
bXA7IFZhbiBkZW4gQmVzc2VsYWFyLCAyMDEzOyBNb2xhcy1HYWxsYXJ0ICZhbXA7IFRhbmcsIDIw
MTE7IFNwYWFwZW4gJmFtcDsgdmFuIERyb29nZSwgMjAxMTsgVXB0b24sIFZhbGxhbmNlLCAmYW1w
OyBHb2RkYXJkLCAyMDE0OyB2YW4gZGVuIEFra2VyICZhbXA7IFNwYWFwZW4sIDIwMTcpPC9EaXNw
bGF5VGV4dD48cmVjb3JkPjx1cmxzPjxyZWxhdGVkLXVybHM+PHVybD5odHRwczovL3d3dy5yYXRo
ZW5hdS5ubC9lbi9wdWJsaWNhdGlvbi91bmRlcnN0YW5kaW5nLXNvY2lldGFsLWltcGFjdC10aHJv
dWdoLXN0dWR5aW5nLXByb2R1Y3RpdmUtaW50ZXJhY3Rpb25zPC91cmw+PC9yZWxhdGVkLXVybHM+
PC91cmxzPjx0aXRsZXM+PHRpdGxlPlVuZGVyc3RhbmRpbmcgU29jaWV0YWwgSW1wYWN0IFRocm91
Z2ggU3R1ZHlpbmcgUHJvZHVjdGl2ZSBJbnRlcmFjdGlvbnMuIFdvcmtpbmcgcGFwZXIgMTMwNDwv
dGl0bGU+PC90aXRsZXM+PGFjY2Vzcy1kYXRlPjEwIEphbnVhcnkgMjAxODwvYWNjZXNzLWRhdGU+
PGNvbnRyaWJ1dG9ycz48YXV0aG9ycz48YXV0aG9yPmRlIEpvbmcsIFN0ZWZhbjwvYXV0aG9yPjxh
dXRob3I+QmFya2VyLCBLYXRoYXJpbmU8L2F1dGhvcj48YXV0aG9yPkNveCwgRGVib3JhaDwvYXV0
aG9yPjxhdXRob3I+U3ZlaW5zZG90dGlyLCBUaG9yZGlzPC9hdXRob3I+PGF1dGhvcj5WYW4gZGVu
IEJlc3NlbGFhciwgUGV0ZXI8L2F1dGhvcj48L2F1dGhvcnM+PC9jb250cmlidXRvcnM+PGFkZGVk
LWRhdGUgZm9ybWF0PSJ1dGMiPjE1MTU2MTU3NjI8L2FkZGVkLWRhdGU+PHJlZi10eXBlIG5hbWU9
IkdlbmVyaWMiPjEzPC9yZWYtdHlwZT48ZGF0ZXM+PHllYXI+MjAxMzwveWVhcj48L2RhdGVzPjxy
ZWMtbnVtYmVyPjczMTI8L3JlYy1udW1iZXI+PHB1Ymxpc2hlcj5SZXRoZW5hdSBJbnN0aXR1dDwv
cHVibGlzaGVyPjxsYXN0LXVwZGF0ZWQtZGF0ZSBmb3JtYXQ9InV0YyI+MTUxNTYxNTc2MjwvbGFz
dC11cGRhdGVkLWRhdGU+PC9yZWNvcmQ+PC9DaXRlPjxDaXRlPjxBdXRob3I+TW9sYXMtR2FsbGFy
dDwvQXV0aG9yPjxZZWFyPjIwMTE8L1llYXI+PElEVGV4dD5UcmFjaW5nIOKAmCBwcm9kdWN0aXZl
IGludGVyYWN0aW9uc+KAmSB0byBpZGVudGlmeSBzb2NpYWwgaW1wYWN0czogYW4gZXhhbXBsZSBm
cm9tIHRoZSBzb2NpYWwgc2NpZW5jZXM8L0lEVGV4dD48cmVjb3JkPjxrZXl3b3Jkcz48a2V5d29y
ZD5TY2llbmNlcyAoR2VuZXJhbCk8L2tleXdvcmQ+PC9rZXl3b3Jkcz48aXNibj4wOTU4LTIwMjk8
L2lzYm4+PHRpdGxlcz48dGl0bGU+VHJhY2luZyDigJggcHJvZHVjdGl2ZSBpbnRlcmFjdGlvbnPi
gJkgdG8gaWRlbnRpZnkgc29jaWFsIGltcGFjdHM6IGFuIGV4YW1wbGUgZnJvbSB0aGUgc29jaWFs
IHNjaWVuY2VzPC90aXRsZT48c2Vjb25kYXJ5LXRpdGxlPlJlc2VhcmNoIEV2YWx1YXRpb248L3Nl
Y29uZGFyeS10aXRsZT48L3RpdGxlcz48cGFnZXM+MjE5LTIyNjwvcGFnZXM+PG51bWJlcj4zPC9u
dW1iZXI+PGNvbnRyaWJ1dG9ycz48YXV0aG9ycz48YXV0aG9yPk1vbGFzLUdhbGxhcnQsIEpvcmRp
PC9hdXRob3I+PGF1dGhvcj5UYW5nLCBQdWF5PC9hdXRob3I+PC9hdXRob3JzPjwvY29udHJpYnV0
b3JzPjxhZGRlZC1kYXRlIGZvcm1hdD0idXRjIj4xNTE1NjE2MzMzPC9hZGRlZC1kYXRlPjxyZWYt
dHlwZSBuYW1lPSJKb3VybmFsIEFydGljbGUiPjE3PC9yZWYtdHlwZT48ZGF0ZXM+PHllYXI+MjAx
MTwveWVhcj48L2RhdGVzPjxyZWMtbnVtYmVyPjczMTM8L3JlYy1udW1iZXI+PGxhc3QtdXBkYXRl
ZC1kYXRlIGZvcm1hdD0idXRjIj4xNTE1NjE2MzMzPC9sYXN0LXVwZGF0ZWQtZGF0ZT48ZWxlY3Ry
b25pYy1yZXNvdXJjZS1udW0+MTAuMzE1Mi8wOTU4MjAyMTFYMTI5NDEzNzE4NzY3MDY8L2VsZWN0
cm9uaWMtcmVzb3VyY2UtbnVtPjx2b2x1bWU+MjA8L3ZvbHVtZT48L3JlY29yZD48L0NpdGU+PENp
dGU+PEF1dGhvcj5TcGFhcGVuPC9BdXRob3I+PFllYXI+MjAxMTwvWWVhcj48SURUZXh0PkludHJv
ZHVjaW5nIOKAmHByb2R1Y3RpdmUgaW50ZXJhY3Rpb25z4oCZIGluIHNvY2lhbCBpbXBhY3QgYXNz
ZXNzbWVudDwvSURUZXh0PjxyZWNvcmQ+PGtleXdvcmRzPjxrZXl3b3JkPlNjaWVuY2VzIChHZW5l
cmFsKTwva2V5d29yZD48L2tleXdvcmRzPjxpc2JuPjA5NTgtMjAyOTwvaXNibj48dGl0bGVzPjx0
aXRsZT5JbnRyb2R1Y2luZyDigJhwcm9kdWN0aXZlIGludGVyYWN0aW9uc+KAmSBpbiBzb2NpYWwg
aW1wYWN0IGFzc2Vzc21lbnQ8L3RpdGxlPjxzZWNvbmRhcnktdGl0bGU+UmVzZWFyY2ggRXZhbHVh
dGlvbjwvc2Vjb25kYXJ5LXRpdGxlPjwvdGl0bGVzPjxwYWdlcz4yMTEtMjE4PC9wYWdlcz48bnVt
YmVyPjM8L251bWJlcj48Y29udHJpYnV0b3JzPjxhdXRob3JzPjxhdXRob3I+U3BhYXBlbiwgSmFj
azwvYXV0aG9yPjxhdXRob3I+dmFuIERyb29nZSwgTGVvbmllPC9hdXRob3I+PC9hdXRob3JzPjwv
Y29udHJpYnV0b3JzPjxhZGRlZC1kYXRlIGZvcm1hdD0idXRjIj4xNTE1NjE2NTAyPC9hZGRlZC1k
YXRlPjxyZWYtdHlwZSBuYW1lPSJKb3VybmFsIEFydGljbGUiPjE3PC9yZWYtdHlwZT48ZGF0ZXM+
PHllYXI+MjAxMTwveWVhcj48L2RhdGVzPjxyZWMtbnVtYmVyPjczMTQ8L3JlYy1udW1iZXI+PGxh
c3QtdXBkYXRlZC1kYXRlIGZvcm1hdD0idXRjIj4xNTE1NjE2NTAyPC9sYXN0LXVwZGF0ZWQtZGF0
ZT48ZWxlY3Ryb25pYy1yZXNvdXJjZS1udW0+MTAuMzE1Mi8wOTU4MjAyMTFYMTI5NDEzNzE4NzY3
NDI8L2VsZWN0cm9uaWMtcmVzb3VyY2UtbnVtPjx2b2x1bWU+MjA8L3ZvbHVtZT48L3JlY29yZD48
L0NpdGU+PENpdGU+PEF1dGhvcj52YW4gZGVuIEFra2VyPC9BdXRob3I+PFllYXI+MjAxNzwvWWVh
cj48SURUZXh0PlByb2R1Y3RpdmUgaW50ZXJhY3Rpb25zOiBzb2NpZXRhbCBpbXBhY3Qgb2YgYWNh
ZGVtaWMgcmVzZWFyY2ggaW4gdGhlIGtub3dsZWRnZSBzb2NpZXR5PC9JRFRleHQ+PHJlY29yZD48
dXJscz48cmVsYXRlZC11cmxzPjx1cmw+aHR0cDovL3d3dy5sZXJ1Lm9yZy9maWxlcy9wdWJsaWNh
dGlvbnMvTEVSVV9Qb3NpdGlvbl9QYXBlcl9Tb2NpZXRhbF9JbXBhY3QucGRmPC91cmw+PC9yZWxh
dGVkLXVybHM+PC91cmxzPjx0aXRsZXM+PHRpdGxlPlByb2R1Y3RpdmUgaW50ZXJhY3Rpb25zOiBz
b2NpZXRhbCBpbXBhY3Qgb2YgYWNhZGVtaWMgcmVzZWFyY2ggaW4gdGhlIGtub3dsZWRnZSBzb2Np
ZXR5PC90aXRsZT48c2Vjb25kYXJ5LXRpdGxlPlBvc2l0aW9uIFBhcGVyPC9zZWNvbmRhcnktdGl0
bGU+PC90aXRsZXM+PGNvbnRyaWJ1dG9ycz48YXV0aG9ycz48YXV0aG9yPnZhbiBkZW4gQWtrZXIs
IFdpbGphbjwvYXV0aG9yPjxhdXRob3I+U3BhYXBlbiwgSmFjazwvYXV0aG9yPjwvYXV0aG9ycz48
L2NvbnRyaWJ1dG9ycz48YWRkZWQtZGF0ZSBmb3JtYXQ9InV0YyI+MTQ5MjY0Mzc2NTwvYWRkZWQt
ZGF0ZT48cmVmLXR5cGUgbmFtZT0iUmVwb3J0Ij4yNzwvcmVmLXR5cGU+PGRhdGVzPjx5ZWFyPjIw
MTc8L3llYXI+PC9kYXRlcz48cmVjLW51bWJlcj42NzMwPC9yZWMtbnVtYmVyPjxwdWJsaXNoZXI+
TGVhZ3VlIG9mIEV1cm9wZWFuIFJlc2VhcmNoIFVuaXZlcnNpdGllczwvcHVibGlzaGVyPjxsYXN0
LXVwZGF0ZWQtZGF0ZSBmb3JtYXQ9InV0YyI+MTUwNTM5Mzg4OTwvbGFzdC11cGRhdGVkLWRhdGU+
PC9yZWNvcmQ+PC9DaXRlPjxDaXRlPjxBdXRob3I+V2lsamFuPC9BdXRob3I+PFllYXI+MjAxNzwv
WWVhcj48SURUZXh0PlByb2R1Y3RpdmUgaW50ZXJhY3Rpb25zOiBzb2NpZXRhbCBpbXBhY3Qgb2Yg
YWNhZGVtaWMgcmVzZWFyY2ggaW4gdGhlIGtub3dsZWRnZSBzb2NpZXR5PC9JRFRleHQ+PHJlY29y
ZD48dXJscz48cmVsYXRlZC11cmxzPjx1cmw+aHR0cDovL3d3dy5sZXJ1Lm9yZy9maWxlcy9wdWJs
aWNhdGlvbnMvTEVSVV9Qb3NpdGlvbl9QYXBlcl9Tb2NpZXRhbF9JbXBhY3QucGRmPC91cmw+PC9y
ZWxhdGVkLXVybHM+PC91cmxzPjx0aXRsZXM+PHRpdGxlPlByb2R1Y3RpdmUgaW50ZXJhY3Rpb25z
OiBzb2NpZXRhbCBpbXBhY3Qgb2YgYWNhZGVtaWMgcmVzZWFyY2ggaW4gdGhlIGtub3dsZWRnZSBz
b2NpZXR5PC90aXRsZT48c2Vjb25kYXJ5LXRpdGxlPlBvc2l0aW9uIFBhcGVyPC9zZWNvbmRhcnkt
dGl0bGU+PC90aXRsZXM+PGNvbnRyaWJ1dG9ycz48YXV0aG9ycz48YXV0aG9yPldpbGphbiB2YW4g
ZGVuIEFra2VyPC9hdXRob3I+PC9hdXRob3JzPjwvY29udHJpYnV0b3JzPjxhZGRlZC1kYXRlIGZv
cm1hdD0idXRjIj4xNDkyNjQzNzI5PC9hZGRlZC1kYXRlPjxyZWYtdHlwZSBuYW1lPSJSZXBvcnQi
PjI3PC9yZWYtdHlwZT48ZGF0ZXM+PHllYXI+MjAxNzwveWVhcj48L2RhdGVzPjxyZWMtbnVtYmVy
PjY3Mjk8L3JlYy1udW1iZXI+PHB1Ymxpc2hlcj5MZWFndWUgb2YgRXVyb3BlYW4gUmVzZWFyY2gg
VW5pdmVyc2l0aWVzPC9wdWJsaXNoZXI+PGxhc3QtdXBkYXRlZC1kYXRlIGZvcm1hdD0idXRjIj4x
NTA1MzkzODg5PC9sYXN0LXVwZGF0ZWQtZGF0ZT48L3JlY29yZD48L0NpdGU+PENpdGU+PEF1dGhv
cj5VcHRvbjwvQXV0aG9yPjxZZWFyPjIwMTQ8L1llYXI+PElEVGV4dD5Gcm9tIG91dGNvbWVzIHRv
IHByb2Nlc3M6IGV2aWRlbmNlIGZvciBhIG5ldyBhcHByb2FjaCB0byByZXNlYXJjaCBpbXBhY3Qg
YXNzZXNzbWVudDwvSURUZXh0PjxyZWNvcmQ+PGRhdGVzPjxwdWItZGF0ZXM+PGRhdGU+T2N0PC9k
YXRlPjwvcHViLWRhdGVzPjx5ZWFyPjIwMTQ8L3llYXI+PC9kYXRlcz48dXJscz48cmVsYXRlZC11
cmxzPjx1cmw+Jmx0O0dvIHRvIElTSSZndDs6Ly9XT1M6MDAwMzQ0MjM4NDAwMDA3PC91cmw+PC9y
ZWxhdGVkLXVybHM+PC91cmxzPjxpc2JuPjA5NTgtMjAyOTwvaXNibj48dGl0bGVzPjx0aXRsZT5G
cm9tIG91dGNvbWVzIHRvIHByb2Nlc3M6IGV2aWRlbmNlIGZvciBhIG5ldyBhcHByb2FjaCB0byBy
ZXNlYXJjaCBpbXBhY3QgYXNzZXNzbWVudDwvdGl0bGU+PHNlY29uZGFyeS10aXRsZT5SZXNlYXJj
aCBFdmFsdWF0aW9uPC9zZWNvbmRhcnktdGl0bGU+PC90aXRsZXM+PHBhZ2VzPjM1Mi0zNjU8L3Bh
Z2VzPjxudW1iZXI+NDwvbnVtYmVyPjxjb250cmlidXRvcnM+PGF1dGhvcnM+PGF1dGhvcj5VcHRv
biwgU3RldmllPC9hdXRob3I+PGF1dGhvcj5WYWxsYW5jZSwgUGF1bDwvYXV0aG9yPjxhdXRob3I+
R29kZGFyZCwgSm9objwvYXV0aG9yPjwvYXV0aG9ycz48L2NvbnRyaWJ1dG9ycz48YWRkZWQtZGF0
ZSBmb3JtYXQ9InV0YyI+MTQ3MDg2MzA0NDwvYWRkZWQtZGF0ZT48cmVmLXR5cGUgbmFtZT0iSm91
cm5hbCBBcnRpY2xlIj4xNzwvcmVmLXR5cGU+PHJlYy1udW1iZXI+MTk4MjwvcmVjLW51bWJlcj48
bGFzdC11cGRhdGVkLWRhdGUgZm9ybWF0PSJ1dGMiPjE0NzA4NjMwNjY8L2xhc3QtdXBkYXRlZC1k
YXRlPjxhY2Nlc3Npb24tbnVtPldPUzowMDAzNDQyMzg0MDAwMDc8L2FjY2Vzc2lvbi1udW0+PGVs
ZWN0cm9uaWMtcmVzb3VyY2UtbnVtPjEwLjEwOTMvcmVzZXZhbC9ydnUwMjE8L2VsZWN0cm9uaWMt
cmVzb3VyY2UtbnVtPjx2b2x1bWU+MjM8L3ZvbHVtZT48L3JlY29yZD48L0NpdGU+PC9FbmROb3Rl
Pn==
</w:fldData>
        </w:fldChar>
      </w:r>
      <w:r w:rsidR="00C12E4D">
        <w:rPr>
          <w:sz w:val="24"/>
          <w:szCs w:val="24"/>
        </w:rPr>
        <w:instrText xml:space="preserve"> ADDIN EN.CITE.DATA </w:instrText>
      </w:r>
      <w:r w:rsidR="00C12E4D">
        <w:rPr>
          <w:sz w:val="24"/>
          <w:szCs w:val="24"/>
        </w:rPr>
      </w:r>
      <w:r w:rsidR="00C12E4D">
        <w:rPr>
          <w:sz w:val="24"/>
          <w:szCs w:val="24"/>
        </w:rPr>
        <w:fldChar w:fldCharType="end"/>
      </w:r>
      <w:r w:rsidRPr="0052524C">
        <w:rPr>
          <w:sz w:val="24"/>
          <w:szCs w:val="24"/>
        </w:rPr>
      </w:r>
      <w:r w:rsidRPr="0052524C">
        <w:rPr>
          <w:sz w:val="24"/>
          <w:szCs w:val="24"/>
        </w:rPr>
        <w:fldChar w:fldCharType="separate"/>
      </w:r>
      <w:r w:rsidR="00C12E4D">
        <w:rPr>
          <w:noProof/>
          <w:sz w:val="24"/>
          <w:szCs w:val="24"/>
        </w:rPr>
        <w:t>(Akker, 2017; de Jong, Barker, Cox, Sveinsdottir, &amp; Van den Besselaar, 2013; Molas-Gallart &amp; Tang, 2011; Spaapen &amp; van Drooge, 2011; Upton, Vallance, &amp; Goddard, 2014; van den Akker &amp; Spaapen, 2017)</w:t>
      </w:r>
      <w:r w:rsidRPr="0052524C">
        <w:rPr>
          <w:sz w:val="24"/>
          <w:szCs w:val="24"/>
        </w:rPr>
        <w:fldChar w:fldCharType="end"/>
      </w:r>
      <w:r w:rsidR="002B19E7" w:rsidRPr="0052524C">
        <w:rPr>
          <w:sz w:val="24"/>
          <w:szCs w:val="24"/>
        </w:rPr>
        <w:t xml:space="preserve">; and an effort to understand differences in the experience and enactment of research impact across types of institution </w:t>
      </w:r>
      <w:r w:rsidR="0019779D">
        <w:rPr>
          <w:sz w:val="24"/>
          <w:szCs w:val="24"/>
        </w:rPr>
        <w:fldChar w:fldCharType="begin"/>
      </w:r>
      <w:r w:rsidR="0019779D">
        <w:rPr>
          <w:sz w:val="24"/>
          <w:szCs w:val="24"/>
        </w:rPr>
        <w:instrText xml:space="preserve"> ADDIN EN.CITE &lt;EndNote&gt;&lt;Cite&gt;&lt;Author&gt;Papatsiba&lt;/Author&gt;&lt;Year&gt;2019&lt;/Year&gt;&lt;IDText&gt;Institutional hierarchies and research impact: new academic currencies, capital and position-taking in UK higher education&lt;/IDText&gt;&lt;DisplayText&gt;(Papatsiba &amp;amp; Cohen, 2019)&lt;/DisplayText&gt;&lt;record&gt;&lt;isbn&gt;0142-5692&lt;/isbn&gt;&lt;titles&gt;&lt;title&gt;Institutional hierarchies and research impact: new academic currencies, capital and position-taking in UK higher education&lt;/title&gt;&lt;secondary-title&gt;British Journal of Sociology of Education&lt;/secondary-title&gt;&lt;/titles&gt;&lt;pages&gt;1-19&lt;/pages&gt;&lt;contributors&gt;&lt;authors&gt;&lt;author&gt;Papatsiba, Vassiliki&lt;/author&gt;&lt;author&gt;Cohen, Eliel&lt;/author&gt;&lt;/authors&gt;&lt;/contributors&gt;&lt;added-date format="utc"&gt;1575647833&lt;/added-date&gt;&lt;ref-type name="Journal Article"&gt;17&lt;/ref-type&gt;&lt;dates&gt;&lt;year&gt;2019&lt;/year&gt;&lt;/dates&gt;&lt;rec-number&gt;8394&lt;/rec-number&gt;&lt;last-updated-date format="utc"&gt;1575648811&lt;/last-updated-date&gt;&lt;electronic-resource-num&gt;10.1080/01425692.2019.1676700&lt;/electronic-resource-num&gt;&lt;/record&gt;&lt;/Cite&gt;&lt;/EndNote&gt;</w:instrText>
      </w:r>
      <w:r w:rsidR="0019779D">
        <w:rPr>
          <w:sz w:val="24"/>
          <w:szCs w:val="24"/>
        </w:rPr>
        <w:fldChar w:fldCharType="separate"/>
      </w:r>
      <w:r w:rsidR="0019779D">
        <w:rPr>
          <w:noProof/>
          <w:sz w:val="24"/>
          <w:szCs w:val="24"/>
        </w:rPr>
        <w:t>(Papatsiba &amp; Cohen, 2019)</w:t>
      </w:r>
      <w:r w:rsidR="0019779D">
        <w:rPr>
          <w:sz w:val="24"/>
          <w:szCs w:val="24"/>
        </w:rPr>
        <w:fldChar w:fldCharType="end"/>
      </w:r>
      <w:r w:rsidR="0019779D">
        <w:rPr>
          <w:sz w:val="24"/>
          <w:szCs w:val="24"/>
        </w:rPr>
        <w:t xml:space="preserve"> </w:t>
      </w:r>
      <w:r w:rsidR="002B19E7" w:rsidRPr="0052524C">
        <w:rPr>
          <w:sz w:val="24"/>
          <w:szCs w:val="24"/>
        </w:rPr>
        <w:t xml:space="preserve">and discipline </w:t>
      </w:r>
      <w:r w:rsidR="002B19E7" w:rsidRPr="0052524C">
        <w:rPr>
          <w:sz w:val="24"/>
          <w:szCs w:val="24"/>
        </w:rPr>
        <w:fldChar w:fldCharType="begin"/>
      </w:r>
      <w:r w:rsidR="002B19E7" w:rsidRPr="0052524C">
        <w:rPr>
          <w:sz w:val="24"/>
          <w:szCs w:val="24"/>
        </w:rPr>
        <w:instrText xml:space="preserve"> ADDIN EN.CITE &lt;EndNote&gt;&lt;Cite&gt;&lt;Author&gt;Upton&lt;/Author&gt;&lt;Year&gt;2014&lt;/Year&gt;&lt;IDText&gt;From outcomes to process: evidence for a new approach to research impact assessment&lt;/IDText&gt;&lt;DisplayText&gt;(Upton et al., 2014)&lt;/DisplayText&gt;&lt;record&gt;&lt;dates&gt;&lt;pub-dates&gt;&lt;date&gt;Oct&lt;/date&gt;&lt;/pub-dates&gt;&lt;year&gt;2014&lt;/year&gt;&lt;/dates&gt;&lt;urls&gt;&lt;related-urls&gt;&lt;url&gt;&amp;lt;Go to ISI&amp;gt;://WOS:000344238400007&lt;/url&gt;&lt;/related-urls&gt;&lt;/urls&gt;&lt;isbn&gt;0958-2029&lt;/isbn&gt;&lt;titles&gt;&lt;title&gt;From outcomes to process: evidence for a new approach to research impact assessment&lt;/title&gt;&lt;secondary-title&gt;Research Evaluation&lt;/secondary-title&gt;&lt;/titles&gt;&lt;pages&gt;352-365&lt;/pages&gt;&lt;number&gt;4&lt;/number&gt;&lt;contributors&gt;&lt;authors&gt;&lt;author&gt;Upton, Stevie&lt;/author&gt;&lt;author&gt;Vallance, Paul&lt;/author&gt;&lt;author&gt;Goddard, John&lt;/author&gt;&lt;/authors&gt;&lt;/contributors&gt;&lt;added-date format="utc"&gt;1470863044&lt;/added-date&gt;&lt;ref-type name="Journal Article"&gt;17&lt;/ref-type&gt;&lt;rec-number&gt;1982&lt;/rec-number&gt;&lt;last-updated-date format="utc"&gt;1470863066&lt;/last-updated-date&gt;&lt;accession-num&gt;WOS:000344238400007&lt;/accession-num&gt;&lt;electronic-resource-num&gt;10.1093/reseval/rvu021&lt;/electronic-resource-num&gt;&lt;volume&gt;23&lt;/volume&gt;&lt;/record&gt;&lt;/Cite&gt;&lt;/EndNote&gt;</w:instrText>
      </w:r>
      <w:r w:rsidR="002B19E7" w:rsidRPr="0052524C">
        <w:rPr>
          <w:sz w:val="24"/>
          <w:szCs w:val="24"/>
        </w:rPr>
        <w:fldChar w:fldCharType="separate"/>
      </w:r>
      <w:r w:rsidR="002B19E7" w:rsidRPr="0052524C">
        <w:rPr>
          <w:noProof/>
          <w:sz w:val="24"/>
          <w:szCs w:val="24"/>
        </w:rPr>
        <w:t>(Upton et al., 2014)</w:t>
      </w:r>
      <w:r w:rsidR="002B19E7" w:rsidRPr="0052524C">
        <w:rPr>
          <w:sz w:val="24"/>
          <w:szCs w:val="24"/>
        </w:rPr>
        <w:fldChar w:fldCharType="end"/>
      </w:r>
      <w:r w:rsidR="002B19E7" w:rsidRPr="0052524C">
        <w:rPr>
          <w:sz w:val="24"/>
          <w:szCs w:val="24"/>
        </w:rPr>
        <w:t xml:space="preserve">. </w:t>
      </w:r>
      <w:r w:rsidR="00837F27" w:rsidRPr="0052524C">
        <w:rPr>
          <w:sz w:val="24"/>
          <w:szCs w:val="24"/>
        </w:rPr>
        <w:t>These</w:t>
      </w:r>
      <w:r w:rsidR="00E0457A" w:rsidRPr="0052524C">
        <w:rPr>
          <w:sz w:val="24"/>
          <w:szCs w:val="24"/>
        </w:rPr>
        <w:t xml:space="preserve"> shared </w:t>
      </w:r>
      <w:r w:rsidR="006255DC" w:rsidRPr="0052524C">
        <w:rPr>
          <w:sz w:val="24"/>
          <w:szCs w:val="24"/>
        </w:rPr>
        <w:t>features</w:t>
      </w:r>
      <w:r w:rsidR="00E0457A" w:rsidRPr="0052524C">
        <w:rPr>
          <w:sz w:val="24"/>
          <w:szCs w:val="24"/>
        </w:rPr>
        <w:t xml:space="preserve"> </w:t>
      </w:r>
      <w:r w:rsidR="00837F27" w:rsidRPr="0052524C">
        <w:rPr>
          <w:sz w:val="24"/>
          <w:szCs w:val="24"/>
        </w:rPr>
        <w:t>will be highlighted in the following sections and the remainder of Chapter 1.</w:t>
      </w:r>
      <w:r w:rsidR="00837F27">
        <w:rPr>
          <w:sz w:val="24"/>
          <w:szCs w:val="24"/>
        </w:rPr>
        <w:t xml:space="preserve"> </w:t>
      </w:r>
    </w:p>
    <w:p w14:paraId="1FDA899F" w14:textId="3FBFD033" w:rsidR="00FD7CF3" w:rsidRDefault="00FD7CF3" w:rsidP="00B710F3">
      <w:pPr>
        <w:pStyle w:val="Heading3"/>
      </w:pPr>
      <w:bookmarkStart w:id="20" w:name="_Toc31701936"/>
      <w:r>
        <w:t>Background to and institutionalisation of the UK ‘impact agenda’</w:t>
      </w:r>
      <w:bookmarkEnd w:id="20"/>
    </w:p>
    <w:p w14:paraId="78022515" w14:textId="46B2364D" w:rsidR="00FD7CF3" w:rsidRDefault="00FD7CF3" w:rsidP="00FD7CF3">
      <w:pPr>
        <w:pStyle w:val="NormalWeb"/>
        <w:spacing w:before="0" w:beforeAutospacing="0" w:after="120" w:afterAutospacing="0" w:line="360" w:lineRule="auto"/>
        <w:rPr>
          <w:color w:val="000000"/>
        </w:rPr>
      </w:pPr>
      <w:r>
        <w:rPr>
          <w:color w:val="000000"/>
        </w:rPr>
        <w:t xml:space="preserve">The REF’s predecessor, the Research Assessment Exercise (RAE), first ran in 1986, then was repeated every three to seven years. It was based on the view that such a QR funding allocation mechanism would improve the quality and thus the value of academic research at a time when the importance of academic knowledge for economic competitiveness was starting to become apparent to governments and industries across Europe and America, and when the UK government in particular was committed to demanding accountability of institutions in receipt of public funding </w:t>
      </w:r>
      <w:r>
        <w:rPr>
          <w:color w:val="000000"/>
        </w:rPr>
        <w:fldChar w:fldCharType="begin">
          <w:fldData xml:space="preserve">PEVuZE5vdGU+PENpdGU+PEF1dGhvcj5NYXJ0aW48L0F1dGhvcj48WWVhcj4yMDExPC9ZZWFyPjxJ
RFRleHQ+VGhlIFJlc2VhcmNoIEV4Y2VsbGVuY2UgRnJhbWV3b3JrIGFuZCB0aGUgJmFwb3M7aW1w
YWN0IGFnZW5kYSZhcG9zOzogYXJlIHdlIGNyZWF0aW5nIGEgRnJhbmtlbnN0ZWluIG1vbnN0ZXI/
PC9JRFRleHQ+PERpc3BsYXlUZXh0PihFdHprb3dpdHogJmFtcDsgTGV5ZGVzZG9yZmYsIDE5OTU7
IE1hcnRpbiwgMjAxMTsgUy4gU21pdGgsIFdhcmQsICZhbXA7IEhvdXNlLCAyMDExKTwvRGlzcGxh
eVRleHQ+PHJlY29yZD48ZGF0ZXM+PHB1Yi1kYXRlcz48ZGF0ZT5TZXA8L2RhdGU+PC9wdWItZGF0
ZXM+PHllYXI+MjAxMTwveWVhcj48L2RhdGVzPjx1cmxzPjxyZWxhdGVkLXVybHM+PHVybD4mbHQ7
R28gdG8gSVNJJmd0OzovL1dPUzowMDAyOTYyMDcyMDAwMTA8L3VybD48L3JlbGF0ZWQtdXJscz48
L3VybHM+PGlzYm4+MDk1OC0yMDI5PC9pc2JuPjx0aXRsZXM+PHRpdGxlPlRoZSBSZXNlYXJjaCBF
eGNlbGxlbmNlIEZyYW1ld29yayBhbmQgdGhlICZhcG9zO2ltcGFjdCBhZ2VuZGEmYXBvczs6IGFy
ZSB3ZSBjcmVhdGluZyBhIEZyYW5rZW5zdGVpbiBtb25zdGVyPzwvdGl0bGU+PHNlY29uZGFyeS10
aXRsZT5SZXNlYXJjaCBFdmFsdWF0aW9uPC9zZWNvbmRhcnktdGl0bGU+PC90aXRsZXM+PHBhZ2Vz
PjI0Ny0yNTQ8L3BhZ2VzPjxudW1iZXI+MzwvbnVtYmVyPjxjb250cmlidXRvcnM+PGF1dGhvcnM+
PGF1dGhvcj5NYXJ0aW4sIEJlbiBSLjwvYXV0aG9yPjwvYXV0aG9ycz48L2NvbnRyaWJ1dG9ycz48
YWRkZWQtZGF0ZSBmb3JtYXQ9InV0YyI+MTQ2OTIzMDI4NDwvYWRkZWQtZGF0ZT48cmVmLXR5cGUg
bmFtZT0iSm91cm5hbCBBcnRpY2xlIj4xNzwvcmVmLXR5cGU+PHJlYy1udW1iZXI+NzE2PC9yZWMt
bnVtYmVyPjxsYXN0LXVwZGF0ZWQtZGF0ZSBmb3JtYXQ9InV0YyI+MTQ2OTIzMDMzNDwvbGFzdC11
cGRhdGVkLWRhdGU+PGFjY2Vzc2lvbi1udW0+V09TOjAwMDI5NjIwNzIwMDAxMDwvYWNjZXNzaW9u
LW51bT48ZWxlY3Ryb25pYy1yZXNvdXJjZS1udW0+MTAuMzE1Mi8wOTU4MjAyMTF4MTMxMTg1ODM2
MzU2OTM8L2VsZWN0cm9uaWMtcmVzb3VyY2UtbnVtPjx2b2x1bWU+MjA8L3ZvbHVtZT48L3JlY29y
ZD48L0NpdGU+PENpdGU+PEF1dGhvcj5TbWl0aDwvQXV0aG9yPjxZZWFyPjIwMTE8L1llYXI+PElE
VGV4dD4mYXBvcztJbXBhY3QmYXBvczsgaW4gdGhlIHByb3Bvc2FscyBmb3IgdGhlIFVLJmFwb3M7
cyBSZXNlYXJjaCBFeGNlbGxlbmNlIEZyYW1ld29yazogU2hpZnRpbmcgdGhlIGJvdW5kYXJpZXMg
b2YgYWNhZGVtaWMgYXV0b25vbXk8L0lEVGV4dD48cmVjb3JkPjx1cmxzPjxyZWxhdGVkLXVybHM+
PHVybD5odHRwczovL3d3dy5zY29wdXMuY29tL2lud2FyZC9yZWNvcmQudXJpP2VpZD0yLXMyLjAt
ODAwNTM2MTIwNDUmYW1wO3BhcnRuZXJJRD00MCZhbXA7bWQ1PTVmZWI0ZTc1YzIyYTg0ZjExNjYy
MjNjNDU1NTdkM2NkPC91cmw+PC9yZWxhdGVkLXVybHM+PC91cmxzPjx3b3JrLXR5cGU+QXJ0aWNs
ZTwvd29yay10eXBlPjx0aXRsZXM+PHRpdGxlPiZhcG9zO0ltcGFjdCZhcG9zOyBpbiB0aGUgcHJv
cG9zYWxzIGZvciB0aGUgVUsmYXBvcztzIFJlc2VhcmNoIEV4Y2VsbGVuY2UgRnJhbWV3b3JrOiBT
aGlmdGluZyB0aGUgYm91bmRhcmllcyBvZiBhY2FkZW1pYyBhdXRvbm9teTwvdGl0bGU+PHNlY29u
ZGFyeS10aXRsZT5SZXNlYXJjaCBQb2xpY3k8L3NlY29uZGFyeS10aXRsZT48L3RpdGxlcz48cGFn
ZXM+MTM2OS0xMzc5PC9wYWdlcz48bnVtYmVyPjEwPC9udW1iZXI+PGNvbnRyaWJ1dG9ycz48YXV0
aG9ycz48YXV0aG9yPlNtaXRoLCBTLjwvYXV0aG9yPjxhdXRob3I+V2FyZCwgVi48L2F1dGhvcj48
YXV0aG9yPkhvdXNlLCBBLjwvYXV0aG9yPjwvYXV0aG9ycz48L2NvbnRyaWJ1dG9ycz48YWRkZWQt
ZGF0ZSBmb3JtYXQ9InV0YyI+MTQ3MzcxOTIzNzwvYWRkZWQtZGF0ZT48cmVmLXR5cGUgbmFtZT0i
Sm91cm5hbCBBcnRpY2xlIj4xNzwvcmVmLXR5cGU+PGRhdGVzPjx5ZWFyPjIwMTE8L3llYXI+PC9k
YXRlcz48cmVjLW51bWJlcj4zNTI2PC9yZWMtbnVtYmVyPjxsYXN0LXVwZGF0ZWQtZGF0ZSBmb3Jt
YXQ9InV0YyI+MTQ3MzcxOTIzNzwvbGFzdC11cGRhdGVkLWRhdGU+PGVsZWN0cm9uaWMtcmVzb3Vy
Y2UtbnVtPjEwLjEwMTYvai5yZXNwb2wuMjAxMS4wNS4wMjY8L2VsZWN0cm9uaWMtcmVzb3VyY2Ut
bnVtPjx2b2x1bWU+NDA8L3ZvbHVtZT48cmVtb3RlLWRhdGFiYXNlLW5hbWU+U2NvcHVzPC9yZW1v
dGUtZGF0YWJhc2UtbmFtZT48L3JlY29yZD48L0NpdGU+PENpdGU+PEF1dGhvcj5FdHprb3dpdHo8
L0F1dGhvcj48WWVhcj4xOTk1PC9ZZWFyPjxJRFRleHQ+VGhlIFRyaXBsZSBIZWxpeC0tVW5pdmVy
c2l0eS1pbmR1c3RyeS1nb3Zlcm5tZW50IHJlbGF0aW9uczogQSBsYWJvcmF0b3J5IGZvciBrbm93
bGVkZ2UgYmFzZWQgZWNvbm9taWMgZGV2ZWxvcG1lbnQ8L0lEVGV4dD48cmVjb3JkPjx0aXRsZXM+
PHRpdGxlPlRoZSBUcmlwbGUgSGVsaXgtLVVuaXZlcnNpdHktaW5kdXN0cnktZ292ZXJubWVudCBy
ZWxhdGlvbnM6IEEgbGFib3JhdG9yeSBmb3Iga25vd2xlZGdlIGJhc2VkIGVjb25vbWljIGRldmVs
b3BtZW50PC90aXRsZT48c2Vjb25kYXJ5LXRpdGxlPkVBU1NUIHJldmlldzwvc2Vjb25kYXJ5LXRp
dGxlPjwvdGl0bGVzPjxwYWdlcz4xNC0xOTwvcGFnZXM+PG51bWJlcj4xPC9udW1iZXI+PGNvbnRy
aWJ1dG9ycz48YXV0aG9ycz48YXV0aG9yPkV0emtvd2l0eiwgSGVucnk8L2F1dGhvcj48YXV0aG9y
PkxleWRlc2RvcmZmLCBMb2V0PC9hdXRob3I+PC9hdXRob3JzPjwvY29udHJpYnV0b3JzPjxhZGRl
ZC1kYXRlIGZvcm1hdD0idXRjIj4xNDY2MTg0ODI3PC9hZGRlZC1kYXRlPjxyZWYtdHlwZSBuYW1l
PSJKb3VybmFsIEFydGljbGUiPjE3PC9yZWYtdHlwZT48ZGF0ZXM+PHllYXI+MTk5NTwveWVhcj48
L2RhdGVzPjxyZWMtbnVtYmVyPjM5NDwvcmVjLW51bWJlcj48bGFzdC11cGRhdGVkLWRhdGUgZm9y
bWF0PSJ1dGMiPjE0NjkyMjk4Njg8L2xhc3QtdXBkYXRlZC1kYXRlPjx2b2x1bWU+MTQ8L3ZvbHVt
ZT48L3JlY29yZD48L0NpdGU+PC9FbmROb3RlPn==
</w:fldData>
        </w:fldChar>
      </w:r>
      <w:r>
        <w:rPr>
          <w:color w:val="000000"/>
        </w:rPr>
        <w:instrText xml:space="preserve"> ADDIN EN.CITE </w:instrText>
      </w:r>
      <w:r>
        <w:rPr>
          <w:color w:val="000000"/>
        </w:rPr>
        <w:fldChar w:fldCharType="begin">
          <w:fldData xml:space="preserve">PEVuZE5vdGU+PENpdGU+PEF1dGhvcj5NYXJ0aW48L0F1dGhvcj48WWVhcj4yMDExPC9ZZWFyPjxJ
RFRleHQ+VGhlIFJlc2VhcmNoIEV4Y2VsbGVuY2UgRnJhbWV3b3JrIGFuZCB0aGUgJmFwb3M7aW1w
YWN0IGFnZW5kYSZhcG9zOzogYXJlIHdlIGNyZWF0aW5nIGEgRnJhbmtlbnN0ZWluIG1vbnN0ZXI/
PC9JRFRleHQ+PERpc3BsYXlUZXh0PihFdHprb3dpdHogJmFtcDsgTGV5ZGVzZG9yZmYsIDE5OTU7
IE1hcnRpbiwgMjAxMTsgUy4gU21pdGgsIFdhcmQsICZhbXA7IEhvdXNlLCAyMDExKTwvRGlzcGxh
eVRleHQ+PHJlY29yZD48ZGF0ZXM+PHB1Yi1kYXRlcz48ZGF0ZT5TZXA8L2RhdGU+PC9wdWItZGF0
ZXM+PHllYXI+MjAxMTwveWVhcj48L2RhdGVzPjx1cmxzPjxyZWxhdGVkLXVybHM+PHVybD4mbHQ7
R28gdG8gSVNJJmd0OzovL1dPUzowMDAyOTYyMDcyMDAwMTA8L3VybD48L3JlbGF0ZWQtdXJscz48
L3VybHM+PGlzYm4+MDk1OC0yMDI5PC9pc2JuPjx0aXRsZXM+PHRpdGxlPlRoZSBSZXNlYXJjaCBF
eGNlbGxlbmNlIEZyYW1ld29yayBhbmQgdGhlICZhcG9zO2ltcGFjdCBhZ2VuZGEmYXBvczs6IGFy
ZSB3ZSBjcmVhdGluZyBhIEZyYW5rZW5zdGVpbiBtb25zdGVyPzwvdGl0bGU+PHNlY29uZGFyeS10
aXRsZT5SZXNlYXJjaCBFdmFsdWF0aW9uPC9zZWNvbmRhcnktdGl0bGU+PC90aXRsZXM+PHBhZ2Vz
PjI0Ny0yNTQ8L3BhZ2VzPjxudW1iZXI+MzwvbnVtYmVyPjxjb250cmlidXRvcnM+PGF1dGhvcnM+
PGF1dGhvcj5NYXJ0aW4sIEJlbiBSLjwvYXV0aG9yPjwvYXV0aG9ycz48L2NvbnRyaWJ1dG9ycz48
YWRkZWQtZGF0ZSBmb3JtYXQ9InV0YyI+MTQ2OTIzMDI4NDwvYWRkZWQtZGF0ZT48cmVmLXR5cGUg
bmFtZT0iSm91cm5hbCBBcnRpY2xlIj4xNzwvcmVmLXR5cGU+PHJlYy1udW1iZXI+NzE2PC9yZWMt
bnVtYmVyPjxsYXN0LXVwZGF0ZWQtZGF0ZSBmb3JtYXQ9InV0YyI+MTQ2OTIzMDMzNDwvbGFzdC11
cGRhdGVkLWRhdGU+PGFjY2Vzc2lvbi1udW0+V09TOjAwMDI5NjIwNzIwMDAxMDwvYWNjZXNzaW9u
LW51bT48ZWxlY3Ryb25pYy1yZXNvdXJjZS1udW0+MTAuMzE1Mi8wOTU4MjAyMTF4MTMxMTg1ODM2
MzU2OTM8L2VsZWN0cm9uaWMtcmVzb3VyY2UtbnVtPjx2b2x1bWU+MjA8L3ZvbHVtZT48L3JlY29y
ZD48L0NpdGU+PENpdGU+PEF1dGhvcj5TbWl0aDwvQXV0aG9yPjxZZWFyPjIwMTE8L1llYXI+PElE
VGV4dD4mYXBvcztJbXBhY3QmYXBvczsgaW4gdGhlIHByb3Bvc2FscyBmb3IgdGhlIFVLJmFwb3M7
cyBSZXNlYXJjaCBFeGNlbGxlbmNlIEZyYW1ld29yazogU2hpZnRpbmcgdGhlIGJvdW5kYXJpZXMg
b2YgYWNhZGVtaWMgYXV0b25vbXk8L0lEVGV4dD48cmVjb3JkPjx1cmxzPjxyZWxhdGVkLXVybHM+
PHVybD5odHRwczovL3d3dy5zY29wdXMuY29tL2lud2FyZC9yZWNvcmQudXJpP2VpZD0yLXMyLjAt
ODAwNTM2MTIwNDUmYW1wO3BhcnRuZXJJRD00MCZhbXA7bWQ1PTVmZWI0ZTc1YzIyYTg0ZjExNjYy
MjNjNDU1NTdkM2NkPC91cmw+PC9yZWxhdGVkLXVybHM+PC91cmxzPjx3b3JrLXR5cGU+QXJ0aWNs
ZTwvd29yay10eXBlPjx0aXRsZXM+PHRpdGxlPiZhcG9zO0ltcGFjdCZhcG9zOyBpbiB0aGUgcHJv
cG9zYWxzIGZvciB0aGUgVUsmYXBvcztzIFJlc2VhcmNoIEV4Y2VsbGVuY2UgRnJhbWV3b3JrOiBT
aGlmdGluZyB0aGUgYm91bmRhcmllcyBvZiBhY2FkZW1pYyBhdXRvbm9teTwvdGl0bGU+PHNlY29u
ZGFyeS10aXRsZT5SZXNlYXJjaCBQb2xpY3k8L3NlY29uZGFyeS10aXRsZT48L3RpdGxlcz48cGFn
ZXM+MTM2OS0xMzc5PC9wYWdlcz48bnVtYmVyPjEwPC9udW1iZXI+PGNvbnRyaWJ1dG9ycz48YXV0
aG9ycz48YXV0aG9yPlNtaXRoLCBTLjwvYXV0aG9yPjxhdXRob3I+V2FyZCwgVi48L2F1dGhvcj48
YXV0aG9yPkhvdXNlLCBBLjwvYXV0aG9yPjwvYXV0aG9ycz48L2NvbnRyaWJ1dG9ycz48YWRkZWQt
ZGF0ZSBmb3JtYXQ9InV0YyI+MTQ3MzcxOTIzNzwvYWRkZWQtZGF0ZT48cmVmLXR5cGUgbmFtZT0i
Sm91cm5hbCBBcnRpY2xlIj4xNzwvcmVmLXR5cGU+PGRhdGVzPjx5ZWFyPjIwMTE8L3llYXI+PC9k
YXRlcz48cmVjLW51bWJlcj4zNTI2PC9yZWMtbnVtYmVyPjxsYXN0LXVwZGF0ZWQtZGF0ZSBmb3Jt
YXQ9InV0YyI+MTQ3MzcxOTIzNzwvbGFzdC11cGRhdGVkLWRhdGU+PGVsZWN0cm9uaWMtcmVzb3Vy
Y2UtbnVtPjEwLjEwMTYvai5yZXNwb2wuMjAxMS4wNS4wMjY8L2VsZWN0cm9uaWMtcmVzb3VyY2Ut
bnVtPjx2b2x1bWU+NDA8L3ZvbHVtZT48cmVtb3RlLWRhdGFiYXNlLW5hbWU+U2NvcHVzPC9yZW1v
dGUtZGF0YWJhc2UtbmFtZT48L3JlY29yZD48L0NpdGU+PENpdGU+PEF1dGhvcj5FdHprb3dpdHo8
L0F1dGhvcj48WWVhcj4xOTk1PC9ZZWFyPjxJRFRleHQ+VGhlIFRyaXBsZSBIZWxpeC0tVW5pdmVy
c2l0eS1pbmR1c3RyeS1nb3Zlcm5tZW50IHJlbGF0aW9uczogQSBsYWJvcmF0b3J5IGZvciBrbm93
bGVkZ2UgYmFzZWQgZWNvbm9taWMgZGV2ZWxvcG1lbnQ8L0lEVGV4dD48cmVjb3JkPjx0aXRsZXM+
PHRpdGxlPlRoZSBUcmlwbGUgSGVsaXgtLVVuaXZlcnNpdHktaW5kdXN0cnktZ292ZXJubWVudCBy
ZWxhdGlvbnM6IEEgbGFib3JhdG9yeSBmb3Iga25vd2xlZGdlIGJhc2VkIGVjb25vbWljIGRldmVs
b3BtZW50PC90aXRsZT48c2Vjb25kYXJ5LXRpdGxlPkVBU1NUIHJldmlldzwvc2Vjb25kYXJ5LXRp
dGxlPjwvdGl0bGVzPjxwYWdlcz4xNC0xOTwvcGFnZXM+PG51bWJlcj4xPC9udW1iZXI+PGNvbnRy
aWJ1dG9ycz48YXV0aG9ycz48YXV0aG9yPkV0emtvd2l0eiwgSGVucnk8L2F1dGhvcj48YXV0aG9y
PkxleWRlc2RvcmZmLCBMb2V0PC9hdXRob3I+PC9hdXRob3JzPjwvY29udHJpYnV0b3JzPjxhZGRl
ZC1kYXRlIGZvcm1hdD0idXRjIj4xNDY2MTg0ODI3PC9hZGRlZC1kYXRlPjxyZWYtdHlwZSBuYW1l
PSJKb3VybmFsIEFydGljbGUiPjE3PC9yZWYtdHlwZT48ZGF0ZXM+PHllYXI+MTk5NTwveWVhcj48
L2RhdGVzPjxyZWMtbnVtYmVyPjM5NDwvcmVjLW51bWJlcj48bGFzdC11cGRhdGVkLWRhdGUgZm9y
bWF0PSJ1dGMiPjE0NjkyMjk4Njg8L2xhc3QtdXBkYXRlZC1kYXRlPjx2b2x1bWU+MTQ8L3ZvbHVt
ZT48L3JlY29yZD48L0NpdGU+PC9FbmROb3RlPn==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(Etzkowitz &amp; Leydesdorff, 1995; Martin, 2011; S. Smith, Ward, &amp; House, 2011)</w:t>
      </w:r>
      <w:r>
        <w:rPr>
          <w:color w:val="000000"/>
        </w:rPr>
        <w:fldChar w:fldCharType="end"/>
      </w:r>
      <w:r>
        <w:rPr>
          <w:color w:val="000000"/>
        </w:rPr>
        <w:t>. Soon after the first RAE, the UK g</w:t>
      </w:r>
      <w:r w:rsidRPr="00590F06">
        <w:rPr>
          <w:color w:val="000000"/>
        </w:rPr>
        <w:t xml:space="preserve">overnment began to </w:t>
      </w:r>
      <w:r>
        <w:rPr>
          <w:color w:val="000000"/>
        </w:rPr>
        <w:t xml:space="preserve">increase their scrutiny of academic research, particularly on its economic impact. Originally, the steering of academic research took place somewhat indirectly, as the government </w:t>
      </w:r>
      <w:r w:rsidRPr="00590F06">
        <w:rPr>
          <w:color w:val="000000"/>
        </w:rPr>
        <w:t>in</w:t>
      </w:r>
      <w:r>
        <w:rPr>
          <w:color w:val="000000"/>
        </w:rPr>
        <w:t>troduce</w:t>
      </w:r>
      <w:r w:rsidRPr="00590F06">
        <w:rPr>
          <w:color w:val="000000"/>
        </w:rPr>
        <w:t xml:space="preserve">d the requirement that research councils </w:t>
      </w:r>
      <w:r>
        <w:rPr>
          <w:color w:val="000000"/>
        </w:rPr>
        <w:t xml:space="preserve">must </w:t>
      </w:r>
      <w:r w:rsidRPr="00590F06">
        <w:rPr>
          <w:color w:val="000000"/>
        </w:rPr>
        <w:t>consider the potential use(rs) of their funded projects and that applicants submit statements outlining intended ‘Pathways to Impact’</w:t>
      </w:r>
      <w:r>
        <w:rPr>
          <w:color w:val="000000"/>
        </w:rPr>
        <w:t xml:space="preserve"> </w:t>
      </w:r>
      <w:r>
        <w:rPr>
          <w:color w:val="000000"/>
        </w:rPr>
        <w:fldChar w:fldCharType="begin">
          <w:fldData xml:space="preserve">PEVuZE5vdGU+PENpdGU+PEF1dGhvcj5NYXJ0aW48L0F1dGhvcj48WWVhcj4yMDAzPC9ZZWFyPjxJ
RFRleHQ+VGhlIGNoYW5naW5nIHNvY2lhbCBjb250cmFjdCBmb3Igc2NpZW5jZSBhbmQgdGhlIGV2
b2x1dGlvbiBvZiB0aGUgdW5pdmVyc2l0eTwvSURUZXh0PjxEaXNwbGF5VGV4dD4oS2Vhcm5lcyAm
YW1wOyBXaWVucm90aCwgMjAxMTsgTWFydGluLCAyMDAzOyBXYXRlcm1leWVyLCAyMDE2YSk8L0Rp
c3BsYXlUZXh0PjxyZWNvcmQ+PHVybHM+PHJlbGF0ZWQtdXJscz48dXJsPmh0dHBzOi8vd3d3LnNj
b3B1cy5jb20vaW53YXJkL3JlY29yZC51cmk/ZWlkPTItczIuMC04NDg5NjIyODQzNCZhbXA7cGFy
dG5lcklEPTQwJmFtcDttZDU9NWNjNmYzNjMyZjg0NzJiNTkxMWM1ZDJlNWJiMTllMjc8L3VybD48
L3JlbGF0ZWQtdXJscz48L3VybHM+PHRpdGxlcz48dGl0bGU+VGhlIGNoYW5naW5nIHNvY2lhbCBj
b250cmFjdCBmb3Igc2NpZW5jZSBhbmQgdGhlIGV2b2x1dGlvbiBvZiB0aGUgdW5pdmVyc2l0eTwv
dGl0bGU+PHNlY29uZGFyeS10aXRsZT5TY2llbmNlIGFuZCBJbm5vdmF0aW9uOiBSZXRoaW5raW5n
IHRoZSBSYXRpb25hbGVzIGZvciBGdW5kaW5nIGFuZCBHb3Zlcm5hbmNlPC9zZWNvbmRhcnktdGl0
bGU+PC90aXRsZXM+PHBhZ2VzPjctMjk8L3BhZ2VzPjxjb250cmlidXRvcnM+PGF1dGhvcnM+PGF1
dGhvcj5NYXJ0aW4sIEJlbiBSLjwvYXV0aG9yPjwvYXV0aG9ycz48L2NvbnRyaWJ1dG9ycz48YWRk
ZWQtZGF0ZSBmb3JtYXQ9InV0YyI+MTQ3NDc1NjAxNDwvYWRkZWQtZGF0ZT48cmVmLXR5cGUgbmFt
ZT0iQm9vayBTZWN0aW9uIj41PC9yZWYtdHlwZT48ZGF0ZXM+PHllYXI+MjAwMzwveWVhcj48L2Rh
dGVzPjxyZWMtbnVtYmVyPjYwMDU8L3JlYy1udW1iZXI+PGxhc3QtdXBkYXRlZC1kYXRlIGZvcm1h
dD0idXRjIj4xNTE5NjA0MjgyPC9sYXN0LXVwZGF0ZWQtZGF0ZT48ZWxlY3Ryb25pYy1yZXNvdXJj
ZS1udW0+MTAuNDMzNy85NzgxNzgxOTUwMjQxLjAwMDExPC9lbGVjdHJvbmljLXJlc291cmNlLW51
bT48cmVtb3RlLWRhdGFiYXNlLW5hbWU+U2NvcHVzPC9yZW1vdGUtZGF0YWJhc2UtbmFtZT48L3Jl
Y29yZD48L0NpdGU+PENpdGU+PEF1dGhvcj5XYXRlcm1leWVyPC9BdXRob3I+PFllYXI+MjAxNjwv
WWVhcj48SURUZXh0PkltcGFjdCBpbiB0aGUgUkVGOiBpc3N1ZXMgYW5kIG9ic3RhY2xlczwvSURU
ZXh0PjxyZWNvcmQ+PGtleXdvcmRzPjxrZXl3b3JkPmFjYWRlbWljIGlkZW50aXR5PC9rZXl3b3Jk
PjxrZXl3b3JkPmFjYWRlbWljIHBlcmZvcm1hbmNlPC9rZXl3b3JkPjxrZXl3b3JkPnBlcmZvcm1h
bmNlIGFzc2Vzc21lbnQ8L2tleXdvcmQ+PGtleXdvcmQ+cGVyZm9ybWFuY2UtYmFzZWQgZnVuZGlu
Zzwva2V5d29yZD48a2V5d29yZD5yZXNlYXJjaCBmdW5kaW5nIGFuZCBldmFsdWF0aW9uPC9rZXl3
b3JkPjwva2V5d29yZHM+PHVybHM+PHJlbGF0ZWQtdXJscz48dXJsPmh0dHA6Ly93d3cudGFuZGZv
bmxpbmUuY29tL2RvaS9mdWxsLzEwLjEwODAvMDMwNzUwNzkuMjAxNC45MTUzMDM8L3VybD48L3Jl
bGF0ZWQtdXJscz48L3VybHM+PHRpdGxlcz48dGl0bGU+SW1wYWN0IGluIHRoZSBSRUY6IGlzc3Vl
cyBhbmQgb2JzdGFjbGVzPC90aXRsZT48c2Vjb25kYXJ5LXRpdGxlPlN0dWRpZXMgaW4gSGlnaGVy
IEVkdWNhdGlvbjwvc2Vjb25kYXJ5LXRpdGxlPjwvdGl0bGVzPjxwYWdlcz4xOTktMjE0PC9wYWdl
cz48dXJscz48cGRmLXVybHM+PHVybD5maWxlOi8vL0M6L1VzZXJzL2VsaWVsXzAwMC9Eb2N1bWVu
dHMvQWNhZGVtaWMvUGhEL0ltcGFjdC9JbXBhY3QgaW4gUkVGLnBkZjwvdXJsPjwvcGRmLXVybHM+
PC91cmxzPjxudW1iZXI+MjwvbnVtYmVyPjxjb250cmlidXRvcnM+PGF1dGhvcnM+PGF1dGhvcj5X
YXRlcm1leWVyLCBSaWNoYXJkPC9hdXRob3I+PC9hdXRob3JzPjwvY29udHJpYnV0b3JzPjxhZGRl
ZC1kYXRlIGZvcm1hdD0idXRjIj4xNDUyNzIyNDI1PC9hZGRlZC1kYXRlPjxyZWYtdHlwZSBuYW1l
PSJKb3VybmFsIEFydGljbGUiPjE3PC9yZWYtdHlwZT48ZGF0ZXM+PHllYXI+MjAxNjwveWVhcj48
L2RhdGVzPjxyZWMtbnVtYmVyPjE3MDwvcmVjLW51bWJlcj48bGFzdC11cGRhdGVkLWRhdGUgZm9y
bWF0PSJ1dGMiPjE0NjkyMjk4Njg8L2xhc3QtdXBkYXRlZC1kYXRlPjxlbGVjdHJvbmljLXJlc291
cmNlLW51bT4xMC4xMDgwLzAzMDc1MDc5LjIwMTQuOTE1MzAzPC9lbGVjdHJvbmljLXJlc291cmNl
LW51bT48dm9sdW1lPjQxPC92b2x1bWU+PC9yZWNvcmQ+PC9DaXRlPjxDaXRlPjxBdXRob3I+S2Vh
cm5lczwvQXV0aG9yPjxZZWFyPjIwMTE8L1llYXI+PElEVGV4dD5Ub29scyBvZiB0aGUgVHJhZGU6
IFVLIFJlc2VhcmNoIEludGVybWVkaWFyaWVzIGFuZCB0aGUgUG9saXRpY3Mgb2YgSW1wYWN0czwv
SURUZXh0PjxyZWNvcmQ+PGtleXdvcmRzPjxrZXl3b3JkPkJvdW5kYXJ5IHdvcms8L2tleXdvcmQ+
PGtleXdvcmQ+U2NpZW5jZSBwb2xpY3k8L2tleXdvcmQ+PGtleXdvcmQ+VW5pdGVkIEtpbmdkb208
L2tleXdvcmQ+PGtleXdvcmQ+SW1wYWN0PC9rZXl3b3JkPjxrZXl3b3JkPlZhbHVlPC9rZXl3b3Jk
Pjwva2V5d29yZHM+PGlzYm4+MDAyNi00Njk1PC9pc2JuPjx0aXRsZXM+PHRpdGxlPlRvb2xzIG9m
IHRoZSBUcmFkZTogVUsgUmVzZWFyY2ggSW50ZXJtZWRpYXJpZXMgYW5kIHRoZSBQb2xpdGljcyBv
ZiBJbXBhY3RzPC90aXRsZT48c2Vjb25kYXJ5LXRpdGxlPk1pbmVydmE8L3NlY29uZGFyeS10aXRs
ZT48L3RpdGxlcz48cGFnZXM+MTUzLTE3NDwvcGFnZXM+PG51bWJlcj4yPC9udW1iZXI+PGNvbnRy
aWJ1dG9ycz48YXV0aG9ycz48YXV0aG9yPktlYXJuZXMsIE1hdHRoZXc8L2F1dGhvcj48YXV0aG9y
PldpZW5yb3RoLCBNYXR0aGlhczwvYXV0aG9yPjwvYXV0aG9ycz48L2NvbnRyaWJ1dG9ycz48YWRk
ZWQtZGF0ZSBmb3JtYXQ9InV0YyI+MTQ1ODMyMzY3MDwvYWRkZWQtZGF0ZT48cHViLWxvY2F0aW9u
PkRvcmRyZWNodDwvcHViLWxvY2F0aW9uPjxyZWYtdHlwZSBuYW1lPSJKb3VybmFsIEFydGljbGUi
PjE3PC9yZWYtdHlwZT48ZGF0ZXM+PHllYXI+MjAxMTwveWVhcj48L2RhdGVzPjxyZWMtbnVtYmVy
PjMwMjwvcmVjLW51bWJlcj48bGFzdC11cGRhdGVkLWRhdGUgZm9ybWF0PSJ1dGMiPjE0NjkyMjk4
Njg8L2xhc3QtdXBkYXRlZC1kYXRlPjxlbGVjdHJvbmljLXJlc291cmNlLW51bT4xMC4xMDA3L3Mx
MTAyNC0wMTEtOTE3Mi00PC9lbGVjdHJvbmljLXJlc291cmNlLW51bT48dm9sdW1lPjQ5PC92b2x1
bWU+PC9yZWNvcmQ+PC9DaXRlPjwvRW5kTm90ZT5=
</w:fldData>
        </w:fldChar>
      </w:r>
      <w:r>
        <w:rPr>
          <w:color w:val="000000"/>
        </w:rPr>
        <w:instrText xml:space="preserve"> ADDIN EN.CITE </w:instrText>
      </w:r>
      <w:r>
        <w:rPr>
          <w:color w:val="000000"/>
        </w:rPr>
        <w:fldChar w:fldCharType="begin">
          <w:fldData xml:space="preserve">PEVuZE5vdGU+PENpdGU+PEF1dGhvcj5NYXJ0aW48L0F1dGhvcj48WWVhcj4yMDAzPC9ZZWFyPjxJ
RFRleHQ+VGhlIGNoYW5naW5nIHNvY2lhbCBjb250cmFjdCBmb3Igc2NpZW5jZSBhbmQgdGhlIGV2
b2x1dGlvbiBvZiB0aGUgdW5pdmVyc2l0eTwvSURUZXh0PjxEaXNwbGF5VGV4dD4oS2Vhcm5lcyAm
YW1wOyBXaWVucm90aCwgMjAxMTsgTWFydGluLCAyMDAzOyBXYXRlcm1leWVyLCAyMDE2YSk8L0Rp
c3BsYXlUZXh0PjxyZWNvcmQ+PHVybHM+PHJlbGF0ZWQtdXJscz48dXJsPmh0dHBzOi8vd3d3LnNj
b3B1cy5jb20vaW53YXJkL3JlY29yZC51cmk/ZWlkPTItczIuMC04NDg5NjIyODQzNCZhbXA7cGFy
dG5lcklEPTQwJmFtcDttZDU9NWNjNmYzNjMyZjg0NzJiNTkxMWM1ZDJlNWJiMTllMjc8L3VybD48
L3JlbGF0ZWQtdXJscz48L3VybHM+PHRpdGxlcz48dGl0bGU+VGhlIGNoYW5naW5nIHNvY2lhbCBj
b250cmFjdCBmb3Igc2NpZW5jZSBhbmQgdGhlIGV2b2x1dGlvbiBvZiB0aGUgdW5pdmVyc2l0eTwv
dGl0bGU+PHNlY29uZGFyeS10aXRsZT5TY2llbmNlIGFuZCBJbm5vdmF0aW9uOiBSZXRoaW5raW5n
IHRoZSBSYXRpb25hbGVzIGZvciBGdW5kaW5nIGFuZCBHb3Zlcm5hbmNlPC9zZWNvbmRhcnktdGl0
bGU+PC90aXRsZXM+PHBhZ2VzPjctMjk8L3BhZ2VzPjxjb250cmlidXRvcnM+PGF1dGhvcnM+PGF1
dGhvcj5NYXJ0aW4sIEJlbiBSLjwvYXV0aG9yPjwvYXV0aG9ycz48L2NvbnRyaWJ1dG9ycz48YWRk
ZWQtZGF0ZSBmb3JtYXQ9InV0YyI+MTQ3NDc1NjAxNDwvYWRkZWQtZGF0ZT48cmVmLXR5cGUgbmFt
ZT0iQm9vayBTZWN0aW9uIj41PC9yZWYtdHlwZT48ZGF0ZXM+PHllYXI+MjAwMzwveWVhcj48L2Rh
dGVzPjxyZWMtbnVtYmVyPjYwMDU8L3JlYy1udW1iZXI+PGxhc3QtdXBkYXRlZC1kYXRlIGZvcm1h
dD0idXRjIj4xNTE5NjA0MjgyPC9sYXN0LXVwZGF0ZWQtZGF0ZT48ZWxlY3Ryb25pYy1yZXNvdXJj
ZS1udW0+MTAuNDMzNy85NzgxNzgxOTUwMjQxLjAwMDExPC9lbGVjdHJvbmljLXJlc291cmNlLW51
bT48cmVtb3RlLWRhdGFiYXNlLW5hbWU+U2NvcHVzPC9yZW1vdGUtZGF0YWJhc2UtbmFtZT48L3Jl
Y29yZD48L0NpdGU+PENpdGU+PEF1dGhvcj5XYXRlcm1leWVyPC9BdXRob3I+PFllYXI+MjAxNjwv
WWVhcj48SURUZXh0PkltcGFjdCBpbiB0aGUgUkVGOiBpc3N1ZXMgYW5kIG9ic3RhY2xlczwvSURU
ZXh0PjxyZWNvcmQ+PGtleXdvcmRzPjxrZXl3b3JkPmFjYWRlbWljIGlkZW50aXR5PC9rZXl3b3Jk
PjxrZXl3b3JkPmFjYWRlbWljIHBlcmZvcm1hbmNlPC9rZXl3b3JkPjxrZXl3b3JkPnBlcmZvcm1h
bmNlIGFzc2Vzc21lbnQ8L2tleXdvcmQ+PGtleXdvcmQ+cGVyZm9ybWFuY2UtYmFzZWQgZnVuZGlu
Zzwva2V5d29yZD48a2V5d29yZD5yZXNlYXJjaCBmdW5kaW5nIGFuZCBldmFsdWF0aW9uPC9rZXl3
b3JkPjwva2V5d29yZHM+PHVybHM+PHJlbGF0ZWQtdXJscz48dXJsPmh0dHA6Ly93d3cudGFuZGZv
bmxpbmUuY29tL2RvaS9mdWxsLzEwLjEwODAvMDMwNzUwNzkuMjAxNC45MTUzMDM8L3VybD48L3Jl
bGF0ZWQtdXJscz48L3VybHM+PHRpdGxlcz48dGl0bGU+SW1wYWN0IGluIHRoZSBSRUY6IGlzc3Vl
cyBhbmQgb2JzdGFjbGVzPC90aXRsZT48c2Vjb25kYXJ5LXRpdGxlPlN0dWRpZXMgaW4gSGlnaGVy
IEVkdWNhdGlvbjwvc2Vjb25kYXJ5LXRpdGxlPjwvdGl0bGVzPjxwYWdlcz4xOTktMjE0PC9wYWdl
cz48dXJscz48cGRmLXVybHM+PHVybD5maWxlOi8vL0M6L1VzZXJzL2VsaWVsXzAwMC9Eb2N1bWVu
dHMvQWNhZGVtaWMvUGhEL0ltcGFjdC9JbXBhY3QgaW4gUkVGLnBkZjwvdXJsPjwvcGRmLXVybHM+
PC91cmxzPjxudW1iZXI+MjwvbnVtYmVyPjxjb250cmlidXRvcnM+PGF1dGhvcnM+PGF1dGhvcj5X
YXRlcm1leWVyLCBSaWNoYXJkPC9hdXRob3I+PC9hdXRob3JzPjwvY29udHJpYnV0b3JzPjxhZGRl
ZC1kYXRlIGZvcm1hdD0idXRjIj4xNDUyNzIyNDI1PC9hZGRlZC1kYXRlPjxyZWYtdHlwZSBuYW1l
PSJKb3VybmFsIEFydGljbGUiPjE3PC9yZWYtdHlwZT48ZGF0ZXM+PHllYXI+MjAxNjwveWVhcj48
L2RhdGVzPjxyZWMtbnVtYmVyPjE3MDwvcmVjLW51bWJlcj48bGFzdC11cGRhdGVkLWRhdGUgZm9y
bWF0PSJ1dGMiPjE0NjkyMjk4Njg8L2xhc3QtdXBkYXRlZC1kYXRlPjxlbGVjdHJvbmljLXJlc291
cmNlLW51bT4xMC4xMDgwLzAzMDc1MDc5LjIwMTQuOTE1MzAzPC9lbGVjdHJvbmljLXJlc291cmNl
LW51bT48dm9sdW1lPjQxPC92b2x1bWU+PC9yZWNvcmQ+PC9DaXRlPjxDaXRlPjxBdXRob3I+S2Vh
cm5lczwvQXV0aG9yPjxZZWFyPjIwMTE8L1llYXI+PElEVGV4dD5Ub29scyBvZiB0aGUgVHJhZGU6
IFVLIFJlc2VhcmNoIEludGVybWVkaWFyaWVzIGFuZCB0aGUgUG9saXRpY3Mgb2YgSW1wYWN0czwv
SURUZXh0PjxyZWNvcmQ+PGtleXdvcmRzPjxrZXl3b3JkPkJvdW5kYXJ5IHdvcms8L2tleXdvcmQ+
PGtleXdvcmQ+U2NpZW5jZSBwb2xpY3k8L2tleXdvcmQ+PGtleXdvcmQ+VW5pdGVkIEtpbmdkb208
L2tleXdvcmQ+PGtleXdvcmQ+SW1wYWN0PC9rZXl3b3JkPjxrZXl3b3JkPlZhbHVlPC9rZXl3b3Jk
Pjwva2V5d29yZHM+PGlzYm4+MDAyNi00Njk1PC9pc2JuPjx0aXRsZXM+PHRpdGxlPlRvb2xzIG9m
IHRoZSBUcmFkZTogVUsgUmVzZWFyY2ggSW50ZXJtZWRpYXJpZXMgYW5kIHRoZSBQb2xpdGljcyBv
ZiBJbXBhY3RzPC90aXRsZT48c2Vjb25kYXJ5LXRpdGxlPk1pbmVydmE8L3NlY29uZGFyeS10aXRs
ZT48L3RpdGxlcz48cGFnZXM+MTUzLTE3NDwvcGFnZXM+PG51bWJlcj4yPC9udW1iZXI+PGNvbnRy
aWJ1dG9ycz48YXV0aG9ycz48YXV0aG9yPktlYXJuZXMsIE1hdHRoZXc8L2F1dGhvcj48YXV0aG9y
PldpZW5yb3RoLCBNYXR0aGlhczwvYXV0aG9yPjwvYXV0aG9ycz48L2NvbnRyaWJ1dG9ycz48YWRk
ZWQtZGF0ZSBmb3JtYXQ9InV0YyI+MTQ1ODMyMzY3MDwvYWRkZWQtZGF0ZT48cHViLWxvY2F0aW9u
PkRvcmRyZWNodDwvcHViLWxvY2F0aW9uPjxyZWYtdHlwZSBuYW1lPSJKb3VybmFsIEFydGljbGUi
PjE3PC9yZWYtdHlwZT48ZGF0ZXM+PHllYXI+MjAxMTwveWVhcj48L2RhdGVzPjxyZWMtbnVtYmVy
PjMwMjwvcmVjLW51bWJlcj48bGFzdC11cGRhdGVkLWRhdGUgZm9ybWF0PSJ1dGMiPjE0NjkyMjk4
Njg8L2xhc3QtdXBkYXRlZC1kYXRlPjxlbGVjdHJvbmljLXJlc291cmNlLW51bT4xMC4xMDA3L3Mx
MTAyNC0wMTEtOTE3Mi00PC9lbGVjdHJvbmljLXJlc291cmNlLW51bT48dm9sdW1lPjQ5PC92b2x1
bWU+PC9yZWNvcmQ+PC9DaXRlPjwvRW5kTm90ZT5=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(Kearnes &amp; Wienroth, 2011; Martin, 2003; Watermeyer, 2016a)</w:t>
      </w:r>
      <w:r>
        <w:rPr>
          <w:color w:val="000000"/>
        </w:rPr>
        <w:fldChar w:fldCharType="end"/>
      </w:r>
      <w:r>
        <w:rPr>
          <w:color w:val="000000"/>
        </w:rPr>
        <w:t>. While the focus on the economic impact of research councils continued</w:t>
      </w:r>
      <w:r w:rsidRPr="00590F06">
        <w:rPr>
          <w:color w:val="000000"/>
        </w:rPr>
        <w:t xml:space="preserve"> </w:t>
      </w:r>
      <w:r w:rsidRPr="00590F06">
        <w:rPr>
          <w:color w:val="000000"/>
        </w:rPr>
        <w:fldChar w:fldCharType="begin">
          <w:fldData xml:space="preserve">PEVuZE5vdGU+PENpdGU+PEF1dGhvcj5XYXJyeTwvQXV0aG9yPjxZZWFyPjIwMDY8L1llYXI+PERp
c3BsYXlUZXh0PihzZWUgZm9yIGV4YW1wbGUgRGVwYXJ0bWVudCBmb3IgQnVzaW5lc3MgSW5ub3Zh
dGlvbiAmYW1wOyBTa2lsbHMsIDIwMTA7IE9mZmljZSBvZiBTY2llbmNlIGFuZCBUZWNobm9sb2d5
LCAxOTkzOyBSZXNlYXJjaCBDb3VuY2lscyBVSywgMjAwNzsgV2FycnksIDIwMDYpPC9EaXNwbGF5
VGV4dD48cmVjb3JkPjx1cmxzPjxyZWxhdGVkLXVybHM+PHVybD5odHRwOi8vd2ViYXJjaGl2ZS5u
YXRpb25hbGFyY2hpdmVzLmdvdi51ay8yMDA3MDYwMzE2NDUxMC9odHRwOi8vd3d3LmR0aS5nb3Yu
dWsvZmlsZXMvZmlsZTMyODAyLnBkZjwvdXJsPjwvcmVsYXRlZC11cmxzPjwvdXJscz48dGl0bGVz
PjxzZWNvbmRhcnktdGl0bGU+SW5jcmVhc2luZyB0aGUgZWNvbm9taWMgaW1wYWN0IG9mIFJlc2Vh
cmNoIENvdW5jaWxzOiBBZHZpY2UgdG8gdGhlIERpcmVjdG9yIEdlbmVyYWwgb2YgU2NpZW5jZSBh
bmQgSW5ub3ZhdGlvbiwgRFRJIGZyb20gdGhlIFJlc2VhcmNoIENvdW5jaWwgRWNvbm9taWMgSW1w
YWN0IEdyb3VwPC9zZWNvbmRhcnktdGl0bGU+PC90aXRsZXM+PGNvbnRyaWJ1dG9ycz48YXV0aG9y
cz48YXV0aG9yPldhcnJ5LCBQZXRlcjwvYXV0aG9yPjwvYXV0aG9ycz48L2NvbnRyaWJ1dG9ycz48
YWRkZWQtZGF0ZSBmb3JtYXQ9InV0YyI+MTQ1Mjk4NzA1NDwvYWRkZWQtZGF0ZT48cmVmLXR5cGUg
bmFtZT0iRWxlY3Ryb25pYyBBcnRpY2xlIj40MzwvcmVmLXR5cGU+PGRhdGVzPjx5ZWFyPjIwMDY8
L3llYXI+PC9kYXRlcz48cmVjLW51bWJlcj4yMjE8L3JlYy1udW1iZXI+PGxhc3QtdXBkYXRlZC1k
YXRlIGZvcm1hdD0idXRjIj4xNDY5MjE1NDY4PC9sYXN0LXVwZGF0ZWQtZGF0ZT48L3JlY29yZD48
L0NpdGU+PENpdGU+PEF1dGhvcj5SZXNlYXJjaCBDb3VuY2lscyBVSzwvQXV0aG9yPjxZZWFyPjIw
MDc8L1llYXI+PElEVGV4dD5JbmNyZWFzaW5nIHRoZSBFY29ub21pYyBJbXBhY3Qgb2YgdGhlIFJl
c2VhcmNoIENvdW5jaWxzPC9JRFRleHQ+PHJlY29yZD48a2V5d29yZHM+PGtleXdvcmQ+YW5kIENv
bmRpdGlvbnM8L2tleXdvcmQ+PC9rZXl3b3Jkcz48dXJscz48cmVsYXRlZC11cmxzPjx1cmw+aHR0
cDovL3d3dy5yY3VrLmFjLnVrL1B1YmxpY2F0aW9ucy9hcmNoaXZlL0luY3JlYXNpbmdlaS88L3Vy
bD48L3JlbGF0ZWQtdXJscz48L3VybHM+PHRpdGxlcz48dGl0bGU+SW5jcmVhc2luZyB0aGUgRWNv
bm9taWMgSW1wYWN0IG9mIHRoZSBSZXNlYXJjaCBDb3VuY2lsczwvdGl0bGU+PC90aXRsZXM+PGFj
Y2Vzcy1kYXRlPjkgSmFudWFyeSAyMDE4PC9hY2Nlc3MtZGF0ZT48Y29udHJpYnV0b3JzPjxhdXRo
b3JzPjxhdXRob3I+UmVzZWFyY2ggQ291bmNpbHMgVUssPC9hdXRob3I+PC9hdXRob3JzPjwvY29u
dHJpYnV0b3JzPjxhZGRlZC1kYXRlIGZvcm1hdD0idXRjIj4xNTE1NTEzNTMxPC9hZGRlZC1kYXRl
PjxyZWYtdHlwZSBuYW1lPSJSZXBvcnQiPjI3PC9yZWYtdHlwZT48ZGF0ZXM+PHllYXI+MjAwNzwv
eWVhcj48L2RhdGVzPjxyZWMtbnVtYmVyPjczMDY8L3JlYy1udW1iZXI+PHB1Ymxpc2hlcj5SZXNl
YXJjaCBDb3VuY2lscyBVSzwvcHVibGlzaGVyPjxsYXN0LXVwZGF0ZWQtZGF0ZSBmb3JtYXQ9InV0
YyI+MTUxNTUxMzUzMTwvbGFzdC11cGRhdGVkLWRhdGU+PC9yZWNvcmQ+PC9DaXRlPjxDaXRlPjxB
dXRob3I+RGVwYXJ0bWVudCBmb3IgQnVzaW5lc3MgSW5ub3ZhdGlvbiAmYW1wOyBTa2lsbHM8L0F1
dGhvcj48WWVhcj4yMDEwPC9ZZWFyPjxJRFRleHQ+VUsgUmVzZWFyY2ggY291bmNpbCBzeXN0ZW06
IG92ZXJ2aWV3IG9mIGVjb25vbWljIGltcGFjdDwvSURUZXh0PjxQcmVmaXg+c2VlIGZvciBleGFt
cGxlIDwvUHJlZml4PjxyZWNvcmQ+PHVybHM+PHJlbGF0ZWQtdXJscz48dXJsPmh0dHBzOi8vd3d3
Lmdvdi51ay9nb3Zlcm5tZW50L3B1YmxpY2F0aW9ucy91ay1yZXNlYXJjaC1jb3VuY2lsLXN5c3Rl
bS1vdmVydmlldy1vZi1lY29ub21pYy1pbXBhY3Q8L3VybD48L3JlbGF0ZWQtdXJscz48L3VybHM+
PHRpdGxlcz48dGl0bGU+VUsgUmVzZWFyY2ggY291bmNpbCBzeXN0ZW06IG92ZXJ2aWV3IG9mIGVj
b25vbWljIGltcGFjdDwvdGl0bGU+PC90aXRsZXM+PGNvbnRyaWJ1dG9ycz48YXV0aG9ycz48YXV0
aG9yPkRlcGFydG1lbnQgZm9yIEJ1c2luZXNzIElubm92YXRpb24gJmFtcDsgU2tpbGxzLDwvYXV0
aG9yPjwvYXV0aG9ycz48L2NvbnRyaWJ1dG9ycz48YWRkZWQtZGF0ZSBmb3JtYXQ9InV0YyI+MTUx
NTUxMzA5OTwvYWRkZWQtZGF0ZT48cmVmLXR5cGUgbmFtZT0iR292ZXJubWVudCBEb2N1bWVudCI+
NDY8L3JlZi10eXBlPjxkYXRlcz48eWVhcj4yMDEwPC95ZWFyPjwvZGF0ZXM+PHJlYy1udW1iZXI+
NzMwNTwvcmVjLW51bWJlcj48bGFzdC11cGRhdGVkLWRhdGUgZm9ybWF0PSJ1dGMiPjE1MjA2MTE5
NzA8L2xhc3QtdXBkYXRlZC1kYXRlPjxjb250cmlidXRvcnM+PHNlY29uZGFyeS1hdXRob3JzPjxh
dXRob3I+QnVzaW5lc3MsIElubm92YXRpb24gJmFtcDsgU2tpbGxzPC9hdXRob3I+PC9zZWNvbmRh
cnktYXV0aG9ycz48L2NvbnRyaWJ1dG9ycz48L3JlY29yZD48L0NpdGU+PENpdGU+PEF1dGhvcj5P
ZmZpY2Ugb2YgU2NpZW5jZSBhbmQgVGVjaG5vbG9neTwvQXV0aG9yPjxZZWFyPjE5OTM8L1llYXI+
PElEVGV4dD5SZWFsaXNpbmcgb3VyIHBvdGVudGlhbDogYSBzdHJhdGVneSBmb3Igc2NpZW5jZSwg
ZW5naW5lZXJpbmcgYW5kIHRlY2hub2xvZ3k8L0lEVGV4dD48cmVjb3JkPjx1cmxzPjxyZWxhdGVk
LXVybHM+PHVybD5odHRwczovL3d3dy5nb3YudWsvZ292ZXJubWVudC9wdWJsaWNhdGlvbnMvcmVh
bGlzaW5nLW91ci1wb3RlbnRpYWwtYS1zdHJhdGVneS1mb3Itc2NpZW5jZS1lbmdpbmVlcmluZy1h
bmQtdGVjaG5vbG9neTwvdXJsPjwvcmVsYXRlZC11cmxzPjwvdXJscz48dGl0bGVzPjx0aXRsZT5S
ZWFsaXNpbmcgb3VyIHBvdGVudGlhbDogYSBzdHJhdGVneSBmb3Igc2NpZW5jZSwgZW5naW5lZXJp
bmcgYW5kIHRlY2hub2xvZ3k8L3RpdGxlPjwvdGl0bGVzPjxjb250cmlidXRvcnM+PGF1dGhvcnM+
PGF1dGhvcj5PZmZpY2Ugb2YgU2NpZW5jZSBhbmQgVGVjaG5vbG9neSw8L2F1dGhvcj48L2F1dGhv
cnM+PC9jb250cmlidXRvcnM+PGFkZGVkLWRhdGUgZm9ybWF0PSJ1dGMiPjE0ODIyNTQ3NTA8L2Fk
ZGVkLWRhdGU+PHJlZi10eXBlIG5hbWU9IlJlcG9ydCI+Mjc8L3JlZi10eXBlPjxkYXRlcz48eWVh
cj4xOTkzPC95ZWFyPjwvZGF0ZXM+PHJlYy1udW1iZXI+NjQ0MzwvcmVjLW51bWJlcj48bGFzdC11
cGRhdGVkLWRhdGUgZm9ybWF0PSJ1dGMiPjE0ODIyNTQ3NTA8L2xhc3QtdXBkYXRlZC1kYXRlPjwv
cmVjb3JkPjwvQ2l0ZT48L0VuZE5vdGU+AG==
</w:fldData>
        </w:fldChar>
      </w:r>
      <w:r>
        <w:rPr>
          <w:color w:val="000000"/>
        </w:rPr>
        <w:instrText xml:space="preserve"> ADDIN EN.CITE </w:instrText>
      </w:r>
      <w:r>
        <w:rPr>
          <w:color w:val="000000"/>
        </w:rPr>
        <w:fldChar w:fldCharType="begin">
          <w:fldData xml:space="preserve">PEVuZE5vdGU+PENpdGU+PEF1dGhvcj5XYXJyeTwvQXV0aG9yPjxZZWFyPjIwMDY8L1llYXI+PERp
c3BsYXlUZXh0PihzZWUgZm9yIGV4YW1wbGUgRGVwYXJ0bWVudCBmb3IgQnVzaW5lc3MgSW5ub3Zh
dGlvbiAmYW1wOyBTa2lsbHMsIDIwMTA7IE9mZmljZSBvZiBTY2llbmNlIGFuZCBUZWNobm9sb2d5
LCAxOTkzOyBSZXNlYXJjaCBDb3VuY2lscyBVSywgMjAwNzsgV2FycnksIDIwMDYpPC9EaXNwbGF5
VGV4dD48cmVjb3JkPjx1cmxzPjxyZWxhdGVkLXVybHM+PHVybD5odHRwOi8vd2ViYXJjaGl2ZS5u
YXRpb25hbGFyY2hpdmVzLmdvdi51ay8yMDA3MDYwMzE2NDUxMC9odHRwOi8vd3d3LmR0aS5nb3Yu
dWsvZmlsZXMvZmlsZTMyODAyLnBkZjwvdXJsPjwvcmVsYXRlZC11cmxzPjwvdXJscz48dGl0bGVz
PjxzZWNvbmRhcnktdGl0bGU+SW5jcmVhc2luZyB0aGUgZWNvbm9taWMgaW1wYWN0IG9mIFJlc2Vh
cmNoIENvdW5jaWxzOiBBZHZpY2UgdG8gdGhlIERpcmVjdG9yIEdlbmVyYWwgb2YgU2NpZW5jZSBh
bmQgSW5ub3ZhdGlvbiwgRFRJIGZyb20gdGhlIFJlc2VhcmNoIENvdW5jaWwgRWNvbm9taWMgSW1w
YWN0IEdyb3VwPC9zZWNvbmRhcnktdGl0bGU+PC90aXRsZXM+PGNvbnRyaWJ1dG9ycz48YXV0aG9y
cz48YXV0aG9yPldhcnJ5LCBQZXRlcjwvYXV0aG9yPjwvYXV0aG9ycz48L2NvbnRyaWJ1dG9ycz48
YWRkZWQtZGF0ZSBmb3JtYXQ9InV0YyI+MTQ1Mjk4NzA1NDwvYWRkZWQtZGF0ZT48cmVmLXR5cGUg
bmFtZT0iRWxlY3Ryb25pYyBBcnRpY2xlIj40MzwvcmVmLXR5cGU+PGRhdGVzPjx5ZWFyPjIwMDY8
L3llYXI+PC9kYXRlcz48cmVjLW51bWJlcj4yMjE8L3JlYy1udW1iZXI+PGxhc3QtdXBkYXRlZC1k
YXRlIGZvcm1hdD0idXRjIj4xNDY5MjE1NDY4PC9sYXN0LXVwZGF0ZWQtZGF0ZT48L3JlY29yZD48
L0NpdGU+PENpdGU+PEF1dGhvcj5SZXNlYXJjaCBDb3VuY2lscyBVSzwvQXV0aG9yPjxZZWFyPjIw
MDc8L1llYXI+PElEVGV4dD5JbmNyZWFzaW5nIHRoZSBFY29ub21pYyBJbXBhY3Qgb2YgdGhlIFJl
c2VhcmNoIENvdW5jaWxzPC9JRFRleHQ+PHJlY29yZD48a2V5d29yZHM+PGtleXdvcmQ+YW5kIENv
bmRpdGlvbnM8L2tleXdvcmQ+PC9rZXl3b3Jkcz48dXJscz48cmVsYXRlZC11cmxzPjx1cmw+aHR0
cDovL3d3dy5yY3VrLmFjLnVrL1B1YmxpY2F0aW9ucy9hcmNoaXZlL0luY3JlYXNpbmdlaS88L3Vy
bD48L3JlbGF0ZWQtdXJscz48L3VybHM+PHRpdGxlcz48dGl0bGU+SW5jcmVhc2luZyB0aGUgRWNv
bm9taWMgSW1wYWN0IG9mIHRoZSBSZXNlYXJjaCBDb3VuY2lsczwvdGl0bGU+PC90aXRsZXM+PGFj
Y2Vzcy1kYXRlPjkgSmFudWFyeSAyMDE4PC9hY2Nlc3MtZGF0ZT48Y29udHJpYnV0b3JzPjxhdXRo
b3JzPjxhdXRob3I+UmVzZWFyY2ggQ291bmNpbHMgVUssPC9hdXRob3I+PC9hdXRob3JzPjwvY29u
dHJpYnV0b3JzPjxhZGRlZC1kYXRlIGZvcm1hdD0idXRjIj4xNTE1NTEzNTMxPC9hZGRlZC1kYXRl
PjxyZWYtdHlwZSBuYW1lPSJSZXBvcnQiPjI3PC9yZWYtdHlwZT48ZGF0ZXM+PHllYXI+MjAwNzwv
eWVhcj48L2RhdGVzPjxyZWMtbnVtYmVyPjczMDY8L3JlYy1udW1iZXI+PHB1Ymxpc2hlcj5SZXNl
YXJjaCBDb3VuY2lscyBVSzwvcHVibGlzaGVyPjxsYXN0LXVwZGF0ZWQtZGF0ZSBmb3JtYXQ9InV0
YyI+MTUxNTUxMzUzMTwvbGFzdC11cGRhdGVkLWRhdGU+PC9yZWNvcmQ+PC9DaXRlPjxDaXRlPjxB
dXRob3I+RGVwYXJ0bWVudCBmb3IgQnVzaW5lc3MgSW5ub3ZhdGlvbiAmYW1wOyBTa2lsbHM8L0F1
dGhvcj48WWVhcj4yMDEwPC9ZZWFyPjxJRFRleHQ+VUsgUmVzZWFyY2ggY291bmNpbCBzeXN0ZW06
IG92ZXJ2aWV3IG9mIGVjb25vbWljIGltcGFjdDwvSURUZXh0PjxQcmVmaXg+c2VlIGZvciBleGFt
cGxlIDwvUHJlZml4PjxyZWNvcmQ+PHVybHM+PHJlbGF0ZWQtdXJscz48dXJsPmh0dHBzOi8vd3d3
Lmdvdi51ay9nb3Zlcm5tZW50L3B1YmxpY2F0aW9ucy91ay1yZXNlYXJjaC1jb3VuY2lsLXN5c3Rl
bS1vdmVydmlldy1vZi1lY29ub21pYy1pbXBhY3Q8L3VybD48L3JlbGF0ZWQtdXJscz48L3VybHM+
PHRpdGxlcz48dGl0bGU+VUsgUmVzZWFyY2ggY291bmNpbCBzeXN0ZW06IG92ZXJ2aWV3IG9mIGVj
b25vbWljIGltcGFjdDwvdGl0bGU+PC90aXRsZXM+PGNvbnRyaWJ1dG9ycz48YXV0aG9ycz48YXV0
aG9yPkRlcGFydG1lbnQgZm9yIEJ1c2luZXNzIElubm92YXRpb24gJmFtcDsgU2tpbGxzLDwvYXV0
aG9yPjwvYXV0aG9ycz48L2NvbnRyaWJ1dG9ycz48YWRkZWQtZGF0ZSBmb3JtYXQ9InV0YyI+MTUx
NTUxMzA5OTwvYWRkZWQtZGF0ZT48cmVmLXR5cGUgbmFtZT0iR292ZXJubWVudCBEb2N1bWVudCI+
NDY8L3JlZi10eXBlPjxkYXRlcz48eWVhcj4yMDEwPC95ZWFyPjwvZGF0ZXM+PHJlYy1udW1iZXI+
NzMwNTwvcmVjLW51bWJlcj48bGFzdC11cGRhdGVkLWRhdGUgZm9ybWF0PSJ1dGMiPjE1MjA2MTE5
NzA8L2xhc3QtdXBkYXRlZC1kYXRlPjxjb250cmlidXRvcnM+PHNlY29uZGFyeS1hdXRob3JzPjxh
dXRob3I+QnVzaW5lc3MsIElubm92YXRpb24gJmFtcDsgU2tpbGxzPC9hdXRob3I+PC9zZWNvbmRh
cnktYXV0aG9ycz48L2NvbnRyaWJ1dG9ycz48L3JlY29yZD48L0NpdGU+PENpdGU+PEF1dGhvcj5P
ZmZpY2Ugb2YgU2NpZW5jZSBhbmQgVGVjaG5vbG9neTwvQXV0aG9yPjxZZWFyPjE5OTM8L1llYXI+
PElEVGV4dD5SZWFsaXNpbmcgb3VyIHBvdGVudGlhbDogYSBzdHJhdGVneSBmb3Igc2NpZW5jZSwg
ZW5naW5lZXJpbmcgYW5kIHRlY2hub2xvZ3k8L0lEVGV4dD48cmVjb3JkPjx1cmxzPjxyZWxhdGVk
LXVybHM+PHVybD5odHRwczovL3d3dy5nb3YudWsvZ292ZXJubWVudC9wdWJsaWNhdGlvbnMvcmVh
bGlzaW5nLW91ci1wb3RlbnRpYWwtYS1zdHJhdGVneS1mb3Itc2NpZW5jZS1lbmdpbmVlcmluZy1h
bmQtdGVjaG5vbG9neTwvdXJsPjwvcmVsYXRlZC11cmxzPjwvdXJscz48dGl0bGVzPjx0aXRsZT5S
ZWFsaXNpbmcgb3VyIHBvdGVudGlhbDogYSBzdHJhdGVneSBmb3Igc2NpZW5jZSwgZW5naW5lZXJp
bmcgYW5kIHRlY2hub2xvZ3k8L3RpdGxlPjwvdGl0bGVzPjxjb250cmlidXRvcnM+PGF1dGhvcnM+
PGF1dGhvcj5PZmZpY2Ugb2YgU2NpZW5jZSBhbmQgVGVjaG5vbG9neSw8L2F1dGhvcj48L2F1dGhv
cnM+PC9jb250cmlidXRvcnM+PGFkZGVkLWRhdGUgZm9ybWF0PSJ1dGMiPjE0ODIyNTQ3NTA8L2Fk
ZGVkLWRhdGU+PHJlZi10eXBlIG5hbWU9IlJlcG9ydCI+Mjc8L3JlZi10eXBlPjxkYXRlcz48eWVh
cj4xOTkzPC95ZWFyPjwvZGF0ZXM+PHJlYy1udW1iZXI+NjQ0MzwvcmVjLW51bWJlcj48bGFzdC11
cGRhdGVkLWRhdGUgZm9ybWF0PSJ1dGMiPjE0ODIyNTQ3NTA8L2xhc3QtdXBkYXRlZC1kYXRlPjwv
cmVjb3JkPjwvQ2l0ZT48L0VuZE5vdGU+AG==
</w:fldData>
        </w:fldChar>
      </w:r>
      <w:r>
        <w:rPr>
          <w:color w:val="000000"/>
        </w:rPr>
        <w:instrText xml:space="preserve"> ADDIN EN.CITE.DATA </w:instrText>
      </w:r>
      <w:r>
        <w:rPr>
          <w:color w:val="000000"/>
        </w:rPr>
      </w:r>
      <w:r>
        <w:rPr>
          <w:color w:val="000000"/>
        </w:rPr>
        <w:fldChar w:fldCharType="end"/>
      </w:r>
      <w:r w:rsidRPr="00590F06">
        <w:rPr>
          <w:color w:val="000000"/>
        </w:rPr>
      </w:r>
      <w:r w:rsidRPr="00590F06">
        <w:rPr>
          <w:color w:val="000000"/>
        </w:rPr>
        <w:fldChar w:fldCharType="separate"/>
      </w:r>
      <w:r>
        <w:rPr>
          <w:noProof/>
          <w:color w:val="000000"/>
        </w:rPr>
        <w:t>(see for example Department for Business Innovation &amp; Skills, 2010; Office of Science and Technology, 1993; Research Councils UK, 2007; Warry, 2006)</w:t>
      </w:r>
      <w:r w:rsidRPr="00590F06">
        <w:rPr>
          <w:color w:val="000000"/>
        </w:rPr>
        <w:fldChar w:fldCharType="end"/>
      </w:r>
      <w:r>
        <w:rPr>
          <w:color w:val="000000"/>
        </w:rPr>
        <w:t>, by 2006</w:t>
      </w:r>
      <w:r w:rsidRPr="00590F06">
        <w:rPr>
          <w:color w:val="000000"/>
        </w:rPr>
        <w:t xml:space="preserve"> the government felt that</w:t>
      </w:r>
      <w:r>
        <w:rPr>
          <w:color w:val="000000"/>
        </w:rPr>
        <w:t xml:space="preserve"> more direct</w:t>
      </w:r>
      <w:r w:rsidRPr="00590F06">
        <w:rPr>
          <w:color w:val="000000"/>
        </w:rPr>
        <w:t xml:space="preserve"> reforms were </w:t>
      </w:r>
      <w:r>
        <w:rPr>
          <w:color w:val="000000"/>
        </w:rPr>
        <w:t>also needed</w:t>
      </w:r>
      <w:r w:rsidRPr="00590F06">
        <w:rPr>
          <w:color w:val="000000"/>
        </w:rPr>
        <w:t xml:space="preserve"> in order to more dramatically reorient academic research towards the potential users of academic knowledge and towards socially and economically useful research</w:t>
      </w:r>
      <w:r>
        <w:rPr>
          <w:color w:val="000000"/>
        </w:rPr>
        <w:t>, and this led, in</w:t>
      </w:r>
      <w:r w:rsidRPr="00590F06">
        <w:rPr>
          <w:color w:val="000000"/>
        </w:rPr>
        <w:t xml:space="preserve"> 2008</w:t>
      </w:r>
      <w:r>
        <w:rPr>
          <w:color w:val="000000"/>
        </w:rPr>
        <w:t>,</w:t>
      </w:r>
      <w:r w:rsidRPr="00590F06">
        <w:rPr>
          <w:color w:val="000000"/>
        </w:rPr>
        <w:t xml:space="preserve"> </w:t>
      </w:r>
      <w:r>
        <w:rPr>
          <w:color w:val="000000"/>
        </w:rPr>
        <w:t xml:space="preserve">to ‘impact’ being </w:t>
      </w:r>
      <w:r w:rsidRPr="00590F06">
        <w:rPr>
          <w:color w:val="000000"/>
        </w:rPr>
        <w:t xml:space="preserve">confirmed as </w:t>
      </w:r>
      <w:r>
        <w:rPr>
          <w:color w:val="000000"/>
        </w:rPr>
        <w:t>a new</w:t>
      </w:r>
      <w:r w:rsidRPr="00590F06">
        <w:rPr>
          <w:color w:val="000000"/>
        </w:rPr>
        <w:t xml:space="preserve"> element of the seventh round </w:t>
      </w:r>
      <w:r>
        <w:rPr>
          <w:color w:val="000000"/>
        </w:rPr>
        <w:t xml:space="preserve">of research assessments, </w:t>
      </w:r>
      <w:r w:rsidRPr="00972E97">
        <w:rPr>
          <w:iCs/>
          <w:color w:val="000000"/>
        </w:rPr>
        <w:t>REF2014</w:t>
      </w:r>
      <w:r>
        <w:rPr>
          <w:color w:val="000000"/>
        </w:rPr>
        <w:t xml:space="preserve"> </w:t>
      </w:r>
      <w:r w:rsidRPr="00590F06">
        <w:rPr>
          <w:color w:val="000000"/>
        </w:rPr>
        <w:fldChar w:fldCharType="begin">
          <w:fldData xml:space="preserve">PEVuZE5vdGU+PENpdGU+PEF1dGhvcj5TbWl0aDwvQXV0aG9yPjxZZWFyPjIwMTE8L1llYXI+PElE
VGV4dD4mYXBvcztJbXBhY3QmYXBvczsgaW4gdGhlIHByb3Bvc2FscyBmb3IgdGhlIFVLJmFwb3M7
cyBSZXNlYXJjaCBFeGNlbGxlbmNlIEZyYW1ld29yazogU2hpZnRpbmcgdGhlIGJvdW5kYXJpZXMg
b2YgYWNhZGVtaWMgYXV0b25vbXk8L0lEVGV4dD48RGlzcGxheVRleHQ+KERlcGFydG1lbnQgZm9y
IEVkdWNhdGlvbiAmYW1wOyBTa2lsbHMsIDIwMDY7IEhFRkNFLCAyMDA5OyBTLiBTbWl0aCBldCBh
bC4sIDIwMTEpPC9EaXNwbGF5VGV4dD48cmVjb3JkPjx1cmxzPjxyZWxhdGVkLXVybHM+PHVybD5o
dHRwczovL3d3dy5zY29wdXMuY29tL2lud2FyZC9yZWNvcmQudXJpP2VpZD0yLXMyLjAtODAwNTM2
MTIwNDUmYW1wO3BhcnRuZXJJRD00MCZhbXA7bWQ1PTVmZWI0ZTc1YzIyYTg0ZjExNjYyMjNjNDU1
NTdkM2NkPC91cmw+PC9yZWxhdGVkLXVybHM+PC91cmxzPjx3b3JrLXR5cGU+QXJ0aWNsZTwvd29y
ay10eXBlPjx0aXRsZXM+PHRpdGxlPiZhcG9zO0ltcGFjdCZhcG9zOyBpbiB0aGUgcHJvcG9zYWxz
IGZvciB0aGUgVUsmYXBvcztzIFJlc2VhcmNoIEV4Y2VsbGVuY2UgRnJhbWV3b3JrOiBTaGlmdGlu
ZyB0aGUgYm91bmRhcmllcyBvZiBhY2FkZW1pYyBhdXRvbm9teTwvdGl0bGU+PHNlY29uZGFyeS10
aXRsZT5SZXNlYXJjaCBQb2xpY3k8L3NlY29uZGFyeS10aXRsZT48L3RpdGxlcz48cGFnZXM+MTM2
OS0xMzc5PC9wYWdlcz48bnVtYmVyPjEwPC9udW1iZXI+PGNvbnRyaWJ1dG9ycz48YXV0aG9ycz48
YXV0aG9yPlNtaXRoLCBTLjwvYXV0aG9yPjxhdXRob3I+V2FyZCwgVi48L2F1dGhvcj48YXV0aG9y
PkhvdXNlLCBBLjwvYXV0aG9yPjwvYXV0aG9ycz48L2NvbnRyaWJ1dG9ycz48YWRkZWQtZGF0ZSBm
b3JtYXQ9InV0YyI+MTQ3MzcwNDgzNzwvYWRkZWQtZGF0ZT48cmVmLXR5cGUgbmFtZT0iSm91cm5h
bCBBcnRpY2xlIj4xNzwvcmVmLXR5cGU+PGRhdGVzPjx5ZWFyPjIwMTE8L3llYXI+PC9kYXRlcz48
cmVjLW51bWJlcj4zNTI2PC9yZWMtbnVtYmVyPjxsYXN0LXVwZGF0ZWQtZGF0ZSBmb3JtYXQ9InV0
YyI+MTQ3MzcwNDgzNzwvbGFzdC11cGRhdGVkLWRhdGU+PGVsZWN0cm9uaWMtcmVzb3VyY2UtbnVt
PjEwLjEwMTYvai5yZXNwb2wuMjAxMS4wNS4wMjY8L2VsZWN0cm9uaWMtcmVzb3VyY2UtbnVtPjx2
b2x1bWU+NDA8L3ZvbHVtZT48cmVtb3RlLWRhdGFiYXNlLW5hbWU+U2NvcHVzPC9yZW1vdGUtZGF0
YWJhc2UtbmFtZT48L3JlY29yZD48L0NpdGU+PENpdGUgRXhjbHVkZUF1dGg9IjEiPjxBdXRob3I+
SGlnaGVyIEVkdWNhdGlvbiBGdW5kaW5nIENvdW5jaWwgZm9yIEVuZ2xhbmQ8L0F1dGhvcj48WWVh
cj4yMDA5PC9ZZWFyPjxJRFRleHQ+UmVzZWFyY2ggRXhjZWxsZW5jZSBGcmFtZXdvcms6IHNlY29u
ZCBjb25zdWx0YXRpb24gb24gdGhlIGFzc2Vzc21lbnQgYW5kIGZ1bmRpbmcgb2YgcmVzZWFyY2g8
L0lEVGV4dD48UHJlZml4PkhFRkNFYCwgPC9QcmVmaXg+PHJlY29yZD48ZGF0ZXM+PHB1Yi1kYXRl
cz48ZGF0ZT4yMDA5PC9kYXRlPjwvcHViLWRhdGVzPjx5ZWFyPjIwMDk8L3llYXI+PC9kYXRlcz48
dXJscz48cmVsYXRlZC11cmxzPjx1cmw+aHR0cDovL2RlcmEuaW9lLmFjLnVrLzkyODgvPC91cmw+
PC9yZWxhdGVkLXVybHM+PC91cmxzPjx3b3JrLXR5cGU+Tm9uUGVlclJldmlld2VkPC93b3JrLXR5
cGU+PHRpdGxlcz48dGl0bGU+UmVzZWFyY2ggRXhjZWxsZW5jZSBGcmFtZXdvcms6IHNlY29uZCBj
b25zdWx0YXRpb24gb24gdGhlIGFzc2Vzc21lbnQgYW5kIGZ1bmRpbmcgb2YgcmVzZWFyY2g8L3Rp
dGxlPjwvdGl0bGVzPjxhY2Nlc3MtZGF0ZT4zIEFwcmlsIDIwMTg8L2FjY2Vzcy1kYXRlPjxjb250
cmlidXRvcnM+PGF1dGhvcnM+PGF1dGhvcj5IaWdoZXIgRWR1Y2F0aW9uIEZ1bmRpbmcgQ291bmNp
bCBmb3IgRW5nbGFuZCw8L2F1dGhvcj48L2F1dGhvcnM+PC9jb250cmlidXRvcnM+PGxhbmd1YWdl
PmVuPC9sYW5ndWFnZT48YWRkZWQtZGF0ZSBmb3JtYXQ9InV0YyI+MTUyMjc2NDIxNDwvYWRkZWQt
ZGF0ZT48cmVmLXR5cGUgbmFtZT0iUmVwb3J0Ij4yNzwvcmVmLXR5cGU+PHJlYy1udW1iZXI+NzQ0
MjwvcmVjLW51bWJlcj48cHVibGlzaGVyPkhpZ2hlciBFZHVjYXRpb24gRnVuZGluZyBDb3VuY2ls
IGZvciBFbmdsYW5kPC9wdWJsaXNoZXI+PGxhc3QtdXBkYXRlZC1kYXRlIGZvcm1hdD0idXRjIj4x
NTIyNzY0MjE0PC9sYXN0LXVwZGF0ZWQtZGF0ZT48ZWxlY3Ryb25pYy1yZXNvdXJjZS1udW0+SGln
aGVyIEVkdWNhdGlvbiBGdW5kaW5nIENvdW5jaWwgZm9yIEVuZ2xhbmQgKEhFRkNFKSwgY29ycCBj
cmVhdG9yLiAgKDIwMDkpIFJlc2VhcmNoIGV4Y2VsbGVuY2UgZnJhbWV3b3JrIDogc2Vjb25kIGNv
bnN1bHRhdGlvbiBvbiB0aGUgYXNzZXNzbWVudCBhbmQgZnVuZGluZyBvZiByZXNlYXJjaC4gICBb
IFBvbGljeSBkZXZlbG9wbWVudCBdPC9lbGVjdHJvbmljLXJlc291cmNlLW51bT48L3JlY29yZD48
L0NpdGU+PENpdGU+PEF1dGhvcj5EZXBhcnRtZW50IGZvciBFZHVjYXRpb24gJmFtcDsgU2tpbGxz
PC9BdXRob3I+PFllYXI+MjAwNjwvWWVhcj48SURUZXh0PlJlZm9ybSBvZiBoaWdoZXIgZWRjYXRp
b24gcmVzZWFyY2ggYXNzZXNzbWVudCBhbmQgZnVuZGluZy4gQSBjb25zdWx0YXRpb248L0lEVGV4
dD48cmVjb3JkPjxkYXRlcz48cHViLWRhdGVzPjxkYXRlPjIwMDY8L2RhdGU+PC9wdWItZGF0ZXM+
PHllYXI+MjAwNjwveWVhcj48L2RhdGVzPjx1cmxzPjxyZWxhdGVkLXVybHM+PHVybD5odHRwOi8v
ZGVyYS5pb2UuYWMudWsvNjE0MC88L3VybD48L3JlbGF0ZWQtdXJscz48L3VybHM+PHdvcmstdHlw
ZT5Ob25QZWVyUmV2aWV3ZWQ8L3dvcmstdHlwZT48dGl0bGVzPjx0aXRsZT5SZWZvcm0gb2YgaGln
aGVyIGVkY2F0aW9uIHJlc2VhcmNoIGFzc2Vzc21lbnQgYW5kIGZ1bmRpbmcuIEEgY29uc3VsdGF0
aW9uPC90aXRsZT48L3RpdGxlcz48Y29udHJpYnV0b3JzPjxhdXRob3JzPjxhdXRob3I+RGVwYXJ0
bWVudCBmb3IgRWR1Y2F0aW9uICZhbXA7IFNraWxscyw8L2F1dGhvcj48L2F1dGhvcnM+PC9jb250
cmlidXRvcnM+PGxhbmd1YWdlPmVuPC9sYW5ndWFnZT48YWRkZWQtZGF0ZSBmb3JtYXQ9InV0YyI+
MTUyMjc2NTgzMDwvYWRkZWQtZGF0ZT48cmVmLXR5cGUgbmFtZT0iUmVwb3J0Ij4yNzwvcmVmLXR5
cGU+PGF1dGgtYWRkcmVzcz4zIEFwcmlsIDIwMTg8L2F1dGgtYWRkcmVzcz48cmVjLW51bWJlcj43
NDQzPC9yZWMtbnVtYmVyPjxwdWJsaXNoZXI+RGVwYXJ0bWVudCBmb3IgQ2hpbGRyZW4sIFNjaG9v
bHMgYW5kIEZhbWlsaWVzPC9wdWJsaXNoZXI+PGxhc3QtdXBkYXRlZC1kYXRlIGZvcm1hdD0idXRj
Ij4xNTIyNzY1ODMwPC9sYXN0LXVwZGF0ZWQtZGF0ZT48ZWxlY3Ryb25pYy1yZXNvdXJjZS1udW0+
RGVwYXJ0bWVudCBmb3IgQ2hpbGRyZW4sIFNjaG9vbHMgYW5kIEZhbWlsaWVzIChEQ1NGKSBEZXBh
cnRtZW50IGZvciBFZHVjYXRpb24gYW5kIFNraWxscyAoREZFUyksIGNvcnAgY3JlYXRvcnMuICAo
MjAwNikgUmVmb3JtIG9mIGhpZ2hlciBlZHVjYXRpb24gcmVzZWFyY2ggYXNzZXNzbWVudCBhbmQg
ZnVuZGluZy4gICBbIEUtY29uc3VsdGF0aW9uIChEZXBhcnRtZW50IGZvciBDaGlsZHJlbiwgU2No
b29scyBhbmQgRmFtaWxpZXMpIF08L2VsZWN0cm9uaWMtcmVzb3VyY2UtbnVtPjwvcmVjb3JkPjwv
Q2l0ZT48L0VuZE5vdGU+
</w:fldData>
        </w:fldChar>
      </w:r>
      <w:r>
        <w:rPr>
          <w:color w:val="000000"/>
        </w:rPr>
        <w:instrText xml:space="preserve"> ADDIN EN.CITE </w:instrText>
      </w:r>
      <w:r>
        <w:rPr>
          <w:color w:val="000000"/>
        </w:rPr>
        <w:fldChar w:fldCharType="begin">
          <w:fldData xml:space="preserve">PEVuZE5vdGU+PENpdGU+PEF1dGhvcj5TbWl0aDwvQXV0aG9yPjxZZWFyPjIwMTE8L1llYXI+PElE
VGV4dD4mYXBvcztJbXBhY3QmYXBvczsgaW4gdGhlIHByb3Bvc2FscyBmb3IgdGhlIFVLJmFwb3M7
cyBSZXNlYXJjaCBFeGNlbGxlbmNlIEZyYW1ld29yazogU2hpZnRpbmcgdGhlIGJvdW5kYXJpZXMg
b2YgYWNhZGVtaWMgYXV0b25vbXk8L0lEVGV4dD48RGlzcGxheVRleHQ+KERlcGFydG1lbnQgZm9y
IEVkdWNhdGlvbiAmYW1wOyBTa2lsbHMsIDIwMDY7IEhFRkNFLCAyMDA5OyBTLiBTbWl0aCBldCBh
bC4sIDIwMTEpPC9EaXNwbGF5VGV4dD48cmVjb3JkPjx1cmxzPjxyZWxhdGVkLXVybHM+PHVybD5o
dHRwczovL3d3dy5zY29wdXMuY29tL2lud2FyZC9yZWNvcmQudXJpP2VpZD0yLXMyLjAtODAwNTM2
MTIwNDUmYW1wO3BhcnRuZXJJRD00MCZhbXA7bWQ1PTVmZWI0ZTc1YzIyYTg0ZjExNjYyMjNjNDU1
NTdkM2NkPC91cmw+PC9yZWxhdGVkLXVybHM+PC91cmxzPjx3b3JrLXR5cGU+QXJ0aWNsZTwvd29y
ay10eXBlPjx0aXRsZXM+PHRpdGxlPiZhcG9zO0ltcGFjdCZhcG9zOyBpbiB0aGUgcHJvcG9zYWxz
IGZvciB0aGUgVUsmYXBvcztzIFJlc2VhcmNoIEV4Y2VsbGVuY2UgRnJhbWV3b3JrOiBTaGlmdGlu
ZyB0aGUgYm91bmRhcmllcyBvZiBhY2FkZW1pYyBhdXRvbm9teTwvdGl0bGU+PHNlY29uZGFyeS10
aXRsZT5SZXNlYXJjaCBQb2xpY3k8L3NlY29uZGFyeS10aXRsZT48L3RpdGxlcz48cGFnZXM+MTM2
OS0xMzc5PC9wYWdlcz48bnVtYmVyPjEwPC9udW1iZXI+PGNvbnRyaWJ1dG9ycz48YXV0aG9ycz48
YXV0aG9yPlNtaXRoLCBTLjwvYXV0aG9yPjxhdXRob3I+V2FyZCwgVi48L2F1dGhvcj48YXV0aG9y
PkhvdXNlLCBBLjwvYXV0aG9yPjwvYXV0aG9ycz48L2NvbnRyaWJ1dG9ycz48YWRkZWQtZGF0ZSBm
b3JtYXQ9InV0YyI+MTQ3MzcwNDgzNzwvYWRkZWQtZGF0ZT48cmVmLXR5cGUgbmFtZT0iSm91cm5h
bCBBcnRpY2xlIj4xNzwvcmVmLXR5cGU+PGRhdGVzPjx5ZWFyPjIwMTE8L3llYXI+PC9kYXRlcz48
cmVjLW51bWJlcj4zNTI2PC9yZWMtbnVtYmVyPjxsYXN0LXVwZGF0ZWQtZGF0ZSBmb3JtYXQ9InV0
YyI+MTQ3MzcwNDgzNzwvbGFzdC11cGRhdGVkLWRhdGU+PGVsZWN0cm9uaWMtcmVzb3VyY2UtbnVt
PjEwLjEwMTYvai5yZXNwb2wuMjAxMS4wNS4wMjY8L2VsZWN0cm9uaWMtcmVzb3VyY2UtbnVtPjx2
b2x1bWU+NDA8L3ZvbHVtZT48cmVtb3RlLWRhdGFiYXNlLW5hbWU+U2NvcHVzPC9yZW1vdGUtZGF0
YWJhc2UtbmFtZT48L3JlY29yZD48L0NpdGU+PENpdGUgRXhjbHVkZUF1dGg9IjEiPjxBdXRob3I+
SGlnaGVyIEVkdWNhdGlvbiBGdW5kaW5nIENvdW5jaWwgZm9yIEVuZ2xhbmQ8L0F1dGhvcj48WWVh
cj4yMDA5PC9ZZWFyPjxJRFRleHQ+UmVzZWFyY2ggRXhjZWxsZW5jZSBGcmFtZXdvcms6IHNlY29u
ZCBjb25zdWx0YXRpb24gb24gdGhlIGFzc2Vzc21lbnQgYW5kIGZ1bmRpbmcgb2YgcmVzZWFyY2g8
L0lEVGV4dD48UHJlZml4PkhFRkNFYCwgPC9QcmVmaXg+PHJlY29yZD48ZGF0ZXM+PHB1Yi1kYXRl
cz48ZGF0ZT4yMDA5PC9kYXRlPjwvcHViLWRhdGVzPjx5ZWFyPjIwMDk8L3llYXI+PC9kYXRlcz48
dXJscz48cmVsYXRlZC11cmxzPjx1cmw+aHR0cDovL2RlcmEuaW9lLmFjLnVrLzkyODgvPC91cmw+
PC9yZWxhdGVkLXVybHM+PC91cmxzPjx3b3JrLXR5cGU+Tm9uUGVlclJldmlld2VkPC93b3JrLXR5
cGU+PHRpdGxlcz48dGl0bGU+UmVzZWFyY2ggRXhjZWxsZW5jZSBGcmFtZXdvcms6IHNlY29uZCBj
b25zdWx0YXRpb24gb24gdGhlIGFzc2Vzc21lbnQgYW5kIGZ1bmRpbmcgb2YgcmVzZWFyY2g8L3Rp
dGxlPjwvdGl0bGVzPjxhY2Nlc3MtZGF0ZT4zIEFwcmlsIDIwMTg8L2FjY2Vzcy1kYXRlPjxjb250
cmlidXRvcnM+PGF1dGhvcnM+PGF1dGhvcj5IaWdoZXIgRWR1Y2F0aW9uIEZ1bmRpbmcgQ291bmNp
bCBmb3IgRW5nbGFuZCw8L2F1dGhvcj48L2F1dGhvcnM+PC9jb250cmlidXRvcnM+PGxhbmd1YWdl
PmVuPC9sYW5ndWFnZT48YWRkZWQtZGF0ZSBmb3JtYXQ9InV0YyI+MTUyMjc2NDIxNDwvYWRkZWQt
ZGF0ZT48cmVmLXR5cGUgbmFtZT0iUmVwb3J0Ij4yNzwvcmVmLXR5cGU+PHJlYy1udW1iZXI+NzQ0
MjwvcmVjLW51bWJlcj48cHVibGlzaGVyPkhpZ2hlciBFZHVjYXRpb24gRnVuZGluZyBDb3VuY2ls
IGZvciBFbmdsYW5kPC9wdWJsaXNoZXI+PGxhc3QtdXBkYXRlZC1kYXRlIGZvcm1hdD0idXRjIj4x
NTIyNzY0MjE0PC9sYXN0LXVwZGF0ZWQtZGF0ZT48ZWxlY3Ryb25pYy1yZXNvdXJjZS1udW0+SGln
aGVyIEVkdWNhdGlvbiBGdW5kaW5nIENvdW5jaWwgZm9yIEVuZ2xhbmQgKEhFRkNFKSwgY29ycCBj
cmVhdG9yLiAgKDIwMDkpIFJlc2VhcmNoIGV4Y2VsbGVuY2UgZnJhbWV3b3JrIDogc2Vjb25kIGNv
bnN1bHRhdGlvbiBvbiB0aGUgYXNzZXNzbWVudCBhbmQgZnVuZGluZyBvZiByZXNlYXJjaC4gICBb
IFBvbGljeSBkZXZlbG9wbWVudCBdPC9lbGVjdHJvbmljLXJlc291cmNlLW51bT48L3JlY29yZD48
L0NpdGU+PENpdGU+PEF1dGhvcj5EZXBhcnRtZW50IGZvciBFZHVjYXRpb24gJmFtcDsgU2tpbGxz
PC9BdXRob3I+PFllYXI+MjAwNjwvWWVhcj48SURUZXh0PlJlZm9ybSBvZiBoaWdoZXIgZWRjYXRp
b24gcmVzZWFyY2ggYXNzZXNzbWVudCBhbmQgZnVuZGluZy4gQSBjb25zdWx0YXRpb248L0lEVGV4
dD48cmVjb3JkPjxkYXRlcz48cHViLWRhdGVzPjxkYXRlPjIwMDY8L2RhdGU+PC9wdWItZGF0ZXM+
PHllYXI+MjAwNjwveWVhcj48L2RhdGVzPjx1cmxzPjxyZWxhdGVkLXVybHM+PHVybD5odHRwOi8v
ZGVyYS5pb2UuYWMudWsvNjE0MC88L3VybD48L3JlbGF0ZWQtdXJscz48L3VybHM+PHdvcmstdHlw
ZT5Ob25QZWVyUmV2aWV3ZWQ8L3dvcmstdHlwZT48dGl0bGVzPjx0aXRsZT5SZWZvcm0gb2YgaGln
aGVyIGVkY2F0aW9uIHJlc2VhcmNoIGFzc2Vzc21lbnQgYW5kIGZ1bmRpbmcuIEEgY29uc3VsdGF0
aW9uPC90aXRsZT48L3RpdGxlcz48Y29udHJpYnV0b3JzPjxhdXRob3JzPjxhdXRob3I+RGVwYXJ0
bWVudCBmb3IgRWR1Y2F0aW9uICZhbXA7IFNraWxscyw8L2F1dGhvcj48L2F1dGhvcnM+PC9jb250
cmlidXRvcnM+PGxhbmd1YWdlPmVuPC9sYW5ndWFnZT48YWRkZWQtZGF0ZSBmb3JtYXQ9InV0YyI+
MTUyMjc2NTgzMDwvYWRkZWQtZGF0ZT48cmVmLXR5cGUgbmFtZT0iUmVwb3J0Ij4yNzwvcmVmLXR5
cGU+PGF1dGgtYWRkcmVzcz4zIEFwcmlsIDIwMTg8L2F1dGgtYWRkcmVzcz48cmVjLW51bWJlcj43
NDQzPC9yZWMtbnVtYmVyPjxwdWJsaXNoZXI+RGVwYXJ0bWVudCBmb3IgQ2hpbGRyZW4sIFNjaG9v
bHMgYW5kIEZhbWlsaWVzPC9wdWJsaXNoZXI+PGxhc3QtdXBkYXRlZC1kYXRlIGZvcm1hdD0idXRj
Ij4xNTIyNzY1ODMwPC9sYXN0LXVwZGF0ZWQtZGF0ZT48ZWxlY3Ryb25pYy1yZXNvdXJjZS1udW0+
RGVwYXJ0bWVudCBmb3IgQ2hpbGRyZW4sIFNjaG9vbHMgYW5kIEZhbWlsaWVzIChEQ1NGKSBEZXBh
cnRtZW50IGZvciBFZHVjYXRpb24gYW5kIFNraWxscyAoREZFUyksIGNvcnAgY3JlYXRvcnMuICAo
MjAwNikgUmVmb3JtIG9mIGhpZ2hlciBlZHVjYXRpb24gcmVzZWFyY2ggYXNzZXNzbWVudCBhbmQg
ZnVuZGluZy4gICBbIEUtY29uc3VsdGF0aW9uIChEZXBhcnRtZW50IGZvciBDaGlsZHJlbiwgU2No
b29scyBhbmQgRmFtaWxpZXMpIF08L2VsZWN0cm9uaWMtcmVzb3VyY2UtbnVtPjwvcmVjb3JkPjwv
Q2l0ZT48L0VuZE5vdGU+
</w:fldData>
        </w:fldChar>
      </w:r>
      <w:r>
        <w:rPr>
          <w:color w:val="000000"/>
        </w:rPr>
        <w:instrText xml:space="preserve"> ADDIN EN.CITE.DATA </w:instrText>
      </w:r>
      <w:r>
        <w:rPr>
          <w:color w:val="000000"/>
        </w:rPr>
      </w:r>
      <w:r>
        <w:rPr>
          <w:color w:val="000000"/>
        </w:rPr>
        <w:fldChar w:fldCharType="end"/>
      </w:r>
      <w:r w:rsidRPr="00590F06">
        <w:rPr>
          <w:color w:val="000000"/>
        </w:rPr>
      </w:r>
      <w:r w:rsidRPr="00590F06">
        <w:rPr>
          <w:color w:val="000000"/>
        </w:rPr>
        <w:fldChar w:fldCharType="separate"/>
      </w:r>
      <w:r>
        <w:rPr>
          <w:noProof/>
          <w:color w:val="000000"/>
        </w:rPr>
        <w:t>(Department for Education &amp; Skills, 2006; HEFCE, 2009; S. Smith et al., 2011)</w:t>
      </w:r>
      <w:r w:rsidRPr="00590F06">
        <w:rPr>
          <w:color w:val="000000"/>
        </w:rPr>
        <w:fldChar w:fldCharType="end"/>
      </w:r>
      <w:r>
        <w:rPr>
          <w:color w:val="000000"/>
        </w:rPr>
        <w:t xml:space="preserve">. </w:t>
      </w:r>
      <w:r w:rsidR="001517AA">
        <w:rPr>
          <w:color w:val="000000"/>
        </w:rPr>
        <w:t>Since 2014, the</w:t>
      </w:r>
      <w:r w:rsidR="00F701AB">
        <w:rPr>
          <w:color w:val="000000"/>
        </w:rPr>
        <w:t xml:space="preserve"> political</w:t>
      </w:r>
      <w:r>
        <w:rPr>
          <w:color w:val="000000"/>
        </w:rPr>
        <w:t xml:space="preserve"> emphasis on impact </w:t>
      </w:r>
      <w:r w:rsidR="00F701AB">
        <w:rPr>
          <w:color w:val="000000"/>
        </w:rPr>
        <w:t>has</w:t>
      </w:r>
      <w:r>
        <w:rPr>
          <w:color w:val="000000"/>
        </w:rPr>
        <w:t xml:space="preserve"> </w:t>
      </w:r>
      <w:r w:rsidR="00F701AB">
        <w:rPr>
          <w:color w:val="000000"/>
        </w:rPr>
        <w:t>continued to grow</w:t>
      </w:r>
      <w:r>
        <w:rPr>
          <w:color w:val="000000"/>
        </w:rPr>
        <w:t xml:space="preserve">, as the weighting of the impact element of </w:t>
      </w:r>
      <w:r w:rsidR="00477AFA">
        <w:rPr>
          <w:color w:val="000000"/>
        </w:rPr>
        <w:t>REF2021</w:t>
      </w:r>
      <w:r>
        <w:rPr>
          <w:color w:val="000000"/>
        </w:rPr>
        <w:t xml:space="preserve"> is increasing to 25%</w:t>
      </w:r>
      <w:r w:rsidRPr="00BB50F2">
        <w:rPr>
          <w:color w:val="000000"/>
        </w:rPr>
        <w:t>,</w:t>
      </w:r>
      <w:r>
        <w:rPr>
          <w:color w:val="000000"/>
        </w:rPr>
        <w:t xml:space="preserve"> up from its original weighting of 20%. The ability to achieve and evidence impact has therefore become increasingly important to the reputation and financial viability of academic departments and therefore to the career progression of researchers. </w:t>
      </w:r>
    </w:p>
    <w:p w14:paraId="05558FF1" w14:textId="70D524BE" w:rsidR="00FD7CF3" w:rsidRPr="00605971" w:rsidRDefault="00FD7CF3" w:rsidP="00FD7CF3">
      <w:pPr>
        <w:pStyle w:val="NormalWeb"/>
        <w:spacing w:before="120" w:beforeAutospacing="0" w:after="120" w:afterAutospacing="0" w:line="360" w:lineRule="auto"/>
      </w:pPr>
      <w:r>
        <w:rPr>
          <w:color w:val="000000"/>
        </w:rPr>
        <w:t>These</w:t>
      </w:r>
      <w:r w:rsidRPr="00590F06">
        <w:rPr>
          <w:color w:val="000000"/>
        </w:rPr>
        <w:t xml:space="preserve"> </w:t>
      </w:r>
      <w:r w:rsidRPr="00590F06">
        <w:t xml:space="preserve">intensified pressures upon universities are </w:t>
      </w:r>
      <w:r>
        <w:t xml:space="preserve">largely </w:t>
      </w:r>
      <w:r w:rsidRPr="00590F06">
        <w:t xml:space="preserve">the result of such significant advancement and success </w:t>
      </w:r>
      <w:r>
        <w:t>for academic science that it has becom</w:t>
      </w:r>
      <w:r w:rsidRPr="00590F06">
        <w:t xml:space="preserve">e too big, expensive and valuable an enterprise to be left to its own progress </w:t>
      </w:r>
      <w:r w:rsidRPr="00590F06">
        <w:fldChar w:fldCharType="begin"/>
      </w:r>
      <w:r>
        <w:instrText xml:space="preserve"> ADDIN EN.CITE &lt;EndNote&gt;&lt;Cite&gt;&lt;Author&gt;Ziman&lt;/Author&gt;&lt;Year&gt;2005/1994&lt;/Year&gt;&lt;IDText&gt;Prometheus bound: science in a dynamic steady state&lt;/IDText&gt;&lt;DisplayText&gt;(Etzkowitz &amp;amp; Leydesdorff, 1999; Ziman, 2005/1994)&lt;/DisplayText&gt;&lt;record&gt;&lt;keywords&gt;&lt;keyword&gt;Science and state&lt;/keyword&gt;&lt;keyword&gt;Science -- Social aspects&lt;/keyword&gt;&lt;keyword&gt;Research -- Management&lt;/keyword&gt;&lt;keyword&gt;Research management&lt;/keyword&gt;&lt;keyword&gt;Science and society&lt;/keyword&gt;&lt;keyword&gt;Sociology of science&lt;/keyword&gt;&lt;keyword&gt;Science -- Government policy&lt;/keyword&gt;&lt;keyword&gt;Science policy&lt;/keyword&gt;&lt;keyword&gt;State and science&lt;/keyword&gt;&lt;keyword&gt;g State, The&lt;/keyword&gt;&lt;/keywords&gt;&lt;titles&gt;&lt;title&gt;Prometheus bound: science in a dynamic steady state&lt;/title&gt;&lt;/titles&gt;&lt;contributors&gt;&lt;authors&gt;&lt;author&gt;Ziman, J. M.&lt;/author&gt;&lt;/authors&gt;&lt;/contributors&gt;&lt;added-date format="utc"&gt;1463063718&lt;/added-date&gt;&lt;pub-location&gt;Cambridge&lt;/pub-location&gt;&lt;ref-type name="Book"&gt;6&lt;/ref-type&gt;&lt;dates&gt;&lt;year&gt;2005/1994&lt;/year&gt;&lt;/dates&gt;&lt;rec-number&gt;382&lt;/rec-number&gt;&lt;publisher&gt;Cambridge University Press&lt;/publisher&gt;&lt;last-updated-date format="utc"&gt;1475319344&lt;/last-updated-date&gt;&lt;/record&gt;&lt;/Cite&gt;&lt;Cite&gt;&lt;Author&gt;Etzkowitz&lt;/Author&gt;&lt;Year&gt;1999&lt;/Year&gt;&lt;IDText&gt;The Future Location of Research and Technology Transfer&lt;/IDText&gt;&lt;record&gt;&lt;isbn&gt;0892-9912&lt;/isbn&gt;&lt;titles&gt;&lt;title&gt;The Future Location of Research and Technology Transfer&lt;/title&gt;&lt;secondary-title&gt;The Journal of Technology Transfer&lt;/secondary-title&gt;&lt;/titles&gt;&lt;pages&gt;111-123&lt;/pages&gt;&lt;number&gt;2&lt;/number&gt;&lt;contributors&gt;&lt;authors&gt;&lt;author&gt;Etzkowitz, Henry&lt;/author&gt;&lt;author&gt;Leydesdorff, Loet&lt;/author&gt;&lt;/authors&gt;&lt;/contributors&gt;&lt;added-date format="utc"&gt;1475278042&lt;/added-date&gt;&lt;pub-location&gt;Boston&lt;/pub-location&gt;&lt;ref-type name="Journal Article"&gt;17&lt;/ref-type&gt;&lt;dates&gt;&lt;year&gt;1999&lt;/year&gt;&lt;/dates&gt;&lt;rec-number&gt;6019&lt;/rec-number&gt;&lt;last-updated-date format="utc"&gt;1477665468&lt;/last-updated-date&gt;&lt;electronic-resource-num&gt;10.1023/A:1007807302841&lt;/electronic-resource-num&gt;&lt;volume&gt;24&lt;/volume&gt;&lt;/record&gt;&lt;/Cite&gt;&lt;/EndNote&gt;</w:instrText>
      </w:r>
      <w:r w:rsidRPr="00590F06">
        <w:fldChar w:fldCharType="separate"/>
      </w:r>
      <w:r>
        <w:rPr>
          <w:noProof/>
        </w:rPr>
        <w:t>(Etzkowitz &amp; Leydesdorff, 1999; Ziman, 2005/1994)</w:t>
      </w:r>
      <w:r w:rsidRPr="00590F06">
        <w:fldChar w:fldCharType="end"/>
      </w:r>
      <w:r w:rsidRPr="00590F06">
        <w:t>. Th</w:t>
      </w:r>
      <w:r>
        <w:t xml:space="preserve">e desire to achieve value for money from such a costly enterprise has meant that the </w:t>
      </w:r>
      <w:r w:rsidRPr="00590F06">
        <w:t xml:space="preserve">‘impact’ agenda has </w:t>
      </w:r>
      <w:r>
        <w:t xml:space="preserve">often </w:t>
      </w:r>
      <w:r w:rsidRPr="00590F06">
        <w:t>been driven in tandem with other policy agendas</w:t>
      </w:r>
      <w:r>
        <w:t>, mostly focused on coordinating STEMM research power</w:t>
      </w:r>
      <w:r w:rsidRPr="00590F06">
        <w:t xml:space="preserve">, such as the notion of research or technology ‘Foresight’ </w:t>
      </w:r>
      <w:r w:rsidRPr="00590F06">
        <w:fldChar w:fldCharType="begin">
          <w:fldData xml:space="preserve">PEVuZE5vdGU+PENpdGU+PEF1dGhvcj5IZW5rZWw8L0F1dGhvcj48WWVhcj4yMDAwPC9ZZWFyPjxJ
RFRleHQ+QWNhZGVtaWMgUmVzcG9uc2VzIHRvIHRoZSBVSyBGb3Jlc2lnaHQgUHJvZ3JhbW1lPC9J
RFRleHQ+PERpc3BsYXlUZXh0PihIZW5rZWwsIDIwMDA7IE1hcnRpbiAmYW1wOyBJcnZpbmUsIDE5
ODk7IE5vd290bnksIFNjb3R0LCAmYW1wOyBHaWJib25zLCAyMDAzOyBTLiBTbWl0aCBldCBhbC4s
IDIwMTEpPC9EaXNwbGF5VGV4dD48cmVjb3JkPjxrZXl3b3Jkcz48a2V5d29yZD5BdHRpdHVkZSBD
aGFuZ2U8L2tleXdvcmQ+PGtleXdvcmQ+Rm9yZWlnbiBDb3VudHJpZXM8L2tleXdvcmQ+PGtleXdv
cmQ+R292ZXJubWVudCBSb2xlPC9rZXl3b3JkPjxrZXl3b3JkPkhpZ2hlciBFZHVjYXRpb248L2tl
eXdvcmQ+PGtleXdvcmQ+UHVibGljIFBvbGljeTwva2V5d29yZD48a2V5d29yZD5SZXNlYXJjaCBB
ZG1pbmlzdHJhdGlvbjwva2V5d29yZD48a2V5d29yZD5SZXNlYXJjaCBBbmQgRGV2ZWxvcG1lbnQ8
L2tleXdvcmQ+PGtleXdvcmQ+UmVzZWFyY2ggTmVlZHM8L2tleXdvcmQ+PGtleXdvcmQ+U2Nob29s
IEJ1c2luZXNzIFJlbGF0aW9uc2hpcDwva2V5d29yZD48a2V5d29yZD5UaGVvcnkgUHJhY3RpY2Ug
UmVsYXRpb25zaGlwPC9rZXl3b3JkPjwva2V5d29yZHM+PGlzYm4+MTAxMy04NTFYPC9pc2JuPjx0
aXRsZXM+PHRpdGxlPkFjYWRlbWljIFJlc3BvbnNlcyB0byB0aGUgVUsgRm9yZXNpZ2h0IFByb2dy
YW1tZTwvdGl0bGU+PHNlY29uZGFyeS10aXRsZT5IaWdoZXIgRWR1Y2F0aW9uIE1hbmFnZW1lbnQ8
L3NlY29uZGFyeS10aXRsZT48L3RpdGxlcz48cGFnZXM+NjctODQ8L3BhZ2VzPjxudW1iZXI+MTwv
bnVtYmVyPjxjb250cmlidXRvcnM+PGF1dGhvcnM+PGF1dGhvcj5IZW5rZWwsIE1hcnk8L2F1dGhv
cj48L2F1dGhvcnM+PC9jb250cmlidXRvcnM+PGFkZGVkLWRhdGUgZm9ybWF0PSJ1dGMiPjE1MjI3
NjI5MzM8L2FkZGVkLWRhdGU+PHJlZi10eXBlIG5hbWU9IkpvdXJuYWwgQXJ0aWNsZSI+MTc8L3Jl
Zi10eXBlPjxkYXRlcz48eWVhcj4yMDAwPC95ZWFyPjwvZGF0ZXM+PHJlYy1udW1iZXI+NzQ0MTwv
cmVjLW51bWJlcj48bGFzdC11cGRhdGVkLWRhdGUgZm9ybWF0PSJ1dGMiPjE1MjI3NjI5Nzk8L2xh
c3QtdXBkYXRlZC1kYXRlPjx2b2x1bWU+MTI8L3ZvbHVtZT48L3JlY29yZD48L0NpdGU+PENpdGU+
PEF1dGhvcj5NYXJ0aW48L0F1dGhvcj48WWVhcj4xOTg5PC9ZZWFyPjxJRFRleHQ+UmVzZWFyY2gg
Rm9yZXNpZ2h0OiBQcmlvcml0eS1TZXR0aW5nIGluIFNjaWVuY2U8L0lEVGV4dD48cmVjb3JkPjxr
ZXl3b3Jkcz48a2V5d29yZD5SZXNlYXJjaDwva2V5d29yZD48a2V5d29yZD5TY2llbmNlIGFuZCBz
dGF0ZTwva2V5d29yZD48a2V5d29yZD5TY2llbmNlIFJlc2VhcmNoIFBvbGljaWVzIG9mIGdvdmVy
bm1lbnRzPC9rZXl3b3JkPjwva2V5d29yZHM+PHRpdGxlcz48dGl0bGU+UmVzZWFyY2ggRm9yZXNp
Z2h0OiBQcmlvcml0eS1TZXR0aW5nIGluIFNjaWVuY2U8L3RpdGxlPjwvdGl0bGVzPjxjb250cmli
dXRvcnM+PGF1dGhvcnM+PGF1dGhvcj5NYXJ0aW4sIEJlbiBSLjwvYXV0aG9yPjxhdXRob3I+SXJ2
aW5lLCBKb2huPC9hdXRob3I+PC9hdXRob3JzPjwvY29udHJpYnV0b3JzPjxhZGRlZC1kYXRlIGZv
cm1hdD0idXRjIj4xNDcxMzgyMTgwPC9hZGRlZC1kYXRlPjxwdWItbG9jYXRpb24+TG9uZG9uPC9w
dWItbG9jYXRpb24+PHJlZi10eXBlIG5hbWU9IkJvb2siPjY8L3JlZi10eXBlPjxkYXRlcz48eWVh
cj4xOTg5PC95ZWFyPjwvZGF0ZXM+PHJlYy1udW1iZXI+MjU1NzwvcmVjLW51bWJlcj48cHVibGlz
aGVyPlBpbnRlcjwvcHVibGlzaGVyPjxsYXN0LXVwZGF0ZWQtZGF0ZSBmb3JtYXQ9InV0YyI+MTUy
Mjc5MTQ1NTwvbGFzdC11cGRhdGVkLWRhdGU+PC9yZWNvcmQ+PC9DaXRlPjxDaXRlPjxBdXRob3I+
U21pdGg8L0F1dGhvcj48WWVhcj4yMDExPC9ZZWFyPjxJRFRleHQ+JmFwb3M7SW1wYWN0JmFwb3M7
IGluIHRoZSBwcm9wb3NhbHMgZm9yIHRoZSBVSyZhcG9zO3MgUmVzZWFyY2ggRXhjZWxsZW5jZSBG
cmFtZXdvcms6IFNoaWZ0aW5nIHRoZSBib3VuZGFyaWVzIG9mIGFjYWRlbWljIGF1dG9ub215PC9J
RFRleHQ+PHJlY29yZD48dXJscz48cmVsYXRlZC11cmxzPjx1cmw+aHR0cHM6Ly93d3cuc2NvcHVz
LmNvbS9pbndhcmQvcmVjb3JkLnVyaT9laWQ9Mi1zMi4wLTgwMDUzNjEyMDQ1JmFtcDtwYXJ0bmVy
SUQ9NDAmYW1wO21kNT01ZmViNGU3NWMyMmE4NGYxMTY2MjIzYzQ1NTU3ZDNjZDwvdXJsPjwvcmVs
YXRlZC11cmxzPjwvdXJscz48d29yay10eXBlPkFydGljbGU8L3dvcmstdHlwZT48dGl0bGVzPjx0
aXRsZT4mYXBvcztJbXBhY3QmYXBvczsgaW4gdGhlIHByb3Bvc2FscyBmb3IgdGhlIFVLJmFwb3M7
cyBSZXNlYXJjaCBFeGNlbGxlbmNlIEZyYW1ld29yazogU2hpZnRpbmcgdGhlIGJvdW5kYXJpZXMg
b2YgYWNhZGVtaWMgYXV0b25vbXk8L3RpdGxlPjxzZWNvbmRhcnktdGl0bGU+UmVzZWFyY2ggUG9s
aWN5PC9zZWNvbmRhcnktdGl0bGU+PC90aXRsZXM+PHBhZ2VzPjEzNjktMTM3OTwvcGFnZXM+PG51
bWJlcj4xMDwvbnVtYmVyPjxjb250cmlidXRvcnM+PGF1dGhvcnM+PGF1dGhvcj5TbWl0aCwgUy48
L2F1dGhvcj48YXV0aG9yPldhcmQsIFYuPC9hdXRob3I+PGF1dGhvcj5Ib3VzZSwgQS48L2F1dGhv
cj48L2F1dGhvcnM+PC9jb250cmlidXRvcnM+PGFkZGVkLWRhdGUgZm9ybWF0PSJ1dGMiPjE0NzM3
MDQ4Mzc8L2FkZGVkLWRhdGU+PHJlZi10eXBlIG5hbWU9IkpvdXJuYWwgQXJ0aWNsZSI+MTc8L3Jl
Zi10eXBlPjxkYXRlcz48eWVhcj4yMDExPC95ZWFyPjwvZGF0ZXM+PHJlYy1udW1iZXI+MzUyNjwv
cmVjLW51bWJlcj48bGFzdC11cGRhdGVkLWRhdGUgZm9ybWF0PSJ1dGMiPjE0NzM3MDQ4Mzc8L2xh
c3QtdXBkYXRlZC1kYXRlPjxlbGVjdHJvbmljLXJlc291cmNlLW51bT4xMC4xMDE2L2oucmVzcG9s
LjIwMTEuMDUuMDI2PC9lbGVjdHJvbmljLXJlc291cmNlLW51bT48dm9sdW1lPjQwPC92b2x1bWU+
PHJlbW90ZS1kYXRhYmFzZS1uYW1lPlNjb3B1czwvcmVtb3RlLWRhdGFiYXNlLW5hbWU+PC9yZWNv
cmQ+PC9DaXRlPjxDaXRlPjxBdXRob3I+Tm93b3RueTwvQXV0aG9yPjxZZWFyPjIwMDM8L1llYXI+
PElEVGV4dD5JbnRyb2R1Y3Rpb246ICZhcG9zO01vZGUgMiZhcG9zOyByZXZpc2l0ZWQ6IHRoZSBu
ZXcgcHJvZHVjdGlvbiBvZiBrbm93bGVkZ2U8L0lEVGV4dD48cmVjb3JkPjxrZXl3b3Jkcz48a2V5
d29yZD5TY2llbmNlPC9rZXl3b3JkPjxrZXl3b3JkPktub3dsZWRnZTwva2V5d29yZD48a2V5d29y
ZD5Lbm93bGVkZ2UgTWFuYWdlbWVudDwva2V5d29yZD48a2V5d29yZD5TY2llbnRpZmljIFJlc2Vh
cmNoPC9rZXl3b3JkPjxrZXl3b3JkPlNjaWVudGlmaWMgRGlzY292ZXJpZXM8L2tleXdvcmQ+PGtl
eXdvcmQ+U2NpZW50aWZpYyBDb21tdW5pdGllczwva2V5d29yZD48a2V5d29yZD5Tb2Npb2xvZ3kg
b2YgU2NpZW5jZTwva2V5d29yZD48a2V5d29yZD5Tb2Npb2xvZ3kgb2YgS25vd2xlZGdlPC9rZXl3
b3JkPjxrZXl3b3JkPlBoaWxvc29waHkgb2YgU2NpZW5jZTwva2V5d29yZD48a2V5d29yZD5Tb2Np
b2xvZ3k8L2tleXdvcmQ+PC9rZXl3b3Jkcz48aXNibj4wMDI2LTQ2OTU8L2lzYm4+PHRpdGxlcz48
dGl0bGU+SW50cm9kdWN0aW9uOiAmYXBvcztNb2RlIDImYXBvczsgcmV2aXNpdGVkOiB0aGUgbmV3
IHByb2R1Y3Rpb24gb2Yga25vd2xlZGdlPC90aXRsZT48c2Vjb25kYXJ5LXRpdGxlPk1pbmVydmE8
L3NlY29uZGFyeS10aXRsZT48L3RpdGxlcz48cGFnZXM+MTc5LTE5NDwvcGFnZXM+PG51bWJlcj4z
PC9udW1iZXI+PGNvbnRyaWJ1dG9ycz48YXV0aG9ycz48YXV0aG9yPk5vd290bnksIEhlbGdhPC9h
dXRob3I+PGF1dGhvcj5TY290dCwgUGV0ZXI8L2F1dGhvcj48YXV0aG9yPkdpYmJvbnMsIE1pY2hh
ZWw8L2F1dGhvcj48L2F1dGhvcnM+PC9jb250cmlidXRvcnM+PGFkZGVkLWRhdGUgZm9ybWF0PSJ1
dGMiPjE1MjkzNjY0ODg8L2FkZGVkLWRhdGU+PHJlZi10eXBlIG5hbWU9IkpvdXJuYWwgQXJ0aWNs
ZSI+MTc8L3JlZi10eXBlPjxkYXRlcz48eWVhcj4yMDAzPC95ZWFyPjwvZGF0ZXM+PHJlYy1udW1i
ZXI+NzU2MzwvcmVjLW51bWJlcj48bGFzdC11cGRhdGVkLWRhdGUgZm9ybWF0PSJ1dGMiPjE1Mjkz
NjY0ODg8L2xhc3QtdXBkYXRlZC1kYXRlPjx2b2x1bWU+eGxpPC92b2x1bWU+PC9yZWNvcmQ+PC9D
aXRlPjwvRW5kTm90ZT5=
</w:fldData>
        </w:fldChar>
      </w:r>
      <w:r>
        <w:instrText xml:space="preserve"> ADDIN EN.CITE </w:instrText>
      </w:r>
      <w:r>
        <w:fldChar w:fldCharType="begin">
          <w:fldData xml:space="preserve">PEVuZE5vdGU+PENpdGU+PEF1dGhvcj5IZW5rZWw8L0F1dGhvcj48WWVhcj4yMDAwPC9ZZWFyPjxJ
RFRleHQ+QWNhZGVtaWMgUmVzcG9uc2VzIHRvIHRoZSBVSyBGb3Jlc2lnaHQgUHJvZ3JhbW1lPC9J
RFRleHQ+PERpc3BsYXlUZXh0PihIZW5rZWwsIDIwMDA7IE1hcnRpbiAmYW1wOyBJcnZpbmUsIDE5
ODk7IE5vd290bnksIFNjb3R0LCAmYW1wOyBHaWJib25zLCAyMDAzOyBTLiBTbWl0aCBldCBhbC4s
IDIwMTEpPC9EaXNwbGF5VGV4dD48cmVjb3JkPjxrZXl3b3Jkcz48a2V5d29yZD5BdHRpdHVkZSBD
aGFuZ2U8L2tleXdvcmQ+PGtleXdvcmQ+Rm9yZWlnbiBDb3VudHJpZXM8L2tleXdvcmQ+PGtleXdv
cmQ+R292ZXJubWVudCBSb2xlPC9rZXl3b3JkPjxrZXl3b3JkPkhpZ2hlciBFZHVjYXRpb248L2tl
eXdvcmQ+PGtleXdvcmQ+UHVibGljIFBvbGljeTwva2V5d29yZD48a2V5d29yZD5SZXNlYXJjaCBB
ZG1pbmlzdHJhdGlvbjwva2V5d29yZD48a2V5d29yZD5SZXNlYXJjaCBBbmQgRGV2ZWxvcG1lbnQ8
L2tleXdvcmQ+PGtleXdvcmQ+UmVzZWFyY2ggTmVlZHM8L2tleXdvcmQ+PGtleXdvcmQ+U2Nob29s
IEJ1c2luZXNzIFJlbGF0aW9uc2hpcDwva2V5d29yZD48a2V5d29yZD5UaGVvcnkgUHJhY3RpY2Ug
UmVsYXRpb25zaGlwPC9rZXl3b3JkPjwva2V5d29yZHM+PGlzYm4+MTAxMy04NTFYPC9pc2JuPjx0
aXRsZXM+PHRpdGxlPkFjYWRlbWljIFJlc3BvbnNlcyB0byB0aGUgVUsgRm9yZXNpZ2h0IFByb2dy
YW1tZTwvdGl0bGU+PHNlY29uZGFyeS10aXRsZT5IaWdoZXIgRWR1Y2F0aW9uIE1hbmFnZW1lbnQ8
L3NlY29uZGFyeS10aXRsZT48L3RpdGxlcz48cGFnZXM+NjctODQ8L3BhZ2VzPjxudW1iZXI+MTwv
bnVtYmVyPjxjb250cmlidXRvcnM+PGF1dGhvcnM+PGF1dGhvcj5IZW5rZWwsIE1hcnk8L2F1dGhv
cj48L2F1dGhvcnM+PC9jb250cmlidXRvcnM+PGFkZGVkLWRhdGUgZm9ybWF0PSJ1dGMiPjE1MjI3
NjI5MzM8L2FkZGVkLWRhdGU+PHJlZi10eXBlIG5hbWU9IkpvdXJuYWwgQXJ0aWNsZSI+MTc8L3Jl
Zi10eXBlPjxkYXRlcz48eWVhcj4yMDAwPC95ZWFyPjwvZGF0ZXM+PHJlYy1udW1iZXI+NzQ0MTwv
cmVjLW51bWJlcj48bGFzdC11cGRhdGVkLWRhdGUgZm9ybWF0PSJ1dGMiPjE1MjI3NjI5Nzk8L2xh
c3QtdXBkYXRlZC1kYXRlPjx2b2x1bWU+MTI8L3ZvbHVtZT48L3JlY29yZD48L0NpdGU+PENpdGU+
PEF1dGhvcj5NYXJ0aW48L0F1dGhvcj48WWVhcj4xOTg5PC9ZZWFyPjxJRFRleHQ+UmVzZWFyY2gg
Rm9yZXNpZ2h0OiBQcmlvcml0eS1TZXR0aW5nIGluIFNjaWVuY2U8L0lEVGV4dD48cmVjb3JkPjxr
ZXl3b3Jkcz48a2V5d29yZD5SZXNlYXJjaDwva2V5d29yZD48a2V5d29yZD5TY2llbmNlIGFuZCBz
dGF0ZTwva2V5d29yZD48a2V5d29yZD5TY2llbmNlIFJlc2VhcmNoIFBvbGljaWVzIG9mIGdvdmVy
bm1lbnRzPC9rZXl3b3JkPjwva2V5d29yZHM+PHRpdGxlcz48dGl0bGU+UmVzZWFyY2ggRm9yZXNp
Z2h0OiBQcmlvcml0eS1TZXR0aW5nIGluIFNjaWVuY2U8L3RpdGxlPjwvdGl0bGVzPjxjb250cmli
dXRvcnM+PGF1dGhvcnM+PGF1dGhvcj5NYXJ0aW4sIEJlbiBSLjwvYXV0aG9yPjxhdXRob3I+SXJ2
aW5lLCBKb2huPC9hdXRob3I+PC9hdXRob3JzPjwvY29udHJpYnV0b3JzPjxhZGRlZC1kYXRlIGZv
cm1hdD0idXRjIj4xNDcxMzgyMTgwPC9hZGRlZC1kYXRlPjxwdWItbG9jYXRpb24+TG9uZG9uPC9w
dWItbG9jYXRpb24+PHJlZi10eXBlIG5hbWU9IkJvb2siPjY8L3JlZi10eXBlPjxkYXRlcz48eWVh
cj4xOTg5PC95ZWFyPjwvZGF0ZXM+PHJlYy1udW1iZXI+MjU1NzwvcmVjLW51bWJlcj48cHVibGlz
aGVyPlBpbnRlcjwvcHVibGlzaGVyPjxsYXN0LXVwZGF0ZWQtZGF0ZSBmb3JtYXQ9InV0YyI+MTUy
Mjc5MTQ1NTwvbGFzdC11cGRhdGVkLWRhdGU+PC9yZWNvcmQ+PC9DaXRlPjxDaXRlPjxBdXRob3I+
U21pdGg8L0F1dGhvcj48WWVhcj4yMDExPC9ZZWFyPjxJRFRleHQ+JmFwb3M7SW1wYWN0JmFwb3M7
IGluIHRoZSBwcm9wb3NhbHMgZm9yIHRoZSBVSyZhcG9zO3MgUmVzZWFyY2ggRXhjZWxsZW5jZSBG
cmFtZXdvcms6IFNoaWZ0aW5nIHRoZSBib3VuZGFyaWVzIG9mIGFjYWRlbWljIGF1dG9ub215PC9J
RFRleHQ+PHJlY29yZD48dXJscz48cmVsYXRlZC11cmxzPjx1cmw+aHR0cHM6Ly93d3cuc2NvcHVz
LmNvbS9pbndhcmQvcmVjb3JkLnVyaT9laWQ9Mi1zMi4wLTgwMDUzNjEyMDQ1JmFtcDtwYXJ0bmVy
SUQ9NDAmYW1wO21kNT01ZmViNGU3NWMyMmE4NGYxMTY2MjIzYzQ1NTU3ZDNjZDwvdXJsPjwvcmVs
YXRlZC11cmxzPjwvdXJscz48d29yay10eXBlPkFydGljbGU8L3dvcmstdHlwZT48dGl0bGVzPjx0
aXRsZT4mYXBvcztJbXBhY3QmYXBvczsgaW4gdGhlIHByb3Bvc2FscyBmb3IgdGhlIFVLJmFwb3M7
cyBSZXNlYXJjaCBFeGNlbGxlbmNlIEZyYW1ld29yazogU2hpZnRpbmcgdGhlIGJvdW5kYXJpZXMg
b2YgYWNhZGVtaWMgYXV0b25vbXk8L3RpdGxlPjxzZWNvbmRhcnktdGl0bGU+UmVzZWFyY2ggUG9s
aWN5PC9zZWNvbmRhcnktdGl0bGU+PC90aXRsZXM+PHBhZ2VzPjEzNjktMTM3OTwvcGFnZXM+PG51
bWJlcj4xMDwvbnVtYmVyPjxjb250cmlidXRvcnM+PGF1dGhvcnM+PGF1dGhvcj5TbWl0aCwgUy48
L2F1dGhvcj48YXV0aG9yPldhcmQsIFYuPC9hdXRob3I+PGF1dGhvcj5Ib3VzZSwgQS48L2F1dGhv
cj48L2F1dGhvcnM+PC9jb250cmlidXRvcnM+PGFkZGVkLWRhdGUgZm9ybWF0PSJ1dGMiPjE0NzM3
MDQ4Mzc8L2FkZGVkLWRhdGU+PHJlZi10eXBlIG5hbWU9IkpvdXJuYWwgQXJ0aWNsZSI+MTc8L3Jl
Zi10eXBlPjxkYXRlcz48eWVhcj4yMDExPC95ZWFyPjwvZGF0ZXM+PHJlYy1udW1iZXI+MzUyNjwv
cmVjLW51bWJlcj48bGFzdC11cGRhdGVkLWRhdGUgZm9ybWF0PSJ1dGMiPjE0NzM3MDQ4Mzc8L2xh
c3QtdXBkYXRlZC1kYXRlPjxlbGVjdHJvbmljLXJlc291cmNlLW51bT4xMC4xMDE2L2oucmVzcG9s
LjIwMTEuMDUuMDI2PC9lbGVjdHJvbmljLXJlc291cmNlLW51bT48dm9sdW1lPjQwPC92b2x1bWU+
PHJlbW90ZS1kYXRhYmFzZS1uYW1lPlNjb3B1czwvcmVtb3RlLWRhdGFiYXNlLW5hbWU+PC9yZWNv
cmQ+PC9DaXRlPjxDaXRlPjxBdXRob3I+Tm93b3RueTwvQXV0aG9yPjxZZWFyPjIwMDM8L1llYXI+
PElEVGV4dD5JbnRyb2R1Y3Rpb246ICZhcG9zO01vZGUgMiZhcG9zOyByZXZpc2l0ZWQ6IHRoZSBu
ZXcgcHJvZHVjdGlvbiBvZiBrbm93bGVkZ2U8L0lEVGV4dD48cmVjb3JkPjxrZXl3b3Jkcz48a2V5
d29yZD5TY2llbmNlPC9rZXl3b3JkPjxrZXl3b3JkPktub3dsZWRnZTwva2V5d29yZD48a2V5d29y
ZD5Lbm93bGVkZ2UgTWFuYWdlbWVudDwva2V5d29yZD48a2V5d29yZD5TY2llbnRpZmljIFJlc2Vh
cmNoPC9rZXl3b3JkPjxrZXl3b3JkPlNjaWVudGlmaWMgRGlzY292ZXJpZXM8L2tleXdvcmQ+PGtl
eXdvcmQ+U2NpZW50aWZpYyBDb21tdW5pdGllczwva2V5d29yZD48a2V5d29yZD5Tb2Npb2xvZ3kg
b2YgU2NpZW5jZTwva2V5d29yZD48a2V5d29yZD5Tb2Npb2xvZ3kgb2YgS25vd2xlZGdlPC9rZXl3
b3JkPjxrZXl3b3JkPlBoaWxvc29waHkgb2YgU2NpZW5jZTwva2V5d29yZD48a2V5d29yZD5Tb2Np
b2xvZ3k8L2tleXdvcmQ+PC9rZXl3b3Jkcz48aXNibj4wMDI2LTQ2OTU8L2lzYm4+PHRpdGxlcz48
dGl0bGU+SW50cm9kdWN0aW9uOiAmYXBvcztNb2RlIDImYXBvczsgcmV2aXNpdGVkOiB0aGUgbmV3
IHByb2R1Y3Rpb24gb2Yga25vd2xlZGdlPC90aXRsZT48c2Vjb25kYXJ5LXRpdGxlPk1pbmVydmE8
L3NlY29uZGFyeS10aXRsZT48L3RpdGxlcz48cGFnZXM+MTc5LTE5NDwvcGFnZXM+PG51bWJlcj4z
PC9udW1iZXI+PGNvbnRyaWJ1dG9ycz48YXV0aG9ycz48YXV0aG9yPk5vd290bnksIEhlbGdhPC9h
dXRob3I+PGF1dGhvcj5TY290dCwgUGV0ZXI8L2F1dGhvcj48YXV0aG9yPkdpYmJvbnMsIE1pY2hh
ZWw8L2F1dGhvcj48L2F1dGhvcnM+PC9jb250cmlidXRvcnM+PGFkZGVkLWRhdGUgZm9ybWF0PSJ1
dGMiPjE1MjkzNjY0ODg8L2FkZGVkLWRhdGU+PHJlZi10eXBlIG5hbWU9IkpvdXJuYWwgQXJ0aWNs
ZSI+MTc8L3JlZi10eXBlPjxkYXRlcz48eWVhcj4yMDAzPC95ZWFyPjwvZGF0ZXM+PHJlYy1udW1i
ZXI+NzU2MzwvcmVjLW51bWJlcj48bGFzdC11cGRhdGVkLWRhdGUgZm9ybWF0PSJ1dGMiPjE1Mjkz
NjY0ODg8L2xhc3QtdXBkYXRlZC1kYXRlPjx2b2x1bWU+eGxpPC92b2x1bWU+PC9yZWNvcmQ+PC9D
aXRlPjwvRW5kTm90ZT5=
</w:fldData>
        </w:fldChar>
      </w:r>
      <w:r>
        <w:instrText xml:space="preserve"> ADDIN EN.CITE.DATA </w:instrText>
      </w:r>
      <w:r>
        <w:fldChar w:fldCharType="end"/>
      </w:r>
      <w:r w:rsidRPr="00590F06">
        <w:fldChar w:fldCharType="separate"/>
      </w:r>
      <w:r>
        <w:rPr>
          <w:noProof/>
        </w:rPr>
        <w:t>(Henkel, 2000; Martin &amp; Irvine, 1989; Nowotny, Scott, &amp; Gibbons, 2003; S. Smith et al., 2011)</w:t>
      </w:r>
      <w:r w:rsidRPr="00590F06">
        <w:fldChar w:fldCharType="end"/>
      </w:r>
      <w:r w:rsidRPr="00590F06">
        <w:t xml:space="preserve"> and</w:t>
      </w:r>
      <w:r>
        <w:t>,</w:t>
      </w:r>
      <w:r w:rsidRPr="00590F06">
        <w:t xml:space="preserve"> more recently in terms of ‘Grand Challenges’ and the ‘Industrial Strategy’ </w:t>
      </w:r>
      <w:r w:rsidRPr="00590F06">
        <w:fldChar w:fldCharType="begin">
          <w:fldData xml:space="preserve">PEVuZE5vdGU+PENpdGU+PEF1dGhvcj5EaWdpdGFsIFNjaWVuY2U8L0F1dGhvcj48WWVhcj4yMDE2
PC9ZZWFyPjxJRFRleHQ+VGhlIFZhbHVlIG9mIFN0cnVjdHVyYWwgRGl2ZXJzaXR5PC9JRFRleHQ+
PERpc3BsYXlUZXh0PihEZXBhcnRtZW50IGZvciBCdXNpbmVzcyBFbmVyZ3kgJmFtcDsgSW5kdXN0
cmlhbCBTdHJhdGVneSwgMjAxNzsgRGVwYXJ0bWVudCBmb3IgQnVzaW5lc3MgSW5ub3ZhdGlvbiAm
YW1wOyBTa2lsbHMsIDIwMTQ7IERpZ2l0YWwgU2NpZW5jZSAmYW1wOyBTY2llbmNlIFBvbGljeSBS
ZXNlYXJjaCBVbml0LCAyMDE2OyBTY2llbmNlIGFuZCBUZWNobm9sb2d5IFNlbGVjdCBDb21taXR0
ZWUsIDIwMTM7IFN0ZXJuLCAyMDE2KTwvRGlzcGxheVRleHQ+PHJlY29yZD48dXJscz48cmVsYXRl
ZC11cmxzPjx1cmw+aHR0cHM6Ly93d3cuZGlnaXRhbC1zY2llbmNlLmNvbS9yZXNvdXJjZXMvZGln
aXRhbC1yZXNlYXJjaC1yZXBvcnRzL2RpZ2l0YWwtcmVzZWFyY2gtcmVwb3J0LXRoZS12YWx1ZS1v
Zi1zdHJ1Y3R1cmFsLWRpdmVyc2l0eS88L3VybD48L3JlbGF0ZWQtdXJscz48L3VybHM+PHRpdGxl
cz48dGl0bGU+VGhlIFZhbHVlIG9mIFN0cnVjdHVyYWwgRGl2ZXJzaXR5PC90aXRsZT48L3RpdGxl
cz48Y29udHJpYnV0b3JzPjxhdXRob3JzPjxhdXRob3I+RGlnaXRhbCBTY2llbmNlLDwvYXV0aG9y
PjxhdXRob3I+U2NpZW5jZSBQb2xpY3kgUmVzZWFyY2ggVW5pdCw8L2F1dGhvcj48L2F1dGhvcnM+
PC9jb250cmlidXRvcnM+PGFkZGVkLWRhdGUgZm9ybWF0PSJ1dGMiPjE0Nzg3MTk0OTM8L2FkZGVk
LWRhdGU+PHJlZi10eXBlIG5hbWU9IkpvdXJuYWwgQXJ0aWNsZSI+MTc8L3JlZi10eXBlPjxkYXRl
cz48eWVhcj4yMDE2PC95ZWFyPjwvZGF0ZXM+PHJlYy1udW1iZXI+NjE2NjwvcmVjLW51bWJlcj48
bGFzdC11cGRhdGVkLWRhdGUgZm9ybWF0PSJ1dGMiPjE0ODM3MTc1Mjk8L2xhc3QtdXBkYXRlZC1k
YXRlPjwvcmVjb3JkPjwvQ2l0ZT48Q2l0ZT48QXV0aG9yPlNjaWVuY2UgYW5kIFRlY2hub2xvZ3kg
U2VsZWN0IENvbW1pdHRlZTwvQXV0aG9yPjxZZWFyPjIwMTM8L1llYXI+PElEVGV4dD5CcmlkZ2lu
ZyB0aGUgdmFsbGV5IG9mIGRlYXRoOiBpbXByb3ZpbmcgdGhlIGNvbW1lcmNpYWxpc2F0aW9uIG9m
IHJlc2VhcmNoPC9JRFRleHQ+PHJlY29yZD48dXJscz48cmVsYXRlZC11cmxzPjx1cmw+aHR0cDov
L3d3dy5wdWJsaWNhdGlvbnMucGFybGlhbWVudC51ay9wYS9jbTIwMTIxMy9jbXNlbGVjdC9jbXNj
dGVjaC8zNDgvMzQ4MDIuaHRtPC91cmw+PC9yZWxhdGVkLXVybHM+PC91cmxzPjx0aXRsZXM+PHRp
dGxlPkJyaWRnaW5nIHRoZSB2YWxsZXkgb2YgZGVhdGg6IGltcHJvdmluZyB0aGUgY29tbWVyY2lh
bGlzYXRpb24gb2YgcmVzZWFyY2g8L3RpdGxlPjwvdGl0bGVzPjxjb250cmlidXRvcnM+PGF1dGhv
cnM+PGF1dGhvcj5TY2llbmNlIGFuZCBUZWNobm9sb2d5IFNlbGVjdCBDb21taXR0ZWUsPC9hdXRo
b3I+PC9hdXRob3JzPjwvY29udHJpYnV0b3JzPjxhZGRlZC1kYXRlIGZvcm1hdD0idXRjIj4xNDc4
NzA0NjE4PC9hZGRlZC1kYXRlPjxyZWYtdHlwZSBuYW1lPSJHb3Zlcm5tZW50IERvY3VtZW50Ij40
NjwvcmVmLXR5cGU+PGRhdGVzPjx5ZWFyPjIwMTM8L3llYXI+PC9kYXRlcz48cmVjLW51bWJlcj42
MTExPC9yZWMtbnVtYmVyPjxsYXN0LXVwZGF0ZWQtZGF0ZSBmb3JtYXQ9InV0YyI+MTQ4NDI2MTE3
MDwvbGFzdC11cGRhdGVkLWRhdGU+PC9yZWNvcmQ+PC9DaXRlPjxDaXRlPjxBdXRob3I+U3Rlcm48
L0F1dGhvcj48WWVhcj4yMDE2PC9ZZWFyPjxJRFRleHQ+QnVpbGRpbmcgb24gU3VjY2VzcyBhbmQg
TGVhcm5pbmcgZnJvbSBFeHBlcmllbmNlOiBBbiBJbmRlcGVuZGVudCBSZXZpZXcgb2YgdGhlIFJl
c2VhcmNoIEV4Y2VsbGVuY2UgRnJhbWV3b3JrPC9JRFRleHQ+PHJlY29yZD48dXJscz48cmVsYXRl
ZC11cmxzPjx1cmw+aHR0cHM6Ly93d3cuZ292LnVrL2dvdmVybm1lbnQvdXBsb2Fkcy9zeXN0ZW0v
dXBsb2Fkcy9hdHRhY2htZW50X2RhdGEvZmlsZS81NDEzMzgvaW5kLTE2LTktcmVmLXN0ZXJuLXJl
dmlldy5wZGY8L3VybD48L3JlbGF0ZWQtdXJscz48L3VybHM+PHRpdGxlcz48dGl0bGU+QnVpbGRp
bmcgb24gU3VjY2VzcyBhbmQgTGVhcm5pbmcgZnJvbSBFeHBlcmllbmNlOiBBbiBJbmRlcGVuZGVu
dCBSZXZpZXcgb2YgdGhlIFJlc2VhcmNoIEV4Y2VsbGVuY2UgRnJhbWV3b3JrPC90aXRsZT48L3Rp
dGxlcz48YWNjZXNzLWRhdGU+NiBKYW51YXJ5IDIwMTc8L2FjY2Vzcy1kYXRlPjxjb250cmlidXRv
cnM+PGF1dGhvcnM+PGF1dGhvcj5TdGVybiwgTi48L2F1dGhvcj48L2F1dGhvcnM+PC9jb250cmli
dXRvcnM+PGFkZGVkLWRhdGUgZm9ybWF0PSJ1dGMiPjE0ODM3MTgyMjA8L2FkZGVkLWRhdGU+PHJl
Zi10eXBlIG5hbWU9IlJlcG9ydCI+Mjc8L3JlZi10eXBlPjxkYXRlcz48eWVhcj4yMDE2PC95ZWFy
PjwvZGF0ZXM+PHJlYy1udW1iZXI+NjQ1MzwvcmVjLW51bWJlcj48bGFzdC11cGRhdGVkLWRhdGUg
Zm9ybWF0PSJ1dGMiPjE0ODM3MTk4NDk8L2xhc3QtdXBkYXRlZC1kYXRlPjwvcmVjb3JkPjwvQ2l0
ZT48Q2l0ZT48QXV0aG9yPkRlcGFydG1lbnQgZm9yIEJ1c2luZXNzIElubm92YXRpb24gJmFtcDsg
U2tpbGxzPC9BdXRob3I+PFllYXI+MjAxNDwvWWVhcj48SURUZXh0Pk91ciBwbGFuIGZvciBncm93
dGg6IFNjaWVuY2UgYW5kIElubm92YXRpb24gLSBFdmlkZW5jZSBQYXBlcjwvSURUZXh0PjxyZWNv
cmQ+PHVybHM+PHJlbGF0ZWQtdXJscz48dXJsPmh0dHBzOi8vd3d3Lmdvdi51ay9nb3Zlcm5tZW50
L3B1YmxpY2F0aW9ucy9vdXItcGxhbi1mb3ItZ3Jvd3RoLXNjaWVuY2UtYW5kLWlubm92YXRpb24t
ZXZpZGVuY2U8L3VybD48L3JlbGF0ZWQtdXJscz48L3VybHM+PHRpdGxlcz48dGl0bGU+T3VyIHBs
YW4gZm9yIGdyb3d0aDogU2NpZW5jZSBhbmQgSW5ub3ZhdGlvbiAtIEV2aWRlbmNlIFBhcGVyPC90
aXRsZT48L3RpdGxlcz48Y29udHJpYnV0b3JzPjxhdXRob3JzPjxhdXRob3I+RGVwYXJ0bWVudCBm
b3IgQnVzaW5lc3MgSW5ub3ZhdGlvbiAmYW1wOyBTa2lsbHMsPC9hdXRob3I+PC9hdXRob3JzPjwv
Y29udHJpYnV0b3JzPjxhZGRlZC1kYXRlIGZvcm1hdD0idXRjIj4xNDg0NjA4MTEwPC9hZGRlZC1k
YXRlPjxyZWYtdHlwZSBuYW1lPSJSZXBvcnQiPjI3PC9yZWYtdHlwZT48ZGF0ZXM+PHllYXI+MjAx
NDwveWVhcj48L2RhdGVzPjxyZWMtbnVtYmVyPjY0ODQ8L3JlYy1udW1iZXI+PHB1Ymxpc2hlcj5C
dXNpbmVzcywgSW5ub3ZhdGlvbiAmYW1wOyBTa2lsbHM8L3B1Ymxpc2hlcj48bGFzdC11cGRhdGVk
LWRhdGUgZm9ybWF0PSJ1dGMiPjE1MjI3OTI2Nzg8L2xhc3QtdXBkYXRlZC1kYXRlPjwvcmVjb3Jk
PjwvQ2l0ZT48Q2l0ZT48QXV0aG9yPkRlcGFydG1lbnQgZm9yIEJ1c2luZXNzIEVuZXJneSAmYW1w
OyBJbmR1c3RyaWFsIFN0cmF0ZWd5PC9BdXRob3I+PFllYXI+MjAxNzwvWWVhcj48SURUZXh0Pkds
b2JhbCBDaGFsbGVuZ2VzIFJlc2VhcmNoIEZ1bmQgKEdDUkYpOiBob3cgdGhlIGZ1bmQgd29ya3M8
L0lEVGV4dD48cmVjb3JkPjx1cmxzPjxyZWxhdGVkLXVybHM+PHVybD5odHRwczovL3d3dy5nb3Yu
dWsvZ292ZXJubWVudC9wdWJsaWNhdGlvbnMvZ2xvYmFsLWNoYWxsZW5nZXMtcmVzZWFyY2gtZnVu
ZC9nbG9iYWwtY2hhbGxlbmdlcy1yZXNlYXJjaC1mdW5kLWdjcmYtaG93LXRoZS1mdW5kLXdvcmtz
PC91cmw+PC9yZWxhdGVkLXVybHM+PC91cmxzPjx0aXRsZXM+PHRpdGxlPkdsb2JhbCBDaGFsbGVu
Z2VzIFJlc2VhcmNoIEZ1bmQgKEdDUkYpOiBob3cgdGhlIGZ1bmQgd29ya3M8L3RpdGxlPjwvdGl0
bGVzPjxhY2Nlc3MtZGF0ZT4zIEFwcmlsIDIwMTg8L2FjY2Vzcy1kYXRlPjxjb250cmlidXRvcnM+
PGF1dGhvcnM+PGF1dGhvcj5EZXBhcnRtZW50IGZvciBCdXNpbmVzcyBFbmVyZ3kgJmFtcDsgSW5k
dXN0cmlhbCBTdHJhdGVneSw8L2F1dGhvcj48L2F1dGhvcnM+PC9jb250cmlidXRvcnM+PGFkZGVk
LWRhdGUgZm9ybWF0PSJ1dGMiPjE1MjI3OTQzMTg8L2FkZGVkLWRhdGU+PHJlZi10eXBlIG5hbWU9
IkdvdmVybm1lbnQgRG9jdW1lbnQiPjQ2PC9yZWYtdHlwZT48ZGF0ZXM+PHllYXI+MjAxNzwveWVh
cj48L2RhdGVzPjxyZWMtbnVtYmVyPjc0NDU8L3JlYy1udW1iZXI+PGxhc3QtdXBkYXRlZC1kYXRl
IGZvcm1hdD0idXRjIj4xNTIyNzk0NDE2PC9sYXN0LXVwZGF0ZWQtZGF0ZT48Y29udHJpYnV0b3Jz
PjxzZWNvbmRhcnktYXV0aG9ycz48YXV0aG9yPkRlcGFydG1lbnQgZm9yIEJ1c2luZXNzLCBFbmVy
Z3kgJmFtcDsgSW5kdXN0cmlhbCBTdHJhdGVneSw8L2F1dGhvcj48L3NlY29uZGFyeS1hdXRob3Jz
PjwvY29udHJpYnV0b3JzPjwvcmVjb3JkPjwvQ2l0ZT48L0VuZE5vdGU+
</w:fldData>
        </w:fldChar>
      </w:r>
      <w:r w:rsidRPr="00590F06">
        <w:instrText xml:space="preserve"> ADDIN EN.CITE </w:instrText>
      </w:r>
      <w:r w:rsidRPr="00590F06">
        <w:fldChar w:fldCharType="begin">
          <w:fldData xml:space="preserve">PEVuZE5vdGU+PENpdGU+PEF1dGhvcj5EaWdpdGFsIFNjaWVuY2U8L0F1dGhvcj48WWVhcj4yMDE2
PC9ZZWFyPjxJRFRleHQ+VGhlIFZhbHVlIG9mIFN0cnVjdHVyYWwgRGl2ZXJzaXR5PC9JRFRleHQ+
PERpc3BsYXlUZXh0PihEZXBhcnRtZW50IGZvciBCdXNpbmVzcyBFbmVyZ3kgJmFtcDsgSW5kdXN0
cmlhbCBTdHJhdGVneSwgMjAxNzsgRGVwYXJ0bWVudCBmb3IgQnVzaW5lc3MgSW5ub3ZhdGlvbiAm
YW1wOyBTa2lsbHMsIDIwMTQ7IERpZ2l0YWwgU2NpZW5jZSAmYW1wOyBTY2llbmNlIFBvbGljeSBS
ZXNlYXJjaCBVbml0LCAyMDE2OyBTY2llbmNlIGFuZCBUZWNobm9sb2d5IFNlbGVjdCBDb21taXR0
ZWUsIDIwMTM7IFN0ZXJuLCAyMDE2KTwvRGlzcGxheVRleHQ+PHJlY29yZD48dXJscz48cmVsYXRl
ZC11cmxzPjx1cmw+aHR0cHM6Ly93d3cuZGlnaXRhbC1zY2llbmNlLmNvbS9yZXNvdXJjZXMvZGln
aXRhbC1yZXNlYXJjaC1yZXBvcnRzL2RpZ2l0YWwtcmVzZWFyY2gtcmVwb3J0LXRoZS12YWx1ZS1v
Zi1zdHJ1Y3R1cmFsLWRpdmVyc2l0eS88L3VybD48L3JlbGF0ZWQtdXJscz48L3VybHM+PHRpdGxl
cz48dGl0bGU+VGhlIFZhbHVlIG9mIFN0cnVjdHVyYWwgRGl2ZXJzaXR5PC90aXRsZT48L3RpdGxl
cz48Y29udHJpYnV0b3JzPjxhdXRob3JzPjxhdXRob3I+RGlnaXRhbCBTY2llbmNlLDwvYXV0aG9y
PjxhdXRob3I+U2NpZW5jZSBQb2xpY3kgUmVzZWFyY2ggVW5pdCw8L2F1dGhvcj48L2F1dGhvcnM+
PC9jb250cmlidXRvcnM+PGFkZGVkLWRhdGUgZm9ybWF0PSJ1dGMiPjE0Nzg3MTk0OTM8L2FkZGVk
LWRhdGU+PHJlZi10eXBlIG5hbWU9IkpvdXJuYWwgQXJ0aWNsZSI+MTc8L3JlZi10eXBlPjxkYXRl
cz48eWVhcj4yMDE2PC95ZWFyPjwvZGF0ZXM+PHJlYy1udW1iZXI+NjE2NjwvcmVjLW51bWJlcj48
bGFzdC11cGRhdGVkLWRhdGUgZm9ybWF0PSJ1dGMiPjE0ODM3MTc1Mjk8L2xhc3QtdXBkYXRlZC1k
YXRlPjwvcmVjb3JkPjwvQ2l0ZT48Q2l0ZT48QXV0aG9yPlNjaWVuY2UgYW5kIFRlY2hub2xvZ3kg
U2VsZWN0IENvbW1pdHRlZTwvQXV0aG9yPjxZZWFyPjIwMTM8L1llYXI+PElEVGV4dD5CcmlkZ2lu
ZyB0aGUgdmFsbGV5IG9mIGRlYXRoOiBpbXByb3ZpbmcgdGhlIGNvbW1lcmNpYWxpc2F0aW9uIG9m
IHJlc2VhcmNoPC9JRFRleHQ+PHJlY29yZD48dXJscz48cmVsYXRlZC11cmxzPjx1cmw+aHR0cDov
L3d3dy5wdWJsaWNhdGlvbnMucGFybGlhbWVudC51ay9wYS9jbTIwMTIxMy9jbXNlbGVjdC9jbXNj
dGVjaC8zNDgvMzQ4MDIuaHRtPC91cmw+PC9yZWxhdGVkLXVybHM+PC91cmxzPjx0aXRsZXM+PHRp
dGxlPkJyaWRnaW5nIHRoZSB2YWxsZXkgb2YgZGVhdGg6IGltcHJvdmluZyB0aGUgY29tbWVyY2lh
bGlzYXRpb24gb2YgcmVzZWFyY2g8L3RpdGxlPjwvdGl0bGVzPjxjb250cmlidXRvcnM+PGF1dGhv
cnM+PGF1dGhvcj5TY2llbmNlIGFuZCBUZWNobm9sb2d5IFNlbGVjdCBDb21taXR0ZWUsPC9hdXRo
b3I+PC9hdXRob3JzPjwvY29udHJpYnV0b3JzPjxhZGRlZC1kYXRlIGZvcm1hdD0idXRjIj4xNDc4
NzA0NjE4PC9hZGRlZC1kYXRlPjxyZWYtdHlwZSBuYW1lPSJHb3Zlcm5tZW50IERvY3VtZW50Ij40
NjwvcmVmLXR5cGU+PGRhdGVzPjx5ZWFyPjIwMTM8L3llYXI+PC9kYXRlcz48cmVjLW51bWJlcj42
MTExPC9yZWMtbnVtYmVyPjxsYXN0LXVwZGF0ZWQtZGF0ZSBmb3JtYXQ9InV0YyI+MTQ4NDI2MTE3
MDwvbGFzdC11cGRhdGVkLWRhdGU+PC9yZWNvcmQ+PC9DaXRlPjxDaXRlPjxBdXRob3I+U3Rlcm48
L0F1dGhvcj48WWVhcj4yMDE2PC9ZZWFyPjxJRFRleHQ+QnVpbGRpbmcgb24gU3VjY2VzcyBhbmQg
TGVhcm5pbmcgZnJvbSBFeHBlcmllbmNlOiBBbiBJbmRlcGVuZGVudCBSZXZpZXcgb2YgdGhlIFJl
c2VhcmNoIEV4Y2VsbGVuY2UgRnJhbWV3b3JrPC9JRFRleHQ+PHJlY29yZD48dXJscz48cmVsYXRl
ZC11cmxzPjx1cmw+aHR0cHM6Ly93d3cuZ292LnVrL2dvdmVybm1lbnQvdXBsb2Fkcy9zeXN0ZW0v
dXBsb2Fkcy9hdHRhY2htZW50X2RhdGEvZmlsZS81NDEzMzgvaW5kLTE2LTktcmVmLXN0ZXJuLXJl
dmlldy5wZGY8L3VybD48L3JlbGF0ZWQtdXJscz48L3VybHM+PHRpdGxlcz48dGl0bGU+QnVpbGRp
bmcgb24gU3VjY2VzcyBhbmQgTGVhcm5pbmcgZnJvbSBFeHBlcmllbmNlOiBBbiBJbmRlcGVuZGVu
dCBSZXZpZXcgb2YgdGhlIFJlc2VhcmNoIEV4Y2VsbGVuY2UgRnJhbWV3b3JrPC90aXRsZT48L3Rp
dGxlcz48YWNjZXNzLWRhdGU+NiBKYW51YXJ5IDIwMTc8L2FjY2Vzcy1kYXRlPjxjb250cmlidXRv
cnM+PGF1dGhvcnM+PGF1dGhvcj5TdGVybiwgTi48L2F1dGhvcj48L2F1dGhvcnM+PC9jb250cmli
dXRvcnM+PGFkZGVkLWRhdGUgZm9ybWF0PSJ1dGMiPjE0ODM3MTgyMjA8L2FkZGVkLWRhdGU+PHJl
Zi10eXBlIG5hbWU9IlJlcG9ydCI+Mjc8L3JlZi10eXBlPjxkYXRlcz48eWVhcj4yMDE2PC95ZWFy
PjwvZGF0ZXM+PHJlYy1udW1iZXI+NjQ1MzwvcmVjLW51bWJlcj48bGFzdC11cGRhdGVkLWRhdGUg
Zm9ybWF0PSJ1dGMiPjE0ODM3MTk4NDk8L2xhc3QtdXBkYXRlZC1kYXRlPjwvcmVjb3JkPjwvQ2l0
ZT48Q2l0ZT48QXV0aG9yPkRlcGFydG1lbnQgZm9yIEJ1c2luZXNzIElubm92YXRpb24gJmFtcDsg
U2tpbGxzPC9BdXRob3I+PFllYXI+MjAxNDwvWWVhcj48SURUZXh0Pk91ciBwbGFuIGZvciBncm93
dGg6IFNjaWVuY2UgYW5kIElubm92YXRpb24gLSBFdmlkZW5jZSBQYXBlcjwvSURUZXh0PjxyZWNv
cmQ+PHVybHM+PHJlbGF0ZWQtdXJscz48dXJsPmh0dHBzOi8vd3d3Lmdvdi51ay9nb3Zlcm5tZW50
L3B1YmxpY2F0aW9ucy9vdXItcGxhbi1mb3ItZ3Jvd3RoLXNjaWVuY2UtYW5kLWlubm92YXRpb24t
ZXZpZGVuY2U8L3VybD48L3JlbGF0ZWQtdXJscz48L3VybHM+PHRpdGxlcz48dGl0bGU+T3VyIHBs
YW4gZm9yIGdyb3d0aDogU2NpZW5jZSBhbmQgSW5ub3ZhdGlvbiAtIEV2aWRlbmNlIFBhcGVyPC90
aXRsZT48L3RpdGxlcz48Y29udHJpYnV0b3JzPjxhdXRob3JzPjxhdXRob3I+RGVwYXJ0bWVudCBm
b3IgQnVzaW5lc3MgSW5ub3ZhdGlvbiAmYW1wOyBTa2lsbHMsPC9hdXRob3I+PC9hdXRob3JzPjwv
Y29udHJpYnV0b3JzPjxhZGRlZC1kYXRlIGZvcm1hdD0idXRjIj4xNDg0NjA4MTEwPC9hZGRlZC1k
YXRlPjxyZWYtdHlwZSBuYW1lPSJSZXBvcnQiPjI3PC9yZWYtdHlwZT48ZGF0ZXM+PHllYXI+MjAx
NDwveWVhcj48L2RhdGVzPjxyZWMtbnVtYmVyPjY0ODQ8L3JlYy1udW1iZXI+PHB1Ymxpc2hlcj5C
dXNpbmVzcywgSW5ub3ZhdGlvbiAmYW1wOyBTa2lsbHM8L3B1Ymxpc2hlcj48bGFzdC11cGRhdGVk
LWRhdGUgZm9ybWF0PSJ1dGMiPjE1MjI3OTI2Nzg8L2xhc3QtdXBkYXRlZC1kYXRlPjwvcmVjb3Jk
PjwvQ2l0ZT48Q2l0ZT48QXV0aG9yPkRlcGFydG1lbnQgZm9yIEJ1c2luZXNzIEVuZXJneSAmYW1w
OyBJbmR1c3RyaWFsIFN0cmF0ZWd5PC9BdXRob3I+PFllYXI+MjAxNzwvWWVhcj48SURUZXh0Pkds
b2JhbCBDaGFsbGVuZ2VzIFJlc2VhcmNoIEZ1bmQgKEdDUkYpOiBob3cgdGhlIGZ1bmQgd29ya3M8
L0lEVGV4dD48cmVjb3JkPjx1cmxzPjxyZWxhdGVkLXVybHM+PHVybD5odHRwczovL3d3dy5nb3Yu
dWsvZ292ZXJubWVudC9wdWJsaWNhdGlvbnMvZ2xvYmFsLWNoYWxsZW5nZXMtcmVzZWFyY2gtZnVu
ZC9nbG9iYWwtY2hhbGxlbmdlcy1yZXNlYXJjaC1mdW5kLWdjcmYtaG93LXRoZS1mdW5kLXdvcmtz
PC91cmw+PC9yZWxhdGVkLXVybHM+PC91cmxzPjx0aXRsZXM+PHRpdGxlPkdsb2JhbCBDaGFsbGVu
Z2VzIFJlc2VhcmNoIEZ1bmQgKEdDUkYpOiBob3cgdGhlIGZ1bmQgd29ya3M8L3RpdGxlPjwvdGl0
bGVzPjxhY2Nlc3MtZGF0ZT4zIEFwcmlsIDIwMTg8L2FjY2Vzcy1kYXRlPjxjb250cmlidXRvcnM+
PGF1dGhvcnM+PGF1dGhvcj5EZXBhcnRtZW50IGZvciBCdXNpbmVzcyBFbmVyZ3kgJmFtcDsgSW5k
dXN0cmlhbCBTdHJhdGVneSw8L2F1dGhvcj48L2F1dGhvcnM+PC9jb250cmlidXRvcnM+PGFkZGVk
LWRhdGUgZm9ybWF0PSJ1dGMiPjE1MjI3OTQzMTg8L2FkZGVkLWRhdGU+PHJlZi10eXBlIG5hbWU9
IkdvdmVybm1lbnQgRG9jdW1lbnQiPjQ2PC9yZWYtdHlwZT48ZGF0ZXM+PHllYXI+MjAxNzwveWVh
cj48L2RhdGVzPjxyZWMtbnVtYmVyPjc0NDU8L3JlYy1udW1iZXI+PGxhc3QtdXBkYXRlZC1kYXRl
IGZvcm1hdD0idXRjIj4xNTIyNzk0NDE2PC9sYXN0LXVwZGF0ZWQtZGF0ZT48Y29udHJpYnV0b3Jz
PjxzZWNvbmRhcnktYXV0aG9ycz48YXV0aG9yPkRlcGFydG1lbnQgZm9yIEJ1c2luZXNzLCBFbmVy
Z3kgJmFtcDsgSW5kdXN0cmlhbCBTdHJhdGVneSw8L2F1dGhvcj48L3NlY29uZGFyeS1hdXRob3Jz
PjwvY29udHJpYnV0b3JzPjwvcmVjb3JkPjwvQ2l0ZT48L0VuZE5vdGU+
</w:fldData>
        </w:fldChar>
      </w:r>
      <w:r w:rsidRPr="00590F06">
        <w:instrText xml:space="preserve"> ADDIN EN.CITE.DATA </w:instrText>
      </w:r>
      <w:r w:rsidRPr="00590F06">
        <w:fldChar w:fldCharType="end"/>
      </w:r>
      <w:r w:rsidRPr="00590F06">
        <w:fldChar w:fldCharType="separate"/>
      </w:r>
      <w:r w:rsidRPr="00590F06">
        <w:rPr>
          <w:noProof/>
        </w:rPr>
        <w:t>(Department for Business Energy &amp; Industrial Strategy, 2017; Department for Business Innovation &amp; Skills, 2014; Digital Science &amp; Science Policy Research Unit, 2016; Science and Technology Select Committee, 2013; Stern, 2016)</w:t>
      </w:r>
      <w:r w:rsidRPr="00590F06">
        <w:fldChar w:fldCharType="end"/>
      </w:r>
      <w:r w:rsidRPr="00590F06">
        <w:t xml:space="preserve">. </w:t>
      </w:r>
      <w:r>
        <w:t xml:space="preserve">Perhaps most of all, the UK impact agenda can be understood in terms of the more general ‘third mission’ for universities – a parallel that has been drawn by many other authors </w:t>
      </w:r>
      <w:r>
        <w:fldChar w:fldCharType="begin">
          <w:fldData xml:space="preserve">PEVuZE5vdGU+PENpdGU+PEF1dGhvcj5kZSBKb25nPC9BdXRob3I+PFllYXI+MjAxMzwvWWVhcj48
SURUZXh0PlVuZGVyc3RhbmRpbmcgU29jaWV0YWwgSW1wYWN0IFRocm91Z2ggU3R1ZHlpbmcgUHJv
ZHVjdGl2ZSBJbnRlcmFjdGlvbnMuIFdvcmtpbmcgcGFwZXIgMTMwNDwvSURUZXh0PjxEaXNwbGF5
VGV4dD4oZGUgSm9uZyBldCBhbC4sIDIwMTM7IEtpdGFnYXdhICZhbXA7IExpZ2h0b3dsZXIsIDIw
MTM7IFBlcmttYW5uIGV0IGFsLiwgMjAxMyk8L0Rpc3BsYXlUZXh0PjxyZWNvcmQ+PHVybHM+PHJl
bGF0ZWQtdXJscz48dXJsPmh0dHBzOi8vd3d3LnJhdGhlbmF1Lm5sL2VuL3B1YmxpY2F0aW9uL3Vu
ZGVyc3RhbmRpbmctc29jaWV0YWwtaW1wYWN0LXRocm91Z2gtc3R1ZHlpbmctcHJvZHVjdGl2ZS1p
bnRlcmFjdGlvbnM8L3VybD48L3JlbGF0ZWQtdXJscz48L3VybHM+PHRpdGxlcz48dGl0bGU+VW5k
ZXJzdGFuZGluZyBTb2NpZXRhbCBJbXBhY3QgVGhyb3VnaCBTdHVkeWluZyBQcm9kdWN0aXZlIElu
dGVyYWN0aW9ucy4gV29ya2luZyBwYXBlciAxMzA0PC90aXRsZT48L3RpdGxlcz48YWNjZXNzLWRh
dGU+MTAgSmFudWFyeSAyMDE4PC9hY2Nlc3MtZGF0ZT48Y29udHJpYnV0b3JzPjxhdXRob3JzPjxh
dXRob3I+ZGUgSm9uZywgU3RlZmFuPC9hdXRob3I+PGF1dGhvcj5CYXJrZXIsIEthdGhhcmluZTwv
YXV0aG9yPjxhdXRob3I+Q294LCBEZWJvcmFoPC9hdXRob3I+PGF1dGhvcj5TdmVpbnNkb3R0aXIs
IFRob3JkaXM8L2F1dGhvcj48YXV0aG9yPlZhbiBkZW4gQmVzc2VsYWFyLCBQZXRlcjwvYXV0aG9y
PjwvYXV0aG9ycz48L2NvbnRyaWJ1dG9ycz48YWRkZWQtZGF0ZSBmb3JtYXQ9InV0YyI+MTUxNTYx
NTc2MjwvYWRkZWQtZGF0ZT48cmVmLXR5cGUgbmFtZT0iR2VuZXJpYyI+MTM8L3JlZi10eXBlPjxk
YXRlcz48eWVhcj4yMDEzPC95ZWFyPjwvZGF0ZXM+PHJlYy1udW1iZXI+NzMxMjwvcmVjLW51bWJl
cj48cHVibGlzaGVyPlJldGhlbmF1IEluc3RpdHV0PC9wdWJsaXNoZXI+PGxhc3QtdXBkYXRlZC1k
YXRlIGZvcm1hdD0idXRjIj4xNTE1NjE1NzYyPC9sYXN0LXVwZGF0ZWQtZGF0ZT48L3JlY29yZD48
L0NpdGU+PENpdGU+PEF1dGhvcj5QZXJrbWFubjwvQXV0aG9yPjxZZWFyPjIwMTM8L1llYXI+PElE
VGV4dD5BY2FkZW1pYyBlbmdhZ2VtZW50IGFuZCBjb21tZXJjaWFsaXNhdGlvbjogQSByZXZpZXcg
b2YgdGhlIGxpdGVyYXR1cmUgb24gdW5pdmVyc2l0eS1pbmR1c3RyeSByZWxhdGlvbnM8L0lEVGV4
dD48cmVjb3JkPjxkYXRlcz48cHViLWRhdGVzPjxkYXRlPk1hcjwvZGF0ZT48L3B1Yi1kYXRlcz48
eWVhcj4yMDEzPC95ZWFyPjwvZGF0ZXM+PHVybHM+PHJlbGF0ZWQtdXJscz48dXJsPiZsdDtHbyB0
byBJU0kmZ3Q7Oi8vV09TOjAwMDMxNjUzMDQwMDAxMDwvdXJsPjwvcmVsYXRlZC11cmxzPjwvdXJs
cz48aXNibj4wMDQ4LTczMzM8L2lzYm4+PHRpdGxlcz48dGl0bGU+QWNhZGVtaWMgZW5nYWdlbWVu
dCBhbmQgY29tbWVyY2lhbGlzYXRpb246IEEgcmV2aWV3IG9mIHRoZSBsaXRlcmF0dXJlIG9uIHVu
aXZlcnNpdHktaW5kdXN0cnkgcmVsYXRpb25zPC90aXRsZT48c2Vjb25kYXJ5LXRpdGxlPlJlc2Vh
cmNoIFBvbGljeTwvc2Vjb25kYXJ5LXRpdGxlPjwvdGl0bGVzPjxwYWdlcz40MjMtNDQyPC9wYWdl
cz48bnVtYmVyPjI8L251bWJlcj48Y29udHJpYnV0b3JzPjxhdXRob3JzPjxhdXRob3I+UGVya21h
bm4sIE1hcmt1czwvYXV0aG9yPjxhdXRob3I+VGFydGFyaSwgVmFsZW50aW5hPC9hdXRob3I+PGF1
dGhvcj5NY0tlbHZleSwgTWF1cmVlbjwvYXV0aG9yPjxhdXRob3I+QXV0aW8sIEVya2tvPC9hdXRo
b3I+PGF1dGhvcj5Ccm9zdHJvbSwgQW5kZXJzPC9hdXRob3I+PGF1dGhvcj5EJmFwb3M7RXN0ZSwg
UGFibG88L2F1dGhvcj48YXV0aG9yPkZpbmksIFJpY2NhcmRvPC9hdXRob3I+PGF1dGhvcj5HZXVu
YSwgQWxkbzwvYXV0aG9yPjxhdXRob3I+R3JpbWFsZGksIFJvc2E8L2F1dGhvcj48YXV0aG9yPkh1
Z2hlcywgQWxhbjwvYXV0aG9yPjxhdXRob3I+S3JhYmVsLCBTdGVmYW48L2F1dGhvcj48YXV0aG9y
PktpdHNvbiwgTWljaGFlbDwvYXV0aG9yPjxhdXRob3I+TGxlcmVuYSwgUGF0cmljazwvYXV0aG9y
PjxhdXRob3I+TGlzc29uaSwgRnJhbmNlc288L2F1dGhvcj48YXV0aG9yPlNhbHRlciwgQW1tb248
L2F1dGhvcj48YXV0aG9yPlNvYnJlcm8sIE1hdXJpemlvPC9hdXRob3I+PC9hdXRob3JzPjwvY29u
dHJpYnV0b3JzPjxhZGRlZC1kYXRlIGZvcm1hdD0idXRjIj4xNDY5MjM1NDIwPC9hZGRlZC1kYXRl
PjxyZWYtdHlwZSBuYW1lPSJKb3VybmFsIEFydGljbGUiPjE3PC9yZWYtdHlwZT48cmVjLW51bWJl
cj4xMTc5PC9yZWMtbnVtYmVyPjxsYXN0LXVwZGF0ZWQtZGF0ZSBmb3JtYXQ9InV0YyI+MTQ2OTIz
NTQ2ODwvbGFzdC11cGRhdGVkLWRhdGU+PGFjY2Vzc2lvbi1udW0+V09TOjAwMDMxNjUzMDQwMDAx
MDwvYWNjZXNzaW9uLW51bT48ZWxlY3Ryb25pYy1yZXNvdXJjZS1udW0+MTAuMTAxNi9qLnJlc3Bv
bC4yMDEyLjA5LjAwNzwvZWxlY3Ryb25pYy1yZXNvdXJjZS1udW0+PHZvbHVtZT40Mjwvdm9sdW1l
PjwvcmVjb3JkPjwvQ2l0ZT48Q2l0ZT48QXV0aG9yPktpdGFnYXdhPC9BdXRob3I+PFllYXI+MjAx
MzwvWWVhcj48SURUZXh0Pktub3dsZWRnZSBleGNoYW5nZTogQSBjb21wYXJpc29uIG9mIHBvbGlj
aWVzLCBzdHJhdGVnaWVzLCBhbmQgZnVuZGluZyBpbmNlbnRpdmVzIGluIEVuZ2xpc2ggYW5kIFNj
b3R0aXNoIGhpZ2hlciBlZHVjYXRpb248L0lEVGV4dD48cmVjb3JkPjxrZXl3b3Jkcz48a2V5d29y
ZD5IaWdoZXIgRWR1Y2F0aW9uPC9rZXl3b3JkPjxrZXl3b3JkPktub3dsZWRnZSBFeGNoYW5nZTwv
a2V5d29yZD48a2V5d29yZD5Qb2xpY3kgRWZmZWN0aXZlbmVzczwva2V5d29yZD48a2V5d29yZD5J
bmNlbnRpdmVzPC9rZXl3b3JkPjxrZXl3b3JkPkRldm9sdXRpb248L2tleXdvcmQ+PGtleXdvcmQ+
VWs8L2tleXdvcmQ+PC9rZXl3b3Jkcz48aXNibj4wOTU4LTIwMjk8L2lzYm4+PHRpdGxlcz48dGl0
bGU+S25vd2xlZGdlIGV4Y2hhbmdlOiBBIGNvbXBhcmlzb24gb2YgcG9saWNpZXMsIHN0cmF0ZWdp
ZXMsIGFuZCBmdW5kaW5nIGluY2VudGl2ZXMgaW4gRW5nbGlzaCBhbmQgU2NvdHRpc2ggaGlnaGVy
IGVkdWNhdGlvbjwvdGl0bGU+PHNlY29uZGFyeS10aXRsZT5SZXNlYXJjaCBFdmFsdWF0aW9uPC9z
ZWNvbmRhcnktdGl0bGU+PC90aXRsZXM+PHBhZ2VzPjEtMTQ8L3BhZ2VzPjxudW1iZXI+MTwvbnVt
YmVyPjxjb250cmlidXRvcnM+PGF1dGhvcnM+PGF1dGhvcj5LaXRhZ2F3YSwgRnVtaTwvYXV0aG9y
PjxhdXRob3I+TGlnaHRvd2xlciwgQ2xhaXJlPC9hdXRob3I+PC9hdXRob3JzPjwvY29udHJpYnV0
b3JzPjxhZGRlZC1kYXRlIGZvcm1hdD0idXRjIj4xNTQ5Mjk1ODc1PC9hZGRlZC1kYXRlPjxyZWYt
dHlwZSBuYW1lPSJKb3VybmFsIEFydGljbGUiPjE3PC9yZWYtdHlwZT48ZGF0ZXM+PHllYXI+MjAx
MzwveWVhcj48L2RhdGVzPjxyZWMtbnVtYmVyPjc3MjI8L3JlYy1udW1iZXI+PGxhc3QtdXBkYXRl
ZC1kYXRlIGZvcm1hdD0idXRjIj4xNTQ5Mjk1ODc1PC9sYXN0LXVwZGF0ZWQtZGF0ZT48ZWxlY3Ry
b25pYy1yZXNvdXJjZS1udW0+MTAuMTA5My9yZXNldmFsL3J2czAzNTwvZWxlY3Ryb25pYy1yZXNv
dXJjZS1udW0+PHZvbHVtZT4yMjwvdm9sdW1lPjwvcmVjb3JkPjwvQ2l0ZT48L0VuZE5vdGU+
</w:fldData>
        </w:fldChar>
      </w:r>
      <w:r w:rsidR="00C12E4D">
        <w:instrText xml:space="preserve"> ADDIN EN.CITE </w:instrText>
      </w:r>
      <w:r w:rsidR="00C12E4D">
        <w:fldChar w:fldCharType="begin">
          <w:fldData xml:space="preserve">PEVuZE5vdGU+PENpdGU+PEF1dGhvcj5kZSBKb25nPC9BdXRob3I+PFllYXI+MjAxMzwvWWVhcj48
SURUZXh0PlVuZGVyc3RhbmRpbmcgU29jaWV0YWwgSW1wYWN0IFRocm91Z2ggU3R1ZHlpbmcgUHJv
ZHVjdGl2ZSBJbnRlcmFjdGlvbnMuIFdvcmtpbmcgcGFwZXIgMTMwNDwvSURUZXh0PjxEaXNwbGF5
VGV4dD4oZGUgSm9uZyBldCBhbC4sIDIwMTM7IEtpdGFnYXdhICZhbXA7IExpZ2h0b3dsZXIsIDIw
MTM7IFBlcmttYW5uIGV0IGFsLiwgMjAxMyk8L0Rpc3BsYXlUZXh0PjxyZWNvcmQ+PHVybHM+PHJl
bGF0ZWQtdXJscz48dXJsPmh0dHBzOi8vd3d3LnJhdGhlbmF1Lm5sL2VuL3B1YmxpY2F0aW9uL3Vu
ZGVyc3RhbmRpbmctc29jaWV0YWwtaW1wYWN0LXRocm91Z2gtc3R1ZHlpbmctcHJvZHVjdGl2ZS1p
bnRlcmFjdGlvbnM8L3VybD48L3JlbGF0ZWQtdXJscz48L3VybHM+PHRpdGxlcz48dGl0bGU+VW5k
ZXJzdGFuZGluZyBTb2NpZXRhbCBJbXBhY3QgVGhyb3VnaCBTdHVkeWluZyBQcm9kdWN0aXZlIElu
dGVyYWN0aW9ucy4gV29ya2luZyBwYXBlciAxMzA0PC90aXRsZT48L3RpdGxlcz48YWNjZXNzLWRh
dGU+MTAgSmFudWFyeSAyMDE4PC9hY2Nlc3MtZGF0ZT48Y29udHJpYnV0b3JzPjxhdXRob3JzPjxh
dXRob3I+ZGUgSm9uZywgU3RlZmFuPC9hdXRob3I+PGF1dGhvcj5CYXJrZXIsIEthdGhhcmluZTwv
YXV0aG9yPjxhdXRob3I+Q294LCBEZWJvcmFoPC9hdXRob3I+PGF1dGhvcj5TdmVpbnNkb3R0aXIs
IFRob3JkaXM8L2F1dGhvcj48YXV0aG9yPlZhbiBkZW4gQmVzc2VsYWFyLCBQZXRlcjwvYXV0aG9y
PjwvYXV0aG9ycz48L2NvbnRyaWJ1dG9ycz48YWRkZWQtZGF0ZSBmb3JtYXQ9InV0YyI+MTUxNTYx
NTc2MjwvYWRkZWQtZGF0ZT48cmVmLXR5cGUgbmFtZT0iR2VuZXJpYyI+MTM8L3JlZi10eXBlPjxk
YXRlcz48eWVhcj4yMDEzPC95ZWFyPjwvZGF0ZXM+PHJlYy1udW1iZXI+NzMxMjwvcmVjLW51bWJl
cj48cHVibGlzaGVyPlJldGhlbmF1IEluc3RpdHV0PC9wdWJsaXNoZXI+PGxhc3QtdXBkYXRlZC1k
YXRlIGZvcm1hdD0idXRjIj4xNTE1NjE1NzYyPC9sYXN0LXVwZGF0ZWQtZGF0ZT48L3JlY29yZD48
L0NpdGU+PENpdGU+PEF1dGhvcj5QZXJrbWFubjwvQXV0aG9yPjxZZWFyPjIwMTM8L1llYXI+PElE
VGV4dD5BY2FkZW1pYyBlbmdhZ2VtZW50IGFuZCBjb21tZXJjaWFsaXNhdGlvbjogQSByZXZpZXcg
b2YgdGhlIGxpdGVyYXR1cmUgb24gdW5pdmVyc2l0eS1pbmR1c3RyeSByZWxhdGlvbnM8L0lEVGV4
dD48cmVjb3JkPjxkYXRlcz48cHViLWRhdGVzPjxkYXRlPk1hcjwvZGF0ZT48L3B1Yi1kYXRlcz48
eWVhcj4yMDEzPC95ZWFyPjwvZGF0ZXM+PHVybHM+PHJlbGF0ZWQtdXJscz48dXJsPiZsdDtHbyB0
byBJU0kmZ3Q7Oi8vV09TOjAwMDMxNjUzMDQwMDAxMDwvdXJsPjwvcmVsYXRlZC11cmxzPjwvdXJs
cz48aXNibj4wMDQ4LTczMzM8L2lzYm4+PHRpdGxlcz48dGl0bGU+QWNhZGVtaWMgZW5nYWdlbWVu
dCBhbmQgY29tbWVyY2lhbGlzYXRpb246IEEgcmV2aWV3IG9mIHRoZSBsaXRlcmF0dXJlIG9uIHVu
aXZlcnNpdHktaW5kdXN0cnkgcmVsYXRpb25zPC90aXRsZT48c2Vjb25kYXJ5LXRpdGxlPlJlc2Vh
cmNoIFBvbGljeTwvc2Vjb25kYXJ5LXRpdGxlPjwvdGl0bGVzPjxwYWdlcz40MjMtNDQyPC9wYWdl
cz48bnVtYmVyPjI8L251bWJlcj48Y29udHJpYnV0b3JzPjxhdXRob3JzPjxhdXRob3I+UGVya21h
bm4sIE1hcmt1czwvYXV0aG9yPjxhdXRob3I+VGFydGFyaSwgVmFsZW50aW5hPC9hdXRob3I+PGF1
dGhvcj5NY0tlbHZleSwgTWF1cmVlbjwvYXV0aG9yPjxhdXRob3I+QXV0aW8sIEVya2tvPC9hdXRo
b3I+PGF1dGhvcj5Ccm9zdHJvbSwgQW5kZXJzPC9hdXRob3I+PGF1dGhvcj5EJmFwb3M7RXN0ZSwg
UGFibG88L2F1dGhvcj48YXV0aG9yPkZpbmksIFJpY2NhcmRvPC9hdXRob3I+PGF1dGhvcj5HZXVu
YSwgQWxkbzwvYXV0aG9yPjxhdXRob3I+R3JpbWFsZGksIFJvc2E8L2F1dGhvcj48YXV0aG9yPkh1
Z2hlcywgQWxhbjwvYXV0aG9yPjxhdXRob3I+S3JhYmVsLCBTdGVmYW48L2F1dGhvcj48YXV0aG9y
PktpdHNvbiwgTWljaGFlbDwvYXV0aG9yPjxhdXRob3I+TGxlcmVuYSwgUGF0cmljazwvYXV0aG9y
PjxhdXRob3I+TGlzc29uaSwgRnJhbmNlc288L2F1dGhvcj48YXV0aG9yPlNhbHRlciwgQW1tb248
L2F1dGhvcj48YXV0aG9yPlNvYnJlcm8sIE1hdXJpemlvPC9hdXRob3I+PC9hdXRob3JzPjwvY29u
dHJpYnV0b3JzPjxhZGRlZC1kYXRlIGZvcm1hdD0idXRjIj4xNDY5MjM1NDIwPC9hZGRlZC1kYXRl
PjxyZWYtdHlwZSBuYW1lPSJKb3VybmFsIEFydGljbGUiPjE3PC9yZWYtdHlwZT48cmVjLW51bWJl
cj4xMTc5PC9yZWMtbnVtYmVyPjxsYXN0LXVwZGF0ZWQtZGF0ZSBmb3JtYXQ9InV0YyI+MTQ2OTIz
NTQ2ODwvbGFzdC11cGRhdGVkLWRhdGU+PGFjY2Vzc2lvbi1udW0+V09TOjAwMDMxNjUzMDQwMDAx
MDwvYWNjZXNzaW9uLW51bT48ZWxlY3Ryb25pYy1yZXNvdXJjZS1udW0+MTAuMTAxNi9qLnJlc3Bv
bC4yMDEyLjA5LjAwNzwvZWxlY3Ryb25pYy1yZXNvdXJjZS1udW0+PHZvbHVtZT40Mjwvdm9sdW1l
PjwvcmVjb3JkPjwvQ2l0ZT48Q2l0ZT48QXV0aG9yPktpdGFnYXdhPC9BdXRob3I+PFllYXI+MjAx
MzwvWWVhcj48SURUZXh0Pktub3dsZWRnZSBleGNoYW5nZTogQSBjb21wYXJpc29uIG9mIHBvbGlj
aWVzLCBzdHJhdGVnaWVzLCBhbmQgZnVuZGluZyBpbmNlbnRpdmVzIGluIEVuZ2xpc2ggYW5kIFNj
b3R0aXNoIGhpZ2hlciBlZHVjYXRpb248L0lEVGV4dD48cmVjb3JkPjxrZXl3b3Jkcz48a2V5d29y
ZD5IaWdoZXIgRWR1Y2F0aW9uPC9rZXl3b3JkPjxrZXl3b3JkPktub3dsZWRnZSBFeGNoYW5nZTwv
a2V5d29yZD48a2V5d29yZD5Qb2xpY3kgRWZmZWN0aXZlbmVzczwva2V5d29yZD48a2V5d29yZD5J
bmNlbnRpdmVzPC9rZXl3b3JkPjxrZXl3b3JkPkRldm9sdXRpb248L2tleXdvcmQ+PGtleXdvcmQ+
VWs8L2tleXdvcmQ+PC9rZXl3b3Jkcz48aXNibj4wOTU4LTIwMjk8L2lzYm4+PHRpdGxlcz48dGl0
bGU+S25vd2xlZGdlIGV4Y2hhbmdlOiBBIGNvbXBhcmlzb24gb2YgcG9saWNpZXMsIHN0cmF0ZWdp
ZXMsIGFuZCBmdW5kaW5nIGluY2VudGl2ZXMgaW4gRW5nbGlzaCBhbmQgU2NvdHRpc2ggaGlnaGVy
IGVkdWNhdGlvbjwvdGl0bGU+PHNlY29uZGFyeS10aXRsZT5SZXNlYXJjaCBFdmFsdWF0aW9uPC9z
ZWNvbmRhcnktdGl0bGU+PC90aXRsZXM+PHBhZ2VzPjEtMTQ8L3BhZ2VzPjxudW1iZXI+MTwvbnVt
YmVyPjxjb250cmlidXRvcnM+PGF1dGhvcnM+PGF1dGhvcj5LaXRhZ2F3YSwgRnVtaTwvYXV0aG9y
PjxhdXRob3I+TGlnaHRvd2xlciwgQ2xhaXJlPC9hdXRob3I+PC9hdXRob3JzPjwvY29udHJpYnV0
b3JzPjxhZGRlZC1kYXRlIGZvcm1hdD0idXRjIj4xNTQ5Mjk1ODc1PC9hZGRlZC1kYXRlPjxyZWYt
dHlwZSBuYW1lPSJKb3VybmFsIEFydGljbGUiPjE3PC9yZWYtdHlwZT48ZGF0ZXM+PHllYXI+MjAx
MzwveWVhcj48L2RhdGVzPjxyZWMtbnVtYmVyPjc3MjI8L3JlYy1udW1iZXI+PGxhc3QtdXBkYXRl
ZC1kYXRlIGZvcm1hdD0idXRjIj4xNTQ5Mjk1ODc1PC9sYXN0LXVwZGF0ZWQtZGF0ZT48ZWxlY3Ry
b25pYy1yZXNvdXJjZS1udW0+MTAuMTA5My9yZXNldmFsL3J2czAzNTwvZWxlY3Ryb25pYy1yZXNv
dXJjZS1udW0+PHZvbHVtZT4yMjwvdm9sdW1lPjwvcmVjb3JkPjwvQ2l0ZT48L0VuZE5vdGU+
</w:fldData>
        </w:fldChar>
      </w:r>
      <w:r w:rsidR="00C12E4D">
        <w:instrText xml:space="preserve"> ADDIN EN.CITE.DATA </w:instrText>
      </w:r>
      <w:r w:rsidR="00C12E4D">
        <w:fldChar w:fldCharType="end"/>
      </w:r>
      <w:r>
        <w:fldChar w:fldCharType="separate"/>
      </w:r>
      <w:r w:rsidR="00C12E4D">
        <w:rPr>
          <w:noProof/>
        </w:rPr>
        <w:t>(de Jong et al., 2013; Kitagawa &amp; Lightowler, 2013; Perkmann et al., 2013)</w:t>
      </w:r>
      <w:r>
        <w:fldChar w:fldCharType="end"/>
      </w:r>
      <w:r>
        <w:t xml:space="preserve">. As Bacevic (2017) argues, UK universities’ research impact, as assessed in the REF, could be understood as a (partial) “measure” of their third mission </w:t>
      </w:r>
      <w:r>
        <w:fldChar w:fldCharType="begin"/>
      </w:r>
      <w:r>
        <w:instrText xml:space="preserve"> ADDIN EN.CITE &lt;EndNote&gt;&lt;Cite ExcludeAuth="1" ExcludeYear="1"&gt;&lt;Author&gt;Bacevic&lt;/Author&gt;&lt;Year&gt;2017&lt;/Year&gt;&lt;IDText&gt;Beyond the Third Mission: Toward an Actor-Based Account of Universities&amp;apos; Relationship with Society&lt;/IDText&gt;&lt;Pages&gt;8&lt;/Pages&gt;&lt;DisplayText&gt;(p. 8)&lt;/DisplayText&gt;&lt;record&gt;&lt;keywords&gt;&lt;keyword&gt;Neoliberalism&lt;/keyword&gt;&lt;keyword&gt;Neo-liberalism&lt;/keyword&gt;&lt;keyword&gt;Liberalism&lt;/keyword&gt;&lt;/keywords&gt;&lt;titles&gt;&lt;title&gt;Beyond the Third Mission: Toward an Actor-Based Account of Universities&amp;apos; Relationship with Society&lt;/title&gt;&lt;secondary-title&gt;Universities in the  neoliberal  era : academic cultures and critical perspectives&lt;/secondary-title&gt;&lt;/titles&gt;&lt;contributors&gt;&lt;authors&gt;&lt;author&gt;Bacevic, Jana&lt;/author&gt;&lt;/authors&gt;&lt;/contributors&gt;&lt;added-date format="utc"&gt;1541514408&lt;/added-date&gt;&lt;pub-location&gt;London&lt;/pub-location&gt;&lt;ref-type name="Book Section"&gt;5&lt;/ref-type&gt;&lt;dates&gt;&lt;year&gt;2017&lt;/year&gt;&lt;/dates&gt;&lt;rec-number&gt;7676&lt;/rec-number&gt;&lt;publisher&gt;Palgrave Macmillan&lt;/publisher&gt;&lt;last-updated-date format="utc"&gt;1541514527&lt;/last-updated-date&gt;&lt;contributors&gt;&lt;secondary-authors&gt;&lt;author&gt;Ergül, Hakan&lt;/author&gt;&lt;author&gt;Coşar, Simten&lt;/author&gt;&lt;/secondary-authors&gt;&lt;/contributors&gt;&lt;/record&gt;&lt;/Cite&gt;&lt;/EndNote&gt;</w:instrText>
      </w:r>
      <w:r>
        <w:fldChar w:fldCharType="separate"/>
      </w:r>
      <w:r>
        <w:rPr>
          <w:noProof/>
        </w:rPr>
        <w:t>(p. 8)</w:t>
      </w:r>
      <w:r>
        <w:fldChar w:fldCharType="end"/>
      </w:r>
      <w:r>
        <w:t>.</w:t>
      </w:r>
    </w:p>
    <w:p w14:paraId="3E7FC706" w14:textId="4146A813" w:rsidR="00FD7CF3" w:rsidRPr="007B3A7A" w:rsidRDefault="00FD7CF3" w:rsidP="00FD7CF3">
      <w:pPr>
        <w:spacing w:after="120" w:line="360" w:lineRule="auto"/>
        <w:rPr>
          <w:sz w:val="24"/>
          <w:szCs w:val="24"/>
        </w:rPr>
      </w:pPr>
      <w:r w:rsidRPr="00605971">
        <w:rPr>
          <w:sz w:val="24"/>
          <w:szCs w:val="24"/>
        </w:rPr>
        <w:t xml:space="preserve">Although, ultimately, such policies and initiatives cannot force scientists or universities to reorient their work and activities, they do create an environment which, as some theorists have put it, operates “selectively” </w:t>
      </w:r>
      <w:r w:rsidRPr="00605971">
        <w:rPr>
          <w:sz w:val="24"/>
          <w:szCs w:val="24"/>
        </w:rPr>
        <w:fldChar w:fldCharType="begin">
          <w:fldData xml:space="preserve">PEVuZE5vdGU+PENpdGU+PEF1dGhvcj5MZXlkZXNkb3JmZjwvQXV0aG9yPjxZZWFyPjIwMTA8L1ll
YXI+PElEVGV4dD5UaGUga25vd2xlZGdl4oCQIGJhc2VkIGVjb25vbXkgYW5kIHRoZSB0cmlwbGUg
aGVsaXggbW9kZWw8L0lEVGV4dD48UGFnZXM+MzcwPC9QYWdlcz48RGlzcGxheVRleHQ+KEJlcm5z
dGVpbiwgMjAwMCwgcC4gNTU7IExleWRlc2RvcmZmLCAyMDEwLCBwLiAzNzA7IFJvYmVydHNvbiwg
MjAxMCwgcC4gMTkzKTwvRGlzcGxheVRleHQ+PHJlY29yZD48a2V5d29yZHM+PGtleXdvcmQ+TGli
cmFyeSAmYW1wO2FtcDwva2V5d29yZD48a2V5d29yZD5JbmZvcm1hdGlvbiBTY2llbmNlPC9rZXl3
b3JkPjwva2V5d29yZHM+PGlzYm4+MDA2Ni00MjAwPC9pc2JuPjx0aXRsZXM+PHRpdGxlPlRoZSBr
bm93bGVkZ2XigJAgYmFzZWQgZWNvbm9teSBhbmQgdGhlIHRyaXBsZSBoZWxpeCBtb2RlbDwvdGl0
bGU+PHNlY29uZGFyeS10aXRsZT5Bbm51YWwgUmV2aWV3IG9mIEluZm9ybWF0aW9uIFNjaWVuY2Ug
YW5kIFRlY2hub2xvZ3k8L3NlY29uZGFyeS10aXRsZT48L3RpdGxlcz48cGFnZXM+MzY1LTQxNzwv
cGFnZXM+PG51bWJlcj4xPC9udW1iZXI+PGNvbnRyaWJ1dG9ycz48YXV0aG9ycz48YXV0aG9yPkxl
eWRlc2RvcmZmLCBMb2V0PC9hdXRob3I+PC9hdXRob3JzPjwvY29udHJpYnV0b3JzPjxhZGRlZC1k
YXRlIGZvcm1hdD0idXRjIj4xNTIyODM1ODEyPC9hZGRlZC1kYXRlPjxwdWItbG9jYXRpb24+SG9i
b2tlbjwvcHViLWxvY2F0aW9uPjxyZWYtdHlwZSBuYW1lPSJKb3VybmFsIEFydGljbGUiPjE3PC9y
ZWYtdHlwZT48ZGF0ZXM+PHllYXI+MjAxMDwveWVhcj48L2RhdGVzPjxyZWMtbnVtYmVyPjc0NDc8
L3JlYy1udW1iZXI+PGxhc3QtdXBkYXRlZC1kYXRlIGZvcm1hdD0idXRjIj4xNTIyODM1ODEyPC9s
YXN0LXVwZGF0ZWQtZGF0ZT48ZWxlY3Ryb25pYy1yZXNvdXJjZS1udW0+MTAuMTAwMi9hcmlzLjIw
MTAuMTQ0MDQ0MDExNjwvZWxlY3Ryb25pYy1yZXNvdXJjZS1udW0+PHZvbHVtZT40NDwvdm9sdW1l
PjwvcmVjb3JkPjwvQ2l0ZT48Q2l0ZT48QXV0aG9yPlJvYmVydHNvbjwvQXV0aG9yPjxZZWFyPjIw
MTA8L1llYXI+PElEVGV4dD5Db3Jwb3JhdGlzYXRpb24sIGNvbXBldGl0aXZlbmVzcywgY29tbWVy
Y2lhbGlzYXRpb246IG5ldyBsb2dpY3MgaW4gdGhlIGdsb2JhbGlzaW5nIG9mIFVLIGhpZ2hlciBl
ZHVjYXRpb248L0lEVGV4dD48UGFnZXM+MTkzPC9QYWdlcz48cmVjb3JkPjxpc2JuPjE0NzY3NzI0
IChJU1NOKTwvaXNibj48dGl0bGVzPjx0aXRsZT5Db3Jwb3JhdGlzYXRpb24sIGNvbXBldGl0aXZl
bmVzcywgY29tbWVyY2lhbGlzYXRpb246IG5ldyBsb2dpY3MgaW4gdGhlIGdsb2JhbGlzaW5nIG9m
IFVLIGhpZ2hlciBlZHVjYXRpb248L3RpdGxlPjxzZWNvbmRhcnktdGl0bGU+R2xvYmFsaXNhdGlv
biwgU29jaWV0aWVzIGFuZCBFZHVjYXRpb248L3NlY29uZGFyeS10aXRsZT48L3RpdGxlcz48cGFn
ZXM+MTkxLTIwMzwvcGFnZXM+PHVybHM+PHBkZi11cmxzPjx1cmw+ZmlsZTovLy9DOi9Vc2Vycy9l
bGllbF8wMDAvQXBwRGF0YS9Mb2NhbC9NZW5kZWxleSBMdGQuL01lbmRlbGV5IERlc2t0b3AvRG93
bmxvYWRlZC9Sb2JlcnRzb24gLSAyMDEwIC0gQ29ycG9yYXRpc2F0aW9uLCBjb21wZXRpdGl2ZW5l
c3MsIGNvbW1lcmNpYWxpc2F0aW9uIG5ldyBsb2dpY3MgaW4gdGhlIGdsb2JhbGlzaW5nIG9mIFVL
IGhpZ2hlciBlZHVjYXRpb24ucGRmPC91cmw+PC9wZGYtdXJscz48L3VybHM+PG51bWJlcj4yPC9u
dW1iZXI+PGNvbnRyaWJ1dG9ycz48YXV0aG9ycz48YXV0aG9yPlJvYmVydHNvbiwgU3VzYW4gTC48
L2F1dGhvcj48L2F1dGhvcnM+PC9jb250cmlidXRvcnM+PGFkZGVkLWRhdGUgZm9ybWF0PSJ1dGMi
PjE0NTI3MDQ0MjQ8L2FkZGVkLWRhdGU+PHJlZi10eXBlIG5hbWU9IkpvdXJuYWwgQXJ0aWNsZSI+
MTc8L3JlZi10eXBlPjxkYXRlcz48eWVhcj4yMDEwPC95ZWFyPjwvZGF0ZXM+PHJlYy1udW1iZXI+
MTI3PC9yZWMtbnVtYmVyPjxsYXN0LXVwZGF0ZWQtZGF0ZSBmb3JtYXQ9InV0YyI+MTQ2OTIxNTQ2
ODwvbGFzdC11cGRhdGVkLWRhdGU+PGVsZWN0cm9uaWMtcmVzb3VyY2UtbnVtPjEwLjEwODAvMTQ3
Njc3MjEwMDM3NzYzMjA8L2VsZWN0cm9uaWMtcmVzb3VyY2UtbnVtPjx2b2x1bWU+ODwvdm9sdW1l
PjwvcmVjb3JkPjwvQ2l0ZT48Q2l0ZT48QXV0aG9yPkJlcm5zdGVpbjwvQXV0aG9yPjxZZWFyPjIw
MDA8L1llYXI+PElEVGV4dD5QZWRhZ29neSwgc3ltYm9saWMgY29udHJvbCwgYW5kIGlkZW50aXR5
OiBUaGVvcnksIHJlc2VhcmNoLCBjcml0aXF1ZTwvSURUZXh0PjxQYWdlcz41NTwvUGFnZXM+PHJl
Y29yZD48aXNibj4wODQ3Njk1NzZYPC9pc2JuPjx0aXRsZXM+PHRpdGxlPlBlZGFnb2d5LCBzeW1i
b2xpYyBjb250cm9sLCBhbmQgaWRlbnRpdHk6IFRoZW9yeSwgcmVzZWFyY2gsIGNyaXRpcXVlPC90
aXRsZT48L3RpdGxlcz48bnVtYmVyPjQ8L251bWJlcj48Y29udHJpYnV0b3JzPjxhdXRob3JzPjxh
dXRob3I+QmVybnN0ZWluLCBCYXNpbDwvYXV0aG9yPjwvYXV0aG9ycz48L2NvbnRyaWJ1dG9ycz48
ZWRpdGlvbj4ybmQ8L2VkaXRpb24+PGFkZGVkLWRhdGUgZm9ybWF0PSJ1dGMiPjE0NTI3MDc4NTU8
L2FkZGVkLWRhdGU+PHB1Yi1sb2NhdGlvbj5PeGZvcmQ8L3B1Yi1sb2NhdGlvbj48cmVmLXR5cGUg
bmFtZT0iQm9vayI+NjwvcmVmLXR5cGU+PGRhdGVzPjx5ZWFyPjIwMDA8L3llYXI+PC9kYXRlcz48
cmVjLW51bWJlcj4xODU8L3JlYy1udW1iZXI+PHB1Ymxpc2hlcj5Sb3dtYW4gJmFtcDsgTGl0dGxl
ZmllbGQ8L3B1Ymxpc2hlcj48bGFzdC11cGRhdGVkLWRhdGUgZm9ybWF0PSJ1dGMiPjE0Nzc3NjY4
MDg8L2xhc3QtdXBkYXRlZC1kYXRlPjwvcmVjb3JkPjwvQ2l0ZT48L0VuZE5vdGU+
</w:fldData>
        </w:fldChar>
      </w:r>
      <w:r w:rsidRPr="00605971">
        <w:rPr>
          <w:sz w:val="24"/>
          <w:szCs w:val="24"/>
        </w:rPr>
        <w:instrText xml:space="preserve"> ADDIN EN.CITE </w:instrText>
      </w:r>
      <w:r w:rsidRPr="00605971">
        <w:rPr>
          <w:sz w:val="24"/>
          <w:szCs w:val="24"/>
        </w:rPr>
        <w:fldChar w:fldCharType="begin">
          <w:fldData xml:space="preserve">PEVuZE5vdGU+PENpdGU+PEF1dGhvcj5MZXlkZXNkb3JmZjwvQXV0aG9yPjxZZWFyPjIwMTA8L1ll
YXI+PElEVGV4dD5UaGUga25vd2xlZGdl4oCQIGJhc2VkIGVjb25vbXkgYW5kIHRoZSB0cmlwbGUg
aGVsaXggbW9kZWw8L0lEVGV4dD48UGFnZXM+MzcwPC9QYWdlcz48RGlzcGxheVRleHQ+KEJlcm5z
dGVpbiwgMjAwMCwgcC4gNTU7IExleWRlc2RvcmZmLCAyMDEwLCBwLiAzNzA7IFJvYmVydHNvbiwg
MjAxMCwgcC4gMTkzKTwvRGlzcGxheVRleHQ+PHJlY29yZD48a2V5d29yZHM+PGtleXdvcmQ+TGli
cmFyeSAmYW1wO2FtcDwva2V5d29yZD48a2V5d29yZD5JbmZvcm1hdGlvbiBTY2llbmNlPC9rZXl3
b3JkPjwva2V5d29yZHM+PGlzYm4+MDA2Ni00MjAwPC9pc2JuPjx0aXRsZXM+PHRpdGxlPlRoZSBr
bm93bGVkZ2XigJAgYmFzZWQgZWNvbm9teSBhbmQgdGhlIHRyaXBsZSBoZWxpeCBtb2RlbDwvdGl0
bGU+PHNlY29uZGFyeS10aXRsZT5Bbm51YWwgUmV2aWV3IG9mIEluZm9ybWF0aW9uIFNjaWVuY2Ug
YW5kIFRlY2hub2xvZ3k8L3NlY29uZGFyeS10aXRsZT48L3RpdGxlcz48cGFnZXM+MzY1LTQxNzwv
cGFnZXM+PG51bWJlcj4xPC9udW1iZXI+PGNvbnRyaWJ1dG9ycz48YXV0aG9ycz48YXV0aG9yPkxl
eWRlc2RvcmZmLCBMb2V0PC9hdXRob3I+PC9hdXRob3JzPjwvY29udHJpYnV0b3JzPjxhZGRlZC1k
YXRlIGZvcm1hdD0idXRjIj4xNTIyODM1ODEyPC9hZGRlZC1kYXRlPjxwdWItbG9jYXRpb24+SG9i
b2tlbjwvcHViLWxvY2F0aW9uPjxyZWYtdHlwZSBuYW1lPSJKb3VybmFsIEFydGljbGUiPjE3PC9y
ZWYtdHlwZT48ZGF0ZXM+PHllYXI+MjAxMDwveWVhcj48L2RhdGVzPjxyZWMtbnVtYmVyPjc0NDc8
L3JlYy1udW1iZXI+PGxhc3QtdXBkYXRlZC1kYXRlIGZvcm1hdD0idXRjIj4xNTIyODM1ODEyPC9s
YXN0LXVwZGF0ZWQtZGF0ZT48ZWxlY3Ryb25pYy1yZXNvdXJjZS1udW0+MTAuMTAwMi9hcmlzLjIw
MTAuMTQ0MDQ0MDExNjwvZWxlY3Ryb25pYy1yZXNvdXJjZS1udW0+PHZvbHVtZT40NDwvdm9sdW1l
PjwvcmVjb3JkPjwvQ2l0ZT48Q2l0ZT48QXV0aG9yPlJvYmVydHNvbjwvQXV0aG9yPjxZZWFyPjIw
MTA8L1llYXI+PElEVGV4dD5Db3Jwb3JhdGlzYXRpb24sIGNvbXBldGl0aXZlbmVzcywgY29tbWVy
Y2lhbGlzYXRpb246IG5ldyBsb2dpY3MgaW4gdGhlIGdsb2JhbGlzaW5nIG9mIFVLIGhpZ2hlciBl
ZHVjYXRpb248L0lEVGV4dD48UGFnZXM+MTkzPC9QYWdlcz48cmVjb3JkPjxpc2JuPjE0NzY3NzI0
IChJU1NOKTwvaXNibj48dGl0bGVzPjx0aXRsZT5Db3Jwb3JhdGlzYXRpb24sIGNvbXBldGl0aXZl
bmVzcywgY29tbWVyY2lhbGlzYXRpb246IG5ldyBsb2dpY3MgaW4gdGhlIGdsb2JhbGlzaW5nIG9m
IFVLIGhpZ2hlciBlZHVjYXRpb248L3RpdGxlPjxzZWNvbmRhcnktdGl0bGU+R2xvYmFsaXNhdGlv
biwgU29jaWV0aWVzIGFuZCBFZHVjYXRpb248L3NlY29uZGFyeS10aXRsZT48L3RpdGxlcz48cGFn
ZXM+MTkxLTIwMzwvcGFnZXM+PHVybHM+PHBkZi11cmxzPjx1cmw+ZmlsZTovLy9DOi9Vc2Vycy9l
bGllbF8wMDAvQXBwRGF0YS9Mb2NhbC9NZW5kZWxleSBMdGQuL01lbmRlbGV5IERlc2t0b3AvRG93
bmxvYWRlZC9Sb2JlcnRzb24gLSAyMDEwIC0gQ29ycG9yYXRpc2F0aW9uLCBjb21wZXRpdGl2ZW5l
c3MsIGNvbW1lcmNpYWxpc2F0aW9uIG5ldyBsb2dpY3MgaW4gdGhlIGdsb2JhbGlzaW5nIG9mIFVL
IGhpZ2hlciBlZHVjYXRpb24ucGRmPC91cmw+PC9wZGYtdXJscz48L3VybHM+PG51bWJlcj4yPC9u
dW1iZXI+PGNvbnRyaWJ1dG9ycz48YXV0aG9ycz48YXV0aG9yPlJvYmVydHNvbiwgU3VzYW4gTC48
L2F1dGhvcj48L2F1dGhvcnM+PC9jb250cmlidXRvcnM+PGFkZGVkLWRhdGUgZm9ybWF0PSJ1dGMi
PjE0NTI3MDQ0MjQ8L2FkZGVkLWRhdGU+PHJlZi10eXBlIG5hbWU9IkpvdXJuYWwgQXJ0aWNsZSI+
MTc8L3JlZi10eXBlPjxkYXRlcz48eWVhcj4yMDEwPC95ZWFyPjwvZGF0ZXM+PHJlYy1udW1iZXI+
MTI3PC9yZWMtbnVtYmVyPjxsYXN0LXVwZGF0ZWQtZGF0ZSBmb3JtYXQ9InV0YyI+MTQ2OTIxNTQ2
ODwvbGFzdC11cGRhdGVkLWRhdGU+PGVsZWN0cm9uaWMtcmVzb3VyY2UtbnVtPjEwLjEwODAvMTQ3
Njc3MjEwMDM3NzYzMjA8L2VsZWN0cm9uaWMtcmVzb3VyY2UtbnVtPjx2b2x1bWU+ODwvdm9sdW1l
PjwvcmVjb3JkPjwvQ2l0ZT48Q2l0ZT48QXV0aG9yPkJlcm5zdGVpbjwvQXV0aG9yPjxZZWFyPjIw
MDA8L1llYXI+PElEVGV4dD5QZWRhZ29neSwgc3ltYm9saWMgY29udHJvbCwgYW5kIGlkZW50aXR5
OiBUaGVvcnksIHJlc2VhcmNoLCBjcml0aXF1ZTwvSURUZXh0PjxQYWdlcz41NTwvUGFnZXM+PHJl
Y29yZD48aXNibj4wODQ3Njk1NzZYPC9pc2JuPjx0aXRsZXM+PHRpdGxlPlBlZGFnb2d5LCBzeW1i
b2xpYyBjb250cm9sLCBhbmQgaWRlbnRpdHk6IFRoZW9yeSwgcmVzZWFyY2gsIGNyaXRpcXVlPC90
aXRsZT48L3RpdGxlcz48bnVtYmVyPjQ8L251bWJlcj48Y29udHJpYnV0b3JzPjxhdXRob3JzPjxh
dXRob3I+QmVybnN0ZWluLCBCYXNpbDwvYXV0aG9yPjwvYXV0aG9ycz48L2NvbnRyaWJ1dG9ycz48
ZWRpdGlvbj4ybmQ8L2VkaXRpb24+PGFkZGVkLWRhdGUgZm9ybWF0PSJ1dGMiPjE0NTI3MDc4NTU8
L2FkZGVkLWRhdGU+PHB1Yi1sb2NhdGlvbj5PeGZvcmQ8L3B1Yi1sb2NhdGlvbj48cmVmLXR5cGUg
bmFtZT0iQm9vayI+NjwvcmVmLXR5cGU+PGRhdGVzPjx5ZWFyPjIwMDA8L3llYXI+PC9kYXRlcz48
cmVjLW51bWJlcj4xODU8L3JlYy1udW1iZXI+PHB1Ymxpc2hlcj5Sb3dtYW4gJmFtcDsgTGl0dGxl
ZmllbGQ8L3B1Ymxpc2hlcj48bGFzdC11cGRhdGVkLWRhdGUgZm9ybWF0PSJ1dGMiPjE0Nzc3NjY4
MDg8L2xhc3QtdXBkYXRlZC1kYXRlPjwvcmVjb3JkPjwvQ2l0ZT48L0VuZE5vdGU+
</w:fldData>
        </w:fldChar>
      </w:r>
      <w:r w:rsidRPr="00605971">
        <w:rPr>
          <w:sz w:val="24"/>
          <w:szCs w:val="24"/>
        </w:rPr>
        <w:instrText xml:space="preserve"> ADDIN EN.CITE.DATA </w:instrText>
      </w:r>
      <w:r w:rsidRPr="00605971">
        <w:rPr>
          <w:sz w:val="24"/>
          <w:szCs w:val="24"/>
        </w:rPr>
      </w:r>
      <w:r w:rsidRPr="00605971">
        <w:rPr>
          <w:sz w:val="24"/>
          <w:szCs w:val="24"/>
        </w:rPr>
        <w:fldChar w:fldCharType="end"/>
      </w:r>
      <w:r w:rsidRPr="00605971">
        <w:rPr>
          <w:sz w:val="24"/>
          <w:szCs w:val="24"/>
        </w:rPr>
      </w:r>
      <w:r w:rsidRPr="00605971">
        <w:rPr>
          <w:sz w:val="24"/>
          <w:szCs w:val="24"/>
        </w:rPr>
        <w:fldChar w:fldCharType="separate"/>
      </w:r>
      <w:r w:rsidRPr="00605971">
        <w:rPr>
          <w:noProof/>
          <w:sz w:val="24"/>
          <w:szCs w:val="24"/>
        </w:rPr>
        <w:t>(Bernstein, 2000, p. 55; Leydesdorff, 2010, p. 370; Robertson, 2010, p. 193)</w:t>
      </w:r>
      <w:r w:rsidRPr="00605971">
        <w:rPr>
          <w:sz w:val="24"/>
          <w:szCs w:val="24"/>
        </w:rPr>
        <w:fldChar w:fldCharType="end"/>
      </w:r>
      <w:r w:rsidRPr="00605971">
        <w:rPr>
          <w:sz w:val="24"/>
          <w:szCs w:val="24"/>
        </w:rPr>
        <w:t xml:space="preserve"> upon knowledge production systems. Traditionally, the academic science system has operated as a relatively distinct and autonomous ‘field’ in which the primary aim of academics is to achieve, through published research and scholarship, distinction and prestige amongst other academics, who are at once peers and competitors </w:t>
      </w:r>
      <w:r w:rsidRPr="00605971">
        <w:rPr>
          <w:sz w:val="24"/>
          <w:szCs w:val="24"/>
        </w:rPr>
        <w:fldChar w:fldCharType="begin">
          <w:fldData xml:space="preserve">PEVuZE5vdGU+PENpdGU+PEF1dGhvcj5UdXJuYnVsbDwvQXV0aG9yPjxZZWFyPjIwMDk8L1llYXI+
PElEVGV4dD5Cb3VyZGlldSZhcG9zO3MgZGlzdGluY3Rpb24gYmV0d2VlbiBwaGlsb3NvcGhpY2Fs
IGFuZCBzb2Npb2xvZ2ljYWwgYXBwcm9hY2hlcyB0byBTY2llbmNlIFN0dWRpZXMqPC9JRFRleHQ+
PERpc3BsYXlUZXh0PihCb3VyZGlldSwgMTk3NTsgQ29vcGVyLCAyMDA5OyBTLiBTbWl0aCBldCBh
bC4sIDIwMTE7IFR1cm5idWxsICZhbXA7IEFudGFsZmZ5LCAyMDA5KTwvRGlzcGxheVRleHQ+PHJl
Y29yZD48a2V5d29yZHM+PGtleXdvcmQ+U29jaW9sb2dpY2FsIEFuYWx5c2lzPC9rZXl3b3JkPjxr
ZXl3b3JkPlBoaWxvc29waHk8L2tleXdvcmQ+PGtleXdvcmQ+TmF0dXJhbCBTY2llbmNlczwva2V5
d29yZD48a2V5d29yZD5Tb2NpYWwgQ29uc3RydWN0aW9uPC9rZXl3b3JkPjxrZXl3b3JkPlNvY2lh
bCBTY2llbmNlIFJlc2VhcmNoPC9rZXl3b3JkPjxrZXl3b3JkPkJvdXJkaWV1LCBQaWVycmU8L2tl
eXdvcmQ+PGtleXdvcmQ+U29jaW9sb2d5PC9rZXl3b3JkPjwva2V5d29yZHM+PGlzYm4+MDAzOC0w
MjYxPC9pc2JuPjx0aXRsZXM+PHRpdGxlPkJvdXJkaWV1JmFwb3M7cyBkaXN0aW5jdGlvbiBiZXR3
ZWVuIHBoaWxvc29waGljYWwgYW5kIHNvY2lvbG9naWNhbCBhcHByb2FjaGVzIHRvIFNjaWVuY2Ug
U3R1ZGllcyo8L3RpdGxlPjxzZWNvbmRhcnktdGl0bGU+U29jaW9sb2dpY2FsIFJldmlldzwvc2Vj
b25kYXJ5LXRpdGxlPjwvdGl0bGVzPjxwYWdlcz41NDctNTY2PC9wYWdlcz48bnVtYmVyPjQ8L251
bWJlcj48Y29udHJpYnV0b3JzPjxhdXRob3JzPjxhdXRob3I+VHVybmJ1bGwsIE5pY2s8L2F1dGhv
cj48YXV0aG9yPkFudGFsZmZ5LCBOaWvDszwvYXV0aG9yPjwvYXV0aG9ycz48L2NvbnRyaWJ1dG9y
cz48YWRkZWQtZGF0ZSBmb3JtYXQ9InV0YyI+MTUyMDgwNTc3OTwvYWRkZWQtZGF0ZT48cHViLWxv
Y2F0aW9uPk94Zm9yZCwgVUs8L3B1Yi1sb2NhdGlvbj48cmVmLXR5cGUgbmFtZT0iSm91cm5hbCBB
cnRpY2xlIj4xNzwvcmVmLXR5cGU+PGRhdGVzPjx5ZWFyPjIwMDk8L3llYXI+PC9kYXRlcz48cmVj
LW51bWJlcj43Mzg5PC9yZWMtbnVtYmVyPjxsYXN0LXVwZGF0ZWQtZGF0ZSBmb3JtYXQ9InV0YyI+
MTUyMDgwNTc3OTwvbGFzdC11cGRhdGVkLWRhdGU+PGVsZWN0cm9uaWMtcmVzb3VyY2UtbnVtPjEw
LjExMTEvai4xNDY3LTk1NFguMjAwOS4wMTg2MS54PC9lbGVjdHJvbmljLXJlc291cmNlLW51bT48
dm9sdW1lPjU3PC92b2x1bWU+PC9yZWNvcmQ+PC9DaXRlPjxDaXRlPjxBdXRob3I+U21pdGg8L0F1
dGhvcj48WWVhcj4yMDExPC9ZZWFyPjxJRFRleHQ+JmFwb3M7SW1wYWN0JmFwb3M7IGluIHRoZSBw
cm9wb3NhbHMgZm9yIHRoZSBVSyZhcG9zO3MgUmVzZWFyY2ggRXhjZWxsZW5jZSBGcmFtZXdvcms6
IFNoaWZ0aW5nIHRoZSBib3VuZGFyaWVzIG9mIGFjYWRlbWljIGF1dG9ub215PC9JRFRleHQ+PHJl
Y29yZD48dXJscz48cmVsYXRlZC11cmxzPjx1cmw+aHR0cHM6Ly93d3cuc2NvcHVzLmNvbS9pbndh
cmQvcmVjb3JkLnVyaT9laWQ9Mi1zMi4wLTgwMDUzNjEyMDQ1JmFtcDtwYXJ0bmVySUQ9NDAmYW1w
O21kNT01ZmViNGU3NWMyMmE4NGYxMTY2MjIzYzQ1NTU3ZDNjZDwvdXJsPjwvcmVsYXRlZC11cmxz
PjwvdXJscz48d29yay10eXBlPkFydGljbGU8L3dvcmstdHlwZT48dGl0bGVzPjx0aXRsZT4mYXBv
cztJbXBhY3QmYXBvczsgaW4gdGhlIHByb3Bvc2FscyBmb3IgdGhlIFVLJmFwb3M7cyBSZXNlYXJj
aCBFeGNlbGxlbmNlIEZyYW1ld29yazogU2hpZnRpbmcgdGhlIGJvdW5kYXJpZXMgb2YgYWNhZGVt
aWMgYXV0b25vbXk8L3RpdGxlPjxzZWNvbmRhcnktdGl0bGU+UmVzZWFyY2ggUG9saWN5PC9zZWNv
bmRhcnktdGl0bGU+PC90aXRsZXM+PHBhZ2VzPjEzNjktMTM3OTwvcGFnZXM+PG51bWJlcj4xMDwv
bnVtYmVyPjxjb250cmlidXRvcnM+PGF1dGhvcnM+PGF1dGhvcj5TbWl0aCwgUy48L2F1dGhvcj48
YXV0aG9yPldhcmQsIFYuPC9hdXRob3I+PGF1dGhvcj5Ib3VzZSwgQS48L2F1dGhvcj48L2F1dGhv
cnM+PC9jb250cmlidXRvcnM+PGFkZGVkLWRhdGUgZm9ybWF0PSJ1dGMiPjE0NzM3MDQ4Mzc8L2Fk
ZGVkLWRhdGU+PHJlZi10eXBlIG5hbWU9IkpvdXJuYWwgQXJ0aWNsZSI+MTc8L3JlZi10eXBlPjxk
YXRlcz48eWVhcj4yMDExPC95ZWFyPjwvZGF0ZXM+PHJlYy1udW1iZXI+MzUyNjwvcmVjLW51bWJl
cj48bGFzdC11cGRhdGVkLWRhdGUgZm9ybWF0PSJ1dGMiPjE0NzM3MDQ4Mzc8L2xhc3QtdXBkYXRl
ZC1kYXRlPjxlbGVjdHJvbmljLXJlc291cmNlLW51bT4xMC4xMDE2L2oucmVzcG9sLjIwMTEuMDUu
MDI2PC9lbGVjdHJvbmljLXJlc291cmNlLW51bT48dm9sdW1lPjQwPC92b2x1bWU+PHJlbW90ZS1k
YXRhYmFzZS1uYW1lPlNjb3B1czwvcmVtb3RlLWRhdGFiYXNlLW5hbWU+PC9yZWNvcmQ+PC9DaXRl
PjxDaXRlPjxBdXRob3I+Q29vcGVyPC9BdXRob3I+PFllYXI+MjAwOTwvWWVhcj48SURUZXh0PkNv
bW1lcmNpYWxpemF0aW9uIG9mIHRoZSBVbml2ZXJzaXR5IGFuZCBQcm9ibGVtIENob2ljZSBieSBB
Y2FkZW1pYyBCaW9sb2dpY2FsIFNjaWVudGlzdHM8L0lEVGV4dD48cmVjb3JkPjxrZXl3b3Jkcz48
a2V5d29yZD5Qcm9ibGVtIENob2ljZTwva2V5d29yZD48a2V5d29yZD5Db21tZXJjaWFsaXphdGlv
biBPZiBUaGUgVW5pdmVyc2l0eTwva2V5d29yZD48a2V5d29yZD5QdWJsaWMgSW50ZXJlc3Q8L2tl
eXdvcmQ+PGtleXdvcmQ+QmlvbG9naWNhbCBTY2llbmNlPC9rZXl3b3JkPjxrZXl3b3JkPkJvdXJk
aWV1PC9rZXl3b3JkPjwva2V5d29yZHM+PGlzYm4+MDE2Mi0yNDM5PC9pc2JuPjx0aXRsZXM+PHRp
dGxlPkNvbW1lcmNpYWxpemF0aW9uIG9mIHRoZSBVbml2ZXJzaXR5IGFuZCBQcm9ibGVtIENob2lj
ZSBieSBBY2FkZW1pYyBCaW9sb2dpY2FsIFNjaWVudGlzdHM8L3RpdGxlPjxzZWNvbmRhcnktdGl0
bGU+U2NpZW5jZSwgVGVjaG5vbG9neSwgJmFtcDsgSHVtYW4gVmFsdWVzPC9zZWNvbmRhcnktdGl0
bGU+PC90aXRsZXM+PHBhZ2VzPjYyOS02NTM8L3BhZ2VzPjxudW1iZXI+NTwvbnVtYmVyPjxjb250
cmlidXRvcnM+PGF1dGhvcnM+PGF1dGhvcj5Db29wZXIsIE1hcmsgSC48L2F1dGhvcj48L2F1dGhv
cnM+PC9jb250cmlidXRvcnM+PGFkZGVkLWRhdGUgZm9ybWF0PSJ1dGMiPjE1MjI5MjMzNTY8L2Fk
ZGVkLWRhdGU+PHJlZi10eXBlIG5hbWU9IkpvdXJuYWwgQXJ0aWNsZSI+MTc8L3JlZi10eXBlPjxk
YXRlcz48eWVhcj4yMDA5PC95ZWFyPjwvZGF0ZXM+PHJlYy1udW1iZXI+NzQ0ODwvcmVjLW51bWJl
cj48bGFzdC11cGRhdGVkLWRhdGUgZm9ybWF0PSJ1dGMiPjE1MjI5MjMzNTY8L2xhc3QtdXBkYXRl
ZC1kYXRlPjxlbGVjdHJvbmljLXJlc291cmNlLW51bT4xMC4xMTc3LzAxNjIyNDM5MDgzMjkzNzk8
L2VsZWN0cm9uaWMtcmVzb3VyY2UtbnVtPjx2b2x1bWU+MzQ8L3ZvbHVtZT48L3JlY29yZD48L0Np
dGU+PENpdGU+PEF1dGhvcj5Cb3VyZGlldTwvQXV0aG9yPjxZZWFyPjE5NzU8L1llYXI+PElEVGV4
dD5UaGUgc3BlY2lmaWNpdHkgb2YgdGhlIHNjaWVudGlmaWMgZmllbGQgYW5kIHRoZSBzb2NpYWwg
Y29uZGl0aW9ucyBvZiB0aGUgcHJvZ3Jlc3Mgb2YgcmVhc29uPC9JRFRleHQ+PHJlY29yZD48a2V5
d29yZHM+PGtleXdvcmQ+U2NpZW50aWZpYy9TY2llbnRpc20vIFNjaWVudGljaXR5LyBTY2llbnRp
emF0aW9uPC9rZXl3b3JkPjxrZXl3b3JkPlNwZWNpZmljaXR5L1NwZWNpZmljYXRpb24vIFNwZWNp
ZmljYXRpb25zPC9rZXl3b3JkPjxrZXl3b3JkPlNvY2lhbCBDb25kaXRpb24vIFNvY2lhbCBDb25k
aXRpb25zPC9rZXl3b3JkPjxrZXl3b3JkPlJlYXNvbi9SZWFzb25pbmc8L2tleXdvcmQ+PGtleXdv
cmQ+UHJvZ3Jlc3M8L2tleXdvcmQ+PGtleXdvcmQ+RmllbGQ8L2tleXdvcmQ+PGtleXdvcmQ+U29j
aW9sb2d5IG9mIFNjaWVuY2U8L2tleXdvcmQ+PGtleXdvcmQ+U29jaW9sb2d5IG9mIFNjaWVuY2U8
L2tleXdvcmQ+PGtleXdvcmQ+QXJ0aWNsZTwva2V5d29yZD48a2V5d29yZD5TY2llbnRpZmljIEZp
ZWxkIFNwZWNpZmljaXR5IFZzIFJlYXNvbiBQcm9ncmVzcywgU29jaWFsIENvbmRpdGlvbnM8L2tl
eXdvcmQ+PGtleXdvcmQ+UG93ZXIgUmVsYXRpb25zaGlwcywgTGVnaXRpbWFjeSBTdHJ1Z2dsZSwg
Q29tcGV0aXRpb24sIEZvdW5kYXRpb25zLCBBdXRvbm9teSwgU29jaWFsIEFyYml0cmFyaW5lc3M8
L2tleXdvcmQ+PC9rZXl3b3Jkcz48aXNibj4wNTM5LTAxODQ8L2lzYm4+PHRpdGxlcz48dGl0bGU+
VGhlIHNwZWNpZmljaXR5IG9mIHRoZSBzY2llbnRpZmljIGZpZWxkIGFuZCB0aGUgc29jaWFsIGNv
bmRpdGlvbnMgb2YgdGhlIHByb2dyZXNzIG9mIHJlYXNvbjwvdGl0bGU+PHNlY29uZGFyeS10aXRs
ZT5Tb2Npb2xvZ3kgb2YgU2NpZW5jZTwvc2Vjb25kYXJ5LXRpdGxlPjwvdGl0bGVzPjxwYWdlcz4x
OS00NzwvcGFnZXM+PGNvbnRyaWJ1dG9ycz48YXV0aG9ycz48YXV0aG9yPkJvdXJkaWV1LCBQaWVy
cmU8L2F1dGhvcj48L2F1dGhvcnM+PC9jb250cmlidXRvcnM+PGFkZGVkLWRhdGUgZm9ybWF0PSJ1
dGMiPjE1MjI3NjgxNjE8L2FkZGVkLWRhdGU+PHJlZi10eXBlIG5hbWU9IkVsZWN0cm9uaWMgQXJ0
aWNsZSI+NDM8L3JlZi10eXBlPjxkYXRlcz48eWVhcj4xOTc1PC95ZWFyPjwvZGF0ZXM+PHJlYy1u
dW1iZXI+NzQ0NDwvcmVjLW51bWJlcj48bGFzdC11cGRhdGVkLWRhdGUgZm9ybWF0PSJ1dGMiPjE1
MjMyMTc4Njk8L2xhc3QtdXBkYXRlZC1kYXRlPjxlbGVjdHJvbmljLXJlc291cmNlLW51bT4xMC4x
MTc3LzA1MzkwMTg0NzUwMTQwMDYwMjwvZWxlY3Ryb25pYy1yZXNvdXJjZS1udW0+PHZvbHVtZT4x
NDwvdm9sdW1lPjwvcmVjb3JkPjwvQ2l0ZT48L0VuZE5vdGU+AG==
</w:fldData>
        </w:fldChar>
      </w:r>
      <w:r w:rsidRPr="00605971">
        <w:rPr>
          <w:sz w:val="24"/>
          <w:szCs w:val="24"/>
        </w:rPr>
        <w:instrText xml:space="preserve"> ADDIN EN.CITE </w:instrText>
      </w:r>
      <w:r w:rsidRPr="00605971">
        <w:rPr>
          <w:sz w:val="24"/>
          <w:szCs w:val="24"/>
        </w:rPr>
        <w:fldChar w:fldCharType="begin">
          <w:fldData xml:space="preserve">PEVuZE5vdGU+PENpdGU+PEF1dGhvcj5UdXJuYnVsbDwvQXV0aG9yPjxZZWFyPjIwMDk8L1llYXI+
PElEVGV4dD5Cb3VyZGlldSZhcG9zO3MgZGlzdGluY3Rpb24gYmV0d2VlbiBwaGlsb3NvcGhpY2Fs
IGFuZCBzb2Npb2xvZ2ljYWwgYXBwcm9hY2hlcyB0byBTY2llbmNlIFN0dWRpZXMqPC9JRFRleHQ+
PERpc3BsYXlUZXh0PihCb3VyZGlldSwgMTk3NTsgQ29vcGVyLCAyMDA5OyBTLiBTbWl0aCBldCBh
bC4sIDIwMTE7IFR1cm5idWxsICZhbXA7IEFudGFsZmZ5LCAyMDA5KTwvRGlzcGxheVRleHQ+PHJl
Y29yZD48a2V5d29yZHM+PGtleXdvcmQ+U29jaW9sb2dpY2FsIEFuYWx5c2lzPC9rZXl3b3JkPjxr
ZXl3b3JkPlBoaWxvc29waHk8L2tleXdvcmQ+PGtleXdvcmQ+TmF0dXJhbCBTY2llbmNlczwva2V5
d29yZD48a2V5d29yZD5Tb2NpYWwgQ29uc3RydWN0aW9uPC9rZXl3b3JkPjxrZXl3b3JkPlNvY2lh
bCBTY2llbmNlIFJlc2VhcmNoPC9rZXl3b3JkPjxrZXl3b3JkPkJvdXJkaWV1LCBQaWVycmU8L2tl
eXdvcmQ+PGtleXdvcmQ+U29jaW9sb2d5PC9rZXl3b3JkPjwva2V5d29yZHM+PGlzYm4+MDAzOC0w
MjYxPC9pc2JuPjx0aXRsZXM+PHRpdGxlPkJvdXJkaWV1JmFwb3M7cyBkaXN0aW5jdGlvbiBiZXR3
ZWVuIHBoaWxvc29waGljYWwgYW5kIHNvY2lvbG9naWNhbCBhcHByb2FjaGVzIHRvIFNjaWVuY2Ug
U3R1ZGllcyo8L3RpdGxlPjxzZWNvbmRhcnktdGl0bGU+U29jaW9sb2dpY2FsIFJldmlldzwvc2Vj
b25kYXJ5LXRpdGxlPjwvdGl0bGVzPjxwYWdlcz41NDctNTY2PC9wYWdlcz48bnVtYmVyPjQ8L251
bWJlcj48Y29udHJpYnV0b3JzPjxhdXRob3JzPjxhdXRob3I+VHVybmJ1bGwsIE5pY2s8L2F1dGhv
cj48YXV0aG9yPkFudGFsZmZ5LCBOaWvDszwvYXV0aG9yPjwvYXV0aG9ycz48L2NvbnRyaWJ1dG9y
cz48YWRkZWQtZGF0ZSBmb3JtYXQ9InV0YyI+MTUyMDgwNTc3OTwvYWRkZWQtZGF0ZT48cHViLWxv
Y2F0aW9uPk94Zm9yZCwgVUs8L3B1Yi1sb2NhdGlvbj48cmVmLXR5cGUgbmFtZT0iSm91cm5hbCBB
cnRpY2xlIj4xNzwvcmVmLXR5cGU+PGRhdGVzPjx5ZWFyPjIwMDk8L3llYXI+PC9kYXRlcz48cmVj
LW51bWJlcj43Mzg5PC9yZWMtbnVtYmVyPjxsYXN0LXVwZGF0ZWQtZGF0ZSBmb3JtYXQ9InV0YyI+
MTUyMDgwNTc3OTwvbGFzdC11cGRhdGVkLWRhdGU+PGVsZWN0cm9uaWMtcmVzb3VyY2UtbnVtPjEw
LjExMTEvai4xNDY3LTk1NFguMjAwOS4wMTg2MS54PC9lbGVjdHJvbmljLXJlc291cmNlLW51bT48
dm9sdW1lPjU3PC92b2x1bWU+PC9yZWNvcmQ+PC9DaXRlPjxDaXRlPjxBdXRob3I+U21pdGg8L0F1
dGhvcj48WWVhcj4yMDExPC9ZZWFyPjxJRFRleHQ+JmFwb3M7SW1wYWN0JmFwb3M7IGluIHRoZSBw
cm9wb3NhbHMgZm9yIHRoZSBVSyZhcG9zO3MgUmVzZWFyY2ggRXhjZWxsZW5jZSBGcmFtZXdvcms6
IFNoaWZ0aW5nIHRoZSBib3VuZGFyaWVzIG9mIGFjYWRlbWljIGF1dG9ub215PC9JRFRleHQ+PHJl
Y29yZD48dXJscz48cmVsYXRlZC11cmxzPjx1cmw+aHR0cHM6Ly93d3cuc2NvcHVzLmNvbS9pbndh
cmQvcmVjb3JkLnVyaT9laWQ9Mi1zMi4wLTgwMDUzNjEyMDQ1JmFtcDtwYXJ0bmVySUQ9NDAmYW1w
O21kNT01ZmViNGU3NWMyMmE4NGYxMTY2MjIzYzQ1NTU3ZDNjZDwvdXJsPjwvcmVsYXRlZC11cmxz
PjwvdXJscz48d29yay10eXBlPkFydGljbGU8L3dvcmstdHlwZT48dGl0bGVzPjx0aXRsZT4mYXBv
cztJbXBhY3QmYXBvczsgaW4gdGhlIHByb3Bvc2FscyBmb3IgdGhlIFVLJmFwb3M7cyBSZXNlYXJj
aCBFeGNlbGxlbmNlIEZyYW1ld29yazogU2hpZnRpbmcgdGhlIGJvdW5kYXJpZXMgb2YgYWNhZGVt
aWMgYXV0b25vbXk8L3RpdGxlPjxzZWNvbmRhcnktdGl0bGU+UmVzZWFyY2ggUG9saWN5PC9zZWNv
bmRhcnktdGl0bGU+PC90aXRsZXM+PHBhZ2VzPjEzNjktMTM3OTwvcGFnZXM+PG51bWJlcj4xMDwv
bnVtYmVyPjxjb250cmlidXRvcnM+PGF1dGhvcnM+PGF1dGhvcj5TbWl0aCwgUy48L2F1dGhvcj48
YXV0aG9yPldhcmQsIFYuPC9hdXRob3I+PGF1dGhvcj5Ib3VzZSwgQS48L2F1dGhvcj48L2F1dGhv
cnM+PC9jb250cmlidXRvcnM+PGFkZGVkLWRhdGUgZm9ybWF0PSJ1dGMiPjE0NzM3MDQ4Mzc8L2Fk
ZGVkLWRhdGU+PHJlZi10eXBlIG5hbWU9IkpvdXJuYWwgQXJ0aWNsZSI+MTc8L3JlZi10eXBlPjxk
YXRlcz48eWVhcj4yMDExPC95ZWFyPjwvZGF0ZXM+PHJlYy1udW1iZXI+MzUyNjwvcmVjLW51bWJl
cj48bGFzdC11cGRhdGVkLWRhdGUgZm9ybWF0PSJ1dGMiPjE0NzM3MDQ4Mzc8L2xhc3QtdXBkYXRl
ZC1kYXRlPjxlbGVjdHJvbmljLXJlc291cmNlLW51bT4xMC4xMDE2L2oucmVzcG9sLjIwMTEuMDUu
MDI2PC9lbGVjdHJvbmljLXJlc291cmNlLW51bT48dm9sdW1lPjQwPC92b2x1bWU+PHJlbW90ZS1k
YXRhYmFzZS1uYW1lPlNjb3B1czwvcmVtb3RlLWRhdGFiYXNlLW5hbWU+PC9yZWNvcmQ+PC9DaXRl
PjxDaXRlPjxBdXRob3I+Q29vcGVyPC9BdXRob3I+PFllYXI+MjAwOTwvWWVhcj48SURUZXh0PkNv
bW1lcmNpYWxpemF0aW9uIG9mIHRoZSBVbml2ZXJzaXR5IGFuZCBQcm9ibGVtIENob2ljZSBieSBB
Y2FkZW1pYyBCaW9sb2dpY2FsIFNjaWVudGlzdHM8L0lEVGV4dD48cmVjb3JkPjxrZXl3b3Jkcz48
a2V5d29yZD5Qcm9ibGVtIENob2ljZTwva2V5d29yZD48a2V5d29yZD5Db21tZXJjaWFsaXphdGlv
biBPZiBUaGUgVW5pdmVyc2l0eTwva2V5d29yZD48a2V5d29yZD5QdWJsaWMgSW50ZXJlc3Q8L2tl
eXdvcmQ+PGtleXdvcmQ+QmlvbG9naWNhbCBTY2llbmNlPC9rZXl3b3JkPjxrZXl3b3JkPkJvdXJk
aWV1PC9rZXl3b3JkPjwva2V5d29yZHM+PGlzYm4+MDE2Mi0yNDM5PC9pc2JuPjx0aXRsZXM+PHRp
dGxlPkNvbW1lcmNpYWxpemF0aW9uIG9mIHRoZSBVbml2ZXJzaXR5IGFuZCBQcm9ibGVtIENob2lj
ZSBieSBBY2FkZW1pYyBCaW9sb2dpY2FsIFNjaWVudGlzdHM8L3RpdGxlPjxzZWNvbmRhcnktdGl0
bGU+U2NpZW5jZSwgVGVjaG5vbG9neSwgJmFtcDsgSHVtYW4gVmFsdWVzPC9zZWNvbmRhcnktdGl0
bGU+PC90aXRsZXM+PHBhZ2VzPjYyOS02NTM8L3BhZ2VzPjxudW1iZXI+NTwvbnVtYmVyPjxjb250
cmlidXRvcnM+PGF1dGhvcnM+PGF1dGhvcj5Db29wZXIsIE1hcmsgSC48L2F1dGhvcj48L2F1dGhv
cnM+PC9jb250cmlidXRvcnM+PGFkZGVkLWRhdGUgZm9ybWF0PSJ1dGMiPjE1MjI5MjMzNTY8L2Fk
ZGVkLWRhdGU+PHJlZi10eXBlIG5hbWU9IkpvdXJuYWwgQXJ0aWNsZSI+MTc8L3JlZi10eXBlPjxk
YXRlcz48eWVhcj4yMDA5PC95ZWFyPjwvZGF0ZXM+PHJlYy1udW1iZXI+NzQ0ODwvcmVjLW51bWJl
cj48bGFzdC11cGRhdGVkLWRhdGUgZm9ybWF0PSJ1dGMiPjE1MjI5MjMzNTY8L2xhc3QtdXBkYXRl
ZC1kYXRlPjxlbGVjdHJvbmljLXJlc291cmNlLW51bT4xMC4xMTc3LzAxNjIyNDM5MDgzMjkzNzk8
L2VsZWN0cm9uaWMtcmVzb3VyY2UtbnVtPjx2b2x1bWU+MzQ8L3ZvbHVtZT48L3JlY29yZD48L0Np
dGU+PENpdGU+PEF1dGhvcj5Cb3VyZGlldTwvQXV0aG9yPjxZZWFyPjE5NzU8L1llYXI+PElEVGV4
dD5UaGUgc3BlY2lmaWNpdHkgb2YgdGhlIHNjaWVudGlmaWMgZmllbGQgYW5kIHRoZSBzb2NpYWwg
Y29uZGl0aW9ucyBvZiB0aGUgcHJvZ3Jlc3Mgb2YgcmVhc29uPC9JRFRleHQ+PHJlY29yZD48a2V5
d29yZHM+PGtleXdvcmQ+U2NpZW50aWZpYy9TY2llbnRpc20vIFNjaWVudGljaXR5LyBTY2llbnRp
emF0aW9uPC9rZXl3b3JkPjxrZXl3b3JkPlNwZWNpZmljaXR5L1NwZWNpZmljYXRpb24vIFNwZWNp
ZmljYXRpb25zPC9rZXl3b3JkPjxrZXl3b3JkPlNvY2lhbCBDb25kaXRpb24vIFNvY2lhbCBDb25k
aXRpb25zPC9rZXl3b3JkPjxrZXl3b3JkPlJlYXNvbi9SZWFzb25pbmc8L2tleXdvcmQ+PGtleXdv
cmQ+UHJvZ3Jlc3M8L2tleXdvcmQ+PGtleXdvcmQ+RmllbGQ8L2tleXdvcmQ+PGtleXdvcmQ+U29j
aW9sb2d5IG9mIFNjaWVuY2U8L2tleXdvcmQ+PGtleXdvcmQ+U29jaW9sb2d5IG9mIFNjaWVuY2U8
L2tleXdvcmQ+PGtleXdvcmQ+QXJ0aWNsZTwva2V5d29yZD48a2V5d29yZD5TY2llbnRpZmljIEZp
ZWxkIFNwZWNpZmljaXR5IFZzIFJlYXNvbiBQcm9ncmVzcywgU29jaWFsIENvbmRpdGlvbnM8L2tl
eXdvcmQ+PGtleXdvcmQ+UG93ZXIgUmVsYXRpb25zaGlwcywgTGVnaXRpbWFjeSBTdHJ1Z2dsZSwg
Q29tcGV0aXRpb24sIEZvdW5kYXRpb25zLCBBdXRvbm9teSwgU29jaWFsIEFyYml0cmFyaW5lc3M8
L2tleXdvcmQ+PC9rZXl3b3Jkcz48aXNibj4wNTM5LTAxODQ8L2lzYm4+PHRpdGxlcz48dGl0bGU+
VGhlIHNwZWNpZmljaXR5IG9mIHRoZSBzY2llbnRpZmljIGZpZWxkIGFuZCB0aGUgc29jaWFsIGNv
bmRpdGlvbnMgb2YgdGhlIHByb2dyZXNzIG9mIHJlYXNvbjwvdGl0bGU+PHNlY29uZGFyeS10aXRs
ZT5Tb2Npb2xvZ3kgb2YgU2NpZW5jZTwvc2Vjb25kYXJ5LXRpdGxlPjwvdGl0bGVzPjxwYWdlcz4x
OS00NzwvcGFnZXM+PGNvbnRyaWJ1dG9ycz48YXV0aG9ycz48YXV0aG9yPkJvdXJkaWV1LCBQaWVy
cmU8L2F1dGhvcj48L2F1dGhvcnM+PC9jb250cmlidXRvcnM+PGFkZGVkLWRhdGUgZm9ybWF0PSJ1
dGMiPjE1MjI3NjgxNjE8L2FkZGVkLWRhdGU+PHJlZi10eXBlIG5hbWU9IkVsZWN0cm9uaWMgQXJ0
aWNsZSI+NDM8L3JlZi10eXBlPjxkYXRlcz48eWVhcj4xOTc1PC95ZWFyPjwvZGF0ZXM+PHJlYy1u
dW1iZXI+NzQ0NDwvcmVjLW51bWJlcj48bGFzdC11cGRhdGVkLWRhdGUgZm9ybWF0PSJ1dGMiPjE1
MjMyMTc4Njk8L2xhc3QtdXBkYXRlZC1kYXRlPjxlbGVjdHJvbmljLXJlc291cmNlLW51bT4xMC4x
MTc3LzA1MzkwMTg0NzUwMTQwMDYwMjwvZWxlY3Ryb25pYy1yZXNvdXJjZS1udW0+PHZvbHVtZT4x
NDwvdm9sdW1lPjwvcmVjb3JkPjwvQ2l0ZT48L0VuZE5vdGU+AG==
</w:fldData>
        </w:fldChar>
      </w:r>
      <w:r w:rsidRPr="00605971">
        <w:rPr>
          <w:sz w:val="24"/>
          <w:szCs w:val="24"/>
        </w:rPr>
        <w:instrText xml:space="preserve"> ADDIN EN.CITE.DATA </w:instrText>
      </w:r>
      <w:r w:rsidRPr="00605971">
        <w:rPr>
          <w:sz w:val="24"/>
          <w:szCs w:val="24"/>
        </w:rPr>
      </w:r>
      <w:r w:rsidRPr="00605971">
        <w:rPr>
          <w:sz w:val="24"/>
          <w:szCs w:val="24"/>
        </w:rPr>
        <w:fldChar w:fldCharType="end"/>
      </w:r>
      <w:r w:rsidRPr="00605971">
        <w:rPr>
          <w:sz w:val="24"/>
          <w:szCs w:val="24"/>
        </w:rPr>
      </w:r>
      <w:r w:rsidRPr="00605971">
        <w:rPr>
          <w:sz w:val="24"/>
          <w:szCs w:val="24"/>
        </w:rPr>
        <w:fldChar w:fldCharType="separate"/>
      </w:r>
      <w:r w:rsidRPr="00605971">
        <w:rPr>
          <w:noProof/>
          <w:sz w:val="24"/>
          <w:szCs w:val="24"/>
        </w:rPr>
        <w:t>(Bourdieu, 1975; Cooper, 2009; S. Smith et al., 2011; Turnbull &amp; Antalffy, 2009)</w:t>
      </w:r>
      <w:r w:rsidRPr="00605971">
        <w:rPr>
          <w:sz w:val="24"/>
          <w:szCs w:val="24"/>
        </w:rPr>
        <w:fldChar w:fldCharType="end"/>
      </w:r>
      <w:r w:rsidRPr="00605971">
        <w:rPr>
          <w:sz w:val="24"/>
          <w:szCs w:val="24"/>
        </w:rPr>
        <w:t xml:space="preserve">. However, there has always existed the possibility of achieving success according to external criteria and demands, such as by producing knowledge which is useful to some group or institution or which generates income. For example, researchers’ “creative engagement with shifting structural conditions” </w:t>
      </w:r>
      <w:r w:rsidRPr="00605971">
        <w:rPr>
          <w:sz w:val="24"/>
          <w:szCs w:val="24"/>
        </w:rPr>
        <w:fldChar w:fldCharType="begin"/>
      </w:r>
      <w:r w:rsidRPr="00605971">
        <w:rPr>
          <w:sz w:val="24"/>
          <w:szCs w:val="24"/>
        </w:rPr>
        <w:instrText xml:space="preserve"> ADDIN EN.CITE &lt;EndNote&gt;&lt;Cite&gt;&lt;Author&gt;Cooper&lt;/Author&gt;&lt;Year&gt;2009&lt;/Year&gt;&lt;IDText&gt;Commercialization of the University and Problem Choice by Academic Biological Scientists&lt;/IDText&gt;&lt;Pages&gt;629&lt;/Pages&gt;&lt;DisplayText&gt;(Cooper, 2009, p. 629)&lt;/DisplayText&gt;&lt;record&gt;&lt;keywords&gt;&lt;keyword&gt;Problem Choice&lt;/keyword&gt;&lt;keyword&gt;Commercialization Of The University&lt;/keyword&gt;&lt;keyword&gt;Public Interest&lt;/keyword&gt;&lt;keyword&gt;Biological Science&lt;/keyword&gt;&lt;keyword&gt;Bourdieu&lt;/keyword&gt;&lt;/keywords&gt;&lt;isbn&gt;0162-2439&lt;/isbn&gt;&lt;titles&gt;&lt;title&gt;Commercialization of the University and Problem Choice by Academic Biological Scientists&lt;/title&gt;&lt;secondary-title&gt;Science, Technology, &amp;amp; Human Values&lt;/secondary-title&gt;&lt;/titles&gt;&lt;pages&gt;629-653&lt;/pages&gt;&lt;number&gt;5&lt;/number&gt;&lt;contributors&gt;&lt;authors&gt;&lt;author&gt;Cooper, Mark H.&lt;/author&gt;&lt;/authors&gt;&lt;/contributors&gt;&lt;added-date format="utc"&gt;1522923356&lt;/added-date&gt;&lt;ref-type name="Journal Article"&gt;17&lt;/ref-type&gt;&lt;dates&gt;&lt;year&gt;2009&lt;/year&gt;&lt;/dates&gt;&lt;rec-number&gt;7448&lt;/rec-number&gt;&lt;last-updated-date format="utc"&gt;1522923356&lt;/last-updated-date&gt;&lt;electronic-resource-num&gt;10.1177/0162243908329379&lt;/electronic-resource-num&gt;&lt;volume&gt;34&lt;/volume&gt;&lt;/record&gt;&lt;/Cite&gt;&lt;/EndNote&gt;</w:instrText>
      </w:r>
      <w:r w:rsidRPr="00605971">
        <w:rPr>
          <w:sz w:val="24"/>
          <w:szCs w:val="24"/>
        </w:rPr>
        <w:fldChar w:fldCharType="separate"/>
      </w:r>
      <w:r w:rsidRPr="00605971">
        <w:rPr>
          <w:noProof/>
          <w:sz w:val="24"/>
          <w:szCs w:val="24"/>
        </w:rPr>
        <w:t>(Cooper, 2009, p. 629)</w:t>
      </w:r>
      <w:r w:rsidRPr="00605971">
        <w:rPr>
          <w:sz w:val="24"/>
          <w:szCs w:val="24"/>
        </w:rPr>
        <w:fldChar w:fldCharType="end"/>
      </w:r>
      <w:r w:rsidRPr="00605971">
        <w:rPr>
          <w:sz w:val="24"/>
          <w:szCs w:val="24"/>
        </w:rPr>
        <w:t xml:space="preserve"> such as those presented by the impact agenda has manifested in an increase in the frequency of research which aims to meet both internal and external demands, and to fulfil both scientific and societal/economic criteria. This is reflected in the strong evidence that individual-level indicators of scientific quality and prestige are positive predictors of frequent engagement with non-academic users of research </w:t>
      </w:r>
      <w:r w:rsidRPr="00605971">
        <w:rPr>
          <w:sz w:val="24"/>
          <w:szCs w:val="24"/>
        </w:rPr>
        <w:fldChar w:fldCharType="begin"/>
      </w:r>
      <w:r w:rsidRPr="00605971">
        <w:rPr>
          <w:sz w:val="24"/>
          <w:szCs w:val="24"/>
        </w:rPr>
        <w:instrText xml:space="preserve"> ADDIN EN.CITE &lt;EndNote&gt;&lt;Cite&gt;&lt;Author&gt;Perkmann&lt;/Author&gt;&lt;Year&gt;2013&lt;/Year&gt;&lt;IDText&gt;Academic engagement and commercialisation: A review of the literature on university-industry relations&lt;/IDText&gt;&lt;DisplayText&gt;(Perkmann et al., 2013)&lt;/DisplayText&gt;&lt;record&gt;&lt;dates&gt;&lt;pub-dates&gt;&lt;date&gt;Mar&lt;/date&gt;&lt;/pub-dates&gt;&lt;year&gt;2013&lt;/year&gt;&lt;/dates&gt;&lt;urls&gt;&lt;related-urls&gt;&lt;url&gt;&amp;lt;Go to ISI&amp;gt;://WOS:000316530400010&lt;/url&gt;&lt;/related-urls&gt;&lt;/urls&gt;&lt;isbn&gt;0048-7333&lt;/isbn&gt;&lt;titles&gt;&lt;title&gt;Academic engagement and commercialisation: A review of the literature on university-industry relations&lt;/title&gt;&lt;secondary-title&gt;Research Policy&lt;/secondary-title&gt;&lt;/titles&gt;&lt;pages&gt;423-442&lt;/pages&gt;&lt;number&gt;2&lt;/number&gt;&lt;contributors&gt;&lt;authors&gt;&lt;author&gt;Perkmann, M.&lt;/author&gt;&lt;author&gt;Tartari, V.&lt;/author&gt;&lt;author&gt;McKelvey, M.&lt;/author&gt;&lt;author&gt;Autio, E.&lt;/author&gt;&lt;author&gt;Brostrom, A.&lt;/author&gt;&lt;author&gt;D&amp;apos;Este, P.&lt;/author&gt;&lt;author&gt;Fini, R.&lt;/author&gt;&lt;author&gt;Geuna, A.&lt;/author&gt;&lt;author&gt;Grimaldi, R.&lt;/author&gt;&lt;author&gt;Hughes, A.&lt;/author&gt;&lt;author&gt;Krabel, S.&lt;/author&gt;&lt;author&gt;Kitson, M.&lt;/author&gt;&lt;author&gt;Llerena, P.&lt;/author&gt;&lt;author&gt;Lissoni, F.&lt;/author&gt;&lt;author&gt;Salter, A.&lt;/author&gt;&lt;author&gt;Sobrero, M.&lt;/author&gt;&lt;/authors&gt;&lt;/contributors&gt;&lt;added-date format="utc"&gt;1469459949&lt;/added-date&gt;&lt;ref-type name="Journal Article"&gt;17&lt;/ref-type&gt;&lt;rec-number&gt;1407&lt;/rec-number&gt;&lt;last-updated-date format="utc"&gt;1490111932&lt;/last-updated-date&gt;&lt;accession-num&gt;WOS:000316530400010&lt;/accession-num&gt;&lt;electronic-resource-num&gt;10.1016/j.respol.2012.09.007&lt;/electronic-resource-num&gt;&lt;volume&gt;42&lt;/volume&gt;&lt;/record&gt;&lt;/Cite&gt;&lt;/EndNote&gt;</w:instrText>
      </w:r>
      <w:r w:rsidRPr="00605971">
        <w:rPr>
          <w:sz w:val="24"/>
          <w:szCs w:val="24"/>
        </w:rPr>
        <w:fldChar w:fldCharType="separate"/>
      </w:r>
      <w:r w:rsidRPr="00605971">
        <w:rPr>
          <w:noProof/>
          <w:sz w:val="24"/>
          <w:szCs w:val="24"/>
        </w:rPr>
        <w:t>(Perkmann et al., 2013)</w:t>
      </w:r>
      <w:r w:rsidRPr="00605971">
        <w:rPr>
          <w:sz w:val="24"/>
          <w:szCs w:val="24"/>
        </w:rPr>
        <w:fldChar w:fldCharType="end"/>
      </w:r>
      <w:r w:rsidRPr="00605971">
        <w:rPr>
          <w:sz w:val="24"/>
          <w:szCs w:val="24"/>
        </w:rPr>
        <w:t xml:space="preserve"> and of ‘impact’ </w:t>
      </w:r>
      <w:r w:rsidRPr="00605971">
        <w:rPr>
          <w:sz w:val="24"/>
          <w:szCs w:val="24"/>
        </w:rPr>
        <w:fldChar w:fldCharType="begin"/>
      </w:r>
      <w:r w:rsidRPr="00605971">
        <w:rPr>
          <w:sz w:val="24"/>
          <w:szCs w:val="24"/>
        </w:rPr>
        <w:instrText xml:space="preserve"> ADDIN EN.CITE &lt;EndNote&gt;&lt;Cite&gt;&lt;Author&gt;Terama&lt;/Author&gt;&lt;Year&gt;2016&lt;/Year&gt;&lt;IDText&gt;Beyond academia – interrogating research impact in the Research Excellence Framework&lt;/IDText&gt;&lt;DisplayText&gt;(Terama, Smallman, Lock, Johnson, &amp;amp; Austwick, 2016)&lt;/DisplayText&gt;&lt;record&gt;&lt;keywords&gt;&lt;keyword&gt;Assessment&lt;/keyword&gt;&lt;keyword&gt;Impact&lt;/keyword&gt;&lt;keyword&gt;Non-Academic&lt;/keyword&gt;&lt;keyword&gt;Ref&lt;/keyword&gt;&lt;keyword&gt;Text Mining&lt;/keyword&gt;&lt;keyword&gt;Ucl&lt;/keyword&gt;&lt;keyword&gt;Hefce&lt;/keyword&gt;&lt;keyword&gt;Research Excellence&lt;/keyword&gt;&lt;/keywords&gt;&lt;titles&gt;&lt;title&gt;Beyond academia – interrogating research impact in the Research Excellence Framework&lt;/title&gt;&lt;secondary-title&gt;PLOS One&lt;/secondary-title&gt;&lt;/titles&gt;&lt;contributors&gt;&lt;authors&gt;&lt;author&gt;Terama, E.&lt;/author&gt;&lt;author&gt;Smallman, M.&lt;/author&gt;&lt;author&gt;Lock, S.&lt;/author&gt;&lt;author&gt;Johnson, C.&lt;/author&gt;&lt;author&gt;Austwick, Mrz&lt;/author&gt;&lt;/authors&gt;&lt;/contributors&gt;&lt;added-date format="utc"&gt;1521200544&lt;/added-date&gt;&lt;ref-type name="Journal Article"&gt;17&lt;/ref-type&gt;&lt;dates&gt;&lt;year&gt;2016&lt;/year&gt;&lt;/dates&gt;&lt;rec-number&gt;7397&lt;/rec-number&gt;&lt;last-updated-date format="utc"&gt;1521200544&lt;/last-updated-date&gt;&lt;/record&gt;&lt;/Cite&gt;&lt;/EndNote&gt;</w:instrText>
      </w:r>
      <w:r w:rsidRPr="00605971">
        <w:rPr>
          <w:sz w:val="24"/>
          <w:szCs w:val="24"/>
        </w:rPr>
        <w:fldChar w:fldCharType="separate"/>
      </w:r>
      <w:r w:rsidRPr="00605971">
        <w:rPr>
          <w:noProof/>
          <w:sz w:val="24"/>
          <w:szCs w:val="24"/>
        </w:rPr>
        <w:t>(Terama, Smallman, Lock, Johnson, &amp; Austwick, 2016)</w:t>
      </w:r>
      <w:r w:rsidRPr="00605971">
        <w:rPr>
          <w:sz w:val="24"/>
          <w:szCs w:val="24"/>
        </w:rPr>
        <w:fldChar w:fldCharType="end"/>
      </w:r>
      <w:r w:rsidRPr="00605971">
        <w:rPr>
          <w:sz w:val="24"/>
          <w:szCs w:val="24"/>
        </w:rPr>
        <w:t xml:space="preserve">. The result is a normalisation and legitimisation of the idea that the conduct of ‘impactful’ research and engagement with non-scientific actors provide appropriate sources of financial support and scientific problems and that both sets of criteria ought to be valued and </w:t>
      </w:r>
      <w:r w:rsidRPr="007B3A7A">
        <w:rPr>
          <w:sz w:val="24"/>
          <w:szCs w:val="24"/>
        </w:rPr>
        <w:t xml:space="preserve">simultaneously pursued – indeed consideration of </w:t>
      </w:r>
      <w:r w:rsidRPr="007B3A7A">
        <w:rPr>
          <w:i/>
          <w:sz w:val="24"/>
          <w:szCs w:val="24"/>
        </w:rPr>
        <w:t xml:space="preserve">use(rs) </w:t>
      </w:r>
      <w:r w:rsidRPr="007B3A7A">
        <w:rPr>
          <w:sz w:val="24"/>
          <w:szCs w:val="24"/>
        </w:rPr>
        <w:t>is becoming fundamental to notions of academic research not only among policymakers and applied researchers, but to basic scientists as well, with more than one quarter of the 18,000 academics who responded to a recent survey categoris</w:t>
      </w:r>
      <w:r w:rsidR="00FC3EF1">
        <w:rPr>
          <w:sz w:val="24"/>
          <w:szCs w:val="24"/>
        </w:rPr>
        <w:t>ing</w:t>
      </w:r>
      <w:r w:rsidRPr="007B3A7A">
        <w:rPr>
          <w:sz w:val="24"/>
          <w:szCs w:val="24"/>
        </w:rPr>
        <w:t xml:space="preserve"> their research as ‘user-inspired’ basic research</w:t>
      </w:r>
      <w:r w:rsidRPr="007B3A7A">
        <w:rPr>
          <w:rStyle w:val="FootnoteReference"/>
          <w:sz w:val="24"/>
          <w:szCs w:val="24"/>
        </w:rPr>
        <w:footnoteReference w:id="4"/>
      </w:r>
      <w:r w:rsidR="00D80C74">
        <w:rPr>
          <w:sz w:val="24"/>
          <w:szCs w:val="24"/>
        </w:rPr>
        <w:t xml:space="preserve"> – </w:t>
      </w:r>
      <w:r w:rsidRPr="007B3A7A">
        <w:rPr>
          <w:sz w:val="24"/>
          <w:szCs w:val="24"/>
        </w:rPr>
        <w:t xml:space="preserve">the same proportion as ‘pure basic’ (Hughes et al., 2016, p. 31). This alliance between research ‘quality’ and research ‘impact’ is symbolically and practically institutionalised through the REF, as universities’ impact claims must be underpinned by research outputs of “demonstrable quality” </w:t>
      </w:r>
      <w:r w:rsidRPr="007B3A7A">
        <w:rPr>
          <w:sz w:val="24"/>
          <w:szCs w:val="24"/>
        </w:rPr>
        <w:fldChar w:fldCharType="begin"/>
      </w:r>
      <w:r w:rsidRPr="007B3A7A">
        <w:rPr>
          <w:sz w:val="24"/>
          <w:szCs w:val="24"/>
        </w:rPr>
        <w:instrText xml:space="preserve"> ADDIN EN.CITE &lt;EndNote&gt;&lt;Cite&gt;&lt;Author&gt;Stern&lt;/Author&gt;&lt;Year&gt;2016&lt;/Year&gt;&lt;IDText&gt;Building on Success and Learning from Experience: An Independent Review of the Research Excellence Framework&lt;/IDText&gt;&lt;Pages&gt;22&lt;/Pages&gt;&lt;DisplayText&gt;(Stern, 2016, p. 22)&lt;/DisplayText&gt;&lt;record&gt;&lt;urls&gt;&lt;related-urls&gt;&lt;url&gt;https://www.gov.uk/government/uploads/system/uploads/attachment_data/file/541338/ind-16-9-ref-stern-review.pdf&lt;/url&gt;&lt;/related-urls&gt;&lt;/urls&gt;&lt;titles&gt;&lt;title&gt;Building on Success and Learning from Experience: An Independent Review of the Research Excellence Framework&lt;/title&gt;&lt;/titles&gt;&lt;access-date&gt;6 January 2017&lt;/access-date&gt;&lt;contributors&gt;&lt;authors&gt;&lt;author&gt;Stern, N.&lt;/author&gt;&lt;/authors&gt;&lt;/contributors&gt;&lt;added-date format="utc"&gt;1483718220&lt;/added-date&gt;&lt;ref-type name="Report"&gt;27&lt;/ref-type&gt;&lt;dates&gt;&lt;year&gt;2016&lt;/year&gt;&lt;/dates&gt;&lt;rec-number&gt;6453&lt;/rec-number&gt;&lt;last-updated-date format="utc"&gt;1483719849&lt;/last-updated-date&gt;&lt;/record&gt;&lt;/Cite&gt;&lt;/EndNote&gt;</w:instrText>
      </w:r>
      <w:r w:rsidRPr="007B3A7A">
        <w:rPr>
          <w:sz w:val="24"/>
          <w:szCs w:val="24"/>
        </w:rPr>
        <w:fldChar w:fldCharType="separate"/>
      </w:r>
      <w:r w:rsidRPr="007B3A7A">
        <w:rPr>
          <w:noProof/>
          <w:sz w:val="24"/>
          <w:szCs w:val="24"/>
        </w:rPr>
        <w:t>(Stern, 2016, p. 22)</w:t>
      </w:r>
      <w:r w:rsidRPr="007B3A7A">
        <w:rPr>
          <w:sz w:val="24"/>
          <w:szCs w:val="24"/>
        </w:rPr>
        <w:fldChar w:fldCharType="end"/>
      </w:r>
      <w:r w:rsidRPr="007B3A7A">
        <w:rPr>
          <w:sz w:val="24"/>
          <w:szCs w:val="24"/>
        </w:rPr>
        <w:t xml:space="preserve">. The ‘impact agenda’, while it does not de-legitimise academic standards of excellence, can therefore be said to operate selectively upon the system in such a way as to increasingly privilege and celebrate research which achieves or is oriented towards external goals and values, or in other words, towards impact. My academic interview respondents reveal some stark instances and effects of this (see Chapter </w:t>
      </w:r>
      <w:r w:rsidR="009845B0">
        <w:rPr>
          <w:sz w:val="24"/>
          <w:szCs w:val="24"/>
        </w:rPr>
        <w:t>4</w:t>
      </w:r>
      <w:r w:rsidRPr="007B3A7A">
        <w:rPr>
          <w:sz w:val="24"/>
          <w:szCs w:val="24"/>
        </w:rPr>
        <w:t xml:space="preserve">). </w:t>
      </w:r>
    </w:p>
    <w:p w14:paraId="47030D0B" w14:textId="169D35C7" w:rsidR="00FD7CF3" w:rsidRDefault="00FD7CF3" w:rsidP="00FD7CF3">
      <w:pPr>
        <w:pStyle w:val="NormalWeb"/>
        <w:spacing w:before="120" w:beforeAutospacing="0" w:after="0" w:afterAutospacing="0" w:line="360" w:lineRule="auto"/>
      </w:pPr>
      <w:r w:rsidRPr="00590F06">
        <w:t>Mediating these policy-driven structural conditions and individual-level effects is the crucial and increasing</w:t>
      </w:r>
      <w:r>
        <w:t>ly visible and active</w:t>
      </w:r>
      <w:r w:rsidRPr="00590F06">
        <w:t xml:space="preserve"> role of institution-level management and administration. In the UK, the increasing prevalence and transparency of the terms of institutional competition, such as the ratings and rankings associated with the RAE/REF and global and national league tables </w:t>
      </w:r>
      <w:r w:rsidRPr="00590F06">
        <w:fldChar w:fldCharType="begin">
          <w:fldData xml:space="preserve">PEVuZE5vdGU+PENpdGU+PEF1dGhvcj5NYXJnaW5zb248L0F1dGhvcj48WWVhcj4yMDA3PC9ZZWFy
PjxJRFRleHQ+VG8gUmFuayBvciB0byBCZSBSYW5rZWQ6IFRoZSBJbXBhY3Qgb2YgR2xvYmFsIFJh
bmtpbmdzIGluIEhpZ2hlciBFZHVjYXRpb248L0lEVGV4dD48RGlzcGxheVRleHQ+KEhhemVsa29y
biwgMjAwNywgMjAwODsgTWFyZ2luc29uICZhbXA7IHZhbiBkZXIgV2VuZGUsIDIwMDcpPC9EaXNw
bGF5VGV4dD48cmVjb3JkPjxrZXl3b3Jkcz48a2V5d29yZD5IaWdoZXIgRWR1Y2F0aW9uPC9rZXl3
b3JkPjxrZXl3b3JkPkRldmVsb3BlZCBOYXRpb25zPC9rZXl3b3JkPjxrZXl3b3JkPkVkdWNhdGlv
bmFsIFF1YWxpdHk8L2tleXdvcmQ+PGtleXdvcmQ+R2xvYmFsIEFwcHJvYWNoPC9rZXl3b3JkPjxr
ZXl3b3JkPkNvbXBldGl0aW9uPC9rZXl3b3JkPjxrZXl3b3JkPlJlc2VhcmNoIFVuaXZlcnNpdGll
czwva2V5d29yZD48a2V5d29yZD5SZXNlYXJjaGVyczwva2V5d29yZD48a2V5d29yZD5FdmFsdWF0
aW9uIE1ldGhvZHM8L2tleXdvcmQ+PGtleXdvcmQ+QWNoaWV2ZW1lbnQgUmF0aW5nPC9rZXl3b3Jk
PjxrZXl3b3JkPlJhdGluZyBTY2FsZXM8L2tleXdvcmQ+PGtleXdvcmQ+SW5zdGl0dXRpb25hbCBD
aGFyYWN0ZXJpc3RpY3M8L2tleXdvcmQ+PGtleXdvcmQ+RWR1Y2F0aW9uYWwgSW5kaWNhdG9yczwv
a2V5d29yZD48a2V5d29yZD5JbnN0aXR1dGlvbmFsIEV2YWx1YXRpb248L2tleXdvcmQ+PC9rZXl3
b3Jkcz48aXNibj4xMDI4LTMxNTM8L2lzYm4+PHRpdGxlcz48dGl0bGU+VG8gUmFuayBvciB0byBC
ZSBSYW5rZWQ6IFRoZSBJbXBhY3Qgb2YgR2xvYmFsIFJhbmtpbmdzIGluIEhpZ2hlciBFZHVjYXRp
b248L3RpdGxlPjxzZWNvbmRhcnktdGl0bGU+Sm91cm5hbCBvZiBTdHVkaWVzIGluIEludGVybmF0
aW9uYWwgRWR1Y2F0aW9uPC9zZWNvbmRhcnktdGl0bGU+PC90aXRsZXM+PHBhZ2VzPjMwNi00KSwg
cC4zMDYtMzI5PC9wYWdlcz48Y29udHJpYnV0b3JzPjxhdXRob3JzPjxhdXRob3I+TWFyZ2luc29u
LCBTaW1vbjwvYXV0aG9yPjxhdXRob3I+dmFuIGRlciBXZW5kZSwgTWFyaWprPC9hdXRob3I+PC9h
dXRob3JzPjwvY29udHJpYnV0b3JzPjxhZGRlZC1kYXRlIGZvcm1hdD0idXRjIj4xNDU4ODQ5OTg0
PC9hZGRlZC1kYXRlPjxyZWYtdHlwZSBuYW1lPSJKb3VybmFsIEFydGljbGUiPjE3PC9yZWYtdHlw
ZT48ZGF0ZXM+PHllYXI+MjAwNzwveWVhcj48L2RhdGVzPjxyZWMtbnVtYmVyPjMzOTwvcmVjLW51
bWJlcj48bGFzdC11cGRhdGVkLWRhdGUgZm9ybWF0PSJ1dGMiPjE0NjkyMTU0Njg8L2xhc3QtdXBk
YXRlZC1kYXRlPjxlbGVjdHJvbmljLXJlc291cmNlLW51bT4xMC4xMTc3LzEwMjgzMTUzMDczMDM1
NDQ8L2VsZWN0cm9uaWMtcmVzb3VyY2UtbnVtPjx2b2x1bWU+MTE8L3ZvbHVtZT48L3JlY29yZD48
L0NpdGU+PENpdGU+PEF1dGhvcj5IYXplbGtvcm48L0F1dGhvcj48WWVhcj4yMDA3PC9ZZWFyPjxJ
RFRleHQ+VGhlIEltcGFjdCBvZiBMZWFndWUgVGFibGVzIGFuZCBSYW5raW5nIFN5c3RlbXMgb24g
SGlnaGVyIEVkdWNhdGlvbiBEZWNpc2lvbiBNYWtpbmc8L0lEVGV4dD48cmVjb3JkPjxrZXl3b3Jk
cz48a2V5d29yZD5IaWdoZXIgRWR1Y2F0aW9uPC9rZXl3b3JkPjxrZXl3b3JkPlJlcHV0YXRpb248
L2tleXdvcmQ+PGtleXdvcmQ+RGVjaXNpb24gTWFraW5nPC9rZXl3b3JkPjxrZXl3b3JkPkVkdWNh
dGlvbmFsIFF1YWxpdHk8L2tleXdvcmQ+PGtleXdvcmQ+QmVuY2htYXJraW5nPC9rZXl3b3JkPjxr
ZXl3b3JkPkV2YWx1YXRpb24gTWV0aG9kczwva2V5d29yZD48a2V5d29yZD5Db2xsZWdlczwva2V5
d29yZD48a2V5d29yZD5TdHJhdGVnaWMgUGxhbm5pbmc8L2tleXdvcmQ+PC9rZXl3b3Jkcz48aXNi
bj4xNjgyLTM0NTE8L2lzYm4+PHRpdGxlcz48dGl0bGU+VGhlIEltcGFjdCBvZiBMZWFndWUgVGFi
bGVzIGFuZCBSYW5raW5nIFN5c3RlbXMgb24gSGlnaGVyIEVkdWNhdGlvbiBEZWNpc2lvbiBNYWtp
bmc8L3RpdGxlPjxzZWNvbmRhcnktdGl0bGU+SGlnaGVyIEVkdWNhdGlvbiBNYW5hZ2VtZW50IGFu
ZCBQb2xpY3k8L3NlY29uZGFyeS10aXRsZT48L3RpdGxlcz48cGFnZXM+ODEtMTA1PC9wYWdlcz48
bnVtYmVyPjI8L251bWJlcj48Y29udHJpYnV0b3JzPjxhdXRob3JzPjxhdXRob3I+SGF6ZWxrb3Ju
LCBFbGxlbjwvYXV0aG9yPjwvYXV0aG9ycz48L2NvbnRyaWJ1dG9ycz48YWRkZWQtZGF0ZSBmb3Jt
YXQ9InV0YyI+MTUyMjk5MzI4MzwvYWRkZWQtZGF0ZT48cmVmLXR5cGUgbmFtZT0iSm91cm5hbCBB
cnRpY2xlIj4xNzwvcmVmLXR5cGU+PGRhdGVzPjx5ZWFyPjIwMDc8L3llYXI+PC9kYXRlcz48cmVj
LW51bWJlcj43NDU1PC9yZWMtbnVtYmVyPjxsYXN0LXVwZGF0ZWQtZGF0ZSBmb3JtYXQ9InV0YyI+
MTUyMjk5MzI4MzwvbGFzdC11cGRhdGVkLWRhdGU+PGVsZWN0cm9uaWMtcmVzb3VyY2UtbnVtPjEw
LjE3ODcvaGVtcC12MTktYXJ0MTItZW48L2VsZWN0cm9uaWMtcmVzb3VyY2UtbnVtPjx2b2x1bWU+
MTk8L3ZvbHVtZT48L3JlY29yZD48L0NpdGU+PENpdGU+PEF1dGhvcj5IYXplbGtvcm48L0F1dGhv
cj48WWVhcj4yMDA4PC9ZZWFyPjxJRFRleHQ+TGVhcm5pbmcgdG8gTGl2ZSB3aXRoIExlYWd1ZSBU
YWJsZXMgYW5kIFJhbmtpbmc6IFRoZSBFeHBlcmllbmNlIG9mIEluc3RpdHV0aW9uYWwgTGVhZGVy
czwvSURUZXh0PjxyZWNvcmQ+PGtleXdvcmRzPjxrZXl3b3JkPkhpZ2hlciBFZHVjYXRpb248L2tl
eXdvcmQ+PGtleXdvcmQ+SW5zdGl0dXRpb25hbCBBZG1pbmlzdHJhdGlvbjwva2V5d29yZD48a2V5
d29yZD5Gb3JlaWduIENvdW50cmllczwva2V5d29yZD48a2V5d29yZD5Db2xsZWdlIEFkbWluaXN0
cmF0aW9uPC9rZXl3b3JkPjxrZXl3b3JkPlJhdGluZyBTY2FsZXM8L2tleXdvcmQ+PGtleXdvcmQ+
RWR1Y2F0aW9uYWwgUXVhbGl0eTwva2V5d29yZD48a2V5d29yZD5FZHVjYXRpb25hbCBQb2xpY3k8
L2tleXdvcmQ+PGtleXdvcmQ+Q29sbGVnZXM8L2tleXdvcmQ+PGtleXdvcmQ+Q29sbGVnZSBDaG9p
Y2U8L2tleXdvcmQ+PGtleXdvcmQ+UGFydGljaXBhdGlvbjwva2V5d29yZD48a2V5d29yZD5Qb3B1
bGF0aW9uIEdyb3Vwczwva2V5d29yZD48a2V5d29yZD5TdHVkZW50czwva2V5d29yZD48a2V5d29y
ZD5FZHVjYXRpb25hbCBGaW5hbmNlPC9rZXl3b3JkPjxrZXl3b3JkPlJlY3J1aXRtZW50PC9rZXl3
b3JkPjwva2V5d29yZHM+PGlzYm4+MDk1Mi04NzMzPC9pc2JuPjx0aXRsZXM+PHRpdGxlPkxlYXJu
aW5nIHRvIExpdmUgd2l0aCBMZWFndWUgVGFibGVzIGFuZCBSYW5raW5nOiBUaGUgRXhwZXJpZW5j
ZSBvZiBJbnN0aXR1dGlvbmFsIExlYWRlcnM8L3RpdGxlPjxzZWNvbmRhcnktdGl0bGU+SGlnaGVy
IEVkdWNhdGlvbiBQb2xpY3k8L3NlY29uZGFyeS10aXRsZT48L3RpdGxlcz48cGFnZXM+MTkzLTIx
NTwvcGFnZXM+PG51bWJlcj4yPC9udW1iZXI+PGNvbnRyaWJ1dG9ycz48YXV0aG9ycz48YXV0aG9y
PkhhemVsa29ybiwgRWxsZW48L2F1dGhvcj48L2F1dGhvcnM+PC9jb250cmlidXRvcnM+PGFkZGVk
LWRhdGUgZm9ybWF0PSJ1dGMiPjE1MjI5OTM5MTc8L2FkZGVkLWRhdGU+PHJlZi10eXBlIG5hbWU9
IkpvdXJuYWwgQXJ0aWNsZSI+MTc8L3JlZi10eXBlPjxkYXRlcz48eWVhcj4yMDA4PC95ZWFyPjwv
ZGF0ZXM+PHJlYy1udW1iZXI+NzQ1NjwvcmVjLW51bWJlcj48bGFzdC11cGRhdGVkLWRhdGUgZm9y
bWF0PSJ1dGMiPjE1MjI5OTM5MTc8L2xhc3QtdXBkYXRlZC1kYXRlPjxlbGVjdHJvbmljLXJlc291
cmNlLW51bT4xMC4xMDU3L2hlcC4yMDA4LjE8L2VsZWN0cm9uaWMtcmVzb3VyY2UtbnVtPjx2b2x1
bWU+MjE8L3ZvbHVtZT48L3JlY29yZD48L0NpdGU+PC9FbmROb3RlPgB=
</w:fldData>
        </w:fldChar>
      </w:r>
      <w:r w:rsidRPr="00590F06">
        <w:instrText xml:space="preserve"> ADDIN EN.CITE </w:instrText>
      </w:r>
      <w:r w:rsidRPr="00590F06">
        <w:fldChar w:fldCharType="begin">
          <w:fldData xml:space="preserve">PEVuZE5vdGU+PENpdGU+PEF1dGhvcj5NYXJnaW5zb248L0F1dGhvcj48WWVhcj4yMDA3PC9ZZWFy
PjxJRFRleHQ+VG8gUmFuayBvciB0byBCZSBSYW5rZWQ6IFRoZSBJbXBhY3Qgb2YgR2xvYmFsIFJh
bmtpbmdzIGluIEhpZ2hlciBFZHVjYXRpb248L0lEVGV4dD48RGlzcGxheVRleHQ+KEhhemVsa29y
biwgMjAwNywgMjAwODsgTWFyZ2luc29uICZhbXA7IHZhbiBkZXIgV2VuZGUsIDIwMDcpPC9EaXNw
bGF5VGV4dD48cmVjb3JkPjxrZXl3b3Jkcz48a2V5d29yZD5IaWdoZXIgRWR1Y2F0aW9uPC9rZXl3
b3JkPjxrZXl3b3JkPkRldmVsb3BlZCBOYXRpb25zPC9rZXl3b3JkPjxrZXl3b3JkPkVkdWNhdGlv
bmFsIFF1YWxpdHk8L2tleXdvcmQ+PGtleXdvcmQ+R2xvYmFsIEFwcHJvYWNoPC9rZXl3b3JkPjxr
ZXl3b3JkPkNvbXBldGl0aW9uPC9rZXl3b3JkPjxrZXl3b3JkPlJlc2VhcmNoIFVuaXZlcnNpdGll
czwva2V5d29yZD48a2V5d29yZD5SZXNlYXJjaGVyczwva2V5d29yZD48a2V5d29yZD5FdmFsdWF0
aW9uIE1ldGhvZHM8L2tleXdvcmQ+PGtleXdvcmQ+QWNoaWV2ZW1lbnQgUmF0aW5nPC9rZXl3b3Jk
PjxrZXl3b3JkPlJhdGluZyBTY2FsZXM8L2tleXdvcmQ+PGtleXdvcmQ+SW5zdGl0dXRpb25hbCBD
aGFyYWN0ZXJpc3RpY3M8L2tleXdvcmQ+PGtleXdvcmQ+RWR1Y2F0aW9uYWwgSW5kaWNhdG9yczwv
a2V5d29yZD48a2V5d29yZD5JbnN0aXR1dGlvbmFsIEV2YWx1YXRpb248L2tleXdvcmQ+PC9rZXl3
b3Jkcz48aXNibj4xMDI4LTMxNTM8L2lzYm4+PHRpdGxlcz48dGl0bGU+VG8gUmFuayBvciB0byBC
ZSBSYW5rZWQ6IFRoZSBJbXBhY3Qgb2YgR2xvYmFsIFJhbmtpbmdzIGluIEhpZ2hlciBFZHVjYXRp
b248L3RpdGxlPjxzZWNvbmRhcnktdGl0bGU+Sm91cm5hbCBvZiBTdHVkaWVzIGluIEludGVybmF0
aW9uYWwgRWR1Y2F0aW9uPC9zZWNvbmRhcnktdGl0bGU+PC90aXRsZXM+PHBhZ2VzPjMwNi00KSwg
cC4zMDYtMzI5PC9wYWdlcz48Y29udHJpYnV0b3JzPjxhdXRob3JzPjxhdXRob3I+TWFyZ2luc29u
LCBTaW1vbjwvYXV0aG9yPjxhdXRob3I+dmFuIGRlciBXZW5kZSwgTWFyaWprPC9hdXRob3I+PC9h
dXRob3JzPjwvY29udHJpYnV0b3JzPjxhZGRlZC1kYXRlIGZvcm1hdD0idXRjIj4xNDU4ODQ5OTg0
PC9hZGRlZC1kYXRlPjxyZWYtdHlwZSBuYW1lPSJKb3VybmFsIEFydGljbGUiPjE3PC9yZWYtdHlw
ZT48ZGF0ZXM+PHllYXI+MjAwNzwveWVhcj48L2RhdGVzPjxyZWMtbnVtYmVyPjMzOTwvcmVjLW51
bWJlcj48bGFzdC11cGRhdGVkLWRhdGUgZm9ybWF0PSJ1dGMiPjE0NjkyMTU0Njg8L2xhc3QtdXBk
YXRlZC1kYXRlPjxlbGVjdHJvbmljLXJlc291cmNlLW51bT4xMC4xMTc3LzEwMjgzMTUzMDczMDM1
NDQ8L2VsZWN0cm9uaWMtcmVzb3VyY2UtbnVtPjx2b2x1bWU+MTE8L3ZvbHVtZT48L3JlY29yZD48
L0NpdGU+PENpdGU+PEF1dGhvcj5IYXplbGtvcm48L0F1dGhvcj48WWVhcj4yMDA3PC9ZZWFyPjxJ
RFRleHQ+VGhlIEltcGFjdCBvZiBMZWFndWUgVGFibGVzIGFuZCBSYW5raW5nIFN5c3RlbXMgb24g
SGlnaGVyIEVkdWNhdGlvbiBEZWNpc2lvbiBNYWtpbmc8L0lEVGV4dD48cmVjb3JkPjxrZXl3b3Jk
cz48a2V5d29yZD5IaWdoZXIgRWR1Y2F0aW9uPC9rZXl3b3JkPjxrZXl3b3JkPlJlcHV0YXRpb248
L2tleXdvcmQ+PGtleXdvcmQ+RGVjaXNpb24gTWFraW5nPC9rZXl3b3JkPjxrZXl3b3JkPkVkdWNh
dGlvbmFsIFF1YWxpdHk8L2tleXdvcmQ+PGtleXdvcmQ+QmVuY2htYXJraW5nPC9rZXl3b3JkPjxr
ZXl3b3JkPkV2YWx1YXRpb24gTWV0aG9kczwva2V5d29yZD48a2V5d29yZD5Db2xsZWdlczwva2V5
d29yZD48a2V5d29yZD5TdHJhdGVnaWMgUGxhbm5pbmc8L2tleXdvcmQ+PC9rZXl3b3Jkcz48aXNi
bj4xNjgyLTM0NTE8L2lzYm4+PHRpdGxlcz48dGl0bGU+VGhlIEltcGFjdCBvZiBMZWFndWUgVGFi
bGVzIGFuZCBSYW5raW5nIFN5c3RlbXMgb24gSGlnaGVyIEVkdWNhdGlvbiBEZWNpc2lvbiBNYWtp
bmc8L3RpdGxlPjxzZWNvbmRhcnktdGl0bGU+SGlnaGVyIEVkdWNhdGlvbiBNYW5hZ2VtZW50IGFu
ZCBQb2xpY3k8L3NlY29uZGFyeS10aXRsZT48L3RpdGxlcz48cGFnZXM+ODEtMTA1PC9wYWdlcz48
bnVtYmVyPjI8L251bWJlcj48Y29udHJpYnV0b3JzPjxhdXRob3JzPjxhdXRob3I+SGF6ZWxrb3Ju
LCBFbGxlbjwvYXV0aG9yPjwvYXV0aG9ycz48L2NvbnRyaWJ1dG9ycz48YWRkZWQtZGF0ZSBmb3Jt
YXQ9InV0YyI+MTUyMjk5MzI4MzwvYWRkZWQtZGF0ZT48cmVmLXR5cGUgbmFtZT0iSm91cm5hbCBB
cnRpY2xlIj4xNzwvcmVmLXR5cGU+PGRhdGVzPjx5ZWFyPjIwMDc8L3llYXI+PC9kYXRlcz48cmVj
LW51bWJlcj43NDU1PC9yZWMtbnVtYmVyPjxsYXN0LXVwZGF0ZWQtZGF0ZSBmb3JtYXQ9InV0YyI+
MTUyMjk5MzI4MzwvbGFzdC11cGRhdGVkLWRhdGU+PGVsZWN0cm9uaWMtcmVzb3VyY2UtbnVtPjEw
LjE3ODcvaGVtcC12MTktYXJ0MTItZW48L2VsZWN0cm9uaWMtcmVzb3VyY2UtbnVtPjx2b2x1bWU+
MTk8L3ZvbHVtZT48L3JlY29yZD48L0NpdGU+PENpdGU+PEF1dGhvcj5IYXplbGtvcm48L0F1dGhv
cj48WWVhcj4yMDA4PC9ZZWFyPjxJRFRleHQ+TGVhcm5pbmcgdG8gTGl2ZSB3aXRoIExlYWd1ZSBU
YWJsZXMgYW5kIFJhbmtpbmc6IFRoZSBFeHBlcmllbmNlIG9mIEluc3RpdHV0aW9uYWwgTGVhZGVy
czwvSURUZXh0PjxyZWNvcmQ+PGtleXdvcmRzPjxrZXl3b3JkPkhpZ2hlciBFZHVjYXRpb248L2tl
eXdvcmQ+PGtleXdvcmQ+SW5zdGl0dXRpb25hbCBBZG1pbmlzdHJhdGlvbjwva2V5d29yZD48a2V5
d29yZD5Gb3JlaWduIENvdW50cmllczwva2V5d29yZD48a2V5d29yZD5Db2xsZWdlIEFkbWluaXN0
cmF0aW9uPC9rZXl3b3JkPjxrZXl3b3JkPlJhdGluZyBTY2FsZXM8L2tleXdvcmQ+PGtleXdvcmQ+
RWR1Y2F0aW9uYWwgUXVhbGl0eTwva2V5d29yZD48a2V5d29yZD5FZHVjYXRpb25hbCBQb2xpY3k8
L2tleXdvcmQ+PGtleXdvcmQ+Q29sbGVnZXM8L2tleXdvcmQ+PGtleXdvcmQ+Q29sbGVnZSBDaG9p
Y2U8L2tleXdvcmQ+PGtleXdvcmQ+UGFydGljaXBhdGlvbjwva2V5d29yZD48a2V5d29yZD5Qb3B1
bGF0aW9uIEdyb3Vwczwva2V5d29yZD48a2V5d29yZD5TdHVkZW50czwva2V5d29yZD48a2V5d29y
ZD5FZHVjYXRpb25hbCBGaW5hbmNlPC9rZXl3b3JkPjxrZXl3b3JkPlJlY3J1aXRtZW50PC9rZXl3
b3JkPjwva2V5d29yZHM+PGlzYm4+MDk1Mi04NzMzPC9pc2JuPjx0aXRsZXM+PHRpdGxlPkxlYXJu
aW5nIHRvIExpdmUgd2l0aCBMZWFndWUgVGFibGVzIGFuZCBSYW5raW5nOiBUaGUgRXhwZXJpZW5j
ZSBvZiBJbnN0aXR1dGlvbmFsIExlYWRlcnM8L3RpdGxlPjxzZWNvbmRhcnktdGl0bGU+SGlnaGVy
IEVkdWNhdGlvbiBQb2xpY3k8L3NlY29uZGFyeS10aXRsZT48L3RpdGxlcz48cGFnZXM+MTkzLTIx
NTwvcGFnZXM+PG51bWJlcj4yPC9udW1iZXI+PGNvbnRyaWJ1dG9ycz48YXV0aG9ycz48YXV0aG9y
PkhhemVsa29ybiwgRWxsZW48L2F1dGhvcj48L2F1dGhvcnM+PC9jb250cmlidXRvcnM+PGFkZGVk
LWRhdGUgZm9ybWF0PSJ1dGMiPjE1MjI5OTM5MTc8L2FkZGVkLWRhdGU+PHJlZi10eXBlIG5hbWU9
IkpvdXJuYWwgQXJ0aWNsZSI+MTc8L3JlZi10eXBlPjxkYXRlcz48eWVhcj4yMDA4PC95ZWFyPjwv
ZGF0ZXM+PHJlYy1udW1iZXI+NzQ1NjwvcmVjLW51bWJlcj48bGFzdC11cGRhdGVkLWRhdGUgZm9y
bWF0PSJ1dGMiPjE1MjI5OTM5MTc8L2xhc3QtdXBkYXRlZC1kYXRlPjxlbGVjdHJvbmljLXJlc291
cmNlLW51bT4xMC4xMDU3L2hlcC4yMDA4LjE8L2VsZWN0cm9uaWMtcmVzb3VyY2UtbnVtPjx2b2x1
bWU+MjE8L3ZvbHVtZT48L3JlY29yZD48L0NpdGU+PC9FbmROb3RlPgB=
</w:fldData>
        </w:fldChar>
      </w:r>
      <w:r w:rsidRPr="00590F06">
        <w:instrText xml:space="preserve"> ADDIN EN.CITE.DATA </w:instrText>
      </w:r>
      <w:r w:rsidRPr="00590F06">
        <w:fldChar w:fldCharType="end"/>
      </w:r>
      <w:r w:rsidRPr="00590F06">
        <w:fldChar w:fldCharType="separate"/>
      </w:r>
      <w:r w:rsidRPr="00590F06">
        <w:rPr>
          <w:noProof/>
        </w:rPr>
        <w:t>(Hazelkorn, 2007, 2008; Marginson &amp; van der Wende, 2007)</w:t>
      </w:r>
      <w:r w:rsidRPr="00590F06">
        <w:fldChar w:fldCharType="end"/>
      </w:r>
      <w:r w:rsidRPr="00590F06">
        <w:t xml:space="preserve"> has been matched by the increasing centralisation of academic management capacity </w:t>
      </w:r>
      <w:r w:rsidRPr="00590F06">
        <w:fldChar w:fldCharType="begin">
          <w:fldData xml:space="preserve">PEVuZE5vdGU+PENpdGU+PEF1dGhvcj5TaGF0dG9jazwvQXV0aG9yPjxZZWFyPjIwMTQ8L1llYXI+
PElEVGV4dD5DYW4gV2UgU3RpbGwgU3BlYWsgb2YgVGhlcmUgQmVpbmcgYW4gQWNhZGVtaWMgUHJv
ZmVzc2lvbj88L0lEVGV4dD48RGlzcGxheVRleHQ+KFNoYXR0b2NrLCAyMDE0LCAyMDE3KTwvRGlz
cGxheVRleHQ+PHJlY29yZD48a2V5d29yZHM+PGtleXdvcmQ+Rm9yZWlnbiBDb3VudHJpZXM8L2tl
eXdvcmQ+PGtleXdvcmQ+VGVhY2hpbmcgKE9jY3VwYXRpb24pPC9rZXl3b3JkPjxrZXl3b3JkPkhp
Z2hlciBFZHVjYXRpb248L2tleXdvcmQ+PGtleXdvcmQ+VW5pdmVyc2l0aWVzPC9rZXl3b3JkPjxr
ZXl3b3JkPkNvbGxlZ2UgRmFjdWx0eTwva2V5d29yZD48a2V5d29yZD5FZHVjYXRpb25hbCBIaXN0
b3J5PC9rZXl3b3JkPjxrZXl3b3JkPlRlYWNoZXIgUmVzcG9uc2liaWxpdHk8L2tleXdvcmQ+PGtl
eXdvcmQ+VGVhY2hlciBDb21wZXRlbmNpZXM8L2tleXdvcmQ+PGtleXdvcmQ+R3JvdXAgTWVtYmVy
c2hpcDwva2V5d29yZD48a2V5d29yZD5Pcmdhbml6YXRpb25zIChHcm91cHMpPC9rZXl3b3JkPjxr
ZXl3b3JkPkdvdmVybmFuY2U8L2tleXdvcmQ+PGtleXdvcmQ+VGVhY2hlciBSb2xlPC9rZXl3b3Jk
PjxrZXl3b3JkPkZhY3VsdHkgRGV2ZWxvcG1lbnQ8L2tleXdvcmQ+PGtleXdvcmQ+VGVhY2hpbmcg
Q29uZGl0aW9uczwva2V5d29yZD48a2V5d29yZD5TZWxmIENvbnRyb2w8L2tleXdvcmQ+PGtleXdv
cmQ+QWNjb3VudGFiaWxpdHk8L2tleXdvcmQ+PGtleXdvcmQ+RXhwZXJ0aXNlPC9rZXl3b3JkPjxr
ZXl3b3JkPktub3dsZWRnZSBMZXZlbDwva2V5d29yZD48a2V5d29yZD5Lbm93bGVkZ2UgTWFuYWdl
bWVudDwva2V5d29yZD48L2tleXdvcmRzPjxpc2JuPjAwNDYtNzYwWDwvaXNibj48dGl0bGVzPjx0
aXRsZT5DYW4gV2UgU3RpbGwgU3BlYWsgb2YgVGhlcmUgQmVpbmcgYW4gQWNhZGVtaWMgUHJvZmVz
c2lvbj88L3RpdGxlPjxzZWNvbmRhcnktdGl0bGU+SGlzdG9yeSBvZiBFZHVjYXRpb248L3NlY29u
ZGFyeS10aXRsZT48L3RpdGxlcz48cGFnZXM+NzI3LTczOTwvcGFnZXM+PG51bWJlcj42PC9udW1i
ZXI+PGNvbnRyaWJ1dG9ycz48YXV0aG9ycz48YXV0aG9yPlNoYXR0b2NrLCBNaWNoYWVsPC9hdXRo
b3I+PC9hdXRob3JzPjwvY29udHJpYnV0b3JzPjxhZGRlZC1kYXRlIGZvcm1hdD0idXRjIj4xNTA4
OTQ0MTEwPC9hZGRlZC1kYXRlPjxyZWYtdHlwZSBuYW1lPSJKb3VybmFsIEFydGljbGUiPjE3PC9y
ZWYtdHlwZT48ZGF0ZXM+PHllYXI+MjAxNDwveWVhcj48L2RhdGVzPjxyZWMtbnVtYmVyPjcyNDM8
L3JlYy1udW1iZXI+PGxhc3QtdXBkYXRlZC1kYXRlIGZvcm1hdD0idXRjIj4xNTA4OTQ0NzI4PC9s
YXN0LXVwZGF0ZWQtZGF0ZT48ZWxlY3Ryb25pYy1yZXNvdXJjZS1udW0+MTAuMTA4MC8wMDQ2NzYw
WC4yMDE0Ljk2NDAwODwvZWxlY3Ryb25pYy1yZXNvdXJjZS1udW0+PHZvbHVtZT40Mzwvdm9sdW1l
PjwvcmVjb3JkPjwvQ2l0ZT48Q2l0ZT48QXV0aG9yPlNoYXR0b2NrPC9BdXRob3I+PFllYXI+MjAx
NzwvWWVhcj48SURUZXh0PlVuaXZlcnNpdHkgZ292ZXJuYW5jZSBpbiBmbHV4LiBUaGUgaW1wYWN0
IG9mIGV4dGVybmFsIGFuZCBpbnRlcm5hbCBwcmVzc3VyZXMgb24gdGhlIGRpc3RyaWJ1dGlvbiBv
ZiBhdXRob3JpdHkgd2l0aGluIEJyaXRpc2ggdW5pdmVyc2l0aWVzOiBhIHN5bm9wdGljIHZpZXcu
IFdvcmtpbmcgUGFwZXIgMTM8L0lEVGV4dD48cmVjb3JkPjx1cmxzPjxyZWxhdGVkLXVybHM+PHVy
bD5odHRwOi8vd3d3LnJlc2VhcmNoY2doZS5vcmcvcHVibGljYXRpb25zL3VuaXZlcnNpdHktZ292
ZXJuYW5jZS1pbi1mbHV4LXRoZS1pbXBhY3Qtb2YtZXh0ZXJuYWwtYW5kLWludGVybmFsLXByZXNz
dXJlcy1vbi10aGUtZGlzdHJpYnV0aW9uLW9mLWF1dGhvcml0eS13aXRoaW4tYnJpdGlzaC11bml2
ZXJzaXRpZXMtYS1zeW5vcHRpYy12aWV3LzwvdXJsPjwvcmVsYXRlZC11cmxzPjwvdXJscz48dGl0
bGVzPjx0aXRsZT5Vbml2ZXJzaXR5IGdvdmVybmFuY2UgaW4gZmx1eC4gVGhlIGltcGFjdCBvZiBl
eHRlcm5hbCBhbmQgaW50ZXJuYWwgcHJlc3N1cmVzIG9uIHRoZSBkaXN0cmlidXRpb24gb2YgYXV0
aG9yaXR5IHdpdGhpbiBCcml0aXNoIHVuaXZlcnNpdGllczogYSBzeW5vcHRpYyB2aWV3LiBXb3Jr
aW5nIFBhcGVyIDEzPC90aXRsZT48L3RpdGxlcz48Y29udHJpYnV0b3JzPjxhdXRob3JzPjxhdXRo
b3I+U2hhdHRvY2ssIE1pY2hhZWw8L2F1dGhvcj48L2F1dGhvcnM+PC9jb250cmlidXRvcnM+PGFk
ZGVkLWRhdGUgZm9ybWF0PSJ1dGMiPjE0OTA3ODgyNjQ8L2FkZGVkLWRhdGU+PHJlZi10eXBlIG5h
bWU9IlJlcG9ydCI+Mjc8L3JlZi10eXBlPjxkYXRlcz48eWVhcj4yMDE3PC95ZWFyPjwvZGF0ZXM+
PHJlYy1udW1iZXI+NjY4NjwvcmVjLW51bWJlcj48cHVibGlzaGVyPkNHSEU8L3B1Ymxpc2hlcj48
bGFzdC11cGRhdGVkLWRhdGUgZm9ybWF0PSJ1dGMiPjE1MDUzNzk2MTY8L2xhc3QtdXBkYXRlZC1k
YXRlPjwvcmVjb3JkPjwvQ2l0ZT48L0VuZE5vdGU+
</w:fldData>
        </w:fldChar>
      </w:r>
      <w:r w:rsidRPr="00590F06">
        <w:instrText xml:space="preserve"> ADDIN EN.CITE </w:instrText>
      </w:r>
      <w:r w:rsidRPr="00590F06">
        <w:fldChar w:fldCharType="begin">
          <w:fldData xml:space="preserve">PEVuZE5vdGU+PENpdGU+PEF1dGhvcj5TaGF0dG9jazwvQXV0aG9yPjxZZWFyPjIwMTQ8L1llYXI+
PElEVGV4dD5DYW4gV2UgU3RpbGwgU3BlYWsgb2YgVGhlcmUgQmVpbmcgYW4gQWNhZGVtaWMgUHJv
ZmVzc2lvbj88L0lEVGV4dD48RGlzcGxheVRleHQ+KFNoYXR0b2NrLCAyMDE0LCAyMDE3KTwvRGlz
cGxheVRleHQ+PHJlY29yZD48a2V5d29yZHM+PGtleXdvcmQ+Rm9yZWlnbiBDb3VudHJpZXM8L2tl
eXdvcmQ+PGtleXdvcmQ+VGVhY2hpbmcgKE9jY3VwYXRpb24pPC9rZXl3b3JkPjxrZXl3b3JkPkhp
Z2hlciBFZHVjYXRpb248L2tleXdvcmQ+PGtleXdvcmQ+VW5pdmVyc2l0aWVzPC9rZXl3b3JkPjxr
ZXl3b3JkPkNvbGxlZ2UgRmFjdWx0eTwva2V5d29yZD48a2V5d29yZD5FZHVjYXRpb25hbCBIaXN0
b3J5PC9rZXl3b3JkPjxrZXl3b3JkPlRlYWNoZXIgUmVzcG9uc2liaWxpdHk8L2tleXdvcmQ+PGtl
eXdvcmQ+VGVhY2hlciBDb21wZXRlbmNpZXM8L2tleXdvcmQ+PGtleXdvcmQ+R3JvdXAgTWVtYmVy
c2hpcDwva2V5d29yZD48a2V5d29yZD5Pcmdhbml6YXRpb25zIChHcm91cHMpPC9rZXl3b3JkPjxr
ZXl3b3JkPkdvdmVybmFuY2U8L2tleXdvcmQ+PGtleXdvcmQ+VGVhY2hlciBSb2xlPC9rZXl3b3Jk
PjxrZXl3b3JkPkZhY3VsdHkgRGV2ZWxvcG1lbnQ8L2tleXdvcmQ+PGtleXdvcmQ+VGVhY2hpbmcg
Q29uZGl0aW9uczwva2V5d29yZD48a2V5d29yZD5TZWxmIENvbnRyb2w8L2tleXdvcmQ+PGtleXdv
cmQ+QWNjb3VudGFiaWxpdHk8L2tleXdvcmQ+PGtleXdvcmQ+RXhwZXJ0aXNlPC9rZXl3b3JkPjxr
ZXl3b3JkPktub3dsZWRnZSBMZXZlbDwva2V5d29yZD48a2V5d29yZD5Lbm93bGVkZ2UgTWFuYWdl
bWVudDwva2V5d29yZD48L2tleXdvcmRzPjxpc2JuPjAwNDYtNzYwWDwvaXNibj48dGl0bGVzPjx0
aXRsZT5DYW4gV2UgU3RpbGwgU3BlYWsgb2YgVGhlcmUgQmVpbmcgYW4gQWNhZGVtaWMgUHJvZmVz
c2lvbj88L3RpdGxlPjxzZWNvbmRhcnktdGl0bGU+SGlzdG9yeSBvZiBFZHVjYXRpb248L3NlY29u
ZGFyeS10aXRsZT48L3RpdGxlcz48cGFnZXM+NzI3LTczOTwvcGFnZXM+PG51bWJlcj42PC9udW1i
ZXI+PGNvbnRyaWJ1dG9ycz48YXV0aG9ycz48YXV0aG9yPlNoYXR0b2NrLCBNaWNoYWVsPC9hdXRo
b3I+PC9hdXRob3JzPjwvY29udHJpYnV0b3JzPjxhZGRlZC1kYXRlIGZvcm1hdD0idXRjIj4xNTA4
OTQ0MTEwPC9hZGRlZC1kYXRlPjxyZWYtdHlwZSBuYW1lPSJKb3VybmFsIEFydGljbGUiPjE3PC9y
ZWYtdHlwZT48ZGF0ZXM+PHllYXI+MjAxNDwveWVhcj48L2RhdGVzPjxyZWMtbnVtYmVyPjcyNDM8
L3JlYy1udW1iZXI+PGxhc3QtdXBkYXRlZC1kYXRlIGZvcm1hdD0idXRjIj4xNTA4OTQ0NzI4PC9s
YXN0LXVwZGF0ZWQtZGF0ZT48ZWxlY3Ryb25pYy1yZXNvdXJjZS1udW0+MTAuMTA4MC8wMDQ2NzYw
WC4yMDE0Ljk2NDAwODwvZWxlY3Ryb25pYy1yZXNvdXJjZS1udW0+PHZvbHVtZT40Mzwvdm9sdW1l
PjwvcmVjb3JkPjwvQ2l0ZT48Q2l0ZT48QXV0aG9yPlNoYXR0b2NrPC9BdXRob3I+PFllYXI+MjAx
NzwvWWVhcj48SURUZXh0PlVuaXZlcnNpdHkgZ292ZXJuYW5jZSBpbiBmbHV4LiBUaGUgaW1wYWN0
IG9mIGV4dGVybmFsIGFuZCBpbnRlcm5hbCBwcmVzc3VyZXMgb24gdGhlIGRpc3RyaWJ1dGlvbiBv
ZiBhdXRob3JpdHkgd2l0aGluIEJyaXRpc2ggdW5pdmVyc2l0aWVzOiBhIHN5bm9wdGljIHZpZXcu
IFdvcmtpbmcgUGFwZXIgMTM8L0lEVGV4dD48cmVjb3JkPjx1cmxzPjxyZWxhdGVkLXVybHM+PHVy
bD5odHRwOi8vd3d3LnJlc2VhcmNoY2doZS5vcmcvcHVibGljYXRpb25zL3VuaXZlcnNpdHktZ292
ZXJuYW5jZS1pbi1mbHV4LXRoZS1pbXBhY3Qtb2YtZXh0ZXJuYWwtYW5kLWludGVybmFsLXByZXNz
dXJlcy1vbi10aGUtZGlzdHJpYnV0aW9uLW9mLWF1dGhvcml0eS13aXRoaW4tYnJpdGlzaC11bml2
ZXJzaXRpZXMtYS1zeW5vcHRpYy12aWV3LzwvdXJsPjwvcmVsYXRlZC11cmxzPjwvdXJscz48dGl0
bGVzPjx0aXRsZT5Vbml2ZXJzaXR5IGdvdmVybmFuY2UgaW4gZmx1eC4gVGhlIGltcGFjdCBvZiBl
eHRlcm5hbCBhbmQgaW50ZXJuYWwgcHJlc3N1cmVzIG9uIHRoZSBkaXN0cmlidXRpb24gb2YgYXV0
aG9yaXR5IHdpdGhpbiBCcml0aXNoIHVuaXZlcnNpdGllczogYSBzeW5vcHRpYyB2aWV3LiBXb3Jr
aW5nIFBhcGVyIDEzPC90aXRsZT48L3RpdGxlcz48Y29udHJpYnV0b3JzPjxhdXRob3JzPjxhdXRo
b3I+U2hhdHRvY2ssIE1pY2hhZWw8L2F1dGhvcj48L2F1dGhvcnM+PC9jb250cmlidXRvcnM+PGFk
ZGVkLWRhdGUgZm9ybWF0PSJ1dGMiPjE0OTA3ODgyNjQ8L2FkZGVkLWRhdGU+PHJlZi10eXBlIG5h
bWU9IlJlcG9ydCI+Mjc8L3JlZi10eXBlPjxkYXRlcz48eWVhcj4yMDE3PC95ZWFyPjwvZGF0ZXM+
PHJlYy1udW1iZXI+NjY4NjwvcmVjLW51bWJlcj48cHVibGlzaGVyPkNHSEU8L3B1Ymxpc2hlcj48
bGFzdC11cGRhdGVkLWRhdGUgZm9ybWF0PSJ1dGMiPjE1MDUzNzk2MTY8L2xhc3QtdXBkYXRlZC1k
YXRlPjwvcmVjb3JkPjwvQ2l0ZT48L0VuZE5vdGU+
</w:fldData>
        </w:fldChar>
      </w:r>
      <w:r w:rsidRPr="00590F06">
        <w:instrText xml:space="preserve"> ADDIN EN.CITE.DATA </w:instrText>
      </w:r>
      <w:r w:rsidRPr="00590F06">
        <w:fldChar w:fldCharType="end"/>
      </w:r>
      <w:r w:rsidRPr="00590F06">
        <w:fldChar w:fldCharType="separate"/>
      </w:r>
      <w:r w:rsidRPr="00590F06">
        <w:rPr>
          <w:noProof/>
        </w:rPr>
        <w:t>(Shattock, 2014, 2017)</w:t>
      </w:r>
      <w:r w:rsidRPr="00590F06">
        <w:fldChar w:fldCharType="end"/>
      </w:r>
      <w:r w:rsidRPr="00590F06">
        <w:t xml:space="preserve">. The ‘Jarratt Report’ </w:t>
      </w:r>
      <w:r w:rsidRPr="00590F06">
        <w:fldChar w:fldCharType="begin"/>
      </w:r>
      <w:r w:rsidRPr="00590F06">
        <w:instrText xml:space="preserve"> ADDIN EN.CITE &lt;EndNote&gt;&lt;Cite&gt;&lt;Author&gt;Committee of Vice Chancellors and Principals&lt;/Author&gt;&lt;Year&gt;1985&lt;/Year&gt;&lt;IDText&gt;Report of the Steering Committee for Efficiency Studies in Universities. The Jarratt Report (1985)&lt;/IDText&gt;&lt;DisplayText&gt;(Committee of Vice Chancellors and Principals, 1985)&lt;/DisplayText&gt;&lt;record&gt;&lt;keywords&gt;&lt;keyword&gt;Alex Jarratt, Universities, Vice Chancellors, Principals, efficiency, resource allocation, accountability, University Grants Committee&lt;/keyword&gt;&lt;/keywords&gt;&lt;urls&gt;&lt;related-urls&gt;&lt;url&gt;http://www.educationengland.org.uk/documents/jarratt1985/index.html&lt;/url&gt;&lt;/related-urls&gt;&lt;/urls&gt;&lt;titles&gt;&lt;title&gt;Report of the Steering Committee for Efficiency Studies in Universities. The Jarratt Report (1985)&lt;/title&gt;&lt;/titles&gt;&lt;contributors&gt;&lt;authors&gt;&lt;author&gt;Committee of Vice Chancellors and Principals,&lt;/author&gt;&lt;/authors&gt;&lt;/contributors&gt;&lt;added-date format="utc"&gt;1523000022&lt;/added-date&gt;&lt;pub-location&gt;London&lt;/pub-location&gt;&lt;ref-type name="Report"&gt;27&lt;/ref-type&gt;&lt;dates&gt;&lt;year&gt;1985&lt;/year&gt;&lt;/dates&gt;&lt;rec-number&gt;7458&lt;/rec-number&gt;&lt;publisher&gt;Committee of Vice Chancellors and Principals&lt;/publisher&gt;&lt;last-updated-date format="utc"&gt;1523000022&lt;/last-updated-date&gt;&lt;/record&gt;&lt;/Cite&gt;&lt;/EndNote&gt;</w:instrText>
      </w:r>
      <w:r w:rsidRPr="00590F06">
        <w:fldChar w:fldCharType="separate"/>
      </w:r>
      <w:r w:rsidRPr="00590F06">
        <w:rPr>
          <w:noProof/>
        </w:rPr>
        <w:t>(Committee of Vice Chancellors and Principals, 1985)</w:t>
      </w:r>
      <w:r w:rsidRPr="00590F06">
        <w:fldChar w:fldCharType="end"/>
      </w:r>
      <w:r w:rsidRPr="00590F06">
        <w:t xml:space="preserve">, </w:t>
      </w:r>
      <w:r>
        <w:t xml:space="preserve">the </w:t>
      </w:r>
      <w:r w:rsidRPr="00590F06">
        <w:t xml:space="preserve">‘Dearing Report’ </w:t>
      </w:r>
      <w:r w:rsidRPr="00590F06">
        <w:fldChar w:fldCharType="begin"/>
      </w:r>
      <w:r w:rsidRPr="00590F06">
        <w:instrText xml:space="preserve"> ADDIN EN.CITE &lt;EndNote&gt;&lt;Cite&gt;&lt;Author&gt;National Committee of Inquiry into Higher Education&lt;/Author&gt;&lt;Year&gt;1997&lt;/Year&gt;&lt;IDText&gt;Higher Education in the Learning Society. The Dearing Report&lt;/IDText&gt;&lt;DisplayText&gt;(National Committee of Inquiry into Higher Education, 1997)&lt;/DisplayText&gt;&lt;record&gt;&lt;keywords&gt;&lt;keyword&gt;Sir Ron Dearing, higher education, universities, students, teaching, learning society, communications and information technology, England, Scotland, Wales, Northern Ireland, employment, research, lifelong learning, diversity, undergraduate, public funding, OECD, ethnic minorities, disabilities, top-up fees, student loans, vocational qualifications, science, engineering, small and medium-sized enterprises, local education authorities, Robbins report&lt;/keyword&gt;&lt;/keywords&gt;&lt;urls&gt;&lt;related-urls&gt;&lt;url&gt;http://www.educationengland.org.uk/documents/dearing1997/dearing1997.html&lt;/url&gt;&lt;/related-urls&gt;&lt;/urls&gt;&lt;titles&gt;&lt;title&gt;Higher Education in the Learning Society. The Dearing Report&lt;/title&gt;&lt;/titles&gt;&lt;contributors&gt;&lt;authors&gt;&lt;author&gt;National Committee of Inquiry into Higher Education,&lt;/author&gt;&lt;/authors&gt;&lt;/contributors&gt;&lt;added-date format="utc"&gt;1522999835&lt;/added-date&gt;&lt;pub-location&gt;London&lt;/pub-location&gt;&lt;ref-type name="Government Document"&gt;46&lt;/ref-type&gt;&lt;dates&gt;&lt;year&gt;1997&lt;/year&gt;&lt;/dates&gt;&lt;rec-number&gt;7457&lt;/rec-number&gt;&lt;publisher&gt;HMSO&lt;/publisher&gt;&lt;last-updated-date format="utc"&gt;1522999835&lt;/last-updated-date&gt;&lt;contributors&gt;&lt;secondary-authors&gt;&lt;author&gt;HMSO&lt;/author&gt;&lt;/secondary-authors&gt;&lt;/contributors&gt;&lt;/record&gt;&lt;/Cite&gt;&lt;/EndNote&gt;</w:instrText>
      </w:r>
      <w:r w:rsidRPr="00590F06">
        <w:fldChar w:fldCharType="separate"/>
      </w:r>
      <w:r w:rsidRPr="00590F06">
        <w:rPr>
          <w:noProof/>
        </w:rPr>
        <w:t>(National Committee of Inquiry into Higher Education, 1997)</w:t>
      </w:r>
      <w:r w:rsidRPr="00590F06">
        <w:fldChar w:fldCharType="end"/>
      </w:r>
      <w:r w:rsidRPr="00590F06">
        <w:t xml:space="preserve"> and</w:t>
      </w:r>
      <w:r>
        <w:t xml:space="preserve"> the</w:t>
      </w:r>
      <w:r w:rsidRPr="00590F06">
        <w:t xml:space="preserve"> ‘Lambert Report’ </w:t>
      </w:r>
      <w:r w:rsidRPr="00590F06">
        <w:fldChar w:fldCharType="begin"/>
      </w:r>
      <w:r w:rsidRPr="00590F06">
        <w:instrText xml:space="preserve"> ADDIN EN.CITE &lt;EndNote&gt;&lt;Cite&gt;&lt;Author&gt;Lambert&lt;/Author&gt;&lt;Year&gt;2003&lt;/Year&gt;&lt;IDText&gt;Lambert review of business-university collaboration: Final report&lt;/IDText&gt;&lt;DisplayText&gt;(Lambert, 2003)&lt;/DisplayText&gt;&lt;record&gt;&lt;titles&gt;&lt;title&gt;Lambert review of business-university collaboration: Final report&lt;/title&gt;&lt;secondary-title&gt;University of Illinois at Urbana-Champaign&amp;apos;s Academy for Entrepreneurial Leadership Historical Research Reference in Entrepreneurship&lt;/secondary-title&gt;&lt;/titles&gt;&lt;contributors&gt;&lt;authors&gt;&lt;author&gt;Lambert, Richard&lt;/author&gt;&lt;/authors&gt;&lt;/contributors&gt;&lt;added-date format="utc"&gt;1479247483&lt;/added-date&gt;&lt;ref-type name="Journal Article"&gt;17&lt;/ref-type&gt;&lt;dates&gt;&lt;year&gt;2003&lt;/year&gt;&lt;/dates&gt;&lt;rec-number&gt;6302&lt;/rec-number&gt;&lt;last-updated-date format="utc"&gt;1479250319&lt;/last-updated-date&gt;&lt;/record&gt;&lt;/Cite&gt;&lt;/EndNote&gt;</w:instrText>
      </w:r>
      <w:r w:rsidRPr="00590F06">
        <w:fldChar w:fldCharType="separate"/>
      </w:r>
      <w:r w:rsidRPr="00590F06">
        <w:rPr>
          <w:noProof/>
        </w:rPr>
        <w:t>(Lambert, 2003)</w:t>
      </w:r>
      <w:r w:rsidRPr="00590F06">
        <w:fldChar w:fldCharType="end"/>
      </w:r>
      <w:r w:rsidRPr="00590F06">
        <w:t xml:space="preserve"> represent three decades of officially-sanctioned landmarks in this tendency towar</w:t>
      </w:r>
      <w:r>
        <w:t xml:space="preserve">ds a stronger central authority – </w:t>
      </w:r>
      <w:r w:rsidRPr="00590F06">
        <w:t xml:space="preserve">the first and third of which </w:t>
      </w:r>
      <w:r>
        <w:t>also explicitly focus</w:t>
      </w:r>
      <w:r w:rsidRPr="00590F06">
        <w:t xml:space="preserve"> on how university management can promote university-industry relations. </w:t>
      </w:r>
      <w:r>
        <w:t>Across Northwestern Europe and English-speaking nations</w:t>
      </w:r>
      <w:r w:rsidRPr="00590F06">
        <w:t xml:space="preserve">, academic managers are increasingly incentivised and empowered to exert influence on their institutions and staff in pursuit of externally-generated income and markers of prestige </w:t>
      </w:r>
      <w:r w:rsidRPr="00590F06">
        <w:fldChar w:fldCharType="begin">
          <w:fldData xml:space="preserve">PEVuZE5vdGU+PENpdGU+PEF1dGhvcj5EZWVtPC9BdXRob3I+PFllYXI+MjAwNzwvWWVhcj48SURU
ZXh0Pktub3dsZWRnZSwgaGlnaGVyIGVkdWNhdGlvbiwgYW5kIHRoZSBuZXcgbWFuYWdlcmlhbGlz
bTogdGhlIGNoYW5naW5nIG1hbmFnZW1lbnQgb2YgVUsgdW5pdmVyc2l0aWVzPC9JRFRleHQ+PERp
c3BsYXlUZXh0PihCbGVpa2xpZSwgMTk5ODsgQi4gUi4gQ2xhcmssIDE5OTg7IERlZW0gZXQgYWwu
LCAyMDA3OyBHcmFoYW0sIDIwMTQ7IE1hcmdpbnNvbiwgMjAwODsgTWFyZ2luc29uICZhbXA7IENv
bnNpZGluZSwgMjAwMDsgU2xhdWdodGVyICZhbXA7IENhbnR3ZWxsLCAyMDEyKTwvRGlzcGxheVRl
eHQ+PHJlY29yZD48a2V5d29yZHM+PGtleXdvcmQ+VW5pdmVyc2l0aWVzIGFuZCBjb2xsZWdlcyAt
LSBHcmVhdCBCcml0YWluIC0tIEFkbWluaXN0cmF0aW9uPC9rZXl3b3JkPjxrZXl3b3JkPkVkdWNh
dGlvbmFsIGNoYW5nZSAtLSBHcmVhdCBCcml0YWluPC9rZXl3b3JkPjxrZXl3b3JkPkVsZWN0cm9u
aWMgYm9va3M8L2tleXdvcmQ+PC9rZXl3b3Jkcz48dGl0bGVzPjx0aXRsZT5Lbm93bGVkZ2UsIGhp
Z2hlciBlZHVjYXRpb24sIGFuZCB0aGUgbmV3IG1hbmFnZXJpYWxpc206IHRoZSBjaGFuZ2luZyBt
YW5hZ2VtZW50IG9mIFVLIHVuaXZlcnNpdGllczwvdGl0bGU+PHNlY29uZGFyeS10aXRsZT5Lbm93
bGVkZ2UsIGhpZ2hlciBlZHVjYXRpb24sIGFuZCB0aGUgbmV3IG1hbmFnZXJpYWxpc208L3NlY29u
ZGFyeS10aXRsZT48L3RpdGxlcz48Y29udHJpYnV0b3JzPjxhdXRob3JzPjxhdXRob3I+RGVlbSwg
Ui48L2F1dGhvcj48YXV0aG9yPkhpbGx5YXJkLCBTLjwvYXV0aG9yPjxhdXRob3I+UmVlZCwgTS48
L2F1dGhvcj48L2F1dGhvcnM+PC9jb250cmlidXRvcnM+PGFkZGVkLWRhdGUgZm9ybWF0PSJ1dGMi
PjE1MjI5Mjg1NjM8L2FkZGVkLWRhdGU+PHB1Yi1sb2NhdGlvbj5PeGZvcmQ8L3B1Yi1sb2NhdGlv
bj48cmVmLXR5cGUgbmFtZT0iQm9vayI+NjwvcmVmLXR5cGU+PGRhdGVzPjx5ZWFyPjIwMDc8L3ll
YXI+PC9kYXRlcz48cmVjLW51bWJlcj43NDQ5PC9yZWMtbnVtYmVyPjxwdWJsaXNoZXI+T3hmb3Jk
IFVuaXZlcnNpdHkgUHJlc3M8L3B1Ymxpc2hlcj48bGFzdC11cGRhdGVkLWRhdGUgZm9ybWF0PSJ1
dGMiPjE1MjI5MzMyMjI8L2xhc3QtdXBkYXRlZC1kYXRlPjwvcmVjb3JkPjwvQ2l0ZT48Q2l0ZT48
QXV0aG9yPk1hcmdpbnNvbjwvQXV0aG9yPjxZZWFyPjIwMDA8L1llYXI+PElEVGV4dD5UaGUgZW50
ZXJwcmlzZSB1bml2ZXJzaXR5OiBQb3dlciwgZ292ZXJuYW5jZSBhbmQgcmVpbnZlbnRpb24gaW4g
QXVzdHJhbGlhPC9JRFRleHQ+PHJlY29yZD48aXNibj4wNTIxNzk0NDhYPC9pc2JuPjx0aXRsZXM+
PHRpdGxlPlRoZSBlbnRlcnByaXNlIHVuaXZlcnNpdHk6IFBvd2VyLCBnb3Zlcm5hbmNlIGFuZCBy
ZWludmVudGlvbiBpbiBBdXN0cmFsaWE8L3RpdGxlPjwvdGl0bGVzPjxjb250cmlidXRvcnM+PGF1
dGhvcnM+PGF1dGhvcj5NYXJnaW5zb24sIFNpbW9uPC9hdXRob3I+PGF1dGhvcj5Db25zaWRpbmUs
IE1hcms8L2F1dGhvcj48L2F1dGhvcnM+PC9jb250cmlidXRvcnM+PGFkZGVkLWRhdGUgZm9ybWF0
PSJ1dGMiPjE1MjI5MzMzMzk8L2FkZGVkLWRhdGU+PHJlZi10eXBlIG5hbWU9IkJvb2siPjY8L3Jl
Zi10eXBlPjxkYXRlcz48eWVhcj4yMDAwPC95ZWFyPjwvZGF0ZXM+PHJlYy1udW1iZXI+NzQ1MDwv
cmVjLW51bWJlcj48cHVibGlzaGVyPkNhbWJyaWRnZSBVbml2ZXJzaXR5IFByZXNzPC9wdWJsaXNo
ZXI+PGxhc3QtdXBkYXRlZC1kYXRlIGZvcm1hdD0idXRjIj4xNTIyOTMzMzM5PC9sYXN0LXVwZGF0
ZWQtZGF0ZT48L3JlY29yZD48L0NpdGU+PENpdGU+PEF1dGhvcj5NYXJnaW5zb248L0F1dGhvcj48
WWVhcj4yMDA4PC9ZZWFyPjxJRFRleHQ+QWNhZGVtaWMgQ3JlYXRpdml0eSB1bmRlciBOZXcgUHVi
bGljIE1hbmFnZW1lbnQ6IEZvdW5kYXRpb25zIGZvciBhbiBJbnZlc3RpZ2F0aW9uPC9JRFRleHQ+
PHJlY29yZD48aXNibj4wMDEzLTIwMDQ8L2lzYm4+PHRpdGxlcz48dGl0bGU+QWNhZGVtaWMgQ3Jl
YXRpdml0eSB1bmRlciBOZXcgUHVibGljIE1hbmFnZW1lbnQ6IEZvdW5kYXRpb25zIGZvciBhbiBJ
bnZlc3RpZ2F0aW9uPC90aXRsZT48c2Vjb25kYXJ5LXRpdGxlPkVkdWNhdGlvbmFsIFRoZW9yeTwv
c2Vjb25kYXJ5LXRpdGxlPjwvdGl0bGVzPjxwYWdlcz4yNjktMjg3PC9wYWdlcz48bnVtYmVyPjM8
L251bWJlcj48Y29udHJpYnV0b3JzPjxhdXRob3JzPjxhdXRob3I+TWFyZ2luc29uLCBTaW1vbjwv
YXV0aG9yPjwvYXV0aG9ycz48L2NvbnRyaWJ1dG9ycz48YWRkZWQtZGF0ZSBmb3JtYXQ9InV0YyI+
MTUxMDAwODA2MjwvYWRkZWQtZGF0ZT48cHViLWxvY2F0aW9uPk1hbGRlbiwgVVNBPC9wdWItbG9j
YXRpb24+PHJlZi10eXBlIG5hbWU9IkpvdXJuYWwgQXJ0aWNsZSI+MTc8L3JlZi10eXBlPjxkYXRl
cz48eWVhcj4yMDA4PC95ZWFyPjwvZGF0ZXM+PHJlYy1udW1iZXI+NzI1NzwvcmVjLW51bWJlcj48
bGFzdC11cGRhdGVkLWRhdGUgZm9ybWF0PSJ1dGMiPjE1MTMxNzk5Mjk8L2xhc3QtdXBkYXRlZC1k
YXRlPjxlbGVjdHJvbmljLXJlc291cmNlLW51bT4xMC4xMTExL2ouMTc0MS01NDQ2LjIwMDguMDAy
ODgueDwvZWxlY3Ryb25pYy1yZXNvdXJjZS1udW0+PHZvbHVtZT41ODwvdm9sdW1lPjwvcmVjb3Jk
PjwvQ2l0ZT48Q2l0ZT48QXV0aG9yPlNsYXVnaHRlcjwvQXV0aG9yPjxZZWFyPjIwMTI8L1llYXI+
PElEVGV4dD5UcmFuc2F0bGFudGljIE1vdmVzIHRvIHRoZSBNYXJrZXQ6IFRoZSBVbml0ZWQgU3Rh
dGVzIGFuZCB0aGUgRXVyb3BlYW4gVW5pb248L0lEVGV4dD48cmVjb3JkPjxrZXl3b3Jkcz48a2V5
d29yZD5IaWdoZXIgRWR1Y2F0aW9uPC9rZXl3b3JkPjxrZXl3b3JkPkZpbmUgQXJ0czwva2V5d29y
ZD48a2V5d29yZD5SZXNlYXJjaCBVbml2ZXJzaXRpZXM8L2tleXdvcmQ+PGtleXdvcmQ+RmVkZXJh
bCBMZWdpc2xhdGlvbjwva2V5d29yZD48a2V5d29yZD5Tb2NpYWwgU2NpZW5jZXM8L2tleXdvcmQ+
PGtleXdvcmQ+Q29tcGV0aXRpb248L2tleXdvcmQ+PGtleXdvcmQ+TWFya2V0aW5nPC9rZXl3b3Jk
PjxrZXl3b3JkPkZpbmFuY2lhbCBTdXBwb3J0PC9rZXl3b3JkPjxrZXl3b3JkPlJlc2VhcmNoPC9r
ZXl3b3JkPjxrZXl3b3JkPkludGVsbGVjdHVhbCBEaXNjaXBsaW5lczwva2V5d29yZD48a2V5d29y
ZD5IdW1hbml0aWVzPC9rZXl3b3JkPjxrZXl3b3JkPk5vbmdvdmVybm1lbnRhbCBPcmdhbml6YXRp
b25zPC9rZXl3b3JkPjxrZXl3b3JkPkdvdmVybmFuY2U8L2tleXdvcmQ+PGtleXdvcmQ+U2FsYXJp
ZXM8L2tleXdvcmQ+PGtleXdvcmQ+RW1wbG95bWVudCBQb3RlbnRpYWw8L2tleXdvcmQ+PGtleXdv
cmQ+SW5mb3JtYXRpb24gVGVjaG5vbG9neTwva2V5d29yZD48a2V5d29yZD5Tb2NpYWwgTmV0d29y
a3M8L2tleXdvcmQ+PGtleXdvcmQ+Q29sbGVnZSBBZG1pbmlzdHJhdGlvbjwva2V5d29yZD48a2V5
d29yZD5FZHVjYXRpb25hbCBDaGFuZ2U8L2tleXdvcmQ+PC9rZXl3b3Jkcz48aXNibj4wMDE4LTE1
NjA8L2lzYm4+PHRpdGxlcz48dGl0bGU+VHJhbnNhdGxhbnRpYyBNb3ZlcyB0byB0aGUgTWFya2V0
OiBUaGUgVW5pdGVkIFN0YXRlcyBhbmQgdGhlIEV1cm9wZWFuIFVuaW9uPC90aXRsZT48c2Vjb25k
YXJ5LXRpdGxlPkhpZ2hlciBFZHVjYXRpb246IFRoZSBJbnRlcm5hdGlvbmFsIEpvdXJuYWwgb2Yg
SGlnaGVyIEVkdWNhdGlvbiBhbmQgRWR1Y2F0aW9uYWwgUGxhbm5pbmc8L3NlY29uZGFyeS10aXRs
ZT48L3RpdGxlcz48cGFnZXM+NTgzLTYwNjwvcGFnZXM+PG51bWJlcj41PC9udW1iZXI+PGNvbnRy
aWJ1dG9ycz48YXV0aG9ycz48YXV0aG9yPlNsYXVnaHRlciwgU2hlaWxhPC9hdXRob3I+PGF1dGhv
cj5DYW50d2VsbCwgQnJlbmRhbjwvYXV0aG9yPjwvYXV0aG9ycz48L2NvbnRyaWJ1dG9ycz48YWRk
ZWQtZGF0ZSBmb3JtYXQ9InV0YyI+MTQ1NTkwNjY1OTwvYWRkZWQtZGF0ZT48cmVmLXR5cGUgbmFt
ZT0iSm91cm5hbCBBcnRpY2xlIj4xNzwvcmVmLXR5cGU+PGRhdGVzPjx5ZWFyPjIwMTI8L3llYXI+
PC9kYXRlcz48cmVjLW51bWJlcj4yNDQ8L3JlYy1udW1iZXI+PGxhc3QtdXBkYXRlZC1kYXRlIGZv
cm1hdD0idXRjIj4xNDY5MjE1NDY4PC9sYXN0LXVwZGF0ZWQtZGF0ZT48ZWxlY3Ryb25pYy1yZXNv
dXJjZS1udW0+MTAuMTAwNy9zMTA3MzQtMDExLTk0NjAtOTwvZWxlY3Ryb25pYy1yZXNvdXJjZS1u
dW0+PHZvbHVtZT42Mzwvdm9sdW1lPjwvcmVjb3JkPjwvQ2l0ZT48Q2l0ZT48QXV0aG9yPkdyYWhh
bTwvQXV0aG9yPjxZZWFyPjIwMTQ8L1llYXI+PElEVGV4dD5DcmVhdGluZyB1bml2ZXJzaXR5LWJh
c2VkIGVudHJlcHJlbmV1cmlhbCBlY29zeXN0ZW1zOiBldmlkZW5jZSBmcm9tIGVtZXJnaW5nIHdv
cmxkIGxlYWRlcnM8L0lEVGV4dD48cmVjb3JkPjx1cmxzPjxyZWxhdGVkLXVybHM+PHVybD5odHRw
Oi8vd3d3LnJoZ3JhaGFtLm9yZy9SSEcvUmVjZW50X3B1YmxpY2F0aW9uc19maWxlcy9NSVQlM0FT
a29sdGVjaCUyMGVudHJlcHJlbmV1cmlhbCUyMGVjb3N5c3RlbXMlMjByZXBvcnQlMjAyMDE0JTIw
XzEucGRmPC91cmw+PC9yZWxhdGVkLXVybHM+PC91cmxzPjx0aXRsZXM+PHRpdGxlPkNyZWF0aW5n
IHVuaXZlcnNpdHktYmFzZWQgZW50cmVwcmVuZXVyaWFsIGVjb3N5c3RlbXM6IGV2aWRlbmNlIGZy
b20gZW1lcmdpbmcgd29ybGQgbGVhZGVyczwvdGl0bGU+PC90aXRsZXM+PGNvbnRyaWJ1dG9ycz48
YXV0aG9ycz48YXV0aG9yPkdyYWhhbSwgUnV0aDwvYXV0aG9yPjwvYXV0aG9ycz48L2NvbnRyaWJ1
dG9ycz48YWRkZWQtZGF0ZSBmb3JtYXQ9InV0YyI+MTQ4MDM2MDIyNTwvYWRkZWQtZGF0ZT48cmVm
LXR5cGUgbmFtZT0iUmVwb3J0Ij4yNzwvcmVmLXR5cGU+PGRhdGVzPjx5ZWFyPjIwMTQ8L3llYXI+
PC9kYXRlcz48cmVjLW51bWJlcj42NDIzPC9yZWMtbnVtYmVyPjxwdWJsaXNoZXI+TUlUIFNrb2x0
ZWNoIEluaXRpYXRpdmU8L3B1Ymxpc2hlcj48bGFzdC11cGRhdGVkLWRhdGUgZm9ybWF0PSJ1dGMi
PjE0OTAxMTE5MzI8L2xhc3QtdXBkYXRlZC1kYXRlPjwvcmVjb3JkPjwvQ2l0ZT48Q2l0ZT48QXV0
aG9yPkJsZWlrbGllPC9BdXRob3I+PFllYXI+MTk5ODwvWWVhcj48SURUZXh0Pkp1c3RpZnlpbmcg
dGhlIEV2YWx1YXRpdmUgU3RhdGU6IE5ldyBQdWJsaWMgTWFuYWdlbWVudCBJZGVhbHMgaW4gSGln
aGVyIEVkdWNhdGlvbjwvSURUZXh0PjxyZWNvcmQ+PGtleXdvcmRzPjxrZXl3b3JkPkdvdmVybm1l
bnQ8L2tleXdvcmQ+PC9rZXl3b3Jkcz48aXNibj4xNTIzNjgwMzwvaXNibj48dGl0bGVzPjx0aXRs
ZT5KdXN0aWZ5aW5nIHRoZSBFdmFsdWF0aXZlIFN0YXRlOiBOZXcgUHVibGljIE1hbmFnZW1lbnQg
SWRlYWxzIGluIEhpZ2hlciBFZHVjYXRpb248L3RpdGxlPjxzZWNvbmRhcnktdGl0bGU+Sm91cm5h
bCBvZiBQdWJsaWMgQWZmYWlycyBFZHVjYXRpb248L3NlY29uZGFyeS10aXRsZT48L3RpdGxlcz48
cGFnZXM+ODctMTAwPC9wYWdlcz48bnVtYmVyPjI8L251bWJlcj48Y29udHJpYnV0b3JzPjxhdXRo
b3JzPjxhdXRob3I+QmxlaWtsaWUsIEl2YXI8L2F1dGhvcj48L2F1dGhvcnM+PC9jb250cmlidXRv
cnM+PGFkZGVkLWRhdGUgZm9ybWF0PSJ1dGMiPjE1MjQwODg2NzA8L2FkZGVkLWRhdGU+PHJlZi10
eXBlIG5hbWU9IkpvdXJuYWwgQXJ0aWNsZSI+MTc8L3JlZi10eXBlPjxkYXRlcz48eWVhcj4xOTk4
PC95ZWFyPjwvZGF0ZXM+PHJlYy1udW1iZXI+NzQ5NDwvcmVjLW51bWJlcj48bGFzdC11cGRhdGVk
LWRhdGUgZm9ybWF0PSJ1dGMiPjE1MjQwODg2NzA8L2xhc3QtdXBkYXRlZC1kYXRlPjx2b2x1bWU+
NDwvdm9sdW1lPjwvcmVjb3JkPjwvQ2l0ZT48Q2l0ZT48QXV0aG9yPkNsYXJrPC9BdXRob3I+PFll
YXI+MTk5ODwvWWVhcj48SURUZXh0PkNyZWF0aW5nIGVudHJlcHJlbmV1cmlhbCB1bml2ZXJzaXRp
ZXM6IG9yZ2FuaXphdGlvbmFsIHBhdGh3YXlzIG9mIHRyYW5zZm9ybWF0aW9uPC9JRFRleHQ+PHJl
Y29yZD48a2V5d29yZHM+PGtleXdvcmQ+VW5pdmVyc2l0aWVzIGFuZCBjb2xsZWdlcyAtLSBFdXJv
cGUgLS0gQWRtaW5pc3RyYXRpb24gLS0gQ2FzZSBzdHVkaWVzPC9rZXl3b3JkPjxrZXl3b3JkPkVk
dWNhdGlvbmFsIGNoYW5nZSAtLSBFdXJvcGUgLS0gQ2FzZSBzdHVkaWVzPC9rZXl3b3JkPjxrZXl3
b3JkPkNoYW5nZSwgRWR1Y2F0aW9uYWw8L2tleXdvcmQ+PGtleXdvcmQ+RWR1Y2F0aW9uIGNoYW5n
ZTwva2V5d29yZD48a2V5d29yZD5FZHVjYXRpb24gcmVmb3JtPC9rZXl3b3JkPjxrZXl3b3JkPkVk
dWNhdGlvbmFsIHJlZm9ybTwva2V5d29yZD48a2V5d29yZD5SZWZvcm0sIEVkdWNhdGlvbjwva2V5
d29yZD48a2V5d29yZD5TY2hvb2wgcmVmb3JtPC9rZXl3b3JkPjxrZXl3b3JkPkVkdWNhdGlvbmFs
IHBsYW5uaW5nPC9rZXl3b3JkPjxrZXl3b3JkPkVkdWNhdGlvbmFsIGlubm92YXRpb25zPC9rZXl3
b3JkPjxrZXl3b3JkPkNvbGxlZ2VzPC9rZXl3b3JkPjxrZXl3b3JkPkRlZ3JlZS1ncmFudGluZyBp
bnN0aXR1dGlvbnM8L2tleXdvcmQ+PGtleXdvcmQ+SGlnaGVyIGVkdWNhdGlvbiBpbnN0aXR1dGlv
bnM8L2tleXdvcmQ+PGtleXdvcmQ+SGlnaGVyIGVkdWNhdGlvbiBwcm92aWRlcnM8L2tleXdvcmQ+
PGtleXdvcmQ+SW5zdGl0dXRpb25zIG9mIGhpZ2hlciBlZHVjYXRpb248L2tleXdvcmQ+PGtleXdv
cmQ+UG9zdHNlY29uZGFyeSBpbnN0aXR1dGlvbnM8L2tleXdvcmQ+PGtleXdvcmQ+UHVibGljIGlu
c3RpdHV0aW9uczwva2V5d29yZD48a2V5d29yZD5TY2hvb2xzPC9rZXl3b3JkPjxrZXl3b3JkPkVk
dWNhdGlvbiwgSGlnaGVyPC9rZXl3b3JkPjwva2V5d29yZHM+PHRpdGxlcz48dGl0bGU+Q3JlYXRp
bmcgZW50cmVwcmVuZXVyaWFsIHVuaXZlcnNpdGllczogb3JnYW5pemF0aW9uYWwgcGF0aHdheXMg
b2YgdHJhbnNmb3JtYXRpb248L3RpdGxlPjwvdGl0bGVzPjxjb250cmlidXRvcnM+PGF1dGhvcnM+
PGF1dGhvcj5DbGFyaywgQnVydG9uIFIuPC9hdXRob3I+PC9hdXRob3JzPjwvY29udHJpYnV0b3Jz
PjxhZGRlZC1kYXRlIGZvcm1hdD0idXRjIj4xNDY2MTk4MDg5PC9hZGRlZC1kYXRlPjxwdWItbG9j
YXRpb24+T3hmb3JkPC9wdWItbG9jYXRpb24+PHJlZi10eXBlIG5hbWU9IkJvb2siPjY8L3JlZi10
eXBlPjxkYXRlcz48eWVhcj4xOTk4PC95ZWFyPjwvZGF0ZXM+PHJlYy1udW1iZXI+Mzk1PC9yZWMt
bnVtYmVyPjxwdWJsaXNoZXI+UGVyZ2Ftb24gUHJlc3M8L3B1Ymxpc2hlcj48bGFzdC11cGRhdGVk
LWRhdGUgZm9ybWF0PSJ1dGMiPjE1NDg2NjIwMDA8L2xhc3QtdXBkYXRlZC1kYXRlPjwvcmVjb3Jk
PjwvQ2l0ZT48L0VuZE5vdGU+
</w:fldData>
        </w:fldChar>
      </w:r>
      <w:r w:rsidR="00446E23">
        <w:instrText xml:space="preserve"> ADDIN EN.CITE </w:instrText>
      </w:r>
      <w:r w:rsidR="00446E23">
        <w:fldChar w:fldCharType="begin">
          <w:fldData xml:space="preserve">PEVuZE5vdGU+PENpdGU+PEF1dGhvcj5EZWVtPC9BdXRob3I+PFllYXI+MjAwNzwvWWVhcj48SURU
ZXh0Pktub3dsZWRnZSwgaGlnaGVyIGVkdWNhdGlvbiwgYW5kIHRoZSBuZXcgbWFuYWdlcmlhbGlz
bTogdGhlIGNoYW5naW5nIG1hbmFnZW1lbnQgb2YgVUsgdW5pdmVyc2l0aWVzPC9JRFRleHQ+PERp
c3BsYXlUZXh0PihCbGVpa2xpZSwgMTk5ODsgQi4gUi4gQ2xhcmssIDE5OTg7IERlZW0gZXQgYWwu
LCAyMDA3OyBHcmFoYW0sIDIwMTQ7IE1hcmdpbnNvbiwgMjAwODsgTWFyZ2luc29uICZhbXA7IENv
bnNpZGluZSwgMjAwMDsgU2xhdWdodGVyICZhbXA7IENhbnR3ZWxsLCAyMDEyKTwvRGlzcGxheVRl
eHQ+PHJlY29yZD48a2V5d29yZHM+PGtleXdvcmQ+VW5pdmVyc2l0aWVzIGFuZCBjb2xsZWdlcyAt
LSBHcmVhdCBCcml0YWluIC0tIEFkbWluaXN0cmF0aW9uPC9rZXl3b3JkPjxrZXl3b3JkPkVkdWNh
dGlvbmFsIGNoYW5nZSAtLSBHcmVhdCBCcml0YWluPC9rZXl3b3JkPjxrZXl3b3JkPkVsZWN0cm9u
aWMgYm9va3M8L2tleXdvcmQ+PC9rZXl3b3Jkcz48dGl0bGVzPjx0aXRsZT5Lbm93bGVkZ2UsIGhp
Z2hlciBlZHVjYXRpb24sIGFuZCB0aGUgbmV3IG1hbmFnZXJpYWxpc206IHRoZSBjaGFuZ2luZyBt
YW5hZ2VtZW50IG9mIFVLIHVuaXZlcnNpdGllczwvdGl0bGU+PHNlY29uZGFyeS10aXRsZT5Lbm93
bGVkZ2UsIGhpZ2hlciBlZHVjYXRpb24sIGFuZCB0aGUgbmV3IG1hbmFnZXJpYWxpc208L3NlY29u
ZGFyeS10aXRsZT48L3RpdGxlcz48Y29udHJpYnV0b3JzPjxhdXRob3JzPjxhdXRob3I+RGVlbSwg
Ui48L2F1dGhvcj48YXV0aG9yPkhpbGx5YXJkLCBTLjwvYXV0aG9yPjxhdXRob3I+UmVlZCwgTS48
L2F1dGhvcj48L2F1dGhvcnM+PC9jb250cmlidXRvcnM+PGFkZGVkLWRhdGUgZm9ybWF0PSJ1dGMi
PjE1MjI5Mjg1NjM8L2FkZGVkLWRhdGU+PHB1Yi1sb2NhdGlvbj5PeGZvcmQ8L3B1Yi1sb2NhdGlv
bj48cmVmLXR5cGUgbmFtZT0iQm9vayI+NjwvcmVmLXR5cGU+PGRhdGVzPjx5ZWFyPjIwMDc8L3ll
YXI+PC9kYXRlcz48cmVjLW51bWJlcj43NDQ5PC9yZWMtbnVtYmVyPjxwdWJsaXNoZXI+T3hmb3Jk
IFVuaXZlcnNpdHkgUHJlc3M8L3B1Ymxpc2hlcj48bGFzdC11cGRhdGVkLWRhdGUgZm9ybWF0PSJ1
dGMiPjE1MjI5MzMyMjI8L2xhc3QtdXBkYXRlZC1kYXRlPjwvcmVjb3JkPjwvQ2l0ZT48Q2l0ZT48
QXV0aG9yPk1hcmdpbnNvbjwvQXV0aG9yPjxZZWFyPjIwMDA8L1llYXI+PElEVGV4dD5UaGUgZW50
ZXJwcmlzZSB1bml2ZXJzaXR5OiBQb3dlciwgZ292ZXJuYW5jZSBhbmQgcmVpbnZlbnRpb24gaW4g
QXVzdHJhbGlhPC9JRFRleHQ+PHJlY29yZD48aXNibj4wNTIxNzk0NDhYPC9pc2JuPjx0aXRsZXM+
PHRpdGxlPlRoZSBlbnRlcnByaXNlIHVuaXZlcnNpdHk6IFBvd2VyLCBnb3Zlcm5hbmNlIGFuZCBy
ZWludmVudGlvbiBpbiBBdXN0cmFsaWE8L3RpdGxlPjwvdGl0bGVzPjxjb250cmlidXRvcnM+PGF1
dGhvcnM+PGF1dGhvcj5NYXJnaW5zb24sIFNpbW9uPC9hdXRob3I+PGF1dGhvcj5Db25zaWRpbmUs
IE1hcms8L2F1dGhvcj48L2F1dGhvcnM+PC9jb250cmlidXRvcnM+PGFkZGVkLWRhdGUgZm9ybWF0
PSJ1dGMiPjE1MjI5MzMzMzk8L2FkZGVkLWRhdGU+PHJlZi10eXBlIG5hbWU9IkJvb2siPjY8L3Jl
Zi10eXBlPjxkYXRlcz48eWVhcj4yMDAwPC95ZWFyPjwvZGF0ZXM+PHJlYy1udW1iZXI+NzQ1MDwv
cmVjLW51bWJlcj48cHVibGlzaGVyPkNhbWJyaWRnZSBVbml2ZXJzaXR5IFByZXNzPC9wdWJsaXNo
ZXI+PGxhc3QtdXBkYXRlZC1kYXRlIGZvcm1hdD0idXRjIj4xNTIyOTMzMzM5PC9sYXN0LXVwZGF0
ZWQtZGF0ZT48L3JlY29yZD48L0NpdGU+PENpdGU+PEF1dGhvcj5NYXJnaW5zb248L0F1dGhvcj48
WWVhcj4yMDA4PC9ZZWFyPjxJRFRleHQ+QWNhZGVtaWMgQ3JlYXRpdml0eSB1bmRlciBOZXcgUHVi
bGljIE1hbmFnZW1lbnQ6IEZvdW5kYXRpb25zIGZvciBhbiBJbnZlc3RpZ2F0aW9uPC9JRFRleHQ+
PHJlY29yZD48aXNibj4wMDEzLTIwMDQ8L2lzYm4+PHRpdGxlcz48dGl0bGU+QWNhZGVtaWMgQ3Jl
YXRpdml0eSB1bmRlciBOZXcgUHVibGljIE1hbmFnZW1lbnQ6IEZvdW5kYXRpb25zIGZvciBhbiBJ
bnZlc3RpZ2F0aW9uPC90aXRsZT48c2Vjb25kYXJ5LXRpdGxlPkVkdWNhdGlvbmFsIFRoZW9yeTwv
c2Vjb25kYXJ5LXRpdGxlPjwvdGl0bGVzPjxwYWdlcz4yNjktMjg3PC9wYWdlcz48bnVtYmVyPjM8
L251bWJlcj48Y29udHJpYnV0b3JzPjxhdXRob3JzPjxhdXRob3I+TWFyZ2luc29uLCBTaW1vbjwv
YXV0aG9yPjwvYXV0aG9ycz48L2NvbnRyaWJ1dG9ycz48YWRkZWQtZGF0ZSBmb3JtYXQ9InV0YyI+
MTUxMDAwODA2MjwvYWRkZWQtZGF0ZT48cHViLWxvY2F0aW9uPk1hbGRlbiwgVVNBPC9wdWItbG9j
YXRpb24+PHJlZi10eXBlIG5hbWU9IkpvdXJuYWwgQXJ0aWNsZSI+MTc8L3JlZi10eXBlPjxkYXRl
cz48eWVhcj4yMDA4PC95ZWFyPjwvZGF0ZXM+PHJlYy1udW1iZXI+NzI1NzwvcmVjLW51bWJlcj48
bGFzdC11cGRhdGVkLWRhdGUgZm9ybWF0PSJ1dGMiPjE1MTMxNzk5Mjk8L2xhc3QtdXBkYXRlZC1k
YXRlPjxlbGVjdHJvbmljLXJlc291cmNlLW51bT4xMC4xMTExL2ouMTc0MS01NDQ2LjIwMDguMDAy
ODgueDwvZWxlY3Ryb25pYy1yZXNvdXJjZS1udW0+PHZvbHVtZT41ODwvdm9sdW1lPjwvcmVjb3Jk
PjwvQ2l0ZT48Q2l0ZT48QXV0aG9yPlNsYXVnaHRlcjwvQXV0aG9yPjxZZWFyPjIwMTI8L1llYXI+
PElEVGV4dD5UcmFuc2F0bGFudGljIE1vdmVzIHRvIHRoZSBNYXJrZXQ6IFRoZSBVbml0ZWQgU3Rh
dGVzIGFuZCB0aGUgRXVyb3BlYW4gVW5pb248L0lEVGV4dD48cmVjb3JkPjxrZXl3b3Jkcz48a2V5
d29yZD5IaWdoZXIgRWR1Y2F0aW9uPC9rZXl3b3JkPjxrZXl3b3JkPkZpbmUgQXJ0czwva2V5d29y
ZD48a2V5d29yZD5SZXNlYXJjaCBVbml2ZXJzaXRpZXM8L2tleXdvcmQ+PGtleXdvcmQ+RmVkZXJh
bCBMZWdpc2xhdGlvbjwva2V5d29yZD48a2V5d29yZD5Tb2NpYWwgU2NpZW5jZXM8L2tleXdvcmQ+
PGtleXdvcmQ+Q29tcGV0aXRpb248L2tleXdvcmQ+PGtleXdvcmQ+TWFya2V0aW5nPC9rZXl3b3Jk
PjxrZXl3b3JkPkZpbmFuY2lhbCBTdXBwb3J0PC9rZXl3b3JkPjxrZXl3b3JkPlJlc2VhcmNoPC9r
ZXl3b3JkPjxrZXl3b3JkPkludGVsbGVjdHVhbCBEaXNjaXBsaW5lczwva2V5d29yZD48a2V5d29y
ZD5IdW1hbml0aWVzPC9rZXl3b3JkPjxrZXl3b3JkPk5vbmdvdmVybm1lbnRhbCBPcmdhbml6YXRp
b25zPC9rZXl3b3JkPjxrZXl3b3JkPkdvdmVybmFuY2U8L2tleXdvcmQ+PGtleXdvcmQ+U2FsYXJp
ZXM8L2tleXdvcmQ+PGtleXdvcmQ+RW1wbG95bWVudCBQb3RlbnRpYWw8L2tleXdvcmQ+PGtleXdv
cmQ+SW5mb3JtYXRpb24gVGVjaG5vbG9neTwva2V5d29yZD48a2V5d29yZD5Tb2NpYWwgTmV0d29y
a3M8L2tleXdvcmQ+PGtleXdvcmQ+Q29sbGVnZSBBZG1pbmlzdHJhdGlvbjwva2V5d29yZD48a2V5
d29yZD5FZHVjYXRpb25hbCBDaGFuZ2U8L2tleXdvcmQ+PC9rZXl3b3Jkcz48aXNibj4wMDE4LTE1
NjA8L2lzYm4+PHRpdGxlcz48dGl0bGU+VHJhbnNhdGxhbnRpYyBNb3ZlcyB0byB0aGUgTWFya2V0
OiBUaGUgVW5pdGVkIFN0YXRlcyBhbmQgdGhlIEV1cm9wZWFuIFVuaW9uPC90aXRsZT48c2Vjb25k
YXJ5LXRpdGxlPkhpZ2hlciBFZHVjYXRpb246IFRoZSBJbnRlcm5hdGlvbmFsIEpvdXJuYWwgb2Yg
SGlnaGVyIEVkdWNhdGlvbiBhbmQgRWR1Y2F0aW9uYWwgUGxhbm5pbmc8L3NlY29uZGFyeS10aXRs
ZT48L3RpdGxlcz48cGFnZXM+NTgzLTYwNjwvcGFnZXM+PG51bWJlcj41PC9udW1iZXI+PGNvbnRy
aWJ1dG9ycz48YXV0aG9ycz48YXV0aG9yPlNsYXVnaHRlciwgU2hlaWxhPC9hdXRob3I+PGF1dGhv
cj5DYW50d2VsbCwgQnJlbmRhbjwvYXV0aG9yPjwvYXV0aG9ycz48L2NvbnRyaWJ1dG9ycz48YWRk
ZWQtZGF0ZSBmb3JtYXQ9InV0YyI+MTQ1NTkwNjY1OTwvYWRkZWQtZGF0ZT48cmVmLXR5cGUgbmFt
ZT0iSm91cm5hbCBBcnRpY2xlIj4xNzwvcmVmLXR5cGU+PGRhdGVzPjx5ZWFyPjIwMTI8L3llYXI+
PC9kYXRlcz48cmVjLW51bWJlcj4yNDQ8L3JlYy1udW1iZXI+PGxhc3QtdXBkYXRlZC1kYXRlIGZv
cm1hdD0idXRjIj4xNDY5MjE1NDY4PC9sYXN0LXVwZGF0ZWQtZGF0ZT48ZWxlY3Ryb25pYy1yZXNv
dXJjZS1udW0+MTAuMTAwNy9zMTA3MzQtMDExLTk0NjAtOTwvZWxlY3Ryb25pYy1yZXNvdXJjZS1u
dW0+PHZvbHVtZT42Mzwvdm9sdW1lPjwvcmVjb3JkPjwvQ2l0ZT48Q2l0ZT48QXV0aG9yPkdyYWhh
bTwvQXV0aG9yPjxZZWFyPjIwMTQ8L1llYXI+PElEVGV4dD5DcmVhdGluZyB1bml2ZXJzaXR5LWJh
c2VkIGVudHJlcHJlbmV1cmlhbCBlY29zeXN0ZW1zOiBldmlkZW5jZSBmcm9tIGVtZXJnaW5nIHdv
cmxkIGxlYWRlcnM8L0lEVGV4dD48cmVjb3JkPjx1cmxzPjxyZWxhdGVkLXVybHM+PHVybD5odHRw
Oi8vd3d3LnJoZ3JhaGFtLm9yZy9SSEcvUmVjZW50X3B1YmxpY2F0aW9uc19maWxlcy9NSVQlM0FT
a29sdGVjaCUyMGVudHJlcHJlbmV1cmlhbCUyMGVjb3N5c3RlbXMlMjByZXBvcnQlMjAyMDE0JTIw
XzEucGRmPC91cmw+PC9yZWxhdGVkLXVybHM+PC91cmxzPjx0aXRsZXM+PHRpdGxlPkNyZWF0aW5n
IHVuaXZlcnNpdHktYmFzZWQgZW50cmVwcmVuZXVyaWFsIGVjb3N5c3RlbXM6IGV2aWRlbmNlIGZy
b20gZW1lcmdpbmcgd29ybGQgbGVhZGVyczwvdGl0bGU+PC90aXRsZXM+PGNvbnRyaWJ1dG9ycz48
YXV0aG9ycz48YXV0aG9yPkdyYWhhbSwgUnV0aDwvYXV0aG9yPjwvYXV0aG9ycz48L2NvbnRyaWJ1
dG9ycz48YWRkZWQtZGF0ZSBmb3JtYXQ9InV0YyI+MTQ4MDM2MDIyNTwvYWRkZWQtZGF0ZT48cmVm
LXR5cGUgbmFtZT0iUmVwb3J0Ij4yNzwvcmVmLXR5cGU+PGRhdGVzPjx5ZWFyPjIwMTQ8L3llYXI+
PC9kYXRlcz48cmVjLW51bWJlcj42NDIzPC9yZWMtbnVtYmVyPjxwdWJsaXNoZXI+TUlUIFNrb2x0
ZWNoIEluaXRpYXRpdmU8L3B1Ymxpc2hlcj48bGFzdC11cGRhdGVkLWRhdGUgZm9ybWF0PSJ1dGMi
PjE0OTAxMTE5MzI8L2xhc3QtdXBkYXRlZC1kYXRlPjwvcmVjb3JkPjwvQ2l0ZT48Q2l0ZT48QXV0
aG9yPkJsZWlrbGllPC9BdXRob3I+PFllYXI+MTk5ODwvWWVhcj48SURUZXh0Pkp1c3RpZnlpbmcg
dGhlIEV2YWx1YXRpdmUgU3RhdGU6IE5ldyBQdWJsaWMgTWFuYWdlbWVudCBJZGVhbHMgaW4gSGln
aGVyIEVkdWNhdGlvbjwvSURUZXh0PjxyZWNvcmQ+PGtleXdvcmRzPjxrZXl3b3JkPkdvdmVybm1l
bnQ8L2tleXdvcmQ+PC9rZXl3b3Jkcz48aXNibj4xNTIzNjgwMzwvaXNibj48dGl0bGVzPjx0aXRs
ZT5KdXN0aWZ5aW5nIHRoZSBFdmFsdWF0aXZlIFN0YXRlOiBOZXcgUHVibGljIE1hbmFnZW1lbnQg
SWRlYWxzIGluIEhpZ2hlciBFZHVjYXRpb248L3RpdGxlPjxzZWNvbmRhcnktdGl0bGU+Sm91cm5h
bCBvZiBQdWJsaWMgQWZmYWlycyBFZHVjYXRpb248L3NlY29uZGFyeS10aXRsZT48L3RpdGxlcz48
cGFnZXM+ODctMTAwPC9wYWdlcz48bnVtYmVyPjI8L251bWJlcj48Y29udHJpYnV0b3JzPjxhdXRo
b3JzPjxhdXRob3I+QmxlaWtsaWUsIEl2YXI8L2F1dGhvcj48L2F1dGhvcnM+PC9jb250cmlidXRv
cnM+PGFkZGVkLWRhdGUgZm9ybWF0PSJ1dGMiPjE1MjQwODg2NzA8L2FkZGVkLWRhdGU+PHJlZi10
eXBlIG5hbWU9IkpvdXJuYWwgQXJ0aWNsZSI+MTc8L3JlZi10eXBlPjxkYXRlcz48eWVhcj4xOTk4
PC95ZWFyPjwvZGF0ZXM+PHJlYy1udW1iZXI+NzQ5NDwvcmVjLW51bWJlcj48bGFzdC11cGRhdGVk
LWRhdGUgZm9ybWF0PSJ1dGMiPjE1MjQwODg2NzA8L2xhc3QtdXBkYXRlZC1kYXRlPjx2b2x1bWU+
NDwvdm9sdW1lPjwvcmVjb3JkPjwvQ2l0ZT48Q2l0ZT48QXV0aG9yPkNsYXJrPC9BdXRob3I+PFll
YXI+MTk5ODwvWWVhcj48SURUZXh0PkNyZWF0aW5nIGVudHJlcHJlbmV1cmlhbCB1bml2ZXJzaXRp
ZXM6IG9yZ2FuaXphdGlvbmFsIHBhdGh3YXlzIG9mIHRyYW5zZm9ybWF0aW9uPC9JRFRleHQ+PHJl
Y29yZD48a2V5d29yZHM+PGtleXdvcmQ+VW5pdmVyc2l0aWVzIGFuZCBjb2xsZWdlcyAtLSBFdXJv
cGUgLS0gQWRtaW5pc3RyYXRpb24gLS0gQ2FzZSBzdHVkaWVzPC9rZXl3b3JkPjxrZXl3b3JkPkVk
dWNhdGlvbmFsIGNoYW5nZSAtLSBFdXJvcGUgLS0gQ2FzZSBzdHVkaWVzPC9rZXl3b3JkPjxrZXl3
b3JkPkNoYW5nZSwgRWR1Y2F0aW9uYWw8L2tleXdvcmQ+PGtleXdvcmQ+RWR1Y2F0aW9uIGNoYW5n
ZTwva2V5d29yZD48a2V5d29yZD5FZHVjYXRpb24gcmVmb3JtPC9rZXl3b3JkPjxrZXl3b3JkPkVk
dWNhdGlvbmFsIHJlZm9ybTwva2V5d29yZD48a2V5d29yZD5SZWZvcm0sIEVkdWNhdGlvbjwva2V5
d29yZD48a2V5d29yZD5TY2hvb2wgcmVmb3JtPC9rZXl3b3JkPjxrZXl3b3JkPkVkdWNhdGlvbmFs
IHBsYW5uaW5nPC9rZXl3b3JkPjxrZXl3b3JkPkVkdWNhdGlvbmFsIGlubm92YXRpb25zPC9rZXl3
b3JkPjxrZXl3b3JkPkNvbGxlZ2VzPC9rZXl3b3JkPjxrZXl3b3JkPkRlZ3JlZS1ncmFudGluZyBp
bnN0aXR1dGlvbnM8L2tleXdvcmQ+PGtleXdvcmQ+SGlnaGVyIGVkdWNhdGlvbiBpbnN0aXR1dGlv
bnM8L2tleXdvcmQ+PGtleXdvcmQ+SGlnaGVyIGVkdWNhdGlvbiBwcm92aWRlcnM8L2tleXdvcmQ+
PGtleXdvcmQ+SW5zdGl0dXRpb25zIG9mIGhpZ2hlciBlZHVjYXRpb248L2tleXdvcmQ+PGtleXdv
cmQ+UG9zdHNlY29uZGFyeSBpbnN0aXR1dGlvbnM8L2tleXdvcmQ+PGtleXdvcmQ+UHVibGljIGlu
c3RpdHV0aW9uczwva2V5d29yZD48a2V5d29yZD5TY2hvb2xzPC9rZXl3b3JkPjxrZXl3b3JkPkVk
dWNhdGlvbiwgSGlnaGVyPC9rZXl3b3JkPjwva2V5d29yZHM+PHRpdGxlcz48dGl0bGU+Q3JlYXRp
bmcgZW50cmVwcmVuZXVyaWFsIHVuaXZlcnNpdGllczogb3JnYW5pemF0aW9uYWwgcGF0aHdheXMg
b2YgdHJhbnNmb3JtYXRpb248L3RpdGxlPjwvdGl0bGVzPjxjb250cmlidXRvcnM+PGF1dGhvcnM+
PGF1dGhvcj5DbGFyaywgQnVydG9uIFIuPC9hdXRob3I+PC9hdXRob3JzPjwvY29udHJpYnV0b3Jz
PjxhZGRlZC1kYXRlIGZvcm1hdD0idXRjIj4xNDY2MTk4MDg5PC9hZGRlZC1kYXRlPjxwdWItbG9j
YXRpb24+T3hmb3JkPC9wdWItbG9jYXRpb24+PHJlZi10eXBlIG5hbWU9IkJvb2siPjY8L3JlZi10
eXBlPjxkYXRlcz48eWVhcj4xOTk4PC95ZWFyPjwvZGF0ZXM+PHJlYy1udW1iZXI+Mzk1PC9yZWMt
bnVtYmVyPjxwdWJsaXNoZXI+UGVyZ2Ftb24gUHJlc3M8L3B1Ymxpc2hlcj48bGFzdC11cGRhdGVk
LWRhdGUgZm9ybWF0PSJ1dGMiPjE1NDg2NjIwMDA8L2xhc3QtdXBkYXRlZC1kYXRlPjwvcmVjb3Jk
PjwvQ2l0ZT48L0VuZE5vdGU+
</w:fldData>
        </w:fldChar>
      </w:r>
      <w:r w:rsidR="00446E23">
        <w:instrText xml:space="preserve"> ADDIN EN.CITE.DATA </w:instrText>
      </w:r>
      <w:r w:rsidR="00446E23">
        <w:fldChar w:fldCharType="end"/>
      </w:r>
      <w:r w:rsidRPr="00590F06">
        <w:fldChar w:fldCharType="separate"/>
      </w:r>
      <w:r w:rsidR="00446E23">
        <w:rPr>
          <w:noProof/>
        </w:rPr>
        <w:t>(Bleiklie, 1998; B. R. Clark, 1998; Deem et al., 2007; Graham, 2014; Marginson, 2008; Marginson &amp; Considine, 2000; Slaughter &amp; Cantwell, 2012)</w:t>
      </w:r>
      <w:r w:rsidRPr="00590F06">
        <w:fldChar w:fldCharType="end"/>
      </w:r>
      <w:r w:rsidRPr="00590F06">
        <w:t>.</w:t>
      </w:r>
      <w:r>
        <w:t xml:space="preserve"> While universities in these countries have in the past often been able to obviate difficult decisions about reducing or removing certain activities simply by adding</w:t>
      </w:r>
      <w:r w:rsidRPr="00590F06">
        <w:t xml:space="preserve"> to existing structures and activities </w:t>
      </w:r>
      <w:r>
        <w:t>whenever a new demand perceived to be significant and legitimate emerges, the current climate calls for a more strategic and professionalised approach to organisational management and innovation</w:t>
      </w:r>
      <w:r w:rsidRPr="00590F06">
        <w:t xml:space="preserve"> </w:t>
      </w:r>
      <w:r w:rsidRPr="00590F06">
        <w:fldChar w:fldCharType="begin">
          <w:fldData xml:space="preserve">PEVuZE5vdGU+PENpdGU+PEF1dGhvcj5TcG9ybjwvQXV0aG9yPjxZZWFyPjE5OTU8L1llYXI+PElE
VGV4dD5BZGFwdGF0aW9uIHByb2Nlc3NlcyBhdCB1bml2ZXJzaXRpZXM6IE9yZ2FuaXphdGlvbmFs
IGltcGxpY2F0aW9ucyBvZiBhIGNvbXBsZXggZW52aXJvbm1lbnQ8L0lEVGV4dD48RGlzcGxheVRl
eHQ+KEJlbi1EYXZpZCwgMTk3NzsgQi4gUi4gQ2xhcmssIDE5ODMsIDIwMDgvMTk2MTsgR3VtcG9y
dCwgMjAwMDsgTmVsbGVzICZhbXA7IFZvcmxleSwgMjAxMTsgU3Bvcm4sIDE5OTUpPC9EaXNwbGF5
VGV4dD48cmVjb3JkPjxpc2JuPjEzNTgtMzg4MzwvaXNibj48dGl0bGVzPjx0aXRsZT5BZGFwdGF0
aW9uIHByb2Nlc3NlcyBhdCB1bml2ZXJzaXRpZXM6IE9yZ2FuaXphdGlvbmFsIGltcGxpY2F0aW9u
cyBvZiBhIGNvbXBsZXggZW52aXJvbm1lbnQ8L3RpdGxlPjxzZWNvbmRhcnktdGl0bGU+VGVydGlh
cnkgRWR1Y2F0aW9uIGFuZCBNYW5hZ2VtZW50PC9zZWNvbmRhcnktdGl0bGU+PC90aXRsZXM+PHBh
Z2VzPjcyLTc1PC9wYWdlcz48bnVtYmVyPjE8L251bWJlcj48Y29udHJpYnV0b3JzPjxhdXRob3Jz
PjxhdXRob3I+U3Bvcm4sIEJhcmJhcmE8L2F1dGhvcj48L2F1dGhvcnM+PC9jb250cmlidXRvcnM+
PGFkZGVkLWRhdGUgZm9ybWF0PSJ1dGMiPjE1MDQ2OTc5MDU8L2FkZGVkLWRhdGU+PHJlZi10eXBl
IG5hbWU9IkpvdXJuYWwgQXJ0aWNsZSI+MTc8L3JlZi10eXBlPjxkYXRlcz48eWVhcj4xOTk1PC95
ZWFyPjwvZGF0ZXM+PHJlYy1udW1iZXI+NzE1MTwvcmVjLW51bWJlcj48cHVibGlzaGVyPlRheWxv
ciAmYW1wOyBGcmFuY2lzIEdyb3VwPC9wdWJsaXNoZXI+PGxhc3QtdXBkYXRlZC1kYXRlIGZvcm1h
dD0idXRjIj4xNTA1MzM3OTU3PC9sYXN0LXVwZGF0ZWQtZGF0ZT48ZWxlY3Ryb25pYy1yZXNvdXJj
ZS1udW0+MTAuMTA4MC8xMzU4Mzg4My4xOTk1Ljk5NjY4NTk8L2VsZWN0cm9uaWMtcmVzb3VyY2Ut
bnVtPjx2b2x1bWU+MTwvdm9sdW1lPjwvcmVjb3JkPjwvQ2l0ZT48Q2l0ZT48QXV0aG9yPkd1bXBv
cnQ8L0F1dGhvcj48WWVhcj4yMDAwPC9ZZWFyPjxJRFRleHQ+QWNhZGVtaWMgcmVzdHJ1Y3R1cmlu
ZzogT3JnYW5pemF0aW9uYWwgY2hhbmdlIGFuZCBpbnN0aXR1dGlvbmFsIGltcGVyYXRpdmVzPC9J
RFRleHQ+PHJlY29yZD48aXNibj4wMDE4LTE1NjA8L2lzYm4+PHRpdGxlcz48dGl0bGU+QWNhZGVt
aWMgcmVzdHJ1Y3R1cmluZzogT3JnYW5pemF0aW9uYWwgY2hhbmdlIGFuZCBpbnN0aXR1dGlvbmFs
IGltcGVyYXRpdmVzPC90aXRsZT48c2Vjb25kYXJ5LXRpdGxlPkhpZ2hlciBFZHVjYXRpb248L3Nl
Y29uZGFyeS10aXRsZT48L3RpdGxlcz48cGFnZXM+NjctOTE8L3BhZ2VzPjxudW1iZXI+MTwvbnVt
YmVyPjxjb250cmlidXRvcnM+PGF1dGhvcnM+PGF1dGhvcj5HdW1wb3J0LCBQYXRyaWNpYSBKLjwv
YXV0aG9yPjwvYXV0aG9ycz48L2NvbnRyaWJ1dG9ycz48YWRkZWQtZGF0ZSBmb3JtYXQ9InV0YyI+
MTQ5MjQ1ODU0MzwvYWRkZWQtZGF0ZT48cHViLWxvY2F0aW9uPkRvcmRyZWNodDwvcHViLWxvY2F0
aW9uPjxyZWYtdHlwZSBuYW1lPSJKb3VybmFsIEFydGljbGUiPjE3PC9yZWYtdHlwZT48ZGF0ZXM+
PHllYXI+MjAwMDwveWVhcj48L2RhdGVzPjxyZWMtbnVtYmVyPjY3MTk8L3JlYy1udW1iZXI+PGxh
c3QtdXBkYXRlZC1kYXRlIGZvcm1hdD0idXRjIj4xNTIyOTQyNTA3PC9sYXN0LXVwZGF0ZWQtZGF0
ZT48ZWxlY3Ryb25pYy1yZXNvdXJjZS1udW0+MTAuMTAyMy9BOjEwMDM4NTkwMjYzMDE8L2VsZWN0
cm9uaWMtcmVzb3VyY2UtbnVtPjx2b2x1bWU+Mzk8L3ZvbHVtZT48L3JlY29yZD48L0NpdGU+PENp
dGU+PEF1dGhvcj5DbGFyazwvQXV0aG9yPjxZZWFyPjE5ODM8L1llYXI+PElEVGV4dD5UaGUgaGln
aGVyIGVkdWNhdGlvbiBzeXN0ZW06IGFjYWRlbWljIG9yZ2FuaXNhdGlvbiBpbiBjcm9zcy1uYXRp
b25hbCBwZXJzcGVjdGl2ZTwvSURUZXh0PjxyZWNvcmQ+PGtleXdvcmRzPjxrZXl3b3JkPkVkdWNh
dGlvbiwgSGlnaGVyPC9rZXl3b3JkPjxrZXl3b3JkPkVkdWNhdGlvbiwgSGlnaGVyPC9rZXl3b3Jk
PjxrZXl3b3JkPkhpZ2hlciBlZHVjYXRpb24gQ29tcGFyYXRpdmUgc3R1ZGllczwva2V5d29yZD48
L2tleXdvcmRzPjx0aXRsZXM+PHRpdGxlPlRoZSBoaWdoZXIgZWR1Y2F0aW9uIHN5c3RlbTogYWNh
ZGVtaWMgb3JnYW5pc2F0aW9uIGluIGNyb3NzLW5hdGlvbmFsIHBlcnNwZWN0aXZlPC90aXRsZT48
L3RpdGxlcz48Y29udHJpYnV0b3JzPjxhdXRob3JzPjxhdXRob3I+Q2xhcmssIEJ1cnRvbiBSLjwv
YXV0aG9yPjwvYXV0aG9ycz48L2NvbnRyaWJ1dG9ycz48YWRkZWQtZGF0ZSBmb3JtYXQ9InV0YyI+
MTQ1ODEzOTU0ODwvYWRkZWQtZGF0ZT48cHViLWxvY2F0aW9uPkxvbmRvbjwvcHViLWxvY2F0aW9u
PjxyZWYtdHlwZSBuYW1lPSJCb29rIj42PC9yZWYtdHlwZT48ZGF0ZXM+PHllYXI+MTk4MzwveWVh
cj48L2RhdGVzPjxyZWMtbnVtYmVyPjI5NDwvcmVjLW51bWJlcj48cHVibGlzaGVyPlVuaXZlcnNp
dHkgb2YgQ2FsaWZvcm5pYSBQcmVzczwvcHVibGlzaGVyPjxsYXN0LXVwZGF0ZWQtZGF0ZSBmb3Jt
YXQ9InV0YyI+MTQ3MDk5NjkzMjwvbGFzdC11cGRhdGVkLWRhdGU+PC9yZWNvcmQ+PC9DaXRlPjxD
aXRlPjxBdXRob3I+QmVuLURhdmlkPC9BdXRob3I+PFllYXI+MTk3NzwvWWVhcj48SURUZXh0PkNl
bnRyZXMgb2YgTGVhcm5pbmc6IEJyaXRhaW4sIEZyYW5jZSwgR2VybWFueSwgVW5pdGVkIFN0YXRl
czwvSURUZXh0PjxyZWNvcmQ+PHRpdGxlcz48dGl0bGU+Q2VudHJlcyBvZiBMZWFybmluZzogQnJp
dGFpbiwgRnJhbmNlLCBHZXJtYW55LCBVbml0ZWQgU3RhdGVzPC90aXRsZT48L3RpdGxlcz48Y29u
dHJpYnV0b3JzPjxhdXRob3JzPjxhdXRob3I+QmVuLURhdmlkLCBKb3NlcGg8L2F1dGhvcj48L2F1
dGhvcnM+PC9jb250cmlidXRvcnM+PGFkZGVkLWRhdGUgZm9ybWF0PSJ1dGMiPjE1MjM2MzU1ODM8
L2FkZGVkLWRhdGU+PHB1Yi1sb2NhdGlvbj5OZXcgWW9yazwvcHViLWxvY2F0aW9uPjxyZWYtdHlw
ZSBuYW1lPSJCb29rIj42PC9yZWYtdHlwZT48ZGF0ZXM+PHllYXI+MTk3NzwveWVhcj48L2RhdGVz
PjxyZWMtbnVtYmVyPjc0ODQ8L3JlYy1udW1iZXI+PHB1Ymxpc2hlcj5NY0dyYXcgSGlsbDwvcHVi
bGlzaGVyPjxsYXN0LXVwZGF0ZWQtZGF0ZSBmb3JtYXQ9InV0YyI+MTUyMzYzNTg5ODwvbGFzdC11
cGRhdGVkLWRhdGU+PC9yZWNvcmQ+PC9DaXRlPjxDaXRlPjxBdXRob3I+TmVsbGVzPC9BdXRob3I+
PFllYXI+MjAxMTwvWWVhcj48SURUZXh0PkVudHJlcHJlbmV1cmlhbCBBcmNoaXRlY3R1cmU6IEEg
Qmx1ZXByaW50IGZvciBFbnRyZXByZW5ldXJpYWwgVW5pdmVyc2l0aWVzPC9JRFRleHQ+PHJlY29y
ZD48a2V5d29yZHM+PGtleXdvcmQ+SmVsIENsYXNzaWZpY2F0aW9uczogSTEyMzwva2V5d29yZD48
a2V5d29yZD5PMzE8L2tleXdvcmQ+PGtleXdvcmQ+TzM4PC9rZXl3b3JkPjxrZXl3b3JkPkVudHJl
cHJlbmV1cmlhbCBBcmNoaXRlY3R1cmVzPC9rZXl3b3JkPjxrZXl3b3JkPlVuaXZlcnNpdHkgRW50
cmVwcmVuZXVyc2hpcDwva2V5d29yZD48a2V5d29yZD5FbnRyZXByZW5ldXJpYWwgVW5pdmVyc2l0
eTwva2V5d29yZD48a2V5d29yZD5IaWdoZXIgRWR1Y2F0aW9uIFBvbGljeTwva2V5d29yZD48a2V5
d29yZD5BcmNoaXRlY3R1cmVzIEVudHJlcHJlbmV1cmlhbGVzPC9rZXl3b3JkPjxrZXl3b3JkPkVu
dHJlcHJlbmV1cmlhdCBVbml2ZXJzaXRhaXJlPC9rZXl3b3JkPjxrZXl3b3JkPlVuaXZlcnNpdMOp
IEVudHJlcHJlbmV1cmlhbGU8L2tleXdvcmQ+PGtleXdvcmQ+UG9saXRpcXVlIEQmYW1wOyMwMzk8
L2tleXdvcmQ+PGtleXdvcmQ+RW5zZWlnbmVtZW50IFN1cMOpcmlldXI8L2tleXdvcmQ+PC9rZXl3
b3Jkcz48aXNibj4wODI1LTAzODM8L2lzYm4+PHRpdGxlcz48dGl0bGU+RW50cmVwcmVuZXVyaWFs
IEFyY2hpdGVjdHVyZTogQSBCbHVlcHJpbnQgZm9yIEVudHJlcHJlbmV1cmlhbCBVbml2ZXJzaXRp
ZXM8L3RpdGxlPjxzZWNvbmRhcnktdGl0bGU+Q2FuYWRpYW4gSm91cm5hbCBvZiBBZG1pbmlzdHJh
dGl2ZSBTY2llbmNlcyAvIFJldnVlIENhbmFkaWVubmUgZGVzIFNjaWVuY2VzIGRlIGwmYXBvcztB
ZG1pbmlzdHJhdGlvbjwvc2Vjb25kYXJ5LXRpdGxlPjwvdGl0bGVzPjxwYWdlcz4zNDEtMzUzPC9w
YWdlcz48bnVtYmVyPjM8L251bWJlcj48Y29udHJpYnV0b3JzPjxhdXRob3JzPjxhdXRob3I+TmVs
bGVzLCBKZW48L2F1dGhvcj48YXV0aG9yPlZvcmxleSwgVGltPC9hdXRob3I+PC9hdXRob3JzPjwv
Y29udHJpYnV0b3JzPjxhZGRlZC1kYXRlIGZvcm1hdD0idXRjIj4xNDg2MTc4NzMwPC9hZGRlZC1k
YXRlPjxwdWItbG9jYXRpb24+Q2hpY2hlc3RlciwgVUs8L3B1Yi1sb2NhdGlvbj48cmVmLXR5cGUg
bmFtZT0iSm91cm5hbCBBcnRpY2xlIj4xNzwvcmVmLXR5cGU+PGRhdGVzPjx5ZWFyPjIwMTE8L3ll
YXI+PC9kYXRlcz48cmVjLW51bWJlcj42NTk2PC9yZWMtbnVtYmVyPjxsYXN0LXVwZGF0ZWQtZGF0
ZSBmb3JtYXQ9InV0YyI+MTQ4NjE3ODczMDwvbGFzdC11cGRhdGVkLWRhdGU+PGNvbnRyaWJ1dG9y
cz48c2Vjb25kYXJ5LWF1dGhvcnM+PGF1dGhvcj5OZXViZXJ0LCBNaXRjaGVsbCBKLjwvYXV0aG9y
PjxhdXRob3I+U29yaWFubywgRG9taW5nbyBSaWJlaXJvPC9hdXRob3I+PGF1dGhvcj5Nb250b3Jv
4oCQU8OhbmNoZXosIMOBbmdlbGVzPC9hdXRob3I+PC9zZWNvbmRhcnktYXV0aG9ycz48L2NvbnRy
aWJ1dG9ycz48ZWxlY3Ryb25pYy1yZXNvdXJjZS1udW0+MTAuMTAwMi9jamFzLjE4NjwvZWxlY3Ry
b25pYy1yZXNvdXJjZS1udW0+PHZvbHVtZT4yODwvdm9sdW1lPjwvcmVjb3JkPjwvQ2l0ZT48Q2l0
ZT48QXV0aG9yPkNsYXJrPC9BdXRob3I+PFllYXI+MjAwOC8xOTYxPC9ZZWFyPjxJRFRleHQ+T3Jn
YW5pemF0aW9uYWwgYWRhcHRhdGlvbnMgYW5kIHByZWNhcmlvdXMgdmFsdWVzPC9JRFRleHQ+PHJl
Y29yZD48dGl0bGVzPjx0aXRsZT5Pcmdhbml6YXRpb25hbCBhZGFwdGF0aW9ucyBhbmQgcHJlY2Fy
aW91cyB2YWx1ZXM8L3RpdGxlPjxzZWNvbmRhcnktdGl0bGU+T24gSGlnaGVyIEVkdWNhdGlvbjog
U2VsZWN0ZWQgV3JpdGluZ3MsIDE5NTYtMjAwNjwvc2Vjb25kYXJ5LXRpdGxlPjwvdGl0bGVzPjxj
b250cmlidXRvcnM+PGF1dGhvcnM+PGF1dGhvcj5DbGFyaywgQnVydG9uIFIuPC9hdXRob3I+PC9h
dXRob3JzPjwvY29udHJpYnV0b3JzPjxhZGRlZC1kYXRlIGZvcm1hdD0idXRjIj4xNTIzNjUxNjUz
PC9hZGRlZC1kYXRlPjxwdWItbG9jYXRpb24+QmFsdGltb3JlPC9wdWItbG9jYXRpb24+PHJlZi10
eXBlIG5hbWU9IkJvb2sgU2VjdGlvbiI+NTwvcmVmLXR5cGU+PGRhdGVzPjx5ZWFyPjIwMDgvMTk2
MTwveWVhcj48L2RhdGVzPjxyZWMtbnVtYmVyPjc0ODY8L3JlYy1udW1iZXI+PHB1Ymxpc2hlcj5K
b2hucyBIb3BraW5zIFVuaXZlcnNpdHkgUHJlc3M8L3B1Ymxpc2hlcj48bGFzdC11cGRhdGVkLWRh
dGUgZm9ybWF0PSJ1dGMiPjE1NDg1MjM4NTA8L2xhc3QtdXBkYXRlZC1kYXRlPjxjb250cmlidXRv
cnM+PHNlY29uZGFyeS1hdXRob3JzPjxhdXRob3I+Q2xhcmssIEJ1cnRvbiBSLjwvYXV0aG9yPjxh
dXRob3I+Q2xhcmssIEFkZWxlPC9hdXRob3I+PC9zZWNvbmRhcnktYXV0aG9ycz48L2NvbnRyaWJ1
dG9ycz48L3JlY29yZD48L0NpdGU+PC9FbmROb3RlPn==
</w:fldData>
        </w:fldChar>
      </w:r>
      <w:r>
        <w:instrText xml:space="preserve"> ADDIN EN.CITE </w:instrText>
      </w:r>
      <w:r>
        <w:fldChar w:fldCharType="begin">
          <w:fldData xml:space="preserve">PEVuZE5vdGU+PENpdGU+PEF1dGhvcj5TcG9ybjwvQXV0aG9yPjxZZWFyPjE5OTU8L1llYXI+PElE
VGV4dD5BZGFwdGF0aW9uIHByb2Nlc3NlcyBhdCB1bml2ZXJzaXRpZXM6IE9yZ2FuaXphdGlvbmFs
IGltcGxpY2F0aW9ucyBvZiBhIGNvbXBsZXggZW52aXJvbm1lbnQ8L0lEVGV4dD48RGlzcGxheVRl
eHQ+KEJlbi1EYXZpZCwgMTk3NzsgQi4gUi4gQ2xhcmssIDE5ODMsIDIwMDgvMTk2MTsgR3VtcG9y
dCwgMjAwMDsgTmVsbGVzICZhbXA7IFZvcmxleSwgMjAxMTsgU3Bvcm4sIDE5OTUpPC9EaXNwbGF5
VGV4dD48cmVjb3JkPjxpc2JuPjEzNTgtMzg4MzwvaXNibj48dGl0bGVzPjx0aXRsZT5BZGFwdGF0
aW9uIHByb2Nlc3NlcyBhdCB1bml2ZXJzaXRpZXM6IE9yZ2FuaXphdGlvbmFsIGltcGxpY2F0aW9u
cyBvZiBhIGNvbXBsZXggZW52aXJvbm1lbnQ8L3RpdGxlPjxzZWNvbmRhcnktdGl0bGU+VGVydGlh
cnkgRWR1Y2F0aW9uIGFuZCBNYW5hZ2VtZW50PC9zZWNvbmRhcnktdGl0bGU+PC90aXRsZXM+PHBh
Z2VzPjcyLTc1PC9wYWdlcz48bnVtYmVyPjE8L251bWJlcj48Y29udHJpYnV0b3JzPjxhdXRob3Jz
PjxhdXRob3I+U3Bvcm4sIEJhcmJhcmE8L2F1dGhvcj48L2F1dGhvcnM+PC9jb250cmlidXRvcnM+
PGFkZGVkLWRhdGUgZm9ybWF0PSJ1dGMiPjE1MDQ2OTc5MDU8L2FkZGVkLWRhdGU+PHJlZi10eXBl
IG5hbWU9IkpvdXJuYWwgQXJ0aWNsZSI+MTc8L3JlZi10eXBlPjxkYXRlcz48eWVhcj4xOTk1PC95
ZWFyPjwvZGF0ZXM+PHJlYy1udW1iZXI+NzE1MTwvcmVjLW51bWJlcj48cHVibGlzaGVyPlRheWxv
ciAmYW1wOyBGcmFuY2lzIEdyb3VwPC9wdWJsaXNoZXI+PGxhc3QtdXBkYXRlZC1kYXRlIGZvcm1h
dD0idXRjIj4xNTA1MzM3OTU3PC9sYXN0LXVwZGF0ZWQtZGF0ZT48ZWxlY3Ryb25pYy1yZXNvdXJj
ZS1udW0+MTAuMTA4MC8xMzU4Mzg4My4xOTk1Ljk5NjY4NTk8L2VsZWN0cm9uaWMtcmVzb3VyY2Ut
bnVtPjx2b2x1bWU+MTwvdm9sdW1lPjwvcmVjb3JkPjwvQ2l0ZT48Q2l0ZT48QXV0aG9yPkd1bXBv
cnQ8L0F1dGhvcj48WWVhcj4yMDAwPC9ZZWFyPjxJRFRleHQ+QWNhZGVtaWMgcmVzdHJ1Y3R1cmlu
ZzogT3JnYW5pemF0aW9uYWwgY2hhbmdlIGFuZCBpbnN0aXR1dGlvbmFsIGltcGVyYXRpdmVzPC9J
RFRleHQ+PHJlY29yZD48aXNibj4wMDE4LTE1NjA8L2lzYm4+PHRpdGxlcz48dGl0bGU+QWNhZGVt
aWMgcmVzdHJ1Y3R1cmluZzogT3JnYW5pemF0aW9uYWwgY2hhbmdlIGFuZCBpbnN0aXR1dGlvbmFs
IGltcGVyYXRpdmVzPC90aXRsZT48c2Vjb25kYXJ5LXRpdGxlPkhpZ2hlciBFZHVjYXRpb248L3Nl
Y29uZGFyeS10aXRsZT48L3RpdGxlcz48cGFnZXM+NjctOTE8L3BhZ2VzPjxudW1iZXI+MTwvbnVt
YmVyPjxjb250cmlidXRvcnM+PGF1dGhvcnM+PGF1dGhvcj5HdW1wb3J0LCBQYXRyaWNpYSBKLjwv
YXV0aG9yPjwvYXV0aG9ycz48L2NvbnRyaWJ1dG9ycz48YWRkZWQtZGF0ZSBmb3JtYXQ9InV0YyI+
MTQ5MjQ1ODU0MzwvYWRkZWQtZGF0ZT48cHViLWxvY2F0aW9uPkRvcmRyZWNodDwvcHViLWxvY2F0
aW9uPjxyZWYtdHlwZSBuYW1lPSJKb3VybmFsIEFydGljbGUiPjE3PC9yZWYtdHlwZT48ZGF0ZXM+
PHllYXI+MjAwMDwveWVhcj48L2RhdGVzPjxyZWMtbnVtYmVyPjY3MTk8L3JlYy1udW1iZXI+PGxh
c3QtdXBkYXRlZC1kYXRlIGZvcm1hdD0idXRjIj4xNTIyOTQyNTA3PC9sYXN0LXVwZGF0ZWQtZGF0
ZT48ZWxlY3Ryb25pYy1yZXNvdXJjZS1udW0+MTAuMTAyMy9BOjEwMDM4NTkwMjYzMDE8L2VsZWN0
cm9uaWMtcmVzb3VyY2UtbnVtPjx2b2x1bWU+Mzk8L3ZvbHVtZT48L3JlY29yZD48L0NpdGU+PENp
dGU+PEF1dGhvcj5DbGFyazwvQXV0aG9yPjxZZWFyPjE5ODM8L1llYXI+PElEVGV4dD5UaGUgaGln
aGVyIGVkdWNhdGlvbiBzeXN0ZW06IGFjYWRlbWljIG9yZ2FuaXNhdGlvbiBpbiBjcm9zcy1uYXRp
b25hbCBwZXJzcGVjdGl2ZTwvSURUZXh0PjxyZWNvcmQ+PGtleXdvcmRzPjxrZXl3b3JkPkVkdWNh
dGlvbiwgSGlnaGVyPC9rZXl3b3JkPjxrZXl3b3JkPkVkdWNhdGlvbiwgSGlnaGVyPC9rZXl3b3Jk
PjxrZXl3b3JkPkhpZ2hlciBlZHVjYXRpb24gQ29tcGFyYXRpdmUgc3R1ZGllczwva2V5d29yZD48
L2tleXdvcmRzPjx0aXRsZXM+PHRpdGxlPlRoZSBoaWdoZXIgZWR1Y2F0aW9uIHN5c3RlbTogYWNh
ZGVtaWMgb3JnYW5pc2F0aW9uIGluIGNyb3NzLW5hdGlvbmFsIHBlcnNwZWN0aXZlPC90aXRsZT48
L3RpdGxlcz48Y29udHJpYnV0b3JzPjxhdXRob3JzPjxhdXRob3I+Q2xhcmssIEJ1cnRvbiBSLjwv
YXV0aG9yPjwvYXV0aG9ycz48L2NvbnRyaWJ1dG9ycz48YWRkZWQtZGF0ZSBmb3JtYXQ9InV0YyI+
MTQ1ODEzOTU0ODwvYWRkZWQtZGF0ZT48cHViLWxvY2F0aW9uPkxvbmRvbjwvcHViLWxvY2F0aW9u
PjxyZWYtdHlwZSBuYW1lPSJCb29rIj42PC9yZWYtdHlwZT48ZGF0ZXM+PHllYXI+MTk4MzwveWVh
cj48L2RhdGVzPjxyZWMtbnVtYmVyPjI5NDwvcmVjLW51bWJlcj48cHVibGlzaGVyPlVuaXZlcnNp
dHkgb2YgQ2FsaWZvcm5pYSBQcmVzczwvcHVibGlzaGVyPjxsYXN0LXVwZGF0ZWQtZGF0ZSBmb3Jt
YXQ9InV0YyI+MTQ3MDk5NjkzMjwvbGFzdC11cGRhdGVkLWRhdGU+PC9yZWNvcmQ+PC9DaXRlPjxD
aXRlPjxBdXRob3I+QmVuLURhdmlkPC9BdXRob3I+PFllYXI+MTk3NzwvWWVhcj48SURUZXh0PkNl
bnRyZXMgb2YgTGVhcm5pbmc6IEJyaXRhaW4sIEZyYW5jZSwgR2VybWFueSwgVW5pdGVkIFN0YXRl
czwvSURUZXh0PjxyZWNvcmQ+PHRpdGxlcz48dGl0bGU+Q2VudHJlcyBvZiBMZWFybmluZzogQnJp
dGFpbiwgRnJhbmNlLCBHZXJtYW55LCBVbml0ZWQgU3RhdGVzPC90aXRsZT48L3RpdGxlcz48Y29u
dHJpYnV0b3JzPjxhdXRob3JzPjxhdXRob3I+QmVuLURhdmlkLCBKb3NlcGg8L2F1dGhvcj48L2F1
dGhvcnM+PC9jb250cmlidXRvcnM+PGFkZGVkLWRhdGUgZm9ybWF0PSJ1dGMiPjE1MjM2MzU1ODM8
L2FkZGVkLWRhdGU+PHB1Yi1sb2NhdGlvbj5OZXcgWW9yazwvcHViLWxvY2F0aW9uPjxyZWYtdHlw
ZSBuYW1lPSJCb29rIj42PC9yZWYtdHlwZT48ZGF0ZXM+PHllYXI+MTk3NzwveWVhcj48L2RhdGVz
PjxyZWMtbnVtYmVyPjc0ODQ8L3JlYy1udW1iZXI+PHB1Ymxpc2hlcj5NY0dyYXcgSGlsbDwvcHVi
bGlzaGVyPjxsYXN0LXVwZGF0ZWQtZGF0ZSBmb3JtYXQ9InV0YyI+MTUyMzYzNTg5ODwvbGFzdC11
cGRhdGVkLWRhdGU+PC9yZWNvcmQ+PC9DaXRlPjxDaXRlPjxBdXRob3I+TmVsbGVzPC9BdXRob3I+
PFllYXI+MjAxMTwvWWVhcj48SURUZXh0PkVudHJlcHJlbmV1cmlhbCBBcmNoaXRlY3R1cmU6IEEg
Qmx1ZXByaW50IGZvciBFbnRyZXByZW5ldXJpYWwgVW5pdmVyc2l0aWVzPC9JRFRleHQ+PHJlY29y
ZD48a2V5d29yZHM+PGtleXdvcmQ+SmVsIENsYXNzaWZpY2F0aW9uczogSTEyMzwva2V5d29yZD48
a2V5d29yZD5PMzE8L2tleXdvcmQ+PGtleXdvcmQ+TzM4PC9rZXl3b3JkPjxrZXl3b3JkPkVudHJl
cHJlbmV1cmlhbCBBcmNoaXRlY3R1cmVzPC9rZXl3b3JkPjxrZXl3b3JkPlVuaXZlcnNpdHkgRW50
cmVwcmVuZXVyc2hpcDwva2V5d29yZD48a2V5d29yZD5FbnRyZXByZW5ldXJpYWwgVW5pdmVyc2l0
eTwva2V5d29yZD48a2V5d29yZD5IaWdoZXIgRWR1Y2F0aW9uIFBvbGljeTwva2V5d29yZD48a2V5
d29yZD5BcmNoaXRlY3R1cmVzIEVudHJlcHJlbmV1cmlhbGVzPC9rZXl3b3JkPjxrZXl3b3JkPkVu
dHJlcHJlbmV1cmlhdCBVbml2ZXJzaXRhaXJlPC9rZXl3b3JkPjxrZXl3b3JkPlVuaXZlcnNpdMOp
IEVudHJlcHJlbmV1cmlhbGU8L2tleXdvcmQ+PGtleXdvcmQ+UG9saXRpcXVlIEQmYW1wOyMwMzk8
L2tleXdvcmQ+PGtleXdvcmQ+RW5zZWlnbmVtZW50IFN1cMOpcmlldXI8L2tleXdvcmQ+PC9rZXl3
b3Jkcz48aXNibj4wODI1LTAzODM8L2lzYm4+PHRpdGxlcz48dGl0bGU+RW50cmVwcmVuZXVyaWFs
IEFyY2hpdGVjdHVyZTogQSBCbHVlcHJpbnQgZm9yIEVudHJlcHJlbmV1cmlhbCBVbml2ZXJzaXRp
ZXM8L3RpdGxlPjxzZWNvbmRhcnktdGl0bGU+Q2FuYWRpYW4gSm91cm5hbCBvZiBBZG1pbmlzdHJh
dGl2ZSBTY2llbmNlcyAvIFJldnVlIENhbmFkaWVubmUgZGVzIFNjaWVuY2VzIGRlIGwmYXBvcztB
ZG1pbmlzdHJhdGlvbjwvc2Vjb25kYXJ5LXRpdGxlPjwvdGl0bGVzPjxwYWdlcz4zNDEtMzUzPC9w
YWdlcz48bnVtYmVyPjM8L251bWJlcj48Y29udHJpYnV0b3JzPjxhdXRob3JzPjxhdXRob3I+TmVs
bGVzLCBKZW48L2F1dGhvcj48YXV0aG9yPlZvcmxleSwgVGltPC9hdXRob3I+PC9hdXRob3JzPjwv
Y29udHJpYnV0b3JzPjxhZGRlZC1kYXRlIGZvcm1hdD0idXRjIj4xNDg2MTc4NzMwPC9hZGRlZC1k
YXRlPjxwdWItbG9jYXRpb24+Q2hpY2hlc3RlciwgVUs8L3B1Yi1sb2NhdGlvbj48cmVmLXR5cGUg
bmFtZT0iSm91cm5hbCBBcnRpY2xlIj4xNzwvcmVmLXR5cGU+PGRhdGVzPjx5ZWFyPjIwMTE8L3ll
YXI+PC9kYXRlcz48cmVjLW51bWJlcj42NTk2PC9yZWMtbnVtYmVyPjxsYXN0LXVwZGF0ZWQtZGF0
ZSBmb3JtYXQ9InV0YyI+MTQ4NjE3ODczMDwvbGFzdC11cGRhdGVkLWRhdGU+PGNvbnRyaWJ1dG9y
cz48c2Vjb25kYXJ5LWF1dGhvcnM+PGF1dGhvcj5OZXViZXJ0LCBNaXRjaGVsbCBKLjwvYXV0aG9y
PjxhdXRob3I+U29yaWFubywgRG9taW5nbyBSaWJlaXJvPC9hdXRob3I+PGF1dGhvcj5Nb250b3Jv
4oCQU8OhbmNoZXosIMOBbmdlbGVzPC9hdXRob3I+PC9zZWNvbmRhcnktYXV0aG9ycz48L2NvbnRy
aWJ1dG9ycz48ZWxlY3Ryb25pYy1yZXNvdXJjZS1udW0+MTAuMTAwMi9jamFzLjE4NjwvZWxlY3Ry
b25pYy1yZXNvdXJjZS1udW0+PHZvbHVtZT4yODwvdm9sdW1lPjwvcmVjb3JkPjwvQ2l0ZT48Q2l0
ZT48QXV0aG9yPkNsYXJrPC9BdXRob3I+PFllYXI+MjAwOC8xOTYxPC9ZZWFyPjxJRFRleHQ+T3Jn
YW5pemF0aW9uYWwgYWRhcHRhdGlvbnMgYW5kIHByZWNhcmlvdXMgdmFsdWVzPC9JRFRleHQ+PHJl
Y29yZD48dGl0bGVzPjx0aXRsZT5Pcmdhbml6YXRpb25hbCBhZGFwdGF0aW9ucyBhbmQgcHJlY2Fy
aW91cyB2YWx1ZXM8L3RpdGxlPjxzZWNvbmRhcnktdGl0bGU+T24gSGlnaGVyIEVkdWNhdGlvbjog
U2VsZWN0ZWQgV3JpdGluZ3MsIDE5NTYtMjAwNjwvc2Vjb25kYXJ5LXRpdGxlPjwvdGl0bGVzPjxj
b250cmlidXRvcnM+PGF1dGhvcnM+PGF1dGhvcj5DbGFyaywgQnVydG9uIFIuPC9hdXRob3I+PC9h
dXRob3JzPjwvY29udHJpYnV0b3JzPjxhZGRlZC1kYXRlIGZvcm1hdD0idXRjIj4xNTIzNjUxNjUz
PC9hZGRlZC1kYXRlPjxwdWItbG9jYXRpb24+QmFsdGltb3JlPC9wdWItbG9jYXRpb24+PHJlZi10
eXBlIG5hbWU9IkJvb2sgU2VjdGlvbiI+NTwvcmVmLXR5cGU+PGRhdGVzPjx5ZWFyPjIwMDgvMTk2
MTwveWVhcj48L2RhdGVzPjxyZWMtbnVtYmVyPjc0ODY8L3JlYy1udW1iZXI+PHB1Ymxpc2hlcj5K
b2hucyBIb3BraW5zIFVuaXZlcnNpdHkgUHJlc3M8L3B1Ymxpc2hlcj48bGFzdC11cGRhdGVkLWRh
dGUgZm9ybWF0PSJ1dGMiPjE1NDg1MjM4NTA8L2xhc3QtdXBkYXRlZC1kYXRlPjxjb250cmlidXRv
cnM+PHNlY29uZGFyeS1hdXRob3JzPjxhdXRob3I+Q2xhcmssIEJ1cnRvbiBSLjwvYXV0aG9yPjxh
dXRob3I+Q2xhcmssIEFkZWxlPC9hdXRob3I+PC9zZWNvbmRhcnktYXV0aG9ycz48L2NvbnRyaWJ1
dG9ycz48L3JlY29yZD48L0NpdGU+PC9FbmROb3RlPn==
</w:fldData>
        </w:fldChar>
      </w:r>
      <w:r>
        <w:instrText xml:space="preserve"> ADDIN EN.CITE.DATA </w:instrText>
      </w:r>
      <w:r>
        <w:fldChar w:fldCharType="end"/>
      </w:r>
      <w:r w:rsidRPr="00590F06">
        <w:fldChar w:fldCharType="separate"/>
      </w:r>
      <w:r>
        <w:rPr>
          <w:noProof/>
        </w:rPr>
        <w:t>(Ben-David, 1977; B. R. Clark, 1983, 2008/1961; Gumport, 2000; Nelles &amp; Vorley, 2011; Sporn, 1995)</w:t>
      </w:r>
      <w:r w:rsidRPr="00590F06">
        <w:fldChar w:fldCharType="end"/>
      </w:r>
      <w:r w:rsidRPr="00590F06">
        <w:t xml:space="preserve">. For example: human resource </w:t>
      </w:r>
      <w:r>
        <w:t>decisions</w:t>
      </w:r>
      <w:r w:rsidRPr="00590F06">
        <w:t xml:space="preserve"> shift from being guided by internally-defined academic criteria</w:t>
      </w:r>
      <w:r>
        <w:t xml:space="preserve"> to being guided by externally-defined criteria, taking a m</w:t>
      </w:r>
      <w:r w:rsidRPr="00590F06">
        <w:t>ore strategic and proactive</w:t>
      </w:r>
      <w:r>
        <w:t xml:space="preserve"> effort to </w:t>
      </w:r>
      <w:r w:rsidRPr="00590F06">
        <w:t>attract</w:t>
      </w:r>
      <w:r>
        <w:t xml:space="preserve"> </w:t>
      </w:r>
      <w:r w:rsidRPr="00590F06">
        <w:t xml:space="preserve">personnel who will improve </w:t>
      </w:r>
      <w:r>
        <w:t>performance on, say, the REF</w:t>
      </w:r>
      <w:r w:rsidRPr="00590F06">
        <w:t xml:space="preserve"> (and excluding staff who will not) </w:t>
      </w:r>
      <w:r w:rsidRPr="00590F06">
        <w:fldChar w:fldCharType="begin">
          <w:fldData xml:space="preserve">PEVuZE5vdGU+PENpdGU+PEF1dGhvcj5TY2hhZmVyPC9BdXRob3I+PFllYXI+MjAxNjwvWWVhcj48
SURUZXh0PlBlcmZvcm1hbmNlIGFzc2Vzc21lbnQgaW4gc2NpZW5jZSBhbmQgYWNhZGVtaWE6IGVm
ZmVjdHMgb2YgdGhlIFJBRS9SRUYgb24gYWNhZGVtaWMgbGlmZS4gV29ya2luZyBwYXBlciBuby4g
NzwvSURUZXh0PjxEaXNwbGF5VGV4dD4oU2NoYWZlciwgMjAxNjsgU3Rlcm4sIDIwMTY7IFdhdGVy
bWV5ZXIgJmFtcDsgT2xzc2VuLCAyMDE2KTwvRGlzcGxheVRleHQ+PHJlY29yZD48dXJscz48cmVs
YXRlZC11cmxzPjx1cmw+aHR0cDovL3d3dy5yZXNlYXJjaGNnaGUub3JnL3B1YmxpY2F0aW9ucy9w
ZXJmb3JtYW5jZS1hc3Nlc3NtZW50LWluLXNjaWVuY2UtYW5kLWFjYWRlbWlhLWVmZmVjdHMtb2Yt
dGhlLXJhZXJlZi1vbi1hY2FkZW1pYy1saWZlLzwvdXJsPjwvcmVsYXRlZC11cmxzPjwvdXJscz48
dGl0bGVzPjx0aXRsZT5QZXJmb3JtYW5jZSBhc3Nlc3NtZW50IGluIHNjaWVuY2UgYW5kIGFjYWRl
bWlhOiBlZmZlY3RzIG9mIHRoZSBSQUUvUkVGIG9uIGFjYWRlbWljIGxpZmUuIFdvcmtpbmcgcGFw
ZXIgbm8uIDc8L3RpdGxlPjwvdGl0bGVzPjxjb250cmlidXRvcnM+PGF1dGhvcnM+PGF1dGhvcj5T
Y2hhZmVyLCBMZW4gT2xlPC9hdXRob3I+PC9hdXRob3JzPjwvY29udHJpYnV0b3JzPjxlZGl0aW9u
PlNlcHRlbWJlciAyMDE2PC9lZGl0aW9uPjxhZGRlZC1kYXRlIGZvcm1hdD0idXRjIj4xNTIyOTM2
MjcyPC9hZGRlZC1kYXRlPjxyZWYtdHlwZSBuYW1lPSJSZXBvcnQiPjI3PC9yZWYtdHlwZT48ZGF0
ZXM+PHllYXI+MjAxNjwveWVhcj48L2RhdGVzPjxyZWMtbnVtYmVyPjc0NTQ8L3JlYy1udW1iZXI+
PHB1Ymxpc2hlcj5DZW50cmUgZm9yIEdsb2JhbCBIaWdoZXIgRWR1Y2F0aW9uPC9wdWJsaXNoZXI+
PGxhc3QtdXBkYXRlZC1kYXRlIGZvcm1hdD0idXRjIj4xNTIyOTM2MjcyPC9sYXN0LXVwZGF0ZWQt
ZGF0ZT48dm9sdW1lPlNlcHRlbWJlciAyMDE2PC92b2x1bWU+PC9yZWNvcmQ+PC9DaXRlPjxDaXRl
PjxBdXRob3I+U3Rlcm48L0F1dGhvcj48WWVhcj4yMDE2PC9ZZWFyPjxJRFRleHQ+QnVpbGRpbmcg
b24gU3VjY2VzcyBhbmQgTGVhcm5pbmcgZnJvbSBFeHBlcmllbmNlOiBBbiBJbmRlcGVuZGVudCBS
ZXZpZXcgb2YgdGhlIFJlc2VhcmNoIEV4Y2VsbGVuY2UgRnJhbWV3b3JrPC9JRFRleHQ+PHJlY29y
ZD48dXJscz48cmVsYXRlZC11cmxzPjx1cmw+aHR0cHM6Ly93d3cuZ292LnVrL2dvdmVybm1lbnQv
dXBsb2Fkcy9zeXN0ZW0vdXBsb2Fkcy9hdHRhY2htZW50X2RhdGEvZmlsZS81NDEzMzgvaW5kLTE2
LTktcmVmLXN0ZXJuLXJldmlldy5wZGY8L3VybD48L3JlbGF0ZWQtdXJscz48L3VybHM+PHRpdGxl
cz48dGl0bGU+QnVpbGRpbmcgb24gU3VjY2VzcyBhbmQgTGVhcm5pbmcgZnJvbSBFeHBlcmllbmNl
OiBBbiBJbmRlcGVuZGVudCBSZXZpZXcgb2YgdGhlIFJlc2VhcmNoIEV4Y2VsbGVuY2UgRnJhbWV3
b3JrPC90aXRsZT48L3RpdGxlcz48YWNjZXNzLWRhdGU+NiBKYW51YXJ5IDIwMTc8L2FjY2Vzcy1k
YXRlPjxjb250cmlidXRvcnM+PGF1dGhvcnM+PGF1dGhvcj5TdGVybiwgTi48L2F1dGhvcj48L2F1
dGhvcnM+PC9jb250cmlidXRvcnM+PGFkZGVkLWRhdGUgZm9ybWF0PSJ1dGMiPjE0ODM3MTgyMjA8
L2FkZGVkLWRhdGU+PHJlZi10eXBlIG5hbWU9IlJlcG9ydCI+Mjc8L3JlZi10eXBlPjxkYXRlcz48
eWVhcj4yMDE2PC95ZWFyPjwvZGF0ZXM+PHJlYy1udW1iZXI+NjQ1MzwvcmVjLW51bWJlcj48bGFz
dC11cGRhdGVkLWRhdGUgZm9ybWF0PSJ1dGMiPjE0ODM3MTk4NDk8L2xhc3QtdXBkYXRlZC1kYXRl
PjwvcmVjb3JkPjwvQ2l0ZT48Q2l0ZT48QXV0aG9yPldhdGVybWV5ZXI8L0F1dGhvcj48WWVhcj4y
MDE2PC9ZZWFyPjxJRFRleHQ+4oCYRXhjZWxsZW5jZeKAmSBhbmQgRXhjbHVzaW9uOiBUaGUgSW5k
aXZpZHVhbCBDb3N0cyBvZiBJbnN0aXR1dGlvbmFsIENvbXBldGl0aXZlbmVzczwvSURUZXh0Pjxy
ZWNvcmQ+PGtleXdvcmRzPjxrZXl3b3JkPkhpZ2hlciBlZHVjYXRpb24gcG9saWN5PC9rZXl3b3Jk
PjxrZXl3b3JkPk5lb2xpYmVyYWxpc208L2tleXdvcmQ+PGtleXdvcmQ+UGVyZm9ybWF0aXZpdHk8
L2tleXdvcmQ+PGtleXdvcmQ+QXVkaXQgY3VsdHVyZXM8L2tleXdvcmQ+PGtleXdvcmQ+QWNhZGVt
aWMgZXhjbHVzaW9uPC9rZXl3b3JkPjwva2V5d29yZHM+PGlzYm4+MDAyNi00Njk1PC9pc2JuPjx0
aXRsZXM+PHRpdGxlPuKAmEV4Y2VsbGVuY2XigJkgYW5kIEV4Y2x1c2lvbjogVGhlIEluZGl2aWR1
YWwgQ29zdHMgb2YgSW5zdGl0dXRpb25hbCBDb21wZXRpdGl2ZW5lc3M8L3RpdGxlPjxzZWNvbmRh
cnktdGl0bGU+QSBSZXZpZXcgb2YgU2NpZW5jZSwgTGVhcm5pbmcgYW5kIFBvbGljeTwvc2Vjb25k
YXJ5LXRpdGxlPjwvdGl0bGVzPjxwYWdlcz4yMDEtMjE4PC9wYWdlcz48bnVtYmVyPjI8L251bWJl
cj48Y29udHJpYnV0b3JzPjxhdXRob3JzPjxhdXRob3I+V2F0ZXJtZXllciwgUmljaGFyZDwvYXV0
aG9yPjxhdXRob3I+T2xzc2VuLCBNYXJrPC9hdXRob3I+PC9hdXRob3JzPjwvY29udHJpYnV0b3Jz
PjxhZGRlZC1kYXRlIGZvcm1hdD0idXRjIj4xNTI5MDE3OTM4PC9hZGRlZC1kYXRlPjxwdWItbG9j
YXRpb24+RG9yZHJlY2h0PC9wdWItbG9jYXRpb24+PHJlZi10eXBlIG5hbWU9IkpvdXJuYWwgQXJ0
aWNsZSI+MTc8L3JlZi10eXBlPjxkYXRlcz48eWVhcj4yMDE2PC95ZWFyPjwvZGF0ZXM+PHJlYy1u
dW1iZXI+NzU1NTwvcmVjLW51bWJlcj48bGFzdC11cGRhdGVkLWRhdGUgZm9ybWF0PSJ1dGMiPjE1
NTkwODExMjc8L2xhc3QtdXBkYXRlZC1kYXRlPjxlbGVjdHJvbmljLXJlc291cmNlLW51bT4xMC4x
MDA3L3MxMTAyNC0wMTYtOTI5OC01PC9lbGVjdHJvbmljLXJlc291cmNlLW51bT48dm9sdW1lPjU0
PC92b2x1bWU+PC9yZWNvcmQ+PC9DaXRlPjwvRW5kTm90ZT5=
</w:fldData>
        </w:fldChar>
      </w:r>
      <w:r w:rsidR="00794385">
        <w:instrText xml:space="preserve"> ADDIN EN.CITE </w:instrText>
      </w:r>
      <w:r w:rsidR="00794385">
        <w:fldChar w:fldCharType="begin">
          <w:fldData xml:space="preserve">PEVuZE5vdGU+PENpdGU+PEF1dGhvcj5TY2hhZmVyPC9BdXRob3I+PFllYXI+MjAxNjwvWWVhcj48
SURUZXh0PlBlcmZvcm1hbmNlIGFzc2Vzc21lbnQgaW4gc2NpZW5jZSBhbmQgYWNhZGVtaWE6IGVm
ZmVjdHMgb2YgdGhlIFJBRS9SRUYgb24gYWNhZGVtaWMgbGlmZS4gV29ya2luZyBwYXBlciBuby4g
NzwvSURUZXh0PjxEaXNwbGF5VGV4dD4oU2NoYWZlciwgMjAxNjsgU3Rlcm4sIDIwMTY7IFdhdGVy
bWV5ZXIgJmFtcDsgT2xzc2VuLCAyMDE2KTwvRGlzcGxheVRleHQ+PHJlY29yZD48dXJscz48cmVs
YXRlZC11cmxzPjx1cmw+aHR0cDovL3d3dy5yZXNlYXJjaGNnaGUub3JnL3B1YmxpY2F0aW9ucy9w
ZXJmb3JtYW5jZS1hc3Nlc3NtZW50LWluLXNjaWVuY2UtYW5kLWFjYWRlbWlhLWVmZmVjdHMtb2Yt
dGhlLXJhZXJlZi1vbi1hY2FkZW1pYy1saWZlLzwvdXJsPjwvcmVsYXRlZC11cmxzPjwvdXJscz48
dGl0bGVzPjx0aXRsZT5QZXJmb3JtYW5jZSBhc3Nlc3NtZW50IGluIHNjaWVuY2UgYW5kIGFjYWRl
bWlhOiBlZmZlY3RzIG9mIHRoZSBSQUUvUkVGIG9uIGFjYWRlbWljIGxpZmUuIFdvcmtpbmcgcGFw
ZXIgbm8uIDc8L3RpdGxlPjwvdGl0bGVzPjxjb250cmlidXRvcnM+PGF1dGhvcnM+PGF1dGhvcj5T
Y2hhZmVyLCBMZW4gT2xlPC9hdXRob3I+PC9hdXRob3JzPjwvY29udHJpYnV0b3JzPjxlZGl0aW9u
PlNlcHRlbWJlciAyMDE2PC9lZGl0aW9uPjxhZGRlZC1kYXRlIGZvcm1hdD0idXRjIj4xNTIyOTM2
MjcyPC9hZGRlZC1kYXRlPjxyZWYtdHlwZSBuYW1lPSJSZXBvcnQiPjI3PC9yZWYtdHlwZT48ZGF0
ZXM+PHllYXI+MjAxNjwveWVhcj48L2RhdGVzPjxyZWMtbnVtYmVyPjc0NTQ8L3JlYy1udW1iZXI+
PHB1Ymxpc2hlcj5DZW50cmUgZm9yIEdsb2JhbCBIaWdoZXIgRWR1Y2F0aW9uPC9wdWJsaXNoZXI+
PGxhc3QtdXBkYXRlZC1kYXRlIGZvcm1hdD0idXRjIj4xNTIyOTM2MjcyPC9sYXN0LXVwZGF0ZWQt
ZGF0ZT48dm9sdW1lPlNlcHRlbWJlciAyMDE2PC92b2x1bWU+PC9yZWNvcmQ+PC9DaXRlPjxDaXRl
PjxBdXRob3I+U3Rlcm48L0F1dGhvcj48WWVhcj4yMDE2PC9ZZWFyPjxJRFRleHQ+QnVpbGRpbmcg
b24gU3VjY2VzcyBhbmQgTGVhcm5pbmcgZnJvbSBFeHBlcmllbmNlOiBBbiBJbmRlcGVuZGVudCBS
ZXZpZXcgb2YgdGhlIFJlc2VhcmNoIEV4Y2VsbGVuY2UgRnJhbWV3b3JrPC9JRFRleHQ+PHJlY29y
ZD48dXJscz48cmVsYXRlZC11cmxzPjx1cmw+aHR0cHM6Ly93d3cuZ292LnVrL2dvdmVybm1lbnQv
dXBsb2Fkcy9zeXN0ZW0vdXBsb2Fkcy9hdHRhY2htZW50X2RhdGEvZmlsZS81NDEzMzgvaW5kLTE2
LTktcmVmLXN0ZXJuLXJldmlldy5wZGY8L3VybD48L3JlbGF0ZWQtdXJscz48L3VybHM+PHRpdGxl
cz48dGl0bGU+QnVpbGRpbmcgb24gU3VjY2VzcyBhbmQgTGVhcm5pbmcgZnJvbSBFeHBlcmllbmNl
OiBBbiBJbmRlcGVuZGVudCBSZXZpZXcgb2YgdGhlIFJlc2VhcmNoIEV4Y2VsbGVuY2UgRnJhbWV3
b3JrPC90aXRsZT48L3RpdGxlcz48YWNjZXNzLWRhdGU+NiBKYW51YXJ5IDIwMTc8L2FjY2Vzcy1k
YXRlPjxjb250cmlidXRvcnM+PGF1dGhvcnM+PGF1dGhvcj5TdGVybiwgTi48L2F1dGhvcj48L2F1
dGhvcnM+PC9jb250cmlidXRvcnM+PGFkZGVkLWRhdGUgZm9ybWF0PSJ1dGMiPjE0ODM3MTgyMjA8
L2FkZGVkLWRhdGU+PHJlZi10eXBlIG5hbWU9IlJlcG9ydCI+Mjc8L3JlZi10eXBlPjxkYXRlcz48
eWVhcj4yMDE2PC95ZWFyPjwvZGF0ZXM+PHJlYy1udW1iZXI+NjQ1MzwvcmVjLW51bWJlcj48bGFz
dC11cGRhdGVkLWRhdGUgZm9ybWF0PSJ1dGMiPjE0ODM3MTk4NDk8L2xhc3QtdXBkYXRlZC1kYXRl
PjwvcmVjb3JkPjwvQ2l0ZT48Q2l0ZT48QXV0aG9yPldhdGVybWV5ZXI8L0F1dGhvcj48WWVhcj4y
MDE2PC9ZZWFyPjxJRFRleHQ+4oCYRXhjZWxsZW5jZeKAmSBhbmQgRXhjbHVzaW9uOiBUaGUgSW5k
aXZpZHVhbCBDb3N0cyBvZiBJbnN0aXR1dGlvbmFsIENvbXBldGl0aXZlbmVzczwvSURUZXh0Pjxy
ZWNvcmQ+PGtleXdvcmRzPjxrZXl3b3JkPkhpZ2hlciBlZHVjYXRpb24gcG9saWN5PC9rZXl3b3Jk
PjxrZXl3b3JkPk5lb2xpYmVyYWxpc208L2tleXdvcmQ+PGtleXdvcmQ+UGVyZm9ybWF0aXZpdHk8
L2tleXdvcmQ+PGtleXdvcmQ+QXVkaXQgY3VsdHVyZXM8L2tleXdvcmQ+PGtleXdvcmQ+QWNhZGVt
aWMgZXhjbHVzaW9uPC9rZXl3b3JkPjwva2V5d29yZHM+PGlzYm4+MDAyNi00Njk1PC9pc2JuPjx0
aXRsZXM+PHRpdGxlPuKAmEV4Y2VsbGVuY2XigJkgYW5kIEV4Y2x1c2lvbjogVGhlIEluZGl2aWR1
YWwgQ29zdHMgb2YgSW5zdGl0dXRpb25hbCBDb21wZXRpdGl2ZW5lc3M8L3RpdGxlPjxzZWNvbmRh
cnktdGl0bGU+QSBSZXZpZXcgb2YgU2NpZW5jZSwgTGVhcm5pbmcgYW5kIFBvbGljeTwvc2Vjb25k
YXJ5LXRpdGxlPjwvdGl0bGVzPjxwYWdlcz4yMDEtMjE4PC9wYWdlcz48bnVtYmVyPjI8L251bWJl
cj48Y29udHJpYnV0b3JzPjxhdXRob3JzPjxhdXRob3I+V2F0ZXJtZXllciwgUmljaGFyZDwvYXV0
aG9yPjxhdXRob3I+T2xzc2VuLCBNYXJrPC9hdXRob3I+PC9hdXRob3JzPjwvY29udHJpYnV0b3Jz
PjxhZGRlZC1kYXRlIGZvcm1hdD0idXRjIj4xNTI5MDE3OTM4PC9hZGRlZC1kYXRlPjxwdWItbG9j
YXRpb24+RG9yZHJlY2h0PC9wdWItbG9jYXRpb24+PHJlZi10eXBlIG5hbWU9IkpvdXJuYWwgQXJ0
aWNsZSI+MTc8L3JlZi10eXBlPjxkYXRlcz48eWVhcj4yMDE2PC95ZWFyPjwvZGF0ZXM+PHJlYy1u
dW1iZXI+NzU1NTwvcmVjLW51bWJlcj48bGFzdC11cGRhdGVkLWRhdGUgZm9ybWF0PSJ1dGMiPjE1
NTkwODExMjc8L2xhc3QtdXBkYXRlZC1kYXRlPjxlbGVjdHJvbmljLXJlc291cmNlLW51bT4xMC4x
MDA3L3MxMTAyNC0wMTYtOTI5OC01PC9lbGVjdHJvbmljLXJlc291cmNlLW51bT48dm9sdW1lPjU0
PC92b2x1bWU+PC9yZWNvcmQ+PC9DaXRlPjwvRW5kTm90ZT5=
</w:fldData>
        </w:fldChar>
      </w:r>
      <w:r w:rsidR="00794385">
        <w:instrText xml:space="preserve"> ADDIN EN.CITE.DATA </w:instrText>
      </w:r>
      <w:r w:rsidR="00794385">
        <w:fldChar w:fldCharType="end"/>
      </w:r>
      <w:r w:rsidRPr="00590F06">
        <w:fldChar w:fldCharType="separate"/>
      </w:r>
      <w:r w:rsidR="00794385">
        <w:rPr>
          <w:noProof/>
        </w:rPr>
        <w:t>(Schafer, 2016; Stern, 2016; Watermeyer &amp; Olssen, 2016)</w:t>
      </w:r>
      <w:r w:rsidRPr="00590F06">
        <w:fldChar w:fldCharType="end"/>
      </w:r>
      <w:r w:rsidRPr="00590F06">
        <w:t xml:space="preserve">; </w:t>
      </w:r>
      <w:r>
        <w:t>institutions experiment with organisational</w:t>
      </w:r>
      <w:r w:rsidRPr="00590F06">
        <w:t xml:space="preserve"> innovation</w:t>
      </w:r>
      <w:r>
        <w:t>s</w:t>
      </w:r>
      <w:r w:rsidRPr="00590F06">
        <w:t xml:space="preserve"> such as the integration of sub-disciplinary research groups into interdisciplinary</w:t>
      </w:r>
      <w:r>
        <w:t>,</w:t>
      </w:r>
      <w:r w:rsidRPr="00590F06">
        <w:t xml:space="preserve"> problem-oriented research centres </w:t>
      </w:r>
      <w:r w:rsidRPr="00590F06">
        <w:fldChar w:fldCharType="begin">
          <w:fldData xml:space="preserve">PEVuZE5vdGU+PENpdGU+PEF1dGhvcj5Vbml2ZXJzaXR5IENvbGxlZ2UgTG9uZG9uPC9BdXRob3I+
PFllYXI+bi5kLjwvWWVhcj48SURUZXh0PlRoZSBVQ0wgR3JhbmQgQ2hhbGxlbmdlcyBhcHByb2Fj
aDwvSURUZXh0PjxEaXNwbGF5VGV4dD4oQi4gUi4gQ2xhcmssIDIwMDRhOyBQb25vbWFyaW92ICZh
bXA7IEJvYXJkbWFuLCAyMDEwOyBVbml2ZXJzaXR5IENvbGxlZ2UgTG9uZG9uLCBuLmQuKTwvRGlz
cGxheVRleHQ+PHJlY29yZD48dXJscz48cmVsYXRlZC11cmxzPjx1cmw+aHR0cHM6Ly93d3cudWNs
LmFjLnVrL2dyYW5kLWNoYWxsZW5nZXMvdGhlLWdyYW5kLWNoYWxsZW5nZXMtYXBwcm9hY2g8L3Vy
bD48L3JlbGF0ZWQtdXJscz48L3VybHM+PHRpdGxlcz48dGl0bGU+VGhlIFVDTCBHcmFuZCBDaGFs
bGVuZ2VzIGFwcHJvYWNoPC90aXRsZT48dGVydGlhcnktdGl0bGU+VUNMPC90ZXJ0aWFyeS10aXRs
ZT48L3RpdGxlcz48YWNjZXNzLWRhdGU+NiBKYW51YXJ5IDIwMTc8L2FjY2Vzcy1kYXRlPjxjb250
cmlidXRvcnM+PGF1dGhvcnM+PGF1dGhvcj5Vbml2ZXJzaXR5IENvbGxlZ2UgTG9uZG9uLDwvYXV0
aG9yPjwvYXV0aG9ycz48L2NvbnRyaWJ1dG9ycz48YWRkZWQtZGF0ZSBmb3JtYXQ9InV0YyI+MTQ4
MzcyMjYxNjwvYWRkZWQtZGF0ZT48cmVmLXR5cGUgbmFtZT0iQmxvZyI+NTY8L3JlZi10eXBlPjxk
YXRlcz48eWVhcj5uLmQuPC95ZWFyPjwvZGF0ZXM+PHJlYy1udW1iZXI+NjQ1NTwvcmVjLW51bWJl
cj48bGFzdC11cGRhdGVkLWRhdGUgZm9ybWF0PSJ1dGMiPjE0ODM3MjI5Mjg8L2xhc3QtdXBkYXRl
ZC1kYXRlPjx2b2x1bWU+MjAxNzwvdm9sdW1lPjwvcmVjb3JkPjwvQ2l0ZT48Q2l0ZT48QXV0aG9y
PkNsYXJrPC9BdXRob3I+PFllYXI+MjAwNDwvWWVhcj48SURUZXh0PkRlbGluZWF0aW5nIHRoZSBD
aGFyYWN0ZXIgb2YgdGhlIEVudHJlcHJlbmV1cmlhbCBVbml2ZXJzaXR5PC9JRFRleHQ+PHJlY29y
ZD48aXNibj4wOTUyLTg3MzM8L2lzYm4+PHRpdGxlcz48dGl0bGU+RGVsaW5lYXRpbmcgdGhlIENo
YXJhY3RlciBvZiB0aGUgRW50cmVwcmVuZXVyaWFsIFVuaXZlcnNpdHk8L3RpdGxlPjxzZWNvbmRh
cnktdGl0bGU+SGlnaGVyIEVkdWNhdGlvbiBQb2xpY3k8L3NlY29uZGFyeS10aXRsZT48L3RpdGxl
cz48cGFnZXM+MzU1PC9wYWdlcz48bnVtYmVyPjQ8L251bWJlcj48Y29udHJpYnV0b3JzPjxhdXRo
b3JzPjxhdXRob3I+Q2xhcmssIEJ1cnRvbiBSLjwvYXV0aG9yPjwvYXV0aG9ycz48L2NvbnRyaWJ1
dG9ycz48YWRkZWQtZGF0ZSBmb3JtYXQ9InV0YyI+MTQ1ODEzOTgwNDwvYWRkZWQtZGF0ZT48cmVm
LXR5cGUgbmFtZT0iSm91cm5hbCBBcnRpY2xlIj4xNzwvcmVmLXR5cGU+PGRhdGVzPjx5ZWFyPjIw
MDQ8L3llYXI+PC9kYXRlcz48cmVjLW51bWJlcj4yOTc8L3JlYy1udW1iZXI+PGxhc3QtdXBkYXRl
ZC1kYXRlIGZvcm1hdD0idXRjIj4xNDY5MjE1NDY4PC9sYXN0LXVwZGF0ZWQtZGF0ZT48ZWxlY3Ry
b25pYy1yZXNvdXJjZS1udW0+MTAuMTA1Ny9wYWxncmF2ZS5oZXAuODMwMDA2MjwvZWxlY3Ryb25p
Yy1yZXNvdXJjZS1udW0+PHZvbHVtZT4xNzwvdm9sdW1lPjwvcmVjb3JkPjwvQ2l0ZT48Q2l0ZT48
QXV0aG9yPlBvbm9tYXJpb3Y8L0F1dGhvcj48WWVhcj4yMDEwPC9ZZWFyPjxJRFRleHQ+SW5mbHVl
bmNpbmcgc2NpZW50aXN0cyZhcG9zOyBjb2xsYWJvcmF0aW9uIGFuZCBwcm9kdWN0aXZpdHkgcGF0
dGVybnMgdGhyb3VnaCBuZXcgaW5zdGl0dXRpb25zOiBVbml2ZXJzaXR5IHJlc2VhcmNoIGNlbnRl
cnMgYW5kIHNjaWVudGlmaWMgYW5kIHRlY2huaWNhbCBodW1hbiBjYXBpdGFsPC9JRFRleHQ+PHJl
Y29yZD48dXJscz48cmVsYXRlZC11cmxzPjx1cmw+aHR0cHM6Ly93d3cuc2NvcHVzLmNvbS9pbndh
cmQvcmVjb3JkLnVyaT9laWQ9Mi1zMi4wLTc3OTUxMjA3NzIwJmFtcDtwYXJ0bmVySUQ9NDAmYW1w
O21kNT1jYjEwOTQzYjk2M2ExODE2YjdlNGEzNmU2ZGNjM2QwNTwvdXJsPjwvcmVsYXRlZC11cmxz
PjwvdXJscz48d29yay10eXBlPkFydGljbGU8L3dvcmstdHlwZT48dGl0bGVzPjx0aXRsZT5JbmZs
dWVuY2luZyBzY2llbnRpc3RzJmFwb3M7IGNvbGxhYm9yYXRpb24gYW5kIHByb2R1Y3Rpdml0eSBw
YXR0ZXJucyB0aHJvdWdoIG5ldyBpbnN0aXR1dGlvbnM6IFVuaXZlcnNpdHkgcmVzZWFyY2ggY2Vu
dGVycyBhbmQgc2NpZW50aWZpYyBhbmQgdGVjaG5pY2FsIGh1bWFuIGNhcGl0YWw8L3RpdGxlPjxz
ZWNvbmRhcnktdGl0bGU+UmVzZWFyY2ggUG9saWN5PC9zZWNvbmRhcnktdGl0bGU+PC90aXRsZXM+
PHBhZ2VzPjYxMy02MjQ8L3BhZ2VzPjxudW1iZXI+NTwvbnVtYmVyPjxjb250cmlidXRvcnM+PGF1
dGhvcnM+PGF1dGhvcj5Qb25vbWFyaW92LCBCLjwvYXV0aG9yPjxhdXRob3I+Qm9hcmRtYW4sIEMu
PC9hdXRob3I+PC9hdXRob3JzPjwvY29udHJpYnV0b3JzPjxhZGRlZC1kYXRlIGZvcm1hdD0idXRj
Ij4xNDczNzMzMTY4PC9hZGRlZC1kYXRlPjxyZWYtdHlwZSBuYW1lPSJKb3VybmFsIEFydGljbGUi
PjE3PC9yZWYtdHlwZT48ZGF0ZXM+PHllYXI+MjAxMDwveWVhcj48L2RhdGVzPjxyZWMtbnVtYmVy
PjU0MzM8L3JlYy1udW1iZXI+PGxhc3QtdXBkYXRlZC1kYXRlIGZvcm1hdD0idXRjIj4xNTU5MDc3
NjU0PC9sYXN0LXVwZGF0ZWQtZGF0ZT48ZWxlY3Ryb25pYy1yZXNvdXJjZS1udW0+MTAuMTAxNi9q
LnJlc3BvbC4yMDEwLjAyLjAxMzwvZWxlY3Ryb25pYy1yZXNvdXJjZS1udW0+PHZvbHVtZT4zOTwv
dm9sdW1lPjxyZW1vdGUtZGF0YWJhc2UtbmFtZT5TY29wdXM8L3JlbW90ZS1kYXRhYmFzZS1uYW1l
PjwvcmVjb3JkPjwvQ2l0ZT48L0VuZE5vdGU+
</w:fldData>
        </w:fldChar>
      </w:r>
      <w:r w:rsidR="003A0D1B">
        <w:instrText xml:space="preserve"> ADDIN EN.CITE </w:instrText>
      </w:r>
      <w:r w:rsidR="003A0D1B">
        <w:fldChar w:fldCharType="begin">
          <w:fldData xml:space="preserve">PEVuZE5vdGU+PENpdGU+PEF1dGhvcj5Vbml2ZXJzaXR5IENvbGxlZ2UgTG9uZG9uPC9BdXRob3I+
PFllYXI+bi5kLjwvWWVhcj48SURUZXh0PlRoZSBVQ0wgR3JhbmQgQ2hhbGxlbmdlcyBhcHByb2Fj
aDwvSURUZXh0PjxEaXNwbGF5VGV4dD4oQi4gUi4gQ2xhcmssIDIwMDRhOyBQb25vbWFyaW92ICZh
bXA7IEJvYXJkbWFuLCAyMDEwOyBVbml2ZXJzaXR5IENvbGxlZ2UgTG9uZG9uLCBuLmQuKTwvRGlz
cGxheVRleHQ+PHJlY29yZD48dXJscz48cmVsYXRlZC11cmxzPjx1cmw+aHR0cHM6Ly93d3cudWNs
LmFjLnVrL2dyYW5kLWNoYWxsZW5nZXMvdGhlLWdyYW5kLWNoYWxsZW5nZXMtYXBwcm9hY2g8L3Vy
bD48L3JlbGF0ZWQtdXJscz48L3VybHM+PHRpdGxlcz48dGl0bGU+VGhlIFVDTCBHcmFuZCBDaGFs
bGVuZ2VzIGFwcHJvYWNoPC90aXRsZT48dGVydGlhcnktdGl0bGU+VUNMPC90ZXJ0aWFyeS10aXRs
ZT48L3RpdGxlcz48YWNjZXNzLWRhdGU+NiBKYW51YXJ5IDIwMTc8L2FjY2Vzcy1kYXRlPjxjb250
cmlidXRvcnM+PGF1dGhvcnM+PGF1dGhvcj5Vbml2ZXJzaXR5IENvbGxlZ2UgTG9uZG9uLDwvYXV0
aG9yPjwvYXV0aG9ycz48L2NvbnRyaWJ1dG9ycz48YWRkZWQtZGF0ZSBmb3JtYXQ9InV0YyI+MTQ4
MzcyMjYxNjwvYWRkZWQtZGF0ZT48cmVmLXR5cGUgbmFtZT0iQmxvZyI+NTY8L3JlZi10eXBlPjxk
YXRlcz48eWVhcj5uLmQuPC95ZWFyPjwvZGF0ZXM+PHJlYy1udW1iZXI+NjQ1NTwvcmVjLW51bWJl
cj48bGFzdC11cGRhdGVkLWRhdGUgZm9ybWF0PSJ1dGMiPjE0ODM3MjI5Mjg8L2xhc3QtdXBkYXRl
ZC1kYXRlPjx2b2x1bWU+MjAxNzwvdm9sdW1lPjwvcmVjb3JkPjwvQ2l0ZT48Q2l0ZT48QXV0aG9y
PkNsYXJrPC9BdXRob3I+PFllYXI+MjAwNDwvWWVhcj48SURUZXh0PkRlbGluZWF0aW5nIHRoZSBD
aGFyYWN0ZXIgb2YgdGhlIEVudHJlcHJlbmV1cmlhbCBVbml2ZXJzaXR5PC9JRFRleHQ+PHJlY29y
ZD48aXNibj4wOTUyLTg3MzM8L2lzYm4+PHRpdGxlcz48dGl0bGU+RGVsaW5lYXRpbmcgdGhlIENo
YXJhY3RlciBvZiB0aGUgRW50cmVwcmVuZXVyaWFsIFVuaXZlcnNpdHk8L3RpdGxlPjxzZWNvbmRh
cnktdGl0bGU+SGlnaGVyIEVkdWNhdGlvbiBQb2xpY3k8L3NlY29uZGFyeS10aXRsZT48L3RpdGxl
cz48cGFnZXM+MzU1PC9wYWdlcz48bnVtYmVyPjQ8L251bWJlcj48Y29udHJpYnV0b3JzPjxhdXRo
b3JzPjxhdXRob3I+Q2xhcmssIEJ1cnRvbiBSLjwvYXV0aG9yPjwvYXV0aG9ycz48L2NvbnRyaWJ1
dG9ycz48YWRkZWQtZGF0ZSBmb3JtYXQ9InV0YyI+MTQ1ODEzOTgwNDwvYWRkZWQtZGF0ZT48cmVm
LXR5cGUgbmFtZT0iSm91cm5hbCBBcnRpY2xlIj4xNzwvcmVmLXR5cGU+PGRhdGVzPjx5ZWFyPjIw
MDQ8L3llYXI+PC9kYXRlcz48cmVjLW51bWJlcj4yOTc8L3JlYy1udW1iZXI+PGxhc3QtdXBkYXRl
ZC1kYXRlIGZvcm1hdD0idXRjIj4xNDY5MjE1NDY4PC9sYXN0LXVwZGF0ZWQtZGF0ZT48ZWxlY3Ry
b25pYy1yZXNvdXJjZS1udW0+MTAuMTA1Ny9wYWxncmF2ZS5oZXAuODMwMDA2MjwvZWxlY3Ryb25p
Yy1yZXNvdXJjZS1udW0+PHZvbHVtZT4xNzwvdm9sdW1lPjwvcmVjb3JkPjwvQ2l0ZT48Q2l0ZT48
QXV0aG9yPlBvbm9tYXJpb3Y8L0F1dGhvcj48WWVhcj4yMDEwPC9ZZWFyPjxJRFRleHQ+SW5mbHVl
bmNpbmcgc2NpZW50aXN0cyZhcG9zOyBjb2xsYWJvcmF0aW9uIGFuZCBwcm9kdWN0aXZpdHkgcGF0
dGVybnMgdGhyb3VnaCBuZXcgaW5zdGl0dXRpb25zOiBVbml2ZXJzaXR5IHJlc2VhcmNoIGNlbnRl
cnMgYW5kIHNjaWVudGlmaWMgYW5kIHRlY2huaWNhbCBodW1hbiBjYXBpdGFsPC9JRFRleHQ+PHJl
Y29yZD48dXJscz48cmVsYXRlZC11cmxzPjx1cmw+aHR0cHM6Ly93d3cuc2NvcHVzLmNvbS9pbndh
cmQvcmVjb3JkLnVyaT9laWQ9Mi1zMi4wLTc3OTUxMjA3NzIwJmFtcDtwYXJ0bmVySUQ9NDAmYW1w
O21kNT1jYjEwOTQzYjk2M2ExODE2YjdlNGEzNmU2ZGNjM2QwNTwvdXJsPjwvcmVsYXRlZC11cmxz
PjwvdXJscz48d29yay10eXBlPkFydGljbGU8L3dvcmstdHlwZT48dGl0bGVzPjx0aXRsZT5JbmZs
dWVuY2luZyBzY2llbnRpc3RzJmFwb3M7IGNvbGxhYm9yYXRpb24gYW5kIHByb2R1Y3Rpdml0eSBw
YXR0ZXJucyB0aHJvdWdoIG5ldyBpbnN0aXR1dGlvbnM6IFVuaXZlcnNpdHkgcmVzZWFyY2ggY2Vu
dGVycyBhbmQgc2NpZW50aWZpYyBhbmQgdGVjaG5pY2FsIGh1bWFuIGNhcGl0YWw8L3RpdGxlPjxz
ZWNvbmRhcnktdGl0bGU+UmVzZWFyY2ggUG9saWN5PC9zZWNvbmRhcnktdGl0bGU+PC90aXRsZXM+
PHBhZ2VzPjYxMy02MjQ8L3BhZ2VzPjxudW1iZXI+NTwvbnVtYmVyPjxjb250cmlidXRvcnM+PGF1
dGhvcnM+PGF1dGhvcj5Qb25vbWFyaW92LCBCLjwvYXV0aG9yPjxhdXRob3I+Qm9hcmRtYW4sIEMu
PC9hdXRob3I+PC9hdXRob3JzPjwvY29udHJpYnV0b3JzPjxhZGRlZC1kYXRlIGZvcm1hdD0idXRj
Ij4xNDczNzMzMTY4PC9hZGRlZC1kYXRlPjxyZWYtdHlwZSBuYW1lPSJKb3VybmFsIEFydGljbGUi
PjE3PC9yZWYtdHlwZT48ZGF0ZXM+PHllYXI+MjAxMDwveWVhcj48L2RhdGVzPjxyZWMtbnVtYmVy
PjU0MzM8L3JlYy1udW1iZXI+PGxhc3QtdXBkYXRlZC1kYXRlIGZvcm1hdD0idXRjIj4xNTU5MDc3
NjU0PC9sYXN0LXVwZGF0ZWQtZGF0ZT48ZWxlY3Ryb25pYy1yZXNvdXJjZS1udW0+MTAuMTAxNi9q
LnJlc3BvbC4yMDEwLjAyLjAxMzwvZWxlY3Ryb25pYy1yZXNvdXJjZS1udW0+PHZvbHVtZT4zOTwv
dm9sdW1lPjxyZW1vdGUtZGF0YWJhc2UtbmFtZT5TY29wdXM8L3JlbW90ZS1kYXRhYmFzZS1uYW1l
PjwvcmVjb3JkPjwvQ2l0ZT48L0VuZE5vdGU+
</w:fldData>
        </w:fldChar>
      </w:r>
      <w:r w:rsidR="003A0D1B">
        <w:instrText xml:space="preserve"> ADDIN EN.CITE.DATA </w:instrText>
      </w:r>
      <w:r w:rsidR="003A0D1B">
        <w:fldChar w:fldCharType="end"/>
      </w:r>
      <w:r w:rsidRPr="00590F06">
        <w:fldChar w:fldCharType="separate"/>
      </w:r>
      <w:r w:rsidR="003A0D1B">
        <w:rPr>
          <w:noProof/>
        </w:rPr>
        <w:t>(B. R. Clark, 2004a; Ponomariov &amp; Boardman, 2010; University College London, n.d.)</w:t>
      </w:r>
      <w:r w:rsidRPr="00590F06">
        <w:fldChar w:fldCharType="end"/>
      </w:r>
      <w:r w:rsidRPr="00590F06">
        <w:t xml:space="preserve">; universities </w:t>
      </w:r>
      <w:r>
        <w:t xml:space="preserve">seek new sources of revenue and prestige or ‘scholarly distinction’ </w:t>
      </w:r>
      <w:r>
        <w:fldChar w:fldCharType="begin"/>
      </w:r>
      <w:r>
        <w:instrText xml:space="preserve"> ADDIN EN.CITE &lt;EndNote&gt;&lt;Cite&gt;&lt;Author&gt;Watermeyer&lt;/Author&gt;&lt;Year&gt;2018&lt;/Year&gt;&lt;IDText&gt;Evaluating ‘impact’ in the UK’s Research Excellence Framework (REF): liminality, looseness and new modalities of scholarly distinction&lt;/IDText&gt;&lt;DisplayText&gt;(Watermeyer &amp;amp; Chubb, 2018)&lt;/DisplayText&gt;&lt;record&gt;&lt;keywords&gt;&lt;keyword&gt;Article&lt;/keyword&gt;&lt;keyword&gt;Research Funding And Evaluation&lt;/keyword&gt;&lt;keyword&gt;Research Policy&lt;/keyword&gt;&lt;keyword&gt;Research Impact&lt;/keyword&gt;&lt;keyword&gt;Accountability&lt;/keyword&gt;&lt;keyword&gt;Research Excellence&lt;/keyword&gt;&lt;/keywords&gt;&lt;isbn&gt;0307-5079&lt;/isbn&gt;&lt;titles&gt;&lt;title&gt;Evaluating ‘impact’ in the UK’s Research Excellence Framework (REF): liminality, looseness and new modalities of scholarly distinction&lt;/title&gt;&lt;secondary-title&gt;Studies in Higher Education&lt;/secondary-title&gt;&lt;/titles&gt;&lt;pages&gt;1-13&lt;/pages&gt;&lt;contributors&gt;&lt;authors&gt;&lt;author&gt;Watermeyer, Richard&lt;/author&gt;&lt;author&gt;Chubb, Jennifer&lt;/author&gt;&lt;/authors&gt;&lt;/contributors&gt;&lt;added-date format="utc"&gt;1530882295&lt;/added-date&gt;&lt;ref-type name="Journal Article"&gt;17&lt;/ref-type&gt;&lt;dates&gt;&lt;year&gt;2018&lt;/year&gt;&lt;/dates&gt;&lt;rec-number&gt;7603&lt;/rec-number&gt;&lt;publisher&gt;Routledge&lt;/publisher&gt;&lt;last-updated-date format="utc"&gt;1530882295&lt;/last-updated-date&gt;&lt;electronic-resource-num&gt;10.1080/03075079.2018.1455082&lt;/electronic-resource-num&gt;&lt;/record&gt;&lt;/Cite&gt;&lt;/EndNote&gt;</w:instrText>
      </w:r>
      <w:r>
        <w:fldChar w:fldCharType="separate"/>
      </w:r>
      <w:r>
        <w:rPr>
          <w:noProof/>
        </w:rPr>
        <w:t>(Watermeyer &amp; Chubb, 2018)</w:t>
      </w:r>
      <w:r>
        <w:fldChar w:fldCharType="end"/>
      </w:r>
      <w:r>
        <w:t xml:space="preserve"> through ‘impact’,</w:t>
      </w:r>
      <w:r w:rsidRPr="00590F06">
        <w:t xml:space="preserve"> knowledge transfer and commercialisation</w:t>
      </w:r>
      <w:r>
        <w:t xml:space="preserve"> </w:t>
      </w:r>
      <w:r w:rsidRPr="00590F06">
        <w:t xml:space="preserve">with the support of technology transfer offices </w:t>
      </w:r>
      <w:r w:rsidRPr="00590F06">
        <w:fldChar w:fldCharType="begin">
          <w:fldData xml:space="preserve">PEVuZE5vdGU+PENpdGU+PEF1dGhvcj5TbGF1Z2h0ZXI8L0F1dGhvcj48WWVhcj4yMDEwPC9ZZWFy
PjxJRFRleHQ+QWNhZGVtaWMgY2FwaXRhbGlzbSBhbmQgdGhlIG5ldyBlY29ub215OiBtYXJrZXRz
LCBzdGF0ZSwgYW5kIGhpZ2hlciBlZHVjYXRpb248L0lEVGV4dD48RGlzcGxheVRleHQ+KEV0emtv
d2l0eiwgMTk4MzsgR2xlbm5hLCBMYWN5LCBXZWxzaCwgJmFtcDsgQmlzY290dGksIDIwMDc7IFNs
YXVnaHRlciAmYW1wOyBSaG9hZGVzLCAyMDEwKTwvRGlzcGxheVRleHQ+PHJlY29yZD48a2V5d29y
ZHM+PGtleXdvcmQ+RWR1Y2F0aW9uLCBIaWdoZXIgLS0gRWNvbm9taWMgYXNwZWN0cyAtLSBVbml0
ZWQgU3RhdGVzPC9rZXl3b3JkPjxrZXl3b3JkPkJ1c2luZXNzIGFuZCBlZHVjYXRpb24gLS0gVW5p
dGVkIFN0YXRlczwva2V5d29yZD48a2V5d29yZD5Vbml2ZXJzaXRpZXMgYW5kIGNvbGxlZ2VzIC0t
IFVuaXRlZCBTdGF0ZXMgLS0gU29jaW9sb2dpY2FsIGFzcGVjdHM8L2tleXdvcmQ+PC9rZXl3b3Jk
cz48dGl0bGVzPjx0aXRsZT5BY2FkZW1pYyBjYXBpdGFsaXNtIGFuZCB0aGUgbmV3IGVjb25vbXk6
IG1hcmtldHMsIHN0YXRlLCBhbmQgaGlnaGVyIGVkdWNhdGlvbjwvdGl0bGU+PC90aXRsZXM+PGNv
bnRyaWJ1dG9ycz48YXV0aG9ycz48YXV0aG9yPlNsYXVnaHRlciwgU2hlaWxhPC9hdXRob3I+PGF1
dGhvcj5SaG9hZGVzLCBHYXJ5PC9hdXRob3I+PC9hdXRob3JzPjwvY29udHJpYnV0b3JzPjxhZGRl
ZC1kYXRlIGZvcm1hdD0idXRjIj4xNDYzMDY0OTkxPC9hZGRlZC1kYXRlPjxwdWItbG9jYXRpb24+
QmFsdGltb3JlLCBNRDwvcHViLWxvY2F0aW9uPjxyZWYtdHlwZSBuYW1lPSJCb29rIj42PC9yZWYt
dHlwZT48ZGF0ZXM+PHllYXI+MjAxMDwveWVhcj48L2RhdGVzPjxyZWMtbnVtYmVyPjM4MzwvcmVj
LW51bWJlcj48cHVibGlzaGVyPkpvaG5zIEhvcGtpbnMgVW5pdmVyc2l0eSBQcmVzczwvcHVibGlz
aGVyPjxsYXN0LXVwZGF0ZWQtZGF0ZSBmb3JtYXQ9InV0YyI+MTQ3Nzc2NzY2MzwvbGFzdC11cGRh
dGVkLWRhdGU+PC9yZWNvcmQ+PC9DaXRlPjxDaXRlPjxBdXRob3I+R2xlbm5hPC9BdXRob3I+PFll
YXI+MjAwNzwvWWVhcj48SURUZXh0PlVuaXZlcnNpdHkgYWRtaW5pc3RyYXRvcnMsIGFncmljdWx0
dXJhbCBiaW90ZWNobm9sb2d5LCBhbmQgYWNhZGVtaWMgY2FwaXRhbGlzbTogRGVmaW5pbmcgdGhl
IHB1YmxpYyBnb29kIHRvIHByb21vdGUgdW5pdmVyc2l0eS1pbmR1c3RyeSByZWxhdGlvbnNoaXBz
PC9JRFRleHQ+PHJlY29yZD48dXJscz48cmVsYXRlZC11cmxzPjx1cmw+aHR0cHM6Ly93d3cuc2Nv
cHVzLmNvbS9pbndhcmQvcmVjb3JkLnVyaT9laWQ9Mi1zMi4wLTMzODQ2MjE1NTczJmFtcDtwYXJ0
bmVySUQ9NDAmYW1wO21kNT04ZmZjY2YyMWVjZDNmYzhlMGEyMjdiZmE5Zjk2YjJmMTwvdXJsPjwv
cmVsYXRlZC11cmxzPjwvdXJscz48d29yay10eXBlPkFydGljbGU8L3dvcmstdHlwZT48dGl0bGVz
Pjx0aXRsZT5Vbml2ZXJzaXR5IGFkbWluaXN0cmF0b3JzLCBhZ3JpY3VsdHVyYWwgYmlvdGVjaG5v
bG9neSwgYW5kIGFjYWRlbWljIGNhcGl0YWxpc206IERlZmluaW5nIHRoZSBwdWJsaWMgZ29vZCB0
byBwcm9tb3RlIHVuaXZlcnNpdHktaW5kdXN0cnkgcmVsYXRpb25zaGlwczwvdGl0bGU+PHNlY29u
ZGFyeS10aXRsZT5Tb2Npb2xvZ2ljYWwgUXVhcnRlcmx5PC9zZWNvbmRhcnktdGl0bGU+PC90aXRs
ZXM+PHBhZ2VzPjE0MS0xNjM8L3BhZ2VzPjxudW1iZXI+MTwvbnVtYmVyPjxjb250cmlidXRvcnM+
PGF1dGhvcnM+PGF1dGhvcj5HbGVubmEsIEwuIEwuPC9hdXRob3I+PGF1dGhvcj5MYWN5LCBXLiBC
LjwvYXV0aG9yPjxhdXRob3I+V2Vsc2gsIFIuPC9hdXRob3I+PGF1dGhvcj5CaXNjb3R0aSwgRC48
L2F1dGhvcj48L2F1dGhvcnM+PC9jb250cmlidXRvcnM+PGFkZGVkLWRhdGUgZm9ybWF0PSJ1dGMi
PjE0NzM3MDQ4MzU8L2FkZGVkLWRhdGU+PHJlZi10eXBlIG5hbWU9IkpvdXJuYWwgQXJ0aWNsZSI+
MTc8L3JlZi10eXBlPjxkYXRlcz48eWVhcj4yMDA3PC95ZWFyPjwvZGF0ZXM+PHJlYy1udW1iZXI+
MzI4MDwvcmVjLW51bWJlcj48bGFzdC11cGRhdGVkLWRhdGUgZm9ybWF0PSJ1dGMiPjE0NzM3MDQ4
MzU8L2xhc3QtdXBkYXRlZC1kYXRlPjxlbGVjdHJvbmljLXJlc291cmNlLW51bT4xMC4xMTExL2ou
MTUzMy04NTI1LjIwMDcuMDAwNzQueDwvZWxlY3Ryb25pYy1yZXNvdXJjZS1udW0+PHZvbHVtZT40
ODwvdm9sdW1lPjxyZW1vdGUtZGF0YWJhc2UtbmFtZT5TY29wdXM8L3JlbW90ZS1kYXRhYmFzZS1u
YW1lPjwvcmVjb3JkPjwvQ2l0ZT48Q2l0ZT48QXV0aG9yPkV0emtvd2l0ejwvQXV0aG9yPjxZZWFy
PjE5ODM8L1llYXI+PElEVGV4dD5FbnRyZXByZW5ldXJpYWwgc2NpZW50aXN0cyBhbmQgZW50cmVw
cmVuZXVyaWFsIHVuaXZlcnNpdGllcyBpbiBBbWVyaWNhbiBhY2FkZW1pYyBzY2llbmNlPC9JRFRl
eHQ+PHJlY29yZD48a2V5d29yZHM+PGtleXdvcmQ+RWR1Y2F0aW9uPC9rZXl3b3JkPjxrZXl3b3Jk
PlNvY2lhbCBTY2llbmNlcyAoR2VuZXJhbCk8L2tleXdvcmQ+PGtleXdvcmQ+U2NpZW5jZXMgKEdl
bmVyYWwpPC9rZXl3b3JkPjwva2V5d29yZHM+PGlzYm4+MDAyNi00Njk1PC9pc2JuPjx0aXRsZXM+
PHRpdGxlPkVudHJlcHJlbmV1cmlhbCBzY2llbnRpc3RzIGFuZCBlbnRyZXByZW5ldXJpYWwgdW5p
dmVyc2l0aWVzIGluIEFtZXJpY2FuIGFjYWRlbWljIHNjaWVuY2U8L3RpdGxlPjxzZWNvbmRhcnkt
dGl0bGU+QSBSZXZpZXcgb2YgU2NpZW5jZSwgTGVhcm5pbmcgYW5kIFBvbGljeTwvc2Vjb25kYXJ5
LXRpdGxlPjwvdGl0bGVzPjxwYWdlcz4xOTgtMjMzPC9wYWdlcz48bnVtYmVyPjI8L251bWJlcj48
Y29udHJpYnV0b3JzPjxhdXRob3JzPjxhdXRob3I+RXR6a293aXR6LCBIZW5yeTwvYXV0aG9yPjwv
YXV0aG9ycz48L2NvbnRyaWJ1dG9ycz48YWRkZWQtZGF0ZSBmb3JtYXQ9InV0YyI+MTQ5OTA4Nzc3
MTwvYWRkZWQtZGF0ZT48cHViLWxvY2F0aW9uPkRvcmRyZWNodDwvcHViLWxvY2F0aW9uPjxyZWYt
dHlwZSBuYW1lPSJKb3VybmFsIEFydGljbGUiPjE3PC9yZWYtdHlwZT48ZGF0ZXM+PHllYXI+MTk4
MzwveWVhcj48L2RhdGVzPjxyZWMtbnVtYmVyPjcwODY8L3JlYy1udW1iZXI+PGxhc3QtdXBkYXRl
ZC1kYXRlIGZvcm1hdD0idXRjIj4xNDk5MjA0NjU2PC9sYXN0LXVwZGF0ZWQtZGF0ZT48ZWxlY3Ry
b25pYy1yZXNvdXJjZS1udW0+MTAuMTAwNy9CRjAxMDk3OTY0PC9lbGVjdHJvbmljLXJlc291cmNl
LW51bT48dm9sdW1lPjIxPC92b2x1bWU+PC9yZWNvcmQ+PC9DaXRlPjwvRW5kTm90ZT4A
</w:fldData>
        </w:fldChar>
      </w:r>
      <w:r w:rsidRPr="00590F06">
        <w:instrText xml:space="preserve"> ADDIN EN.CITE </w:instrText>
      </w:r>
      <w:r w:rsidRPr="00590F06">
        <w:fldChar w:fldCharType="begin">
          <w:fldData xml:space="preserve">PEVuZE5vdGU+PENpdGU+PEF1dGhvcj5TbGF1Z2h0ZXI8L0F1dGhvcj48WWVhcj4yMDEwPC9ZZWFy
PjxJRFRleHQ+QWNhZGVtaWMgY2FwaXRhbGlzbSBhbmQgdGhlIG5ldyBlY29ub215OiBtYXJrZXRz
LCBzdGF0ZSwgYW5kIGhpZ2hlciBlZHVjYXRpb248L0lEVGV4dD48RGlzcGxheVRleHQ+KEV0emtv
d2l0eiwgMTk4MzsgR2xlbm5hLCBMYWN5LCBXZWxzaCwgJmFtcDsgQmlzY290dGksIDIwMDc7IFNs
YXVnaHRlciAmYW1wOyBSaG9hZGVzLCAyMDEwKTwvRGlzcGxheVRleHQ+PHJlY29yZD48a2V5d29y
ZHM+PGtleXdvcmQ+RWR1Y2F0aW9uLCBIaWdoZXIgLS0gRWNvbm9taWMgYXNwZWN0cyAtLSBVbml0
ZWQgU3RhdGVzPC9rZXl3b3JkPjxrZXl3b3JkPkJ1c2luZXNzIGFuZCBlZHVjYXRpb24gLS0gVW5p
dGVkIFN0YXRlczwva2V5d29yZD48a2V5d29yZD5Vbml2ZXJzaXRpZXMgYW5kIGNvbGxlZ2VzIC0t
IFVuaXRlZCBTdGF0ZXMgLS0gU29jaW9sb2dpY2FsIGFzcGVjdHM8L2tleXdvcmQ+PC9rZXl3b3Jk
cz48dGl0bGVzPjx0aXRsZT5BY2FkZW1pYyBjYXBpdGFsaXNtIGFuZCB0aGUgbmV3IGVjb25vbXk6
IG1hcmtldHMsIHN0YXRlLCBhbmQgaGlnaGVyIGVkdWNhdGlvbjwvdGl0bGU+PC90aXRsZXM+PGNv
bnRyaWJ1dG9ycz48YXV0aG9ycz48YXV0aG9yPlNsYXVnaHRlciwgU2hlaWxhPC9hdXRob3I+PGF1
dGhvcj5SaG9hZGVzLCBHYXJ5PC9hdXRob3I+PC9hdXRob3JzPjwvY29udHJpYnV0b3JzPjxhZGRl
ZC1kYXRlIGZvcm1hdD0idXRjIj4xNDYzMDY0OTkxPC9hZGRlZC1kYXRlPjxwdWItbG9jYXRpb24+
QmFsdGltb3JlLCBNRDwvcHViLWxvY2F0aW9uPjxyZWYtdHlwZSBuYW1lPSJCb29rIj42PC9yZWYt
dHlwZT48ZGF0ZXM+PHllYXI+MjAxMDwveWVhcj48L2RhdGVzPjxyZWMtbnVtYmVyPjM4MzwvcmVj
LW51bWJlcj48cHVibGlzaGVyPkpvaG5zIEhvcGtpbnMgVW5pdmVyc2l0eSBQcmVzczwvcHVibGlz
aGVyPjxsYXN0LXVwZGF0ZWQtZGF0ZSBmb3JtYXQ9InV0YyI+MTQ3Nzc2NzY2MzwvbGFzdC11cGRh
dGVkLWRhdGU+PC9yZWNvcmQ+PC9DaXRlPjxDaXRlPjxBdXRob3I+R2xlbm5hPC9BdXRob3I+PFll
YXI+MjAwNzwvWWVhcj48SURUZXh0PlVuaXZlcnNpdHkgYWRtaW5pc3RyYXRvcnMsIGFncmljdWx0
dXJhbCBiaW90ZWNobm9sb2d5LCBhbmQgYWNhZGVtaWMgY2FwaXRhbGlzbTogRGVmaW5pbmcgdGhl
IHB1YmxpYyBnb29kIHRvIHByb21vdGUgdW5pdmVyc2l0eS1pbmR1c3RyeSByZWxhdGlvbnNoaXBz
PC9JRFRleHQ+PHJlY29yZD48dXJscz48cmVsYXRlZC11cmxzPjx1cmw+aHR0cHM6Ly93d3cuc2Nv
cHVzLmNvbS9pbndhcmQvcmVjb3JkLnVyaT9laWQ9Mi1zMi4wLTMzODQ2MjE1NTczJmFtcDtwYXJ0
bmVySUQ9NDAmYW1wO21kNT04ZmZjY2YyMWVjZDNmYzhlMGEyMjdiZmE5Zjk2YjJmMTwvdXJsPjwv
cmVsYXRlZC11cmxzPjwvdXJscz48d29yay10eXBlPkFydGljbGU8L3dvcmstdHlwZT48dGl0bGVz
Pjx0aXRsZT5Vbml2ZXJzaXR5IGFkbWluaXN0cmF0b3JzLCBhZ3JpY3VsdHVyYWwgYmlvdGVjaG5v
bG9neSwgYW5kIGFjYWRlbWljIGNhcGl0YWxpc206IERlZmluaW5nIHRoZSBwdWJsaWMgZ29vZCB0
byBwcm9tb3RlIHVuaXZlcnNpdHktaW5kdXN0cnkgcmVsYXRpb25zaGlwczwvdGl0bGU+PHNlY29u
ZGFyeS10aXRsZT5Tb2Npb2xvZ2ljYWwgUXVhcnRlcmx5PC9zZWNvbmRhcnktdGl0bGU+PC90aXRs
ZXM+PHBhZ2VzPjE0MS0xNjM8L3BhZ2VzPjxudW1iZXI+MTwvbnVtYmVyPjxjb250cmlidXRvcnM+
PGF1dGhvcnM+PGF1dGhvcj5HbGVubmEsIEwuIEwuPC9hdXRob3I+PGF1dGhvcj5MYWN5LCBXLiBC
LjwvYXV0aG9yPjxhdXRob3I+V2Vsc2gsIFIuPC9hdXRob3I+PGF1dGhvcj5CaXNjb3R0aSwgRC48
L2F1dGhvcj48L2F1dGhvcnM+PC9jb250cmlidXRvcnM+PGFkZGVkLWRhdGUgZm9ybWF0PSJ1dGMi
PjE0NzM3MDQ4MzU8L2FkZGVkLWRhdGU+PHJlZi10eXBlIG5hbWU9IkpvdXJuYWwgQXJ0aWNsZSI+
MTc8L3JlZi10eXBlPjxkYXRlcz48eWVhcj4yMDA3PC95ZWFyPjwvZGF0ZXM+PHJlYy1udW1iZXI+
MzI4MDwvcmVjLW51bWJlcj48bGFzdC11cGRhdGVkLWRhdGUgZm9ybWF0PSJ1dGMiPjE0NzM3MDQ4
MzU8L2xhc3QtdXBkYXRlZC1kYXRlPjxlbGVjdHJvbmljLXJlc291cmNlLW51bT4xMC4xMTExL2ou
MTUzMy04NTI1LjIwMDcuMDAwNzQueDwvZWxlY3Ryb25pYy1yZXNvdXJjZS1udW0+PHZvbHVtZT40
ODwvdm9sdW1lPjxyZW1vdGUtZGF0YWJhc2UtbmFtZT5TY29wdXM8L3JlbW90ZS1kYXRhYmFzZS1u
YW1lPjwvcmVjb3JkPjwvQ2l0ZT48Q2l0ZT48QXV0aG9yPkV0emtvd2l0ejwvQXV0aG9yPjxZZWFy
PjE5ODM8L1llYXI+PElEVGV4dD5FbnRyZXByZW5ldXJpYWwgc2NpZW50aXN0cyBhbmQgZW50cmVw
cmVuZXVyaWFsIHVuaXZlcnNpdGllcyBpbiBBbWVyaWNhbiBhY2FkZW1pYyBzY2llbmNlPC9JRFRl
eHQ+PHJlY29yZD48a2V5d29yZHM+PGtleXdvcmQ+RWR1Y2F0aW9uPC9rZXl3b3JkPjxrZXl3b3Jk
PlNvY2lhbCBTY2llbmNlcyAoR2VuZXJhbCk8L2tleXdvcmQ+PGtleXdvcmQ+U2NpZW5jZXMgKEdl
bmVyYWwpPC9rZXl3b3JkPjwva2V5d29yZHM+PGlzYm4+MDAyNi00Njk1PC9pc2JuPjx0aXRsZXM+
PHRpdGxlPkVudHJlcHJlbmV1cmlhbCBzY2llbnRpc3RzIGFuZCBlbnRyZXByZW5ldXJpYWwgdW5p
dmVyc2l0aWVzIGluIEFtZXJpY2FuIGFjYWRlbWljIHNjaWVuY2U8L3RpdGxlPjxzZWNvbmRhcnkt
dGl0bGU+QSBSZXZpZXcgb2YgU2NpZW5jZSwgTGVhcm5pbmcgYW5kIFBvbGljeTwvc2Vjb25kYXJ5
LXRpdGxlPjwvdGl0bGVzPjxwYWdlcz4xOTgtMjMzPC9wYWdlcz48bnVtYmVyPjI8L251bWJlcj48
Y29udHJpYnV0b3JzPjxhdXRob3JzPjxhdXRob3I+RXR6a293aXR6LCBIZW5yeTwvYXV0aG9yPjwv
YXV0aG9ycz48L2NvbnRyaWJ1dG9ycz48YWRkZWQtZGF0ZSBmb3JtYXQ9InV0YyI+MTQ5OTA4Nzc3
MTwvYWRkZWQtZGF0ZT48cHViLWxvY2F0aW9uPkRvcmRyZWNodDwvcHViLWxvY2F0aW9uPjxyZWYt
dHlwZSBuYW1lPSJKb3VybmFsIEFydGljbGUiPjE3PC9yZWYtdHlwZT48ZGF0ZXM+PHllYXI+MTk4
MzwveWVhcj48L2RhdGVzPjxyZWMtbnVtYmVyPjcwODY8L3JlYy1udW1iZXI+PGxhc3QtdXBkYXRl
ZC1kYXRlIGZvcm1hdD0idXRjIj4xNDk5MjA0NjU2PC9sYXN0LXVwZGF0ZWQtZGF0ZT48ZWxlY3Ry
b25pYy1yZXNvdXJjZS1udW0+MTAuMTAwNy9CRjAxMDk3OTY0PC9lbGVjdHJvbmljLXJlc291cmNl
LW51bT48dm9sdW1lPjIxPC92b2x1bWU+PC9yZWNvcmQ+PC9DaXRlPjwvRW5kTm90ZT4A
</w:fldData>
        </w:fldChar>
      </w:r>
      <w:r w:rsidRPr="00590F06">
        <w:instrText xml:space="preserve"> ADDIN EN.CITE.DATA </w:instrText>
      </w:r>
      <w:r w:rsidRPr="00590F06">
        <w:fldChar w:fldCharType="end"/>
      </w:r>
      <w:r w:rsidRPr="00590F06">
        <w:fldChar w:fldCharType="separate"/>
      </w:r>
      <w:r w:rsidRPr="00590F06">
        <w:rPr>
          <w:noProof/>
        </w:rPr>
        <w:t>(Etzkowitz, 1983; Glenna, Lacy, Welsh, &amp; Biscotti, 2007; Slaughter &amp; Rhoades, 2010)</w:t>
      </w:r>
      <w:r w:rsidRPr="00590F06">
        <w:fldChar w:fldCharType="end"/>
      </w:r>
      <w:r w:rsidRPr="00590F06">
        <w:t>; marketing offices</w:t>
      </w:r>
      <w:r>
        <w:t xml:space="preserve"> and their campaigns</w:t>
      </w:r>
      <w:r w:rsidRPr="00590F06">
        <w:t xml:space="preserve"> are expanded</w:t>
      </w:r>
      <w:r>
        <w:t xml:space="preserve"> and increasingly </w:t>
      </w:r>
      <w:r w:rsidRPr="00590F06">
        <w:t xml:space="preserve">professionalised and strategic </w:t>
      </w:r>
      <w:r w:rsidRPr="00590F06">
        <w:fldChar w:fldCharType="begin">
          <w:fldData xml:space="preserve">PEVuZE5vdGU+PENpdGU+PEF1dGhvcj5SaG9hZGVzPC9BdXRob3I+PFllYXI+MjAxNjwvWWVhcj48
SURUZXh0PkludGVybmF0aW9uYWxpemF0aW9uIHRvIHdoYXQgcHVycG9zZXM/OiBtYXJrZXRpbmcg
dG8gaW50ZXJuYXRpb25hbCBzdHVkZW50czwvSURUZXh0PjxEaXNwbGF5VGV4dD4oUHVzc2VyICZh
bXA7IE1hcmdpbnNvbiwgMjAxMzsgUmhvYWRlcywgMjAxNik8L0Rpc3BsYXlUZXh0PjxyZWNvcmQ+
PGtleXdvcmRzPjxrZXl3b3JkPlVuaXRlZCBTdGF0ZXPigJNVczwva2V5d29yZD48a2V5d29yZD5V
bml0ZWQgS2luZ2RvbeKAk1VLPC9rZXl3b3JkPjxrZXl3b3JkPkZvcmVpZ24gU3R1ZGVudHM8L2tl
eXdvcmQ+PGtleXdvcmQ+Q29sbGVnZXMgJmFtcDthbXA8L2tleXdvcmQ+PGtleXdvcmQ+VW5pdmVy
c2l0aWVzPC9rZXl3b3JkPjxrZXl3b3JkPldlYiBTaXRlczwva2V5d29yZD48a2V5d29yZD5IaWdo
ZXIgRWR1Y2F0aW9uPC9rZXl3b3JkPjxrZXl3b3JkPkxlYXJuaW5nPC9rZXl3b3JkPjxrZXl3b3Jk
PlNvY2lhbCBOZXR3b3Jrczwva2V5d29yZD48a2V5d29yZD5MaWZlc3R5bGVzPC9rZXl3b3JkPjxr
ZXl3b3JkPkJ1c2luZXNzIE1vZGVsczwva2V5d29yZD48a2V5d29yZD5Db2xsZWdlIENhbXB1c2Vz
PC9rZXl3b3JkPjxrZXl3b3JkPkNhcGl0YWxpc208L2tleXdvcmQ+PGtleXdvcmQ+VHVpdGlvbjwv
a2V5d29yZD48a2V5d29yZD5HbG9iYWxpemF0aW9uPC9rZXl3b3JkPjxrZXl3b3JkPkludGVybmF0
aW9uYWw8L2tleXdvcmQ+PGtleXdvcmQ+UHVibGljIEdvb2Q8L2tleXdvcmQ+PC9rZXl3b3Jkcz48
aXNibj4yMTU3LTYyNTQ8L2lzYm4+PHRpdGxlcz48dGl0bGU+SW50ZXJuYXRpb25hbGl6YXRpb24g
dG8gd2hhdCBwdXJwb3Nlcz86IG1hcmtldGluZyB0byBpbnRlcm5hdGlvbmFsIHN0dWRlbnRzPC90
aXRsZT48c2Vjb25kYXJ5LXRpdGxlPkhpZ2hlciBsZWFybmluZyByZXNlYXJjaCBjb21tdW5pY2F0
aW9uczogSExSQzwvc2Vjb25kYXJ5LXRpdGxlPjwvdGl0bGVzPjxwYWdlcz4xMC0xMzwvcGFnZXM+
PG51bWJlcj4yPC9udW1iZXI+PGNvbnRyaWJ1dG9ycz48YXV0aG9ycz48YXV0aG9yPlJob2FkZXMs
IEdhcnk8L2F1dGhvcj48L2F1dGhvcnM+PC9jb250cmlidXRvcnM+PGFkZGVkLWRhdGUgZm9ybWF0
PSJ1dGMiPjE1MjI5MzU2NDk8L2FkZGVkLWRhdGU+PHJlZi10eXBlIG5hbWU9IkpvdXJuYWwgQXJ0
aWNsZSI+MTc8L3JlZi10eXBlPjxkYXRlcz48eWVhcj4yMDE2PC95ZWFyPjwvZGF0ZXM+PHJlYy1u
dW1iZXI+NzQ1MjwvcmVjLW51bWJlcj48bGFzdC11cGRhdGVkLWRhdGUgZm9ybWF0PSJ1dGMiPjE1
MjI5MzU2NDk8L2xhc3QtdXBkYXRlZC1kYXRlPjxlbGVjdHJvbmljLXJlc291cmNlLW51bT4xMC4x
ODg3MC9obHJjLnY2aTIuMzM0PC9lbGVjdHJvbmljLXJlc291cmNlLW51bT48dm9sdW1lPjY8L3Zv
bHVtZT48L3JlY29yZD48L0NpdGU+PENpdGU+PEF1dGhvcj5QdXNzZXI8L0F1dGhvcj48WWVhcj4y
MDEzPC9ZZWFyPjxJRFRleHQ+VW5pdmVyc2l0eSBSYW5raW5ncyBpbiBDcml0aWNhbCBQZXJzcGVj
dGl2ZTwvSURUZXh0PjxyZWNvcmQ+PGlzYm4+MDAyMi0xNTQ2PC9pc2JuPjx0aXRsZXM+PHRpdGxl
PlVuaXZlcnNpdHkgUmFua2luZ3MgaW4gQ3JpdGljYWwgUGVyc3BlY3RpdmU8L3RpdGxlPjxzZWNv
bmRhcnktdGl0bGU+Si4gSGlnaC4gRWR1Yy48L3NlY29uZGFyeS10aXRsZT48L3RpdGxlcz48cGFn
ZXM+NTQ0LTU2ODwvcGFnZXM+PG51bWJlcj40PC9udW1iZXI+PGNvbnRyaWJ1dG9ycz48YXV0aG9y
cz48YXV0aG9yPlB1c3NlciwgQi48L2F1dGhvcj48YXV0aG9yPk1hcmdpbnNvbiwgUy48L2F1dGhv
cj48L2F1dGhvcnM+PC9jb250cmlidXRvcnM+PGFkZGVkLWRhdGUgZm9ybWF0PSJ1dGMiPjE1MjI5
MzU3OTE8L2FkZGVkLWRhdGU+PHJlZi10eXBlIG5hbWU9IkpvdXJuYWwgQXJ0aWNsZSI+MTc8L3Jl
Zi10eXBlPjxkYXRlcz48eWVhcj4yMDEzPC95ZWFyPjwvZGF0ZXM+PHJlYy1udW1iZXI+NzQ1Mzwv
cmVjLW51bWJlcj48bGFzdC11cGRhdGVkLWRhdGUgZm9ybWF0PSJ1dGMiPjE1MjI5MzU3OTE8L2xh
c3QtdXBkYXRlZC1kYXRlPjx2b2x1bWU+ODQ8L3ZvbHVtZT48L3JlY29yZD48L0NpdGU+PC9FbmRO
b3RlPgB=
</w:fldData>
        </w:fldChar>
      </w:r>
      <w:r w:rsidRPr="00590F06">
        <w:instrText xml:space="preserve"> ADDIN EN.CITE </w:instrText>
      </w:r>
      <w:r w:rsidRPr="00590F06">
        <w:fldChar w:fldCharType="begin">
          <w:fldData xml:space="preserve">PEVuZE5vdGU+PENpdGU+PEF1dGhvcj5SaG9hZGVzPC9BdXRob3I+PFllYXI+MjAxNjwvWWVhcj48
SURUZXh0PkludGVybmF0aW9uYWxpemF0aW9uIHRvIHdoYXQgcHVycG9zZXM/OiBtYXJrZXRpbmcg
dG8gaW50ZXJuYXRpb25hbCBzdHVkZW50czwvSURUZXh0PjxEaXNwbGF5VGV4dD4oUHVzc2VyICZh
bXA7IE1hcmdpbnNvbiwgMjAxMzsgUmhvYWRlcywgMjAxNik8L0Rpc3BsYXlUZXh0PjxyZWNvcmQ+
PGtleXdvcmRzPjxrZXl3b3JkPlVuaXRlZCBTdGF0ZXPigJNVczwva2V5d29yZD48a2V5d29yZD5V
bml0ZWQgS2luZ2RvbeKAk1VLPC9rZXl3b3JkPjxrZXl3b3JkPkZvcmVpZ24gU3R1ZGVudHM8L2tl
eXdvcmQ+PGtleXdvcmQ+Q29sbGVnZXMgJmFtcDthbXA8L2tleXdvcmQ+PGtleXdvcmQ+VW5pdmVy
c2l0aWVzPC9rZXl3b3JkPjxrZXl3b3JkPldlYiBTaXRlczwva2V5d29yZD48a2V5d29yZD5IaWdo
ZXIgRWR1Y2F0aW9uPC9rZXl3b3JkPjxrZXl3b3JkPkxlYXJuaW5nPC9rZXl3b3JkPjxrZXl3b3Jk
PlNvY2lhbCBOZXR3b3Jrczwva2V5d29yZD48a2V5d29yZD5MaWZlc3R5bGVzPC9rZXl3b3JkPjxr
ZXl3b3JkPkJ1c2luZXNzIE1vZGVsczwva2V5d29yZD48a2V5d29yZD5Db2xsZWdlIENhbXB1c2Vz
PC9rZXl3b3JkPjxrZXl3b3JkPkNhcGl0YWxpc208L2tleXdvcmQ+PGtleXdvcmQ+VHVpdGlvbjwv
a2V5d29yZD48a2V5d29yZD5HbG9iYWxpemF0aW9uPC9rZXl3b3JkPjxrZXl3b3JkPkludGVybmF0
aW9uYWw8L2tleXdvcmQ+PGtleXdvcmQ+UHVibGljIEdvb2Q8L2tleXdvcmQ+PC9rZXl3b3Jkcz48
aXNibj4yMTU3LTYyNTQ8L2lzYm4+PHRpdGxlcz48dGl0bGU+SW50ZXJuYXRpb25hbGl6YXRpb24g
dG8gd2hhdCBwdXJwb3Nlcz86IG1hcmtldGluZyB0byBpbnRlcm5hdGlvbmFsIHN0dWRlbnRzPC90
aXRsZT48c2Vjb25kYXJ5LXRpdGxlPkhpZ2hlciBsZWFybmluZyByZXNlYXJjaCBjb21tdW5pY2F0
aW9uczogSExSQzwvc2Vjb25kYXJ5LXRpdGxlPjwvdGl0bGVzPjxwYWdlcz4xMC0xMzwvcGFnZXM+
PG51bWJlcj4yPC9udW1iZXI+PGNvbnRyaWJ1dG9ycz48YXV0aG9ycz48YXV0aG9yPlJob2FkZXMs
IEdhcnk8L2F1dGhvcj48L2F1dGhvcnM+PC9jb250cmlidXRvcnM+PGFkZGVkLWRhdGUgZm9ybWF0
PSJ1dGMiPjE1MjI5MzU2NDk8L2FkZGVkLWRhdGU+PHJlZi10eXBlIG5hbWU9IkpvdXJuYWwgQXJ0
aWNsZSI+MTc8L3JlZi10eXBlPjxkYXRlcz48eWVhcj4yMDE2PC95ZWFyPjwvZGF0ZXM+PHJlYy1u
dW1iZXI+NzQ1MjwvcmVjLW51bWJlcj48bGFzdC11cGRhdGVkLWRhdGUgZm9ybWF0PSJ1dGMiPjE1
MjI5MzU2NDk8L2xhc3QtdXBkYXRlZC1kYXRlPjxlbGVjdHJvbmljLXJlc291cmNlLW51bT4xMC4x
ODg3MC9obHJjLnY2aTIuMzM0PC9lbGVjdHJvbmljLXJlc291cmNlLW51bT48dm9sdW1lPjY8L3Zv
bHVtZT48L3JlY29yZD48L0NpdGU+PENpdGU+PEF1dGhvcj5QdXNzZXI8L0F1dGhvcj48WWVhcj4y
MDEzPC9ZZWFyPjxJRFRleHQ+VW5pdmVyc2l0eSBSYW5raW5ncyBpbiBDcml0aWNhbCBQZXJzcGVj
dGl2ZTwvSURUZXh0PjxyZWNvcmQ+PGlzYm4+MDAyMi0xNTQ2PC9pc2JuPjx0aXRsZXM+PHRpdGxl
PlVuaXZlcnNpdHkgUmFua2luZ3MgaW4gQ3JpdGljYWwgUGVyc3BlY3RpdmU8L3RpdGxlPjxzZWNv
bmRhcnktdGl0bGU+Si4gSGlnaC4gRWR1Yy48L3NlY29uZGFyeS10aXRsZT48L3RpdGxlcz48cGFn
ZXM+NTQ0LTU2ODwvcGFnZXM+PG51bWJlcj40PC9udW1iZXI+PGNvbnRyaWJ1dG9ycz48YXV0aG9y
cz48YXV0aG9yPlB1c3NlciwgQi48L2F1dGhvcj48YXV0aG9yPk1hcmdpbnNvbiwgUy48L2F1dGhv
cj48L2F1dGhvcnM+PC9jb250cmlidXRvcnM+PGFkZGVkLWRhdGUgZm9ybWF0PSJ1dGMiPjE1MjI5
MzU3OTE8L2FkZGVkLWRhdGU+PHJlZi10eXBlIG5hbWU9IkpvdXJuYWwgQXJ0aWNsZSI+MTc8L3Jl
Zi10eXBlPjxkYXRlcz48eWVhcj4yMDEzPC95ZWFyPjwvZGF0ZXM+PHJlYy1udW1iZXI+NzQ1Mzwv
cmVjLW51bWJlcj48bGFzdC11cGRhdGVkLWRhdGUgZm9ybWF0PSJ1dGMiPjE1MjI5MzU3OTE8L2xh
c3QtdXBkYXRlZC1kYXRlPjx2b2x1bWU+ODQ8L3ZvbHVtZT48L3JlY29yZD48L0NpdGU+PC9FbmRO
b3RlPgB=
</w:fldData>
        </w:fldChar>
      </w:r>
      <w:r w:rsidRPr="00590F06">
        <w:instrText xml:space="preserve"> ADDIN EN.CITE.DATA </w:instrText>
      </w:r>
      <w:r w:rsidRPr="00590F06">
        <w:fldChar w:fldCharType="end"/>
      </w:r>
      <w:r w:rsidRPr="00590F06">
        <w:fldChar w:fldCharType="separate"/>
      </w:r>
      <w:r w:rsidRPr="00590F06">
        <w:rPr>
          <w:noProof/>
        </w:rPr>
        <w:t>(Pusser &amp; Marginson, 2013; Rhoades, 2016)</w:t>
      </w:r>
      <w:r w:rsidRPr="00590F06">
        <w:fldChar w:fldCharType="end"/>
      </w:r>
      <w:r w:rsidRPr="00590F06">
        <w:t xml:space="preserve">. </w:t>
      </w:r>
      <w:r>
        <w:t>Each of</w:t>
      </w:r>
      <w:r w:rsidRPr="00590F06">
        <w:t xml:space="preserve"> these adaptations</w:t>
      </w:r>
      <w:r>
        <w:t xml:space="preserve"> and innovations</w:t>
      </w:r>
      <w:r w:rsidRPr="00590F06">
        <w:t xml:space="preserve"> are symbols of an organisation’s commitment to the legitimacy held by</w:t>
      </w:r>
      <w:r>
        <w:t xml:space="preserve"> and, they hope,</w:t>
      </w:r>
      <w:r w:rsidRPr="00590F06">
        <w:t xml:space="preserve"> bestowed by</w:t>
      </w:r>
      <w:r>
        <w:t>,</w:t>
      </w:r>
      <w:r w:rsidRPr="00590F06">
        <w:t xml:space="preserve"> externally-generated discourses </w:t>
      </w:r>
      <w:r w:rsidRPr="00590F06">
        <w:fldChar w:fldCharType="begin">
          <w:fldData xml:space="preserve">PEVuZE5vdGU+PENpdGU+PEF1dGhvcj5HdW1wb3J0PC9BdXRob3I+PFllYXI+MjAwMjwvWWVhcj48
SURUZXh0PlVuaXZlcnNpdGllcyBhbmQgS25vd2xlZGdlOiBSZXN0cnVjdHVyaW5nIHRoZSBDaXR5
IG9mIEludGVsbGVjdDwvSURUZXh0PjxEaXNwbGF5VGV4dD4oQi4gUi4gQ2xhcmssIDE5ODM7IEd1
bXBvcnQsIDIwMDI7IEhvZmZtYW4sIDIwMTE7IEouIFcuIE1leWVyICZhbXA7IFJvd2FuLCAxOTc3
OyBQZXR0aWdyZXcgJmFtcDsgU3RhcmtleSwgMjAxNik8L0Rpc3BsYXlUZXh0PjxyZWNvcmQ+PHRp
dGxlcz48dGl0bGU+VW5pdmVyc2l0aWVzIGFuZCBLbm93bGVkZ2U6IFJlc3RydWN0dXJpbmcgdGhl
IENpdHkgb2YgSW50ZWxsZWN0PC90aXRsZT48c2Vjb25kYXJ5LXRpdGxlPlRoZSBGdXR1cmUgb2Yg
dGhlIENpdHkgb2YgSW50ZWxsZWN0OiBUaGUgQ2hhbmdpbmcgQW1lcmljYW4gVW5pdmVyc2l0eTwv
c2Vjb25kYXJ5LXRpdGxlPjwvdGl0bGVzPjxjb250cmlidXRvcnM+PGF1dGhvcnM+PGF1dGhvcj5H
dW1wb3J0LCBQYXRyaWNpYSBKLjwvYXV0aG9yPjwvYXV0aG9ycz48L2NvbnRyaWJ1dG9ycz48YWRk
ZWQtZGF0ZSBmb3JtYXQ9InV0YyI+MTQ5MDk5Njc3NDwvYWRkZWQtZGF0ZT48cHViLWxvY2F0aW9u
PlN0YW5mb3JkPC9wdWItbG9jYXRpb24+PHJlZi10eXBlIG5hbWU9IkJvb2sgU2VjdGlvbiI+NTwv
cmVmLXR5cGU+PGRhdGVzPjx5ZWFyPjIwMDI8L3llYXI+PC9kYXRlcz48cmVjLW51bWJlcj42Njg4
PC9yZWMtbnVtYmVyPjxwdWJsaXNoZXI+U3RhbmZvcmQgVW5pdmVyc2l0eSBQcmVzczwvcHVibGlz
aGVyPjxsYXN0LXVwZGF0ZWQtZGF0ZSBmb3JtYXQ9InV0YyI+MTUwNTM3OTYxNjwvbGFzdC11cGRh
dGVkLWRhdGU+PGNvbnRyaWJ1dG9ycz48c2Vjb25kYXJ5LWF1dGhvcnM+PGF1dGhvcj5CcmludCwg
U3RldmVuIEcuPC9hdXRob3I+PC9zZWNvbmRhcnktYXV0aG9ycz48L2NvbnRyaWJ1dG9ycz48L3Jl
Y29yZD48L0NpdGU+PENpdGU+PEF1dGhvcj5DbGFyazwvQXV0aG9yPjxZZWFyPjE5ODM8L1llYXI+
PElEVGV4dD5UaGUgaGlnaGVyIGVkdWNhdGlvbiBzeXN0ZW06IGFjYWRlbWljIG9yZ2FuaXNhdGlv
biBpbiBjcm9zcy1uYXRpb25hbCBwZXJzcGVjdGl2ZTwvSURUZXh0PjxyZWNvcmQ+PGtleXdvcmRz
PjxrZXl3b3JkPkVkdWNhdGlvbiwgSGlnaGVyPC9rZXl3b3JkPjxrZXl3b3JkPkVkdWNhdGlvbiwg
SGlnaGVyPC9rZXl3b3JkPjxrZXl3b3JkPkhpZ2hlciBlZHVjYXRpb24gQ29tcGFyYXRpdmUgc3R1
ZGllczwva2V5d29yZD48L2tleXdvcmRzPjx0aXRsZXM+PHRpdGxlPlRoZSBoaWdoZXIgZWR1Y2F0
aW9uIHN5c3RlbTogYWNhZGVtaWMgb3JnYW5pc2F0aW9uIGluIGNyb3NzLW5hdGlvbmFsIHBlcnNw
ZWN0aXZlPC90aXRsZT48L3RpdGxlcz48Y29udHJpYnV0b3JzPjxhdXRob3JzPjxhdXRob3I+Q2xh
cmssIEJ1cnRvbiBSLjwvYXV0aG9yPjwvYXV0aG9ycz48L2NvbnRyaWJ1dG9ycz48YWRkZWQtZGF0
ZSBmb3JtYXQ9InV0YyI+MTQ1ODEzOTU0ODwvYWRkZWQtZGF0ZT48cHViLWxvY2F0aW9uPkxvbmRv
bjwvcHViLWxvY2F0aW9uPjxyZWYtdHlwZSBuYW1lPSJCb29rIj42PC9yZWYtdHlwZT48ZGF0ZXM+
PHllYXI+MTk4MzwveWVhcj48L2RhdGVzPjxyZWMtbnVtYmVyPjI5NDwvcmVjLW51bWJlcj48cHVi
bGlzaGVyPlVuaXZlcnNpdHkgb2YgQ2FsaWZvcm5pYSBQcmVzczwvcHVibGlzaGVyPjxsYXN0LXVw
ZGF0ZWQtZGF0ZSBmb3JtYXQ9InV0YyI+MTQ3MDk5NjkzMjwvbGFzdC11cGRhdGVkLWRhdGU+PC9y
ZWNvcmQ+PC9DaXRlPjxDaXRlPjxBdXRob3I+SG9mZm1hbjwvQXV0aG9yPjxZZWFyPjIwMTE8L1ll
YXI+PElEVGV4dD5UaGUgbmV3IHRvb2xzIG9mIHRoZSBzY2llbmNlIHRyYWRlOiBjb250ZXN0ZWQg
a25vd2xlZGdlIHByb2R1Y3Rpb24gYW5kIHRoZSBjb25jZXB0dWFsIHZvY2FidWxhcmllcyBvZiBh
Y2FkZW1pYyBjYXBpdGFsaXNtPC9JRFRleHQ+PHJlY29yZD48a2V5d29yZHM+PGtleXdvcmQ+T3Jn
YW5pc2F0aW9uczwva2V5d29yZD48a2V5d29yZD5JbnN0aXR1dGlvbmFsIENoYW5nZTwva2V5d29y
ZD48a2V5d29yZD5Vbml2ZXJzaXR54oCTaW5kdXN0cnkgUmVsYXRpb25zPC9rZXl3b3JkPjxrZXl3
b3JkPlNjaWVuY2U8L2tleXdvcmQ+PGtleXdvcmQ+S25vd2xlZGdlIFByb2R1Y3Rpb248L2tleXdv
cmQ+PC9rZXl3b3Jkcz48aXNibj4wOTY0LTAyODI8L2lzYm4+PHRpdGxlcz48dGl0bGU+VGhlIG5l
dyB0b29scyBvZiB0aGUgc2NpZW5jZSB0cmFkZTogY29udGVzdGVkIGtub3dsZWRnZSBwcm9kdWN0
aW9uIGFuZCB0aGUgY29uY2VwdHVhbCB2b2NhYnVsYXJpZXMgb2YgYWNhZGVtaWMgY2FwaXRhbGlz
bTwvdGl0bGU+PHNlY29uZGFyeS10aXRsZT5Tb2NpYWwgQW50aHJvcG9sb2d5PC9zZWNvbmRhcnkt
dGl0bGU+PC90aXRsZXM+PHBhZ2VzPjQzOS00NjI8L3BhZ2VzPjxudW1iZXI+NDwvbnVtYmVyPjxj
b250cmlidXRvcnM+PGF1dGhvcnM+PGF1dGhvcj5Ib2ZmbWFuLCBTdGV2ZSBHLjwvYXV0aG9yPjwv
YXV0aG9ycz48L2NvbnRyaWJ1dG9ycz48YWRkZWQtZGF0ZSBmb3JtYXQ9InV0YyI+MTQ1ODY3NDYz
NjwvYWRkZWQtZGF0ZT48cHViLWxvY2F0aW9uPk94Zm9yZCwgVUs8L3B1Yi1sb2NhdGlvbj48cmVm
LXR5cGUgbmFtZT0iSm91cm5hbCBBcnRpY2xlIj4xNzwvcmVmLXR5cGU+PGRhdGVzPjx5ZWFyPjIw
MTE8L3llYXI+PC9kYXRlcz48cmVjLW51bWJlcj4zMTk8L3JlYy1udW1iZXI+PGxhc3QtdXBkYXRl
ZC1kYXRlIGZvcm1hdD0idXRjIj4xNDY5MjE1NDY4PC9sYXN0LXVwZGF0ZWQtZGF0ZT48ZWxlY3Ry
b25pYy1yZXNvdXJjZS1udW0+MTAuMTExMS9qLjE0NjktODY3Ni4yMDExLjAwMTgwLng8L2VsZWN0
cm9uaWMtcmVzb3VyY2UtbnVtPjx2b2x1bWU+MTk8L3ZvbHVtZT48L3JlY29yZD48L0NpdGU+PENp
dGU+PEF1dGhvcj5QZXR0aWdyZXc8L0F1dGhvcj48WWVhcj4yMDE2PC9ZZWFyPjxJRFRleHQ+RnJv
bSB0aGUgZ3Vlc3QgZWRpdG9yczogVGhlIGxlZ2l0aW1hY3kgYW5kIGltcGFjdCBvZiBidXNpbmVz
cyBzY2hvb2xzLWtleSBpc3N1ZXMgYW5kIGEgcmVzZWFyY2ggYWdlbmRhPC9JRFRleHQ+PHJlY29y
ZD48dXJscz48cmVsYXRlZC11cmxzPjx1cmw+aHR0cHM6Ly93d3cuc2NvcHVzLmNvbS9pbndhcmQv
cmVjb3JkLnVyaT9laWQ9Mi1zMi4wLTg1MDEyOTAwNTc5JmFtcDtkb2k9MTAuNTQ2NSUyZmFtbGUu
MjAxNi4wMjk2JmFtcDtwYXJ0bmVySUQ9NDAmYW1wO21kNT1hYzI3YThiY2U1NzI0MTZhNzJhYzlj
YjgxNjM5NmIzOTwvdXJsPjwvcmVsYXRlZC11cmxzPjwvdXJscz48d29yay10eXBlPlJldmlldzwv
d29yay10eXBlPjx0aXRsZXM+PHRpdGxlPkZyb20gdGhlIGd1ZXN0IGVkaXRvcnM6IFRoZSBsZWdp
dGltYWN5IGFuZCBpbXBhY3Qgb2YgYnVzaW5lc3Mgc2Nob29scy1rZXkgaXNzdWVzIGFuZCBhIHJl
c2VhcmNoIGFnZW5kYTwvdGl0bGU+PHNlY29uZGFyeS10aXRsZT5BY2FkZW15IG9mIE1hbmFnZW1l
bnQgTGVhcm5pbmcgYW5kIEVkdWNhdGlvbjwvc2Vjb25kYXJ5LXRpdGxlPjwvdGl0bGVzPjxwYWdl
cz42NDktNjY0PC9wYWdlcz48bnVtYmVyPjQ8L251bWJlcj48Y29udHJpYnV0b3JzPjxhdXRob3Jz
PjxhdXRob3I+UGV0dGlncmV3LCBBLjwvYXV0aG9yPjxhdXRob3I+U3RhcmtleSwgSy48L2F1dGhv
cj48L2F1dGhvcnM+PC9jb250cmlidXRvcnM+PGxhbmd1YWdlPkVuZ2xpc2g8L2xhbmd1YWdlPjxh
ZGRlZC1kYXRlIGZvcm1hdD0idXRjIj4xNDkyNzY0MDc0PC9hZGRlZC1kYXRlPjxyZWYtdHlwZSBu
YW1lPSJKb3VybmFsIEFydGljbGUiPjE3PC9yZWYtdHlwZT48YXV0aC1hZGRyZXNzPlVuaXZlcnNp
dHkgb2YgT3hmb3JkLCBVbml0ZWQgS2luZ2RvbSYjeEQ7VW5pdmVyc2l0eSBvZiBOb3R0aW5naGFt
LCBVbml0ZWQgS2luZ2RvbTwvYXV0aC1hZGRyZXNzPjxkYXRlcz48eWVhcj4yMDE2PC95ZWFyPjwv
ZGF0ZXM+PHJlYy1udW1iZXI+NjczNDwvcmVjLW51bWJlcj48cHVibGlzaGVyPkdlb3JnZSBXYXNo
aW5ndG9uIFVuaXZlcnNpdHk8L3B1Ymxpc2hlcj48bGFzdC11cGRhdGVkLWRhdGUgZm9ybWF0PSJ1
dGMiPjE0OTI3NjQwNzQ8L2xhc3QtdXBkYXRlZC1kYXRlPjxlbGVjdHJvbmljLXJlc291cmNlLW51
bT4xMC41NDY1L2FtbGUuMjAxNi4wMjk2PC9lbGVjdHJvbmljLXJlc291cmNlLW51bT48dm9sdW1l
PjE1PC92b2x1bWU+PHJlbW90ZS1kYXRhYmFzZS1uYW1lPlNjb3B1czwvcmVtb3RlLWRhdGFiYXNl
LW5hbWU+PC9yZWNvcmQ+PC9DaXRlPjxDaXRlPjxBdXRob3I+TWV5ZXI8L0F1dGhvcj48WWVhcj4x
OTc3PC9ZZWFyPjxJRFRleHQ+SW5zdGl0dXRpb25hbGl6ZWQgT3JnYW5pemF0aW9uczogRm9ybWFs
IFN0cnVjdHVyZSBhcyBNeXRoIGFuZCBDZXJlbW9ueTwvSURUZXh0PjxyZWNvcmQ+PGlzYm4+MDAw
Mjk2MDI8L2lzYm4+PHRpdGxlcz48dGl0bGU+SW5zdGl0dXRpb25hbGl6ZWQgT3JnYW5pemF0aW9u
czogRm9ybWFsIFN0cnVjdHVyZSBhcyBNeXRoIGFuZCBDZXJlbW9ueTwvdGl0bGU+PHNlY29uZGFy
eS10aXRsZT5BbWVyaWNhbiBKb3VybmFsIG9mIFNvY2lvbG9neTwvc2Vjb25kYXJ5LXRpdGxlPjwv
dGl0bGVzPjxwYWdlcz4zNDAtMzYzPC9wYWdlcz48bnVtYmVyPjI8L251bWJlcj48Y29udHJpYnV0
b3JzPjxhdXRob3JzPjxhdXRob3I+TWV5ZXIsIEpvaG4gVy48L2F1dGhvcj48YXV0aG9yPlJvd2Fu
LCBCcmlhbjwvYXV0aG9yPjwvYXV0aG9ycz48L2NvbnRyaWJ1dG9ycz48YWRkZWQtZGF0ZSBmb3Jt
YXQ9InV0YyI+MTQ5MjE1OTM5MjwvYWRkZWQtZGF0ZT48cmVmLXR5cGUgbmFtZT0iSm91cm5hbCBB
cnRpY2xlIj4xNzwvcmVmLXR5cGU+PGRhdGVzPjx5ZWFyPjE5Nzc8L3llYXI+PC9kYXRlcz48cmVj
LW51bWJlcj42NzEzPC9yZWMtbnVtYmVyPjxsYXN0LXVwZGF0ZWQtZGF0ZSBmb3JtYXQ9InV0YyI+
MTUwNTM3OTYxNjwvbGFzdC11cGRhdGVkLWRhdGU+PGVsZWN0cm9uaWMtcmVzb3VyY2UtbnVtPjEw
LjEwODYvMjI2NTUwPC9lbGVjdHJvbmljLXJlc291cmNlLW51bT48dm9sdW1lPjgzPC92b2x1bWU+
PC9yZWNvcmQ+PC9DaXRlPjwvRW5kTm90ZT5=
</w:fldData>
        </w:fldChar>
      </w:r>
      <w:r>
        <w:instrText xml:space="preserve"> ADDIN EN.CITE </w:instrText>
      </w:r>
      <w:r>
        <w:fldChar w:fldCharType="begin">
          <w:fldData xml:space="preserve">PEVuZE5vdGU+PENpdGU+PEF1dGhvcj5HdW1wb3J0PC9BdXRob3I+PFllYXI+MjAwMjwvWWVhcj48
SURUZXh0PlVuaXZlcnNpdGllcyBhbmQgS25vd2xlZGdlOiBSZXN0cnVjdHVyaW5nIHRoZSBDaXR5
IG9mIEludGVsbGVjdDwvSURUZXh0PjxEaXNwbGF5VGV4dD4oQi4gUi4gQ2xhcmssIDE5ODM7IEd1
bXBvcnQsIDIwMDI7IEhvZmZtYW4sIDIwMTE7IEouIFcuIE1leWVyICZhbXA7IFJvd2FuLCAxOTc3
OyBQZXR0aWdyZXcgJmFtcDsgU3RhcmtleSwgMjAxNik8L0Rpc3BsYXlUZXh0PjxyZWNvcmQ+PHRp
dGxlcz48dGl0bGU+VW5pdmVyc2l0aWVzIGFuZCBLbm93bGVkZ2U6IFJlc3RydWN0dXJpbmcgdGhl
IENpdHkgb2YgSW50ZWxsZWN0PC90aXRsZT48c2Vjb25kYXJ5LXRpdGxlPlRoZSBGdXR1cmUgb2Yg
dGhlIENpdHkgb2YgSW50ZWxsZWN0OiBUaGUgQ2hhbmdpbmcgQW1lcmljYW4gVW5pdmVyc2l0eTwv
c2Vjb25kYXJ5LXRpdGxlPjwvdGl0bGVzPjxjb250cmlidXRvcnM+PGF1dGhvcnM+PGF1dGhvcj5H
dW1wb3J0LCBQYXRyaWNpYSBKLjwvYXV0aG9yPjwvYXV0aG9ycz48L2NvbnRyaWJ1dG9ycz48YWRk
ZWQtZGF0ZSBmb3JtYXQ9InV0YyI+MTQ5MDk5Njc3NDwvYWRkZWQtZGF0ZT48cHViLWxvY2F0aW9u
PlN0YW5mb3JkPC9wdWItbG9jYXRpb24+PHJlZi10eXBlIG5hbWU9IkJvb2sgU2VjdGlvbiI+NTwv
cmVmLXR5cGU+PGRhdGVzPjx5ZWFyPjIwMDI8L3llYXI+PC9kYXRlcz48cmVjLW51bWJlcj42Njg4
PC9yZWMtbnVtYmVyPjxwdWJsaXNoZXI+U3RhbmZvcmQgVW5pdmVyc2l0eSBQcmVzczwvcHVibGlz
aGVyPjxsYXN0LXVwZGF0ZWQtZGF0ZSBmb3JtYXQ9InV0YyI+MTUwNTM3OTYxNjwvbGFzdC11cGRh
dGVkLWRhdGU+PGNvbnRyaWJ1dG9ycz48c2Vjb25kYXJ5LWF1dGhvcnM+PGF1dGhvcj5CcmludCwg
U3RldmVuIEcuPC9hdXRob3I+PC9zZWNvbmRhcnktYXV0aG9ycz48L2NvbnRyaWJ1dG9ycz48L3Jl
Y29yZD48L0NpdGU+PENpdGU+PEF1dGhvcj5DbGFyazwvQXV0aG9yPjxZZWFyPjE5ODM8L1llYXI+
PElEVGV4dD5UaGUgaGlnaGVyIGVkdWNhdGlvbiBzeXN0ZW06IGFjYWRlbWljIG9yZ2FuaXNhdGlv
biBpbiBjcm9zcy1uYXRpb25hbCBwZXJzcGVjdGl2ZTwvSURUZXh0PjxyZWNvcmQ+PGtleXdvcmRz
PjxrZXl3b3JkPkVkdWNhdGlvbiwgSGlnaGVyPC9rZXl3b3JkPjxrZXl3b3JkPkVkdWNhdGlvbiwg
SGlnaGVyPC9rZXl3b3JkPjxrZXl3b3JkPkhpZ2hlciBlZHVjYXRpb24gQ29tcGFyYXRpdmUgc3R1
ZGllczwva2V5d29yZD48L2tleXdvcmRzPjx0aXRsZXM+PHRpdGxlPlRoZSBoaWdoZXIgZWR1Y2F0
aW9uIHN5c3RlbTogYWNhZGVtaWMgb3JnYW5pc2F0aW9uIGluIGNyb3NzLW5hdGlvbmFsIHBlcnNw
ZWN0aXZlPC90aXRsZT48L3RpdGxlcz48Y29udHJpYnV0b3JzPjxhdXRob3JzPjxhdXRob3I+Q2xh
cmssIEJ1cnRvbiBSLjwvYXV0aG9yPjwvYXV0aG9ycz48L2NvbnRyaWJ1dG9ycz48YWRkZWQtZGF0
ZSBmb3JtYXQ9InV0YyI+MTQ1ODEzOTU0ODwvYWRkZWQtZGF0ZT48cHViLWxvY2F0aW9uPkxvbmRv
bjwvcHViLWxvY2F0aW9uPjxyZWYtdHlwZSBuYW1lPSJCb29rIj42PC9yZWYtdHlwZT48ZGF0ZXM+
PHllYXI+MTk4MzwveWVhcj48L2RhdGVzPjxyZWMtbnVtYmVyPjI5NDwvcmVjLW51bWJlcj48cHVi
bGlzaGVyPlVuaXZlcnNpdHkgb2YgQ2FsaWZvcm5pYSBQcmVzczwvcHVibGlzaGVyPjxsYXN0LXVw
ZGF0ZWQtZGF0ZSBmb3JtYXQ9InV0YyI+MTQ3MDk5NjkzMjwvbGFzdC11cGRhdGVkLWRhdGU+PC9y
ZWNvcmQ+PC9DaXRlPjxDaXRlPjxBdXRob3I+SG9mZm1hbjwvQXV0aG9yPjxZZWFyPjIwMTE8L1ll
YXI+PElEVGV4dD5UaGUgbmV3IHRvb2xzIG9mIHRoZSBzY2llbmNlIHRyYWRlOiBjb250ZXN0ZWQg
a25vd2xlZGdlIHByb2R1Y3Rpb24gYW5kIHRoZSBjb25jZXB0dWFsIHZvY2FidWxhcmllcyBvZiBh
Y2FkZW1pYyBjYXBpdGFsaXNtPC9JRFRleHQ+PHJlY29yZD48a2V5d29yZHM+PGtleXdvcmQ+T3Jn
YW5pc2F0aW9uczwva2V5d29yZD48a2V5d29yZD5JbnN0aXR1dGlvbmFsIENoYW5nZTwva2V5d29y
ZD48a2V5d29yZD5Vbml2ZXJzaXR54oCTaW5kdXN0cnkgUmVsYXRpb25zPC9rZXl3b3JkPjxrZXl3
b3JkPlNjaWVuY2U8L2tleXdvcmQ+PGtleXdvcmQ+S25vd2xlZGdlIFByb2R1Y3Rpb248L2tleXdv
cmQ+PC9rZXl3b3Jkcz48aXNibj4wOTY0LTAyODI8L2lzYm4+PHRpdGxlcz48dGl0bGU+VGhlIG5l
dyB0b29scyBvZiB0aGUgc2NpZW5jZSB0cmFkZTogY29udGVzdGVkIGtub3dsZWRnZSBwcm9kdWN0
aW9uIGFuZCB0aGUgY29uY2VwdHVhbCB2b2NhYnVsYXJpZXMgb2YgYWNhZGVtaWMgY2FwaXRhbGlz
bTwvdGl0bGU+PHNlY29uZGFyeS10aXRsZT5Tb2NpYWwgQW50aHJvcG9sb2d5PC9zZWNvbmRhcnkt
dGl0bGU+PC90aXRsZXM+PHBhZ2VzPjQzOS00NjI8L3BhZ2VzPjxudW1iZXI+NDwvbnVtYmVyPjxj
b250cmlidXRvcnM+PGF1dGhvcnM+PGF1dGhvcj5Ib2ZmbWFuLCBTdGV2ZSBHLjwvYXV0aG9yPjwv
YXV0aG9ycz48L2NvbnRyaWJ1dG9ycz48YWRkZWQtZGF0ZSBmb3JtYXQ9InV0YyI+MTQ1ODY3NDYz
NjwvYWRkZWQtZGF0ZT48cHViLWxvY2F0aW9uPk94Zm9yZCwgVUs8L3B1Yi1sb2NhdGlvbj48cmVm
LXR5cGUgbmFtZT0iSm91cm5hbCBBcnRpY2xlIj4xNzwvcmVmLXR5cGU+PGRhdGVzPjx5ZWFyPjIw
MTE8L3llYXI+PC9kYXRlcz48cmVjLW51bWJlcj4zMTk8L3JlYy1udW1iZXI+PGxhc3QtdXBkYXRl
ZC1kYXRlIGZvcm1hdD0idXRjIj4xNDY5MjE1NDY4PC9sYXN0LXVwZGF0ZWQtZGF0ZT48ZWxlY3Ry
b25pYy1yZXNvdXJjZS1udW0+MTAuMTExMS9qLjE0NjktODY3Ni4yMDExLjAwMTgwLng8L2VsZWN0
cm9uaWMtcmVzb3VyY2UtbnVtPjx2b2x1bWU+MTk8L3ZvbHVtZT48L3JlY29yZD48L0NpdGU+PENp
dGU+PEF1dGhvcj5QZXR0aWdyZXc8L0F1dGhvcj48WWVhcj4yMDE2PC9ZZWFyPjxJRFRleHQ+RnJv
bSB0aGUgZ3Vlc3QgZWRpdG9yczogVGhlIGxlZ2l0aW1hY3kgYW5kIGltcGFjdCBvZiBidXNpbmVz
cyBzY2hvb2xzLWtleSBpc3N1ZXMgYW5kIGEgcmVzZWFyY2ggYWdlbmRhPC9JRFRleHQ+PHJlY29y
ZD48dXJscz48cmVsYXRlZC11cmxzPjx1cmw+aHR0cHM6Ly93d3cuc2NvcHVzLmNvbS9pbndhcmQv
cmVjb3JkLnVyaT9laWQ9Mi1zMi4wLTg1MDEyOTAwNTc5JmFtcDtkb2k9MTAuNTQ2NSUyZmFtbGUu
MjAxNi4wMjk2JmFtcDtwYXJ0bmVySUQ9NDAmYW1wO21kNT1hYzI3YThiY2U1NzI0MTZhNzJhYzlj
YjgxNjM5NmIzOTwvdXJsPjwvcmVsYXRlZC11cmxzPjwvdXJscz48d29yay10eXBlPlJldmlldzwv
d29yay10eXBlPjx0aXRsZXM+PHRpdGxlPkZyb20gdGhlIGd1ZXN0IGVkaXRvcnM6IFRoZSBsZWdp
dGltYWN5IGFuZCBpbXBhY3Qgb2YgYnVzaW5lc3Mgc2Nob29scy1rZXkgaXNzdWVzIGFuZCBhIHJl
c2VhcmNoIGFnZW5kYTwvdGl0bGU+PHNlY29uZGFyeS10aXRsZT5BY2FkZW15IG9mIE1hbmFnZW1l
bnQgTGVhcm5pbmcgYW5kIEVkdWNhdGlvbjwvc2Vjb25kYXJ5LXRpdGxlPjwvdGl0bGVzPjxwYWdl
cz42NDktNjY0PC9wYWdlcz48bnVtYmVyPjQ8L251bWJlcj48Y29udHJpYnV0b3JzPjxhdXRob3Jz
PjxhdXRob3I+UGV0dGlncmV3LCBBLjwvYXV0aG9yPjxhdXRob3I+U3RhcmtleSwgSy48L2F1dGhv
cj48L2F1dGhvcnM+PC9jb250cmlidXRvcnM+PGxhbmd1YWdlPkVuZ2xpc2g8L2xhbmd1YWdlPjxh
ZGRlZC1kYXRlIGZvcm1hdD0idXRjIj4xNDkyNzY0MDc0PC9hZGRlZC1kYXRlPjxyZWYtdHlwZSBu
YW1lPSJKb3VybmFsIEFydGljbGUiPjE3PC9yZWYtdHlwZT48YXV0aC1hZGRyZXNzPlVuaXZlcnNp
dHkgb2YgT3hmb3JkLCBVbml0ZWQgS2luZ2RvbSYjeEQ7VW5pdmVyc2l0eSBvZiBOb3R0aW5naGFt
LCBVbml0ZWQgS2luZ2RvbTwvYXV0aC1hZGRyZXNzPjxkYXRlcz48eWVhcj4yMDE2PC95ZWFyPjwv
ZGF0ZXM+PHJlYy1udW1iZXI+NjczNDwvcmVjLW51bWJlcj48cHVibGlzaGVyPkdlb3JnZSBXYXNo
aW5ndG9uIFVuaXZlcnNpdHk8L3B1Ymxpc2hlcj48bGFzdC11cGRhdGVkLWRhdGUgZm9ybWF0PSJ1
dGMiPjE0OTI3NjQwNzQ8L2xhc3QtdXBkYXRlZC1kYXRlPjxlbGVjdHJvbmljLXJlc291cmNlLW51
bT4xMC41NDY1L2FtbGUuMjAxNi4wMjk2PC9lbGVjdHJvbmljLXJlc291cmNlLW51bT48dm9sdW1l
PjE1PC92b2x1bWU+PHJlbW90ZS1kYXRhYmFzZS1uYW1lPlNjb3B1czwvcmVtb3RlLWRhdGFiYXNl
LW5hbWU+PC9yZWNvcmQ+PC9DaXRlPjxDaXRlPjxBdXRob3I+TWV5ZXI8L0F1dGhvcj48WWVhcj4x
OTc3PC9ZZWFyPjxJRFRleHQ+SW5zdGl0dXRpb25hbGl6ZWQgT3JnYW5pemF0aW9uczogRm9ybWFs
IFN0cnVjdHVyZSBhcyBNeXRoIGFuZCBDZXJlbW9ueTwvSURUZXh0PjxyZWNvcmQ+PGlzYm4+MDAw
Mjk2MDI8L2lzYm4+PHRpdGxlcz48dGl0bGU+SW5zdGl0dXRpb25hbGl6ZWQgT3JnYW5pemF0aW9u
czogRm9ybWFsIFN0cnVjdHVyZSBhcyBNeXRoIGFuZCBDZXJlbW9ueTwvdGl0bGU+PHNlY29uZGFy
eS10aXRsZT5BbWVyaWNhbiBKb3VybmFsIG9mIFNvY2lvbG9neTwvc2Vjb25kYXJ5LXRpdGxlPjwv
dGl0bGVzPjxwYWdlcz4zNDAtMzYzPC9wYWdlcz48bnVtYmVyPjI8L251bWJlcj48Y29udHJpYnV0
b3JzPjxhdXRob3JzPjxhdXRob3I+TWV5ZXIsIEpvaG4gVy48L2F1dGhvcj48YXV0aG9yPlJvd2Fu
LCBCcmlhbjwvYXV0aG9yPjwvYXV0aG9ycz48L2NvbnRyaWJ1dG9ycz48YWRkZWQtZGF0ZSBmb3Jt
YXQ9InV0YyI+MTQ5MjE1OTM5MjwvYWRkZWQtZGF0ZT48cmVmLXR5cGUgbmFtZT0iSm91cm5hbCBB
cnRpY2xlIj4xNzwvcmVmLXR5cGU+PGRhdGVzPjx5ZWFyPjE5Nzc8L3llYXI+PC9kYXRlcz48cmVj
LW51bWJlcj42NzEzPC9yZWMtbnVtYmVyPjxsYXN0LXVwZGF0ZWQtZGF0ZSBmb3JtYXQ9InV0YyI+
MTUwNTM3OTYxNjwvbGFzdC11cGRhdGVkLWRhdGU+PGVsZWN0cm9uaWMtcmVzb3VyY2UtbnVtPjEw
LjEwODYvMjI2NTUwPC9lbGVjdHJvbmljLXJlc291cmNlLW51bT48dm9sdW1lPjgzPC92b2x1bWU+
PC9yZWNvcmQ+PC9DaXRlPjwvRW5kTm90ZT5=
</w:fldData>
        </w:fldChar>
      </w:r>
      <w:r>
        <w:instrText xml:space="preserve"> ADDIN EN.CITE.DATA </w:instrText>
      </w:r>
      <w:r>
        <w:fldChar w:fldCharType="end"/>
      </w:r>
      <w:r w:rsidRPr="00590F06">
        <w:fldChar w:fldCharType="separate"/>
      </w:r>
      <w:r>
        <w:rPr>
          <w:noProof/>
        </w:rPr>
        <w:t>(B. R. Clark, 1983; Gumport, 2002; Hoffman, 2011; J. W. Meyer &amp; Rowan, 1977; Pettigrew &amp; Starkey, 2016)</w:t>
      </w:r>
      <w:r w:rsidRPr="00590F06">
        <w:fldChar w:fldCharType="end"/>
      </w:r>
      <w:r w:rsidRPr="00590F06">
        <w:t xml:space="preserve">. </w:t>
      </w:r>
    </w:p>
    <w:p w14:paraId="5B182CFF" w14:textId="106C8136" w:rsidR="00FD7CF3" w:rsidRDefault="00876764" w:rsidP="00B710F3">
      <w:pPr>
        <w:pStyle w:val="Heading3"/>
      </w:pPr>
      <w:bookmarkStart w:id="21" w:name="_Toc31701937"/>
      <w:r>
        <w:t>Analysing the impact agenda</w:t>
      </w:r>
      <w:r w:rsidR="00FD7CF3">
        <w:t xml:space="preserve"> through </w:t>
      </w:r>
      <w:r w:rsidR="00844A96">
        <w:t>a</w:t>
      </w:r>
      <w:r w:rsidR="00FD7CF3">
        <w:t xml:space="preserve"> Bernsteinian ‘boundary’ lens</w:t>
      </w:r>
      <w:bookmarkEnd w:id="21"/>
    </w:p>
    <w:p w14:paraId="46230D49" w14:textId="031524D8" w:rsidR="00F8139A" w:rsidRDefault="00FD7CF3" w:rsidP="00F8139A">
      <w:pPr>
        <w:spacing w:after="120" w:line="360" w:lineRule="auto"/>
        <w:rPr>
          <w:sz w:val="24"/>
          <w:szCs w:val="24"/>
        </w:rPr>
      </w:pPr>
      <w:r>
        <w:rPr>
          <w:sz w:val="24"/>
          <w:szCs w:val="24"/>
        </w:rPr>
        <w:t>Commentators have noted</w:t>
      </w:r>
      <w:r w:rsidRPr="00020D5A">
        <w:rPr>
          <w:sz w:val="24"/>
          <w:szCs w:val="24"/>
        </w:rPr>
        <w:t xml:space="preserve"> “ambiguities” </w:t>
      </w:r>
      <w:r w:rsidRPr="00020D5A">
        <w:rPr>
          <w:sz w:val="24"/>
          <w:szCs w:val="24"/>
        </w:rPr>
        <w:fldChar w:fldCharType="begin">
          <w:fldData xml:space="preserve">PEVuZE5vdGU+PENpdGU+PEF1dGhvcj5XYXRlcm1leWVyPC9BdXRob3I+PFllYXI+MjAxODwvWWVh
cj48SURUZXh0PkV2YWx1YXRpbmcg4oCYaW1wYWN04oCZIGluIHRoZSBVS+KAmXMgUmVzZWFyY2gg
RXhjZWxsZW5jZSBGcmFtZXdvcmsgKFJFRik6IGxpbWluYWxpdHksIGxvb3NlbmVzcyBhbmQgbmV3
IG1vZGFsaXRpZXMgb2Ygc2Nob2xhcmx5IGRpc3RpbmN0aW9uPC9JRFRleHQ+PFBhZ2VzPjEwPC9Q
YWdlcz48RGlzcGxheVRleHQ+KFBpbmhlaXJvLCBCZW5uZXdvcnRoLCAmYW1wOyBKb25lcywgMjAx
MiwgcC4gMTM7IFdhdGVybWV5ZXIgJmFtcDsgQ2h1YmIsIDIwMTgsIHAuIDEwKTwvRGlzcGxheVRl
eHQ+PHJlY29yZD48a2V5d29yZHM+PGtleXdvcmQ+QXJ0aWNsZTwva2V5d29yZD48a2V5d29yZD5S
ZXNlYXJjaCBGdW5kaW5nIEFuZCBFdmFsdWF0aW9uPC9rZXl3b3JkPjxrZXl3b3JkPlJlc2VhcmNo
IFBvbGljeTwva2V5d29yZD48a2V5d29yZD5SZXNlYXJjaCBJbXBhY3Q8L2tleXdvcmQ+PGtleXdv
cmQ+QWNjb3VudGFiaWxpdHk8L2tleXdvcmQ+PGtleXdvcmQ+UmVzZWFyY2ggRXhjZWxsZW5jZTwv
a2V5d29yZD48L2tleXdvcmRzPjxpc2JuPjAzMDctNTA3OTwvaXNibj48dGl0bGVzPjx0aXRsZT5F
dmFsdWF0aW5nIOKAmGltcGFjdOKAmSBpbiB0aGUgVUvigJlzIFJlc2VhcmNoIEV4Y2VsbGVuY2Ug
RnJhbWV3b3JrIChSRUYpOiBsaW1pbmFsaXR5LCBsb29zZW5lc3MgYW5kIG5ldyBtb2RhbGl0aWVz
IG9mIHNjaG9sYXJseSBkaXN0aW5jdGlvbjwvdGl0bGU+PHNlY29uZGFyeS10aXRsZT5TdHVkaWVz
IGluIEhpZ2hlciBFZHVjYXRpb248L3NlY29uZGFyeS10aXRsZT48L3RpdGxlcz48cGFnZXM+MS0x
MzwvcGFnZXM+PGNvbnRyaWJ1dG9ycz48YXV0aG9ycz48YXV0aG9yPldhdGVybWV5ZXIsIFJpY2hh
cmQ8L2F1dGhvcj48YXV0aG9yPkNodWJiLCBKZW5uaWZlcjwvYXV0aG9yPjwvYXV0aG9ycz48L2Nv
bnRyaWJ1dG9ycz48YWRkZWQtZGF0ZSBmb3JtYXQ9InV0YyI+MTUzMDg4MjI5NTwvYWRkZWQtZGF0
ZT48cmVmLXR5cGUgbmFtZT0iSm91cm5hbCBBcnRpY2xlIj4xNzwvcmVmLXR5cGU+PGRhdGVzPjx5
ZWFyPjIwMTg8L3llYXI+PC9kYXRlcz48cmVjLW51bWJlcj43NjAzPC9yZWMtbnVtYmVyPjxwdWJs
aXNoZXI+Um91dGxlZGdlPC9wdWJsaXNoZXI+PGxhc3QtdXBkYXRlZC1kYXRlIGZvcm1hdD0idXRj
Ij4xNTMwODgyMjk1PC9sYXN0LXVwZGF0ZWQtZGF0ZT48ZWxlY3Ryb25pYy1yZXNvdXJjZS1udW0+
MTAuMTA4MC8wMzA3NTA3OS4yMDE4LjE0NTUwODI8L2VsZWN0cm9uaWMtcmVzb3VyY2UtbnVtPjwv
cmVjb3JkPjwvQ2l0ZT48Q2l0ZT48QXV0aG9yPlBpbmhlaXJvPC9BdXRob3I+PFllYXI+MjAxMjwv
WWVhcj48SURUZXh0PlVuaXZlcnNpdGllcyBhbmQgUmVnaW9uYWwgRGV2ZWxvcG1lbnQ6IEEgQ3Jp
dGljYWwgQXNzZXNzbWVudCBvZiBUZW5zaW9ucyBhbmQgQ29udHJhZGljdGlvbnM8L0lEVGV4dD48
UGFnZXM+MTM8L1BhZ2VzPjxyZWNvcmQ+PHVybHM+PHJlbGF0ZWQtdXJscz48dXJsPmh0dHBzOi8v
Ym9va3MuZ29vZ2xlLmNvLnVrL2Jvb2tzP2lkPWxIeEVDTTNFeG1RQzwvdXJsPjwvcmVsYXRlZC11
cmxzPjwvdXJscz48aXNibj45NzgxMTM2MjgxNzc4PC9pc2JuPjx0aXRsZXM+PHRpdGxlPlVuaXZl
cnNpdGllcyBhbmQgUmVnaW9uYWwgRGV2ZWxvcG1lbnQ6IEEgQ3JpdGljYWwgQXNzZXNzbWVudCBv
ZiBUZW5zaW9ucyBhbmQgQ29udHJhZGljdGlvbnM8L3RpdGxlPjwvdGl0bGVzPjxjb250cmlidXRv
cnM+PGF1dGhvcnM+PGF1dGhvcj5QaW5oZWlybywgUi48L2F1dGhvcj48YXV0aG9yPkJlbm5ld29y
dGgsIFAuPC9hdXRob3I+PGF1dGhvcj5Kb25lcywgRy5BLjwvYXV0aG9yPjwvYXV0aG9ycz48L2Nv
bnRyaWJ1dG9ycz48YWRkZWQtZGF0ZSBmb3JtYXQ9InV0YyI+MTUzMjE1NTQzNzwvYWRkZWQtZGF0
ZT48cHViLWxvY2F0aW9uPk94b248L3B1Yi1sb2NhdGlvbj48cmVmLXR5cGUgbmFtZT0iRWRpdGVk
IEJvb2siPjI4PC9yZWYtdHlwZT48ZGF0ZXM+PHllYXI+MjAxMjwveWVhcj48L2RhdGVzPjxyZWMt
bnVtYmVyPjc2MjA8L3JlYy1udW1iZXI+PHB1Ymxpc2hlcj5UYXlsb3IgJmFtcDsgRnJhbmNpczwv
cHVibGlzaGVyPjxsYXN0LXVwZGF0ZWQtZGF0ZSBmb3JtYXQ9InV0YyI+MTUzMjE1NTY2NTwvbGFz
dC11cGRhdGVkLWRhdGU+PC9yZWNvcmQ+PC9DaXRlPjwvRW5kTm90ZT4A
</w:fldData>
        </w:fldChar>
      </w:r>
      <w:r w:rsidRPr="00020D5A">
        <w:rPr>
          <w:sz w:val="24"/>
          <w:szCs w:val="24"/>
        </w:rPr>
        <w:instrText xml:space="preserve"> ADDIN EN.CITE </w:instrText>
      </w:r>
      <w:r w:rsidRPr="00020D5A">
        <w:rPr>
          <w:sz w:val="24"/>
          <w:szCs w:val="24"/>
        </w:rPr>
        <w:fldChar w:fldCharType="begin">
          <w:fldData xml:space="preserve">PEVuZE5vdGU+PENpdGU+PEF1dGhvcj5XYXRlcm1leWVyPC9BdXRob3I+PFllYXI+MjAxODwvWWVh
cj48SURUZXh0PkV2YWx1YXRpbmcg4oCYaW1wYWN04oCZIGluIHRoZSBVS+KAmXMgUmVzZWFyY2gg
RXhjZWxsZW5jZSBGcmFtZXdvcmsgKFJFRik6IGxpbWluYWxpdHksIGxvb3NlbmVzcyBhbmQgbmV3
IG1vZGFsaXRpZXMgb2Ygc2Nob2xhcmx5IGRpc3RpbmN0aW9uPC9JRFRleHQ+PFBhZ2VzPjEwPC9Q
YWdlcz48RGlzcGxheVRleHQ+KFBpbmhlaXJvLCBCZW5uZXdvcnRoLCAmYW1wOyBKb25lcywgMjAx
MiwgcC4gMTM7IFdhdGVybWV5ZXIgJmFtcDsgQ2h1YmIsIDIwMTgsIHAuIDEwKTwvRGlzcGxheVRl
eHQ+PHJlY29yZD48a2V5d29yZHM+PGtleXdvcmQ+QXJ0aWNsZTwva2V5d29yZD48a2V5d29yZD5S
ZXNlYXJjaCBGdW5kaW5nIEFuZCBFdmFsdWF0aW9uPC9rZXl3b3JkPjxrZXl3b3JkPlJlc2VhcmNo
IFBvbGljeTwva2V5d29yZD48a2V5d29yZD5SZXNlYXJjaCBJbXBhY3Q8L2tleXdvcmQ+PGtleXdv
cmQ+QWNjb3VudGFiaWxpdHk8L2tleXdvcmQ+PGtleXdvcmQ+UmVzZWFyY2ggRXhjZWxsZW5jZTwv
a2V5d29yZD48L2tleXdvcmRzPjxpc2JuPjAzMDctNTA3OTwvaXNibj48dGl0bGVzPjx0aXRsZT5F
dmFsdWF0aW5nIOKAmGltcGFjdOKAmSBpbiB0aGUgVUvigJlzIFJlc2VhcmNoIEV4Y2VsbGVuY2Ug
RnJhbWV3b3JrIChSRUYpOiBsaW1pbmFsaXR5LCBsb29zZW5lc3MgYW5kIG5ldyBtb2RhbGl0aWVz
IG9mIHNjaG9sYXJseSBkaXN0aW5jdGlvbjwvdGl0bGU+PHNlY29uZGFyeS10aXRsZT5TdHVkaWVz
IGluIEhpZ2hlciBFZHVjYXRpb248L3NlY29uZGFyeS10aXRsZT48L3RpdGxlcz48cGFnZXM+MS0x
MzwvcGFnZXM+PGNvbnRyaWJ1dG9ycz48YXV0aG9ycz48YXV0aG9yPldhdGVybWV5ZXIsIFJpY2hh
cmQ8L2F1dGhvcj48YXV0aG9yPkNodWJiLCBKZW5uaWZlcjwvYXV0aG9yPjwvYXV0aG9ycz48L2Nv
bnRyaWJ1dG9ycz48YWRkZWQtZGF0ZSBmb3JtYXQ9InV0YyI+MTUzMDg4MjI5NTwvYWRkZWQtZGF0
ZT48cmVmLXR5cGUgbmFtZT0iSm91cm5hbCBBcnRpY2xlIj4xNzwvcmVmLXR5cGU+PGRhdGVzPjx5
ZWFyPjIwMTg8L3llYXI+PC9kYXRlcz48cmVjLW51bWJlcj43NjAzPC9yZWMtbnVtYmVyPjxwdWJs
aXNoZXI+Um91dGxlZGdlPC9wdWJsaXNoZXI+PGxhc3QtdXBkYXRlZC1kYXRlIGZvcm1hdD0idXRj
Ij4xNTMwODgyMjk1PC9sYXN0LXVwZGF0ZWQtZGF0ZT48ZWxlY3Ryb25pYy1yZXNvdXJjZS1udW0+
MTAuMTA4MC8wMzA3NTA3OS4yMDE4LjE0NTUwODI8L2VsZWN0cm9uaWMtcmVzb3VyY2UtbnVtPjwv
cmVjb3JkPjwvQ2l0ZT48Q2l0ZT48QXV0aG9yPlBpbmhlaXJvPC9BdXRob3I+PFllYXI+MjAxMjwv
WWVhcj48SURUZXh0PlVuaXZlcnNpdGllcyBhbmQgUmVnaW9uYWwgRGV2ZWxvcG1lbnQ6IEEgQ3Jp
dGljYWwgQXNzZXNzbWVudCBvZiBUZW5zaW9ucyBhbmQgQ29udHJhZGljdGlvbnM8L0lEVGV4dD48
UGFnZXM+MTM8L1BhZ2VzPjxyZWNvcmQ+PHVybHM+PHJlbGF0ZWQtdXJscz48dXJsPmh0dHBzOi8v
Ym9va3MuZ29vZ2xlLmNvLnVrL2Jvb2tzP2lkPWxIeEVDTTNFeG1RQzwvdXJsPjwvcmVsYXRlZC11
cmxzPjwvdXJscz48aXNibj45NzgxMTM2MjgxNzc4PC9pc2JuPjx0aXRsZXM+PHRpdGxlPlVuaXZl
cnNpdGllcyBhbmQgUmVnaW9uYWwgRGV2ZWxvcG1lbnQ6IEEgQ3JpdGljYWwgQXNzZXNzbWVudCBv
ZiBUZW5zaW9ucyBhbmQgQ29udHJhZGljdGlvbnM8L3RpdGxlPjwvdGl0bGVzPjxjb250cmlidXRv
cnM+PGF1dGhvcnM+PGF1dGhvcj5QaW5oZWlybywgUi48L2F1dGhvcj48YXV0aG9yPkJlbm5ld29y
dGgsIFAuPC9hdXRob3I+PGF1dGhvcj5Kb25lcywgRy5BLjwvYXV0aG9yPjwvYXV0aG9ycz48L2Nv
bnRyaWJ1dG9ycz48YWRkZWQtZGF0ZSBmb3JtYXQ9InV0YyI+MTUzMjE1NTQzNzwvYWRkZWQtZGF0
ZT48cHViLWxvY2F0aW9uPk94b248L3B1Yi1sb2NhdGlvbj48cmVmLXR5cGUgbmFtZT0iRWRpdGVk
IEJvb2siPjI4PC9yZWYtdHlwZT48ZGF0ZXM+PHllYXI+MjAxMjwveWVhcj48L2RhdGVzPjxyZWMt
bnVtYmVyPjc2MjA8L3JlYy1udW1iZXI+PHB1Ymxpc2hlcj5UYXlsb3IgJmFtcDsgRnJhbmNpczwv
cHVibGlzaGVyPjxsYXN0LXVwZGF0ZWQtZGF0ZSBmb3JtYXQ9InV0YyI+MTUzMjE1NTY2NTwvbGFz
dC11cGRhdGVkLWRhdGU+PC9yZWNvcmQ+PC9DaXRlPjwvRW5kTm90ZT4A
</w:fldData>
        </w:fldChar>
      </w:r>
      <w:r w:rsidRPr="00020D5A">
        <w:rPr>
          <w:sz w:val="24"/>
          <w:szCs w:val="24"/>
        </w:rPr>
        <w:instrText xml:space="preserve"> ADDIN EN.CITE.DATA </w:instrText>
      </w:r>
      <w:r w:rsidRPr="00020D5A">
        <w:rPr>
          <w:sz w:val="24"/>
          <w:szCs w:val="24"/>
        </w:rPr>
      </w:r>
      <w:r w:rsidRPr="00020D5A">
        <w:rPr>
          <w:sz w:val="24"/>
          <w:szCs w:val="24"/>
        </w:rPr>
        <w:fldChar w:fldCharType="end"/>
      </w:r>
      <w:r w:rsidRPr="00020D5A">
        <w:rPr>
          <w:sz w:val="24"/>
          <w:szCs w:val="24"/>
        </w:rPr>
      </w:r>
      <w:r w:rsidRPr="00020D5A">
        <w:rPr>
          <w:sz w:val="24"/>
          <w:szCs w:val="24"/>
        </w:rPr>
        <w:fldChar w:fldCharType="separate"/>
      </w:r>
      <w:r w:rsidRPr="00020D5A">
        <w:rPr>
          <w:noProof/>
          <w:sz w:val="24"/>
          <w:szCs w:val="24"/>
        </w:rPr>
        <w:t>(Pinheiro, Benneworth, &amp; Jones, 2012, p. 13; Watermeyer &amp; Chubb, 2018, p. 10)</w:t>
      </w:r>
      <w:r w:rsidRPr="00020D5A">
        <w:rPr>
          <w:sz w:val="24"/>
          <w:szCs w:val="24"/>
        </w:rPr>
        <w:fldChar w:fldCharType="end"/>
      </w:r>
      <w:r w:rsidRPr="00020D5A">
        <w:rPr>
          <w:sz w:val="24"/>
          <w:szCs w:val="24"/>
        </w:rPr>
        <w:t xml:space="preserve"> </w:t>
      </w:r>
      <w:r>
        <w:rPr>
          <w:sz w:val="24"/>
          <w:szCs w:val="24"/>
        </w:rPr>
        <w:t>associated with the</w:t>
      </w:r>
      <w:r w:rsidRPr="00020D5A">
        <w:rPr>
          <w:sz w:val="24"/>
          <w:szCs w:val="24"/>
        </w:rPr>
        <w:t xml:space="preserve"> impact agenda</w:t>
      </w:r>
      <w:r>
        <w:rPr>
          <w:sz w:val="24"/>
          <w:szCs w:val="24"/>
        </w:rPr>
        <w:t xml:space="preserve"> and related imperatives, ultimately deriving from the paradoxical situation whereby</w:t>
      </w:r>
      <w:r w:rsidRPr="00020D5A">
        <w:rPr>
          <w:sz w:val="24"/>
          <w:szCs w:val="24"/>
        </w:rPr>
        <w:t xml:space="preserve"> academia is</w:t>
      </w:r>
      <w:r>
        <w:rPr>
          <w:sz w:val="24"/>
          <w:szCs w:val="24"/>
        </w:rPr>
        <w:t>,</w:t>
      </w:r>
      <w:r w:rsidRPr="00020D5A">
        <w:rPr>
          <w:sz w:val="24"/>
          <w:szCs w:val="24"/>
        </w:rPr>
        <w:t xml:space="preserve"> on the one hand</w:t>
      </w:r>
      <w:r>
        <w:rPr>
          <w:sz w:val="24"/>
          <w:szCs w:val="24"/>
        </w:rPr>
        <w:t>,</w:t>
      </w:r>
      <w:r w:rsidRPr="00020D5A">
        <w:rPr>
          <w:sz w:val="24"/>
          <w:szCs w:val="24"/>
        </w:rPr>
        <w:t xml:space="preserve"> bounded from wider society and operates </w:t>
      </w:r>
      <w:r>
        <w:rPr>
          <w:sz w:val="24"/>
          <w:szCs w:val="24"/>
        </w:rPr>
        <w:t>somewhat autonomously according to internal criteria of success,</w:t>
      </w:r>
      <w:r w:rsidRPr="00020D5A">
        <w:rPr>
          <w:sz w:val="24"/>
          <w:szCs w:val="24"/>
        </w:rPr>
        <w:t xml:space="preserve"> </w:t>
      </w:r>
      <w:r>
        <w:rPr>
          <w:sz w:val="24"/>
          <w:szCs w:val="24"/>
        </w:rPr>
        <w:t xml:space="preserve">while </w:t>
      </w:r>
      <w:r w:rsidRPr="00020D5A">
        <w:rPr>
          <w:sz w:val="24"/>
          <w:szCs w:val="24"/>
        </w:rPr>
        <w:t xml:space="preserve">on the other hand, </w:t>
      </w:r>
      <w:r>
        <w:rPr>
          <w:sz w:val="24"/>
          <w:szCs w:val="24"/>
        </w:rPr>
        <w:t>academia is being</w:t>
      </w:r>
      <w:r w:rsidRPr="00020D5A">
        <w:rPr>
          <w:sz w:val="24"/>
          <w:szCs w:val="24"/>
        </w:rPr>
        <w:t xml:space="preserve"> increasingly challenged, pressured and influenced by non-academic standards, producers and users of knowledge who have different values, missions and</w:t>
      </w:r>
      <w:r>
        <w:rPr>
          <w:sz w:val="24"/>
          <w:szCs w:val="24"/>
        </w:rPr>
        <w:t xml:space="preserve"> success</w:t>
      </w:r>
      <w:r w:rsidRPr="00020D5A">
        <w:rPr>
          <w:sz w:val="24"/>
          <w:szCs w:val="24"/>
        </w:rPr>
        <w:t xml:space="preserve"> criteria </w:t>
      </w:r>
      <w:r>
        <w:rPr>
          <w:sz w:val="24"/>
          <w:szCs w:val="24"/>
        </w:rPr>
        <w:t>(primarily based on economic value)</w:t>
      </w:r>
      <w:r w:rsidRPr="00020D5A">
        <w:rPr>
          <w:sz w:val="24"/>
          <w:szCs w:val="24"/>
        </w:rPr>
        <w:t xml:space="preserve">. </w:t>
      </w:r>
      <w:r>
        <w:rPr>
          <w:sz w:val="24"/>
          <w:szCs w:val="24"/>
        </w:rPr>
        <w:t xml:space="preserve">The Bernsteinian ‘boundary’ lens adopted in this study, introduced briefly in Chapter 1 and elaborated in Chapter </w:t>
      </w:r>
      <w:r w:rsidR="00913530">
        <w:rPr>
          <w:sz w:val="24"/>
          <w:szCs w:val="24"/>
        </w:rPr>
        <w:t>2</w:t>
      </w:r>
      <w:r>
        <w:rPr>
          <w:sz w:val="24"/>
          <w:szCs w:val="24"/>
        </w:rPr>
        <w:t>, puts these ‘ambiguities’ in an interesting light, by showing that ambiguity is unavoidable because the underpinning tensions are</w:t>
      </w:r>
      <w:r w:rsidR="00931CD4">
        <w:rPr>
          <w:sz w:val="24"/>
          <w:szCs w:val="24"/>
        </w:rPr>
        <w:t xml:space="preserve"> unavoidable, even</w:t>
      </w:r>
      <w:r>
        <w:rPr>
          <w:sz w:val="24"/>
          <w:szCs w:val="24"/>
        </w:rPr>
        <w:t xml:space="preserve"> </w:t>
      </w:r>
      <w:r>
        <w:rPr>
          <w:i/>
          <w:sz w:val="24"/>
          <w:szCs w:val="24"/>
        </w:rPr>
        <w:t>necessary</w:t>
      </w:r>
      <w:r>
        <w:rPr>
          <w:sz w:val="24"/>
          <w:szCs w:val="24"/>
        </w:rPr>
        <w:t>. Like all institutions, academia’s boundaries cannot be</w:t>
      </w:r>
      <w:r w:rsidRPr="000F5DD8">
        <w:rPr>
          <w:sz w:val="24"/>
          <w:szCs w:val="24"/>
        </w:rPr>
        <w:t xml:space="preserve"> completely self-sustaining; </w:t>
      </w:r>
      <w:r>
        <w:rPr>
          <w:sz w:val="24"/>
          <w:szCs w:val="24"/>
        </w:rPr>
        <w:t xml:space="preserve">although grounded primarily on a close relation to ‘transcendental’ knowledge </w:t>
      </w:r>
      <w:r w:rsidRPr="00532D4F">
        <w:rPr>
          <w:sz w:val="24"/>
          <w:szCs w:val="24"/>
        </w:rPr>
        <w:fldChar w:fldCharType="begin">
          <w:fldData xml:space="preserve">PEVuZE5vdGU+PENpdGU+PEF1dGhvcj5CZXJuc3RlaW48L0F1dGhvcj48WWVhcj4yMDAwPC9ZZWFy
PjxJRFRleHQ+UGVkYWdvZ3ksIHN5bWJvbGljIGNvbnRyb2wsIGFuZCBpZGVudGl0eTogVGhlb3J5
LCByZXNlYXJjaCwgY3JpdGlxdWU8L0lEVGV4dD48RGlzcGxheVRleHQ+KEJlcm5zdGVpbiwgMjAw
MDsgc2VlIGFsc28gTmlja29sYWkgZXQgYWwuLCAyMDEyKTwvRGlzcGxheVRleHQ+PHJlY29yZD48
aXNibj4wODQ3Njk1NzZYPC9pc2JuPjx0aXRsZXM+PHRpdGxlPlBlZGFnb2d5LCBzeW1ib2xpYyBj
b250cm9sLCBhbmQgaWRlbnRpdHk6IFRoZW9yeSwgcmVzZWFyY2gsIGNyaXRpcXVlPC90aXRsZT48
L3RpdGxlcz48bnVtYmVyPjQ8L251bWJlcj48Y29udHJpYnV0b3JzPjxhdXRob3JzPjxhdXRob3I+
QmVybnN0ZWluLCBCYXNpbDwvYXV0aG9yPjwvYXV0aG9ycz48L2NvbnRyaWJ1dG9ycz48ZWRpdGlv
bj4ybmQ8L2VkaXRpb24+PGFkZGVkLWRhdGUgZm9ybWF0PSJ1dGMiPjE0NTI3MjU4NTU8L2FkZGVk
LWRhdGU+PHB1Yi1sb2NhdGlvbj5PeGZvcmQ8L3B1Yi1sb2NhdGlvbj48cmVmLXR5cGUgbmFtZT0i
Qm9vayI+NjwvcmVmLXR5cGU+PGRhdGVzPjx5ZWFyPjIwMDA8L3llYXI+PC9kYXRlcz48cmVjLW51
bWJlcj4xODU8L3JlYy1udW1iZXI+PHB1Ymxpc2hlcj5Sb3dtYW4gJmFtcDsgTGl0dGxlZmllbGQ8
L3B1Ymxpc2hlcj48bGFzdC11cGRhdGVkLWRhdGUgZm9ybWF0PSJ1dGMiPjE0Nzc3ODEyMDg8L2xh
c3QtdXBkYXRlZC1kYXRlPjwvcmVjb3JkPjwvQ2l0ZT48Q2l0ZT48QXV0aG9yPk5pY2tvbGFpPC9B
dXRob3I+PFllYXI+MjAxMjwvWWVhcj48SURUZXh0PkNhbiBhIEtub3dsZWRnZSBTYW5jdHVhcnkg
YWxzbyBiZSBhbiBFY29ub21pYyBFbmdpbmU/IFRoZSBNYXJrZXRpemF0aW9uIG9mIEhpZ2hlciBF
ZHVjYXRpb24gYXMgSW5zdGl0dXRpb25hbCBCb3VuZGFyeSBXb3JrPC9JRFRleHQ+PFByZWZpeD5z
ZWUgYWxzbyA8L1ByZWZpeD48cmVjb3JkPjxrZXl3b3Jkcz48a2V5d29yZD5IaWdoZXIgRWR1Y2F0
aW9uPC9rZXl3b3JkPjxrZXl3b3JkPktub3dsZWRnZTwva2V5d29yZD48a2V5d29yZD5Db2xsZWdl
IFN0dWRlbnRzPC9rZXl3b3JkPjxrZXl3b3JkPkxlYXJuaW5nPC9rZXl3b3JkPjxrZXl3b3JkPlN0
dWRlbnRzPC9rZXl3b3JkPjxrZXl3b3JkPk1hcmtldHM8L2tleXdvcmQ+PGtleXdvcmQ+VmFsdWVz
PC9rZXl3b3JkPjxrZXl3b3JkPk9yZ2FuaXphdGlvbmFsIFN0cnVjdHVyZTwva2V5d29yZD48a2V5
d29yZD5DdWx0dXJhbCBHcm91cHM8L2tleXdvcmQ+PGtleXdvcmQ+Q29tcGxleCBPcmdhbml6YXRp
b248L2tleXdvcmQ+PGtleXdvcmQ+QnVyZWF1Y3JhdGljIFN0cnVjdHVyZS9Pcmdhbml6YXRpb25h
bCBTb2Npb2xvZ3k8L2tleXdvcmQ+PGtleXdvcmQ+QXJ0aWNsZTwva2V5d29yZD48L2tleXdvcmRz
Pjxpc2JuPjE3NTEtOTAyMDwvaXNibj48dGl0bGVzPjx0aXRsZT5DYW4gYSBLbm93bGVkZ2UgU2Fu
Y3R1YXJ5IGFsc28gYmUgYW4gRWNvbm9taWMgRW5naW5lPyBUaGUgTWFya2V0aXphdGlvbiBvZiBI
aWdoZXIgRWR1Y2F0aW9uIGFzIEluc3RpdHV0aW9uYWwgQm91bmRhcnkgV29yazwvdGl0bGU+PC90
aXRsZXM+PHBhZ2VzPjIwNS0yMTg8L3BhZ2VzPjxjb250cmlidXRvcnM+PGF1dGhvcnM+PGF1dGhv
cj5OaWNrb2xhaSwgRGFuaWVsIEguPC9hdXRob3I+PGF1dGhvcj5Ib2ZmbWFuLCBTdGV2ZSBHLjwv
YXV0aG9yPjxhdXRob3I+VHJhdXRuZXIsIE1hcnkgTmVsbDwvYXV0aG9yPjwvYXV0aG9ycz48L2Nv
bnRyaWJ1dG9ycz48YWRkZWQtZGF0ZSBmb3JtYXQ9InV0YyI+MTUyMzM3NDA3NDwvYWRkZWQtZGF0
ZT48cHViLWxvY2F0aW9uPk94Zm9yZCwgVUs8L3B1Yi1sb2NhdGlvbj48cmVmLXR5cGUgbmFtZT0i
R2VuZXJpYyI+MTM8L3JlZi10eXBlPjxkYXRlcz48eWVhcj4yMDEyPC95ZWFyPjwvZGF0ZXM+PHJl
Yy1udW1iZXI+NzQ3MDwvcmVjLW51bWJlcj48bGFzdC11cGRhdGVkLWRhdGUgZm9ybWF0PSJ1dGMi
PjE1MjMzNzQwNzQ8L2xhc3QtdXBkYXRlZC1kYXRlPjxlbGVjdHJvbmljLXJlc291cmNlLW51bT4x
MC4xMTExL2ouMTc1MS05MDIwLjIwMTEuMDA0NDkueDwvZWxlY3Ryb25pYy1yZXNvdXJjZS1udW0+
PHZvbHVtZT42PC92b2x1bWU+PC9yZWNvcmQ+PC9DaXRlPjwvRW5kTm90ZT4A
</w:fldData>
        </w:fldChar>
      </w:r>
      <w:r w:rsidRPr="00532D4F">
        <w:rPr>
          <w:sz w:val="24"/>
          <w:szCs w:val="24"/>
        </w:rPr>
        <w:instrText xml:space="preserve"> ADDIN EN.CITE </w:instrText>
      </w:r>
      <w:r w:rsidRPr="00532D4F">
        <w:rPr>
          <w:sz w:val="24"/>
          <w:szCs w:val="24"/>
        </w:rPr>
        <w:fldChar w:fldCharType="begin">
          <w:fldData xml:space="preserve">PEVuZE5vdGU+PENpdGU+PEF1dGhvcj5CZXJuc3RlaW48L0F1dGhvcj48WWVhcj4yMDAwPC9ZZWFy
PjxJRFRleHQ+UGVkYWdvZ3ksIHN5bWJvbGljIGNvbnRyb2wsIGFuZCBpZGVudGl0eTogVGhlb3J5
LCByZXNlYXJjaCwgY3JpdGlxdWU8L0lEVGV4dD48RGlzcGxheVRleHQ+KEJlcm5zdGVpbiwgMjAw
MDsgc2VlIGFsc28gTmlja29sYWkgZXQgYWwuLCAyMDEyKTwvRGlzcGxheVRleHQ+PHJlY29yZD48
aXNibj4wODQ3Njk1NzZYPC9pc2JuPjx0aXRsZXM+PHRpdGxlPlBlZGFnb2d5LCBzeW1ib2xpYyBj
b250cm9sLCBhbmQgaWRlbnRpdHk6IFRoZW9yeSwgcmVzZWFyY2gsIGNyaXRpcXVlPC90aXRsZT48
L3RpdGxlcz48bnVtYmVyPjQ8L251bWJlcj48Y29udHJpYnV0b3JzPjxhdXRob3JzPjxhdXRob3I+
QmVybnN0ZWluLCBCYXNpbDwvYXV0aG9yPjwvYXV0aG9ycz48L2NvbnRyaWJ1dG9ycz48ZWRpdGlv
bj4ybmQ8L2VkaXRpb24+PGFkZGVkLWRhdGUgZm9ybWF0PSJ1dGMiPjE0NTI3MjU4NTU8L2FkZGVk
LWRhdGU+PHB1Yi1sb2NhdGlvbj5PeGZvcmQ8L3B1Yi1sb2NhdGlvbj48cmVmLXR5cGUgbmFtZT0i
Qm9vayI+NjwvcmVmLXR5cGU+PGRhdGVzPjx5ZWFyPjIwMDA8L3llYXI+PC9kYXRlcz48cmVjLW51
bWJlcj4xODU8L3JlYy1udW1iZXI+PHB1Ymxpc2hlcj5Sb3dtYW4gJmFtcDsgTGl0dGxlZmllbGQ8
L3B1Ymxpc2hlcj48bGFzdC11cGRhdGVkLWRhdGUgZm9ybWF0PSJ1dGMiPjE0Nzc3ODEyMDg8L2xh
c3QtdXBkYXRlZC1kYXRlPjwvcmVjb3JkPjwvQ2l0ZT48Q2l0ZT48QXV0aG9yPk5pY2tvbGFpPC9B
dXRob3I+PFllYXI+MjAxMjwvWWVhcj48SURUZXh0PkNhbiBhIEtub3dsZWRnZSBTYW5jdHVhcnkg
YWxzbyBiZSBhbiBFY29ub21pYyBFbmdpbmU/IFRoZSBNYXJrZXRpemF0aW9uIG9mIEhpZ2hlciBF
ZHVjYXRpb24gYXMgSW5zdGl0dXRpb25hbCBCb3VuZGFyeSBXb3JrPC9JRFRleHQ+PFByZWZpeD5z
ZWUgYWxzbyA8L1ByZWZpeD48cmVjb3JkPjxrZXl3b3Jkcz48a2V5d29yZD5IaWdoZXIgRWR1Y2F0
aW9uPC9rZXl3b3JkPjxrZXl3b3JkPktub3dsZWRnZTwva2V5d29yZD48a2V5d29yZD5Db2xsZWdl
IFN0dWRlbnRzPC9rZXl3b3JkPjxrZXl3b3JkPkxlYXJuaW5nPC9rZXl3b3JkPjxrZXl3b3JkPlN0
dWRlbnRzPC9rZXl3b3JkPjxrZXl3b3JkPk1hcmtldHM8L2tleXdvcmQ+PGtleXdvcmQ+VmFsdWVz
PC9rZXl3b3JkPjxrZXl3b3JkPk9yZ2FuaXphdGlvbmFsIFN0cnVjdHVyZTwva2V5d29yZD48a2V5
d29yZD5DdWx0dXJhbCBHcm91cHM8L2tleXdvcmQ+PGtleXdvcmQ+Q29tcGxleCBPcmdhbml6YXRp
b248L2tleXdvcmQ+PGtleXdvcmQ+QnVyZWF1Y3JhdGljIFN0cnVjdHVyZS9Pcmdhbml6YXRpb25h
bCBTb2Npb2xvZ3k8L2tleXdvcmQ+PGtleXdvcmQ+QXJ0aWNsZTwva2V5d29yZD48L2tleXdvcmRz
Pjxpc2JuPjE3NTEtOTAyMDwvaXNibj48dGl0bGVzPjx0aXRsZT5DYW4gYSBLbm93bGVkZ2UgU2Fu
Y3R1YXJ5IGFsc28gYmUgYW4gRWNvbm9taWMgRW5naW5lPyBUaGUgTWFya2V0aXphdGlvbiBvZiBI
aWdoZXIgRWR1Y2F0aW9uIGFzIEluc3RpdHV0aW9uYWwgQm91bmRhcnkgV29yazwvdGl0bGU+PC90
aXRsZXM+PHBhZ2VzPjIwNS0yMTg8L3BhZ2VzPjxjb250cmlidXRvcnM+PGF1dGhvcnM+PGF1dGhv
cj5OaWNrb2xhaSwgRGFuaWVsIEguPC9hdXRob3I+PGF1dGhvcj5Ib2ZmbWFuLCBTdGV2ZSBHLjwv
YXV0aG9yPjxhdXRob3I+VHJhdXRuZXIsIE1hcnkgTmVsbDwvYXV0aG9yPjwvYXV0aG9ycz48L2Nv
bnRyaWJ1dG9ycz48YWRkZWQtZGF0ZSBmb3JtYXQ9InV0YyI+MTUyMzM3NDA3NDwvYWRkZWQtZGF0
ZT48cHViLWxvY2F0aW9uPk94Zm9yZCwgVUs8L3B1Yi1sb2NhdGlvbj48cmVmLXR5cGUgbmFtZT0i
R2VuZXJpYyI+MTM8L3JlZi10eXBlPjxkYXRlcz48eWVhcj4yMDEyPC95ZWFyPjwvZGF0ZXM+PHJl
Yy1udW1iZXI+NzQ3MDwvcmVjLW51bWJlcj48bGFzdC11cGRhdGVkLWRhdGUgZm9ybWF0PSJ1dGMi
PjE1MjMzNzQwNzQ8L2xhc3QtdXBkYXRlZC1kYXRlPjxlbGVjdHJvbmljLXJlc291cmNlLW51bT4x
MC4xMTExL2ouMTc1MS05MDIwLjIwMTEuMDA0NDkueDwvZWxlY3Ryb25pYy1yZXNvdXJjZS1udW0+
PHZvbHVtZT42PC92b2x1bWU+PC9yZWNvcmQ+PC9DaXRlPjwvRW5kTm90ZT4A
</w:fldData>
        </w:fldChar>
      </w:r>
      <w:r w:rsidRPr="00532D4F">
        <w:rPr>
          <w:sz w:val="24"/>
          <w:szCs w:val="24"/>
        </w:rPr>
        <w:instrText xml:space="preserve"> ADDIN EN.CITE.DATA </w:instrText>
      </w:r>
      <w:r w:rsidRPr="00532D4F">
        <w:rPr>
          <w:sz w:val="24"/>
          <w:szCs w:val="24"/>
        </w:rPr>
      </w:r>
      <w:r w:rsidRPr="00532D4F">
        <w:rPr>
          <w:sz w:val="24"/>
          <w:szCs w:val="24"/>
        </w:rPr>
        <w:fldChar w:fldCharType="end"/>
      </w:r>
      <w:r w:rsidRPr="00532D4F">
        <w:rPr>
          <w:sz w:val="24"/>
          <w:szCs w:val="24"/>
        </w:rPr>
      </w:r>
      <w:r w:rsidRPr="00532D4F">
        <w:rPr>
          <w:sz w:val="24"/>
          <w:szCs w:val="24"/>
        </w:rPr>
        <w:fldChar w:fldCharType="separate"/>
      </w:r>
      <w:r w:rsidRPr="00532D4F">
        <w:rPr>
          <w:noProof/>
          <w:sz w:val="24"/>
          <w:szCs w:val="24"/>
        </w:rPr>
        <w:t>(Bernstein, 2000; see also Nickolai et al., 2012)</w:t>
      </w:r>
      <w:r w:rsidRPr="00532D4F">
        <w:rPr>
          <w:sz w:val="24"/>
          <w:szCs w:val="24"/>
        </w:rPr>
        <w:fldChar w:fldCharType="end"/>
      </w:r>
      <w:r>
        <w:rPr>
          <w:sz w:val="24"/>
          <w:szCs w:val="24"/>
        </w:rPr>
        <w:t xml:space="preserve">, academia cannot survive if it ignores the everyday; boundaries must, at least occasionally, be crossed, and this </w:t>
      </w:r>
      <w:r w:rsidRPr="00020D5A">
        <w:rPr>
          <w:rFonts w:eastAsia="MalgunNew Roman"/>
          <w:sz w:val="24"/>
          <w:szCs w:val="24"/>
        </w:rPr>
        <w:t xml:space="preserve">“can create ambiguity” </w:t>
      </w:r>
      <w:r w:rsidRPr="00020D5A">
        <w:rPr>
          <w:rFonts w:eastAsia="MalgunNew Roman"/>
          <w:sz w:val="24"/>
          <w:szCs w:val="24"/>
        </w:rPr>
        <w:fldChar w:fldCharType="begin"/>
      </w:r>
      <w:r>
        <w:rPr>
          <w:rFonts w:eastAsia="MalgunNew Roman"/>
          <w:sz w:val="24"/>
          <w:szCs w:val="24"/>
        </w:rPr>
        <w:instrText xml:space="preserve"> ADDIN EN.CITE &lt;EndNote&gt;&lt;Cite&gt;&lt;Author&gt;Bernstein&lt;/Author&gt;&lt;Year&gt;2000&lt;/Year&gt;&lt;IDText&gt;Pedagogy, symbolic control, and identity: Theory, research, critique&lt;/IDText&gt;&lt;Pages&gt;17&lt;/Pages&gt;&lt;DisplayText&gt;(Bernstein, 2000, p. 17)&lt;/DisplayText&gt;&lt;record&gt;&lt;isbn&gt;084769576X&lt;/isbn&gt;&lt;titles&gt;&lt;title&gt;Pedagogy,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format="utc"&gt;1452707855&lt;/added-date&gt;&lt;pub-location&gt;Oxford&lt;/pub-location&gt;&lt;ref-type name="Book"&gt;6&lt;/ref-type&gt;&lt;dates&gt;&lt;year&gt;2000&lt;/year&gt;&lt;/dates&gt;&lt;rec-number&gt;185&lt;/rec-number&gt;&lt;publisher&gt;Rowman &amp;amp; Littlefield&lt;/publisher&gt;&lt;last-updated-date format="utc"&gt;1477766808&lt;/last-updated-date&gt;&lt;/record&gt;&lt;/Cite&gt;&lt;/EndNote&gt;</w:instrText>
      </w:r>
      <w:r w:rsidRPr="00020D5A">
        <w:rPr>
          <w:rFonts w:eastAsia="MalgunNew Roman"/>
          <w:sz w:val="24"/>
          <w:szCs w:val="24"/>
        </w:rPr>
        <w:fldChar w:fldCharType="separate"/>
      </w:r>
      <w:r>
        <w:rPr>
          <w:rFonts w:eastAsia="MalgunNew Roman"/>
          <w:noProof/>
          <w:sz w:val="24"/>
          <w:szCs w:val="24"/>
        </w:rPr>
        <w:t>(Bernstein, 2000, p. 17)</w:t>
      </w:r>
      <w:r w:rsidRPr="00020D5A">
        <w:rPr>
          <w:rFonts w:eastAsia="MalgunNew Roman"/>
          <w:sz w:val="24"/>
          <w:szCs w:val="24"/>
        </w:rPr>
        <w:fldChar w:fldCharType="end"/>
      </w:r>
      <w:r>
        <w:rPr>
          <w:rFonts w:eastAsia="MalgunNew Roman"/>
          <w:sz w:val="24"/>
          <w:szCs w:val="24"/>
        </w:rPr>
        <w:t xml:space="preserve">. </w:t>
      </w:r>
      <w:r w:rsidR="00F8139A">
        <w:rPr>
          <w:sz w:val="24"/>
          <w:szCs w:val="24"/>
        </w:rPr>
        <w:t>The impact agenda is therefore</w:t>
      </w:r>
      <w:r w:rsidR="00912DC4">
        <w:rPr>
          <w:sz w:val="24"/>
          <w:szCs w:val="24"/>
        </w:rPr>
        <w:t xml:space="preserve"> a </w:t>
      </w:r>
      <w:r w:rsidR="00F8139A">
        <w:rPr>
          <w:sz w:val="24"/>
          <w:szCs w:val="24"/>
        </w:rPr>
        <w:t xml:space="preserve">symptom as well as a cause of the issues facing universities. </w:t>
      </w:r>
    </w:p>
    <w:p w14:paraId="4403D02C" w14:textId="5855956F" w:rsidR="00FD7CF3" w:rsidRDefault="00FD7CF3" w:rsidP="00FD7CF3">
      <w:pPr>
        <w:spacing w:after="120" w:line="360" w:lineRule="auto"/>
        <w:rPr>
          <w:sz w:val="24"/>
          <w:szCs w:val="24"/>
        </w:rPr>
      </w:pPr>
      <w:r>
        <w:rPr>
          <w:sz w:val="24"/>
          <w:szCs w:val="24"/>
        </w:rPr>
        <w:t>This does not</w:t>
      </w:r>
      <w:r w:rsidR="00D31A19">
        <w:rPr>
          <w:sz w:val="24"/>
          <w:szCs w:val="24"/>
        </w:rPr>
        <w:t xml:space="preserve"> </w:t>
      </w:r>
      <w:r>
        <w:rPr>
          <w:sz w:val="24"/>
          <w:szCs w:val="24"/>
        </w:rPr>
        <w:t xml:space="preserve">mean that ‘impact’ as a policy, dominant discourse or objective is necessary or unavoidable. Indeed, Bernstein </w:t>
      </w:r>
      <w:r>
        <w:rPr>
          <w:sz w:val="24"/>
          <w:szCs w:val="24"/>
        </w:rPr>
        <w:fldChar w:fldCharType="begin"/>
      </w:r>
      <w:r>
        <w:rPr>
          <w:sz w:val="24"/>
          <w:szCs w:val="24"/>
        </w:rPr>
        <w:instrText xml:space="preserve"> ADDIN EN.CITE &lt;EndNote&gt;&lt;Cite ExcludeAuth="1"&gt;&lt;Author&gt;Bernstein&lt;/Author&gt;&lt;Year&gt;2000&lt;/Year&gt;&lt;IDText&gt;Pedagogy, symbolic control, and identity: Theory, research, critique&lt;/IDText&gt;&lt;DisplayText&gt;(2000)&lt;/DisplayText&gt;&lt;record&gt;&lt;isbn&gt;084769576X&lt;/isbn&gt;&lt;titles&gt;&lt;title&gt;Pedagogy,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format="utc"&gt;1452707855&lt;/added-date&gt;&lt;pub-location&gt;Oxford&lt;/pub-location&gt;&lt;ref-type name="Book"&gt;6&lt;/ref-type&gt;&lt;dates&gt;&lt;year&gt;2000&lt;/year&gt;&lt;/dates&gt;&lt;rec-number&gt;185&lt;/rec-number&gt;&lt;publisher&gt;Rowman &amp;amp; Littlefield&lt;/publisher&gt;&lt;last-updated-date format="utc"&gt;1477766808&lt;/last-updated-date&gt;&lt;/record&gt;&lt;/Cite&gt;&lt;/EndNote&gt;</w:instrText>
      </w:r>
      <w:r>
        <w:rPr>
          <w:sz w:val="24"/>
          <w:szCs w:val="24"/>
        </w:rPr>
        <w:fldChar w:fldCharType="separate"/>
      </w:r>
      <w:r>
        <w:rPr>
          <w:noProof/>
          <w:sz w:val="24"/>
          <w:szCs w:val="24"/>
        </w:rPr>
        <w:t>(2000)</w:t>
      </w:r>
      <w:r>
        <w:rPr>
          <w:sz w:val="24"/>
          <w:szCs w:val="24"/>
        </w:rPr>
        <w:fldChar w:fldCharType="end"/>
      </w:r>
      <w:r>
        <w:rPr>
          <w:sz w:val="24"/>
          <w:szCs w:val="24"/>
        </w:rPr>
        <w:t xml:space="preserve"> was deeply critical of what he saw as governance mechanisms such as the REF (at his time of writing, the RAE) promoting practices which “threaten” academic boundaries, such as incentivising “short-term … low-risk” research which aim more at supporting “the activities of funding agencies” than contributing to the “[l]ong-term” stock of knowledge (pp. 52, 63). This perspective on the impact agenda as a </w:t>
      </w:r>
      <w:r>
        <w:rPr>
          <w:i/>
          <w:sz w:val="24"/>
          <w:szCs w:val="24"/>
        </w:rPr>
        <w:t>non-necessary</w:t>
      </w:r>
      <w:r>
        <w:rPr>
          <w:sz w:val="24"/>
          <w:szCs w:val="24"/>
        </w:rPr>
        <w:t xml:space="preserve"> manifestation of </w:t>
      </w:r>
      <w:r>
        <w:rPr>
          <w:i/>
          <w:sz w:val="24"/>
          <w:szCs w:val="24"/>
        </w:rPr>
        <w:t xml:space="preserve">necessary </w:t>
      </w:r>
      <w:r>
        <w:rPr>
          <w:sz w:val="24"/>
          <w:szCs w:val="24"/>
        </w:rPr>
        <w:t>underlying tensions</w:t>
      </w:r>
      <w:r w:rsidRPr="00BC3D68">
        <w:rPr>
          <w:sz w:val="24"/>
          <w:szCs w:val="24"/>
        </w:rPr>
        <w:t xml:space="preserve"> </w:t>
      </w:r>
      <w:r>
        <w:rPr>
          <w:sz w:val="24"/>
          <w:szCs w:val="24"/>
        </w:rPr>
        <w:t xml:space="preserve">provides a grounding for critiquing and, if necessary, resisting impact policies, not because the intention of promoting and enabling the social benefits of research to be realised is itself problematic, but because these policies often ‘misrecognise’ (Bernstein, 2000, p. 53) how these benefits arise and risk not only the long-term integrity of academia but also the long-term potential for academia to provide ‘useful’ knowledge. ‘Misrecognition’ is where attempts to understand complex realities are reduced to a narrow, purely “functional analysis of what is taken to be the underlying features necessary” to “perform” (Bernstein, 2000, p. 53) or achieve a certain task or objective, say the generation of ‘impact’. In the context of the UK impact agenda, ‘misrecognition’ might lead to narrow views that ‘impact’ is somehow the result of ‘best practice’, compliance with REF procedures, alignment with values espoused by the REF and wider policy discourse, etc. Such misrecognitions fail to appreciate the contextual specificity, comprised of complex institutional, epistemic and sociocultural elements, as well as idiosyncratic personal and interpersonal elements, in which the interactions and collaborations underpinning research impact came to be seen as appropriate, legitimate and worthwhile for those involved </w:t>
      </w:r>
      <w:r>
        <w:rPr>
          <w:sz w:val="24"/>
          <w:szCs w:val="24"/>
        </w:rPr>
        <w:fldChar w:fldCharType="begin"/>
      </w:r>
      <w:r>
        <w:rPr>
          <w:sz w:val="24"/>
          <w:szCs w:val="24"/>
        </w:rPr>
        <w:instrText xml:space="preserve"> ADDIN EN.CITE &lt;EndNote&gt;&lt;Cite&gt;&lt;Author&gt;Oancea&lt;/Author&gt;&lt;Year&gt;2017&lt;/Year&gt;&lt;IDText&gt;Qualitative network analysis tools for the configurative articulation of cultural value and impact from research&lt;/IDText&gt;&lt;DisplayText&gt;(Oancea, Florez Petour, &amp;amp; Atkinson, 2017)&lt;/DisplayText&gt;&lt;record&gt;&lt;keywords&gt;&lt;keyword&gt;Qualitative Network Analysis&lt;/keyword&gt;&lt;keyword&gt;Network Mapping&lt;/keyword&gt;&lt;keyword&gt;Cultural Value&lt;/keyword&gt;&lt;keyword&gt;Research Impact&lt;/keyword&gt;&lt;keyword&gt;Arts And Humanities Research&lt;/keyword&gt;&lt;/keywords&gt;&lt;isbn&gt;0958-2029&lt;/isbn&gt;&lt;titles&gt;&lt;title&gt;Qualitative network analysis tools for the configurative articulation of cultural value and impact from research&lt;/title&gt;&lt;secondary-title&gt;Research Evaluation&lt;/secondary-title&gt;&lt;/titles&gt;&lt;pages&gt;302-315&lt;/pages&gt;&lt;number&gt;4&lt;/number&gt;&lt;contributors&gt;&lt;authors&gt;&lt;author&gt;Oancea, Alis&lt;/author&gt;&lt;author&gt;Florez Petour, Teresa&lt;/author&gt;&lt;author&gt;Atkinson, Jeanette&lt;/author&gt;&lt;/authors&gt;&lt;/contributors&gt;&lt;added-date format="utc"&gt;1535485128&lt;/added-date&gt;&lt;ref-type name="Journal Article"&gt;17&lt;/ref-type&gt;&lt;dates&gt;&lt;year&gt;2017&lt;/year&gt;&lt;/dates&gt;&lt;rec-number&gt;7646&lt;/rec-number&gt;&lt;last-updated-date format="utc"&gt;1535485128&lt;/last-updated-date&gt;&lt;electronic-resource-num&gt;10.1093/reseval/rvx014&lt;/electronic-resource-num&gt;&lt;volume&gt;26&lt;/volume&gt;&lt;/record&gt;&lt;/Cite&gt;&lt;/EndNote&gt;</w:instrText>
      </w:r>
      <w:r>
        <w:rPr>
          <w:sz w:val="24"/>
          <w:szCs w:val="24"/>
        </w:rPr>
        <w:fldChar w:fldCharType="separate"/>
      </w:r>
      <w:r>
        <w:rPr>
          <w:noProof/>
          <w:sz w:val="24"/>
          <w:szCs w:val="24"/>
        </w:rPr>
        <w:t>(Oancea, Florez Petour, &amp; Atkinson, 2017)</w:t>
      </w:r>
      <w:r>
        <w:rPr>
          <w:sz w:val="24"/>
          <w:szCs w:val="24"/>
        </w:rPr>
        <w:fldChar w:fldCharType="end"/>
      </w:r>
      <w:r>
        <w:rPr>
          <w:sz w:val="24"/>
          <w:szCs w:val="24"/>
        </w:rPr>
        <w:t xml:space="preserve">. There is therefore a need for research which aims to understand what is actually happening in the process of what our systems designate as ‘impactful’ research. One of the main reasons for the qualitative approach and small sample selected for my study is to capture some of these contextual elements, and to show that boundary transactions must be </w:t>
      </w:r>
      <w:r>
        <w:rPr>
          <w:i/>
          <w:sz w:val="24"/>
          <w:szCs w:val="24"/>
        </w:rPr>
        <w:t xml:space="preserve">recognised </w:t>
      </w:r>
      <w:r>
        <w:rPr>
          <w:sz w:val="24"/>
          <w:szCs w:val="24"/>
        </w:rPr>
        <w:t xml:space="preserve">in their full complexity, as part of the necessary tension of the academic enterprise, rather than </w:t>
      </w:r>
      <w:r>
        <w:rPr>
          <w:i/>
          <w:sz w:val="24"/>
          <w:szCs w:val="24"/>
        </w:rPr>
        <w:t xml:space="preserve">misrecognised </w:t>
      </w:r>
      <w:r>
        <w:rPr>
          <w:sz w:val="24"/>
          <w:szCs w:val="24"/>
        </w:rPr>
        <w:t xml:space="preserve">as merely a way to ‘perform’ impact. </w:t>
      </w:r>
    </w:p>
    <w:p w14:paraId="271D08EC" w14:textId="38C91B94" w:rsidR="008E4BD4" w:rsidRDefault="000F68B6" w:rsidP="007533D5">
      <w:pPr>
        <w:pStyle w:val="Heading2"/>
      </w:pPr>
      <w:bookmarkStart w:id="22" w:name="_Toc31701938"/>
      <w:r>
        <w:t>The study</w:t>
      </w:r>
      <w:bookmarkEnd w:id="22"/>
    </w:p>
    <w:p w14:paraId="0CE5E7B4" w14:textId="6E5CDB7A" w:rsidR="000F68B6" w:rsidRPr="000F68B6" w:rsidRDefault="000F68B6" w:rsidP="000F68B6">
      <w:pPr>
        <w:pStyle w:val="Heading3"/>
      </w:pPr>
      <w:bookmarkStart w:id="23" w:name="_Toc31701939"/>
      <w:r>
        <w:t>Research questions</w:t>
      </w:r>
      <w:r w:rsidR="00C64244">
        <w:t xml:space="preserve">, </w:t>
      </w:r>
      <w:r w:rsidR="009A331E">
        <w:t>assumptions</w:t>
      </w:r>
      <w:r w:rsidR="0071691D">
        <w:t xml:space="preserve"> and expectations</w:t>
      </w:r>
      <w:bookmarkEnd w:id="23"/>
    </w:p>
    <w:p w14:paraId="25C60C08" w14:textId="7A61A25C" w:rsidR="00077AA5" w:rsidRDefault="0051402D" w:rsidP="005734FF">
      <w:pPr>
        <w:pStyle w:val="NormalWeb"/>
        <w:spacing w:before="0" w:beforeAutospacing="0" w:after="120" w:afterAutospacing="0" w:line="360" w:lineRule="auto"/>
      </w:pPr>
      <w:r>
        <w:t xml:space="preserve">I am guided by one </w:t>
      </w:r>
      <w:r w:rsidR="00476D17">
        <w:t>overarching research</w:t>
      </w:r>
      <w:r>
        <w:t xml:space="preserve"> question and </w:t>
      </w:r>
      <w:r w:rsidR="00077AA5">
        <w:t xml:space="preserve">three </w:t>
      </w:r>
      <w:r>
        <w:t>implied</w:t>
      </w:r>
      <w:r w:rsidR="00077AA5">
        <w:t xml:space="preserve"> or</w:t>
      </w:r>
      <w:r>
        <w:t xml:space="preserve"> developmental sub-questions.</w:t>
      </w:r>
      <w:r w:rsidR="00077AA5">
        <w:t xml:space="preserve"> The m</w:t>
      </w:r>
      <w:r w:rsidRPr="00DA2C05">
        <w:t>ain research question</w:t>
      </w:r>
      <w:r w:rsidR="00077AA5">
        <w:t xml:space="preserve"> is</w:t>
      </w:r>
      <w:r w:rsidRPr="00DA2C05">
        <w:t>:</w:t>
      </w:r>
      <w:r>
        <w:t xml:space="preserve"> </w:t>
      </w:r>
    </w:p>
    <w:p w14:paraId="0D5D8F34" w14:textId="17100E63" w:rsidR="00787DB7" w:rsidRPr="00B41FC1" w:rsidRDefault="007677B7" w:rsidP="005734FF">
      <w:pPr>
        <w:pStyle w:val="NormalWeb"/>
        <w:spacing w:before="0" w:beforeAutospacing="0" w:after="120" w:afterAutospacing="0" w:line="360" w:lineRule="auto"/>
        <w:rPr>
          <w:i/>
          <w:iCs/>
        </w:rPr>
      </w:pPr>
      <w:r w:rsidRPr="00B41FC1">
        <w:rPr>
          <w:i/>
          <w:iCs/>
        </w:rPr>
        <w:t>What is the balance of ‘power’ and ‘control’ over the organisation, activities and societal relations associated with ‘high-impact’ academic STEMM research in the REF2014 context</w:t>
      </w:r>
      <w:r w:rsidR="007873A1" w:rsidRPr="00B41FC1">
        <w:rPr>
          <w:i/>
          <w:iCs/>
        </w:rPr>
        <w:t>?</w:t>
      </w:r>
    </w:p>
    <w:p w14:paraId="49DFB66D" w14:textId="31A66795" w:rsidR="0051402D" w:rsidRPr="00B41FC1" w:rsidRDefault="0051402D" w:rsidP="005734FF">
      <w:pPr>
        <w:pStyle w:val="NormalWeb"/>
        <w:spacing w:before="0" w:beforeAutospacing="0" w:after="120" w:afterAutospacing="0" w:line="360" w:lineRule="auto"/>
      </w:pPr>
      <w:r w:rsidRPr="00B41FC1">
        <w:t>Sub-questions:</w:t>
      </w:r>
    </w:p>
    <w:p w14:paraId="1B0ABEC9" w14:textId="5130977E" w:rsidR="00680971" w:rsidRPr="00B41FC1" w:rsidRDefault="00680971" w:rsidP="005734FF">
      <w:pPr>
        <w:pStyle w:val="NormalWeb"/>
        <w:numPr>
          <w:ilvl w:val="0"/>
          <w:numId w:val="11"/>
        </w:numPr>
        <w:spacing w:before="0" w:beforeAutospacing="0" w:after="120" w:afterAutospacing="0" w:line="360" w:lineRule="auto"/>
        <w:rPr>
          <w:i/>
          <w:iCs/>
        </w:rPr>
      </w:pPr>
      <w:r w:rsidRPr="00B41FC1">
        <w:rPr>
          <w:i/>
          <w:iCs/>
        </w:rPr>
        <w:t>What role do different institutional and epistemic contexts play in shaping the balance of ‘power’ and ‘control’</w:t>
      </w:r>
      <w:r>
        <w:rPr>
          <w:i/>
          <w:iCs/>
        </w:rPr>
        <w:t xml:space="preserve"> over academic STEMM research</w:t>
      </w:r>
      <w:r w:rsidRPr="00B41FC1">
        <w:rPr>
          <w:i/>
          <w:iCs/>
        </w:rPr>
        <w:t xml:space="preserve">? </w:t>
      </w:r>
    </w:p>
    <w:p w14:paraId="0645D86D" w14:textId="77777777" w:rsidR="00680971" w:rsidRPr="00B41FC1" w:rsidRDefault="00680971" w:rsidP="005734FF">
      <w:pPr>
        <w:pStyle w:val="NormalWeb"/>
        <w:numPr>
          <w:ilvl w:val="0"/>
          <w:numId w:val="11"/>
        </w:numPr>
        <w:spacing w:before="0" w:beforeAutospacing="0" w:after="120" w:afterAutospacing="0" w:line="360" w:lineRule="auto"/>
        <w:rPr>
          <w:i/>
          <w:iCs/>
        </w:rPr>
      </w:pPr>
      <w:r w:rsidRPr="00B41FC1">
        <w:rPr>
          <w:i/>
          <w:iCs/>
        </w:rPr>
        <w:t>What are the main forms and functions of ‘boundary transactions’ associated with the sampled academic STEMM research?</w:t>
      </w:r>
    </w:p>
    <w:p w14:paraId="408C71F0" w14:textId="77777777" w:rsidR="00680971" w:rsidRPr="00B41FC1" w:rsidRDefault="00680971" w:rsidP="005734FF">
      <w:pPr>
        <w:pStyle w:val="NormalWeb"/>
        <w:numPr>
          <w:ilvl w:val="0"/>
          <w:numId w:val="11"/>
        </w:numPr>
        <w:spacing w:before="0" w:beforeAutospacing="0" w:after="120" w:afterAutospacing="0" w:line="360" w:lineRule="auto"/>
        <w:rPr>
          <w:i/>
          <w:iCs/>
        </w:rPr>
      </w:pPr>
      <w:r w:rsidRPr="00B41FC1">
        <w:rPr>
          <w:i/>
          <w:iCs/>
        </w:rPr>
        <w:t>What are the implications of the balance of ‘power’ and ‘control’ for academic boundaries</w:t>
      </w:r>
      <w:r>
        <w:rPr>
          <w:i/>
          <w:iCs/>
        </w:rPr>
        <w:t xml:space="preserve"> in the context of the ‘impact agenda’</w:t>
      </w:r>
      <w:r w:rsidRPr="00B41FC1">
        <w:rPr>
          <w:i/>
          <w:iCs/>
        </w:rPr>
        <w:t>?</w:t>
      </w:r>
    </w:p>
    <w:p w14:paraId="1B2D7BF6" w14:textId="60E2F74E" w:rsidR="00AA7808" w:rsidRDefault="00AA7808" w:rsidP="005734FF">
      <w:pPr>
        <w:pStyle w:val="NormalWeb"/>
        <w:spacing w:before="0" w:beforeAutospacing="0" w:after="120" w:afterAutospacing="0" w:line="360" w:lineRule="auto"/>
      </w:pPr>
      <w:r>
        <w:t>In answering these research questions, I contribute to an understanding of how academic boundaries persist, albeit in potentially adapted form, despite decades of pressure on these boundaries, and significant evidence of their loosening, weakening and blurring</w:t>
      </w:r>
      <w:r w:rsidR="00965308">
        <w:t xml:space="preserve"> (</w:t>
      </w:r>
      <w:r w:rsidR="00EA0FF9">
        <w:t>see the Literature Review,</w:t>
      </w:r>
      <w:r w:rsidR="009C4B4B">
        <w:t xml:space="preserve"> Chapter 2</w:t>
      </w:r>
      <w:r w:rsidR="00965308">
        <w:t>)</w:t>
      </w:r>
      <w:r>
        <w:t xml:space="preserve">. Moreover, by positing theories about the underpinning mechanisms which shape this reproduction, and the contingent conditions under which they have this reproductive effect, I draw out implications for the ongoing development of academic boundaries and how they may be experienced, confronted and crossed in the future. </w:t>
      </w:r>
    </w:p>
    <w:p w14:paraId="3CECB561" w14:textId="23CBED79" w:rsidR="009B498A" w:rsidRDefault="009B498A" w:rsidP="005734FF">
      <w:pPr>
        <w:pStyle w:val="NormalWeb"/>
        <w:spacing w:before="0" w:beforeAutospacing="0" w:after="120" w:afterAutospacing="0" w:line="360" w:lineRule="auto"/>
      </w:pPr>
      <w:r w:rsidRPr="00B41FC1">
        <w:t>There are some underlying assumptions behind these research questions</w:t>
      </w:r>
      <w:r w:rsidR="00263618" w:rsidRPr="00B41FC1">
        <w:t xml:space="preserve"> that are worth stating:</w:t>
      </w:r>
      <w:r>
        <w:t xml:space="preserve"> </w:t>
      </w:r>
    </w:p>
    <w:p w14:paraId="50ECBCE2" w14:textId="4A59DB3B" w:rsidR="00EB08E2" w:rsidRDefault="00EB08E2" w:rsidP="005734FF">
      <w:pPr>
        <w:pStyle w:val="NormalWeb"/>
        <w:numPr>
          <w:ilvl w:val="0"/>
          <w:numId w:val="3"/>
        </w:numPr>
        <w:spacing w:before="0" w:beforeAutospacing="0" w:after="120" w:afterAutospacing="0" w:line="360" w:lineRule="auto"/>
      </w:pPr>
      <w:r>
        <w:t>The metaphor of ‘boundaries’ and associated notions of</w:t>
      </w:r>
      <w:r w:rsidR="003E367B">
        <w:t xml:space="preserve"> ‘boundary transactions’ and of</w:t>
      </w:r>
      <w:r>
        <w:t xml:space="preserve"> boundaries being reproduced, weakened, reshaped, etc., are valid in relation to understanding universities’ research-related activities and relations with wider society</w:t>
      </w:r>
      <w:r w:rsidR="00260A0D">
        <w:t xml:space="preserve"> and </w:t>
      </w:r>
      <w:r w:rsidR="00CD75CF">
        <w:t>non-academic</w:t>
      </w:r>
      <w:r w:rsidR="00260A0D">
        <w:t xml:space="preserve"> institutions.</w:t>
      </w:r>
    </w:p>
    <w:p w14:paraId="2B425810" w14:textId="24BE60A2" w:rsidR="00EB08E2" w:rsidRDefault="00EB08E2" w:rsidP="005734FF">
      <w:pPr>
        <w:pStyle w:val="NormalWeb"/>
        <w:numPr>
          <w:ilvl w:val="0"/>
          <w:numId w:val="3"/>
        </w:numPr>
        <w:spacing w:before="0" w:beforeAutospacing="0" w:after="120" w:afterAutospacing="0" w:line="360" w:lineRule="auto"/>
      </w:pPr>
      <w:r>
        <w:t xml:space="preserve">My analytical procedures are capable of providing reliable evidence pertaining to how research contributes to the reproduction of academic boundaries. </w:t>
      </w:r>
    </w:p>
    <w:p w14:paraId="7DD98797" w14:textId="3F54C7DF" w:rsidR="00EB08E2" w:rsidRDefault="00EB08E2" w:rsidP="005734FF">
      <w:pPr>
        <w:pStyle w:val="NormalWeb"/>
        <w:numPr>
          <w:ilvl w:val="0"/>
          <w:numId w:val="3"/>
        </w:numPr>
        <w:spacing w:before="0" w:beforeAutospacing="0" w:after="120" w:afterAutospacing="0" w:line="360" w:lineRule="auto"/>
      </w:pPr>
      <w:r>
        <w:t xml:space="preserve">Research is a complex and multi-dimensional activity such that certain aspects of research might contribute to the reproduction of academic boundaries whilst others might simultaneously </w:t>
      </w:r>
      <w:r w:rsidR="00675895">
        <w:t xml:space="preserve">contribute to (the potential for) </w:t>
      </w:r>
      <w:r w:rsidR="0013126A">
        <w:t>their</w:t>
      </w:r>
      <w:r w:rsidR="00675895">
        <w:t xml:space="preserve"> weakening.</w:t>
      </w:r>
    </w:p>
    <w:p w14:paraId="2144DEBE" w14:textId="1EF0E170" w:rsidR="00263618" w:rsidRDefault="00263618" w:rsidP="005734FF">
      <w:pPr>
        <w:pStyle w:val="NormalWeb"/>
        <w:numPr>
          <w:ilvl w:val="0"/>
          <w:numId w:val="3"/>
        </w:numPr>
        <w:spacing w:before="0" w:beforeAutospacing="0" w:after="120" w:afterAutospacing="0" w:line="360" w:lineRule="auto"/>
      </w:pPr>
      <w:r>
        <w:t>‘Boundary transactions’ can be a mechanism through which boundaries are regulated, reproduced and maintained, but also through which they can be crossed, reshaped and weakened.</w:t>
      </w:r>
    </w:p>
    <w:p w14:paraId="58BECBC7" w14:textId="77777777" w:rsidR="00263618" w:rsidRDefault="00263618" w:rsidP="005734FF">
      <w:pPr>
        <w:pStyle w:val="NormalWeb"/>
        <w:numPr>
          <w:ilvl w:val="0"/>
          <w:numId w:val="3"/>
        </w:numPr>
        <w:spacing w:before="0" w:beforeAutospacing="0" w:after="120" w:afterAutospacing="0" w:line="360" w:lineRule="auto"/>
      </w:pPr>
      <w:r>
        <w:t>Discipline and type of institution, i.e. the mission and prestige of the department and the wider university, are likely to have some influence on almost every aspect of an academic researcher’s work and experience.</w:t>
      </w:r>
    </w:p>
    <w:p w14:paraId="31349833" w14:textId="526A40A3" w:rsidR="0067696F" w:rsidRPr="0097162F" w:rsidRDefault="0097162F" w:rsidP="005734FF">
      <w:pPr>
        <w:pStyle w:val="NormalWeb"/>
        <w:spacing w:before="0" w:beforeAutospacing="0" w:after="120" w:afterAutospacing="0" w:line="360" w:lineRule="auto"/>
      </w:pPr>
      <w:r>
        <w:t>It is also important to articulate some of my prior expectations of the research:</w:t>
      </w:r>
    </w:p>
    <w:p w14:paraId="3DF6DDD5" w14:textId="77777777" w:rsidR="0097162F" w:rsidRDefault="00A85BBA" w:rsidP="005734FF">
      <w:pPr>
        <w:pStyle w:val="NormalWeb"/>
        <w:numPr>
          <w:ilvl w:val="0"/>
          <w:numId w:val="6"/>
        </w:numPr>
        <w:spacing w:before="0" w:beforeAutospacing="0" w:after="120" w:afterAutospacing="0" w:line="360" w:lineRule="auto"/>
      </w:pPr>
      <w:r>
        <w:t xml:space="preserve">I expect to find much evidence of research-related boundary transaction and therefore of ways in which academic boundaries are being crossed and potentially </w:t>
      </w:r>
      <w:r w:rsidR="00577A14">
        <w:t>weakened</w:t>
      </w:r>
      <w:r>
        <w:t xml:space="preserve">. </w:t>
      </w:r>
    </w:p>
    <w:p w14:paraId="4FE6C82F" w14:textId="639A9FF1" w:rsidR="0097162F" w:rsidRDefault="00A85BBA" w:rsidP="005734FF">
      <w:pPr>
        <w:pStyle w:val="NormalWeb"/>
        <w:numPr>
          <w:ilvl w:val="0"/>
          <w:numId w:val="6"/>
        </w:numPr>
        <w:spacing w:before="0" w:beforeAutospacing="0" w:after="120" w:afterAutospacing="0" w:line="360" w:lineRule="auto"/>
      </w:pPr>
      <w:r>
        <w:t>However, g</w:t>
      </w:r>
      <w:r w:rsidR="00EB08E2">
        <w:t>iven th</w:t>
      </w:r>
      <w:r>
        <w:t>e longevity of universities and their arguably increasing centrality to society, I expect that my research will find evidence of research activities overall contributing to the reproduction of academic boundaries</w:t>
      </w:r>
      <w:r w:rsidR="007D11AB">
        <w:t xml:space="preserve">. </w:t>
      </w:r>
    </w:p>
    <w:p w14:paraId="44919254" w14:textId="77777777" w:rsidR="0097162F" w:rsidRDefault="008674E2" w:rsidP="005734FF">
      <w:pPr>
        <w:pStyle w:val="NormalWeb"/>
        <w:numPr>
          <w:ilvl w:val="0"/>
          <w:numId w:val="6"/>
        </w:numPr>
        <w:spacing w:before="0" w:beforeAutospacing="0" w:after="120" w:afterAutospacing="0" w:line="360" w:lineRule="auto"/>
      </w:pPr>
      <w:r>
        <w:t xml:space="preserve">I </w:t>
      </w:r>
      <w:r w:rsidR="005D3CDB">
        <w:t xml:space="preserve">expect that </w:t>
      </w:r>
      <w:r w:rsidR="001A30D6">
        <w:t>researchers will experience and confront boundaries differently in more and less prestigious institutional settings.</w:t>
      </w:r>
      <w:r w:rsidR="00D03F2F">
        <w:t xml:space="preserve"> For example, the challenges associated with confronting and crossing boundaries may be greater for researchers in less ‘powerful’ institutions, although I do not expect this to be a neat correlation. </w:t>
      </w:r>
    </w:p>
    <w:p w14:paraId="113AEB32" w14:textId="196EA3E0" w:rsidR="00C75F26" w:rsidRPr="00C75F26" w:rsidRDefault="00D03F2F" w:rsidP="005734FF">
      <w:pPr>
        <w:pStyle w:val="NormalWeb"/>
        <w:numPr>
          <w:ilvl w:val="0"/>
          <w:numId w:val="6"/>
        </w:numPr>
        <w:spacing w:before="0" w:beforeAutospacing="0" w:after="120" w:afterAutospacing="0" w:line="360" w:lineRule="auto"/>
      </w:pPr>
      <w:r>
        <w:t xml:space="preserve">I also expect that disciplinary differences may be likely, although </w:t>
      </w:r>
      <w:r w:rsidR="00937FB0">
        <w:t xml:space="preserve">it is difficult to predict how these differences will manifest. </w:t>
      </w:r>
    </w:p>
    <w:p w14:paraId="3D91BDB7" w14:textId="7663C575" w:rsidR="00365048" w:rsidRDefault="00DC65D8" w:rsidP="000F68B6">
      <w:pPr>
        <w:pStyle w:val="Heading3"/>
      </w:pPr>
      <w:bookmarkStart w:id="24" w:name="_Toc31701940"/>
      <w:r>
        <w:t>A</w:t>
      </w:r>
      <w:r w:rsidR="009F25C8">
        <w:t>pproach and importance of the study</w:t>
      </w:r>
      <w:bookmarkEnd w:id="24"/>
    </w:p>
    <w:p w14:paraId="14AEFF04" w14:textId="39E5217B" w:rsidR="00104625" w:rsidRDefault="000B7302" w:rsidP="005734FF">
      <w:pPr>
        <w:pStyle w:val="NormalWeb"/>
        <w:spacing w:before="0" w:beforeAutospacing="0" w:after="120" w:afterAutospacing="0" w:line="360" w:lineRule="auto"/>
      </w:pPr>
      <w:r>
        <w:t>Th</w:t>
      </w:r>
      <w:r w:rsidR="00B410A1">
        <w:t>e study</w:t>
      </w:r>
      <w:r>
        <w:t xml:space="preserve"> involves</w:t>
      </w:r>
      <w:r w:rsidR="00565006">
        <w:t xml:space="preserve"> </w:t>
      </w:r>
      <w:r w:rsidR="00D57C92">
        <w:t xml:space="preserve">purposefully sampling </w:t>
      </w:r>
      <w:r w:rsidR="00B20E06">
        <w:t>ten</w:t>
      </w:r>
      <w:r w:rsidR="009121CB">
        <w:t xml:space="preserve"> academic departments</w:t>
      </w:r>
      <w:r w:rsidR="00E02009">
        <w:t xml:space="preserve"> from</w:t>
      </w:r>
      <w:r w:rsidR="00DC3BB4">
        <w:t xml:space="preserve"> </w:t>
      </w:r>
      <w:r w:rsidR="00E02009">
        <w:t>nine UK universities</w:t>
      </w:r>
      <w:r w:rsidR="009E7808">
        <w:t xml:space="preserve"> whose research has been recognised for its ‘impact’</w:t>
      </w:r>
      <w:r w:rsidR="004632E6">
        <w:t xml:space="preserve"> in REF2014</w:t>
      </w:r>
      <w:r w:rsidR="009E7808">
        <w:t xml:space="preserve">. The departments capture a </w:t>
      </w:r>
      <w:r w:rsidR="00D66280">
        <w:t>range</w:t>
      </w:r>
      <w:r w:rsidR="007D43E6">
        <w:t xml:space="preserve"> of institutional types and a range</w:t>
      </w:r>
      <w:r w:rsidR="00D66280">
        <w:t xml:space="preserve"> of STEMM</w:t>
      </w:r>
      <w:r w:rsidR="004808E7">
        <w:t xml:space="preserve"> fields</w:t>
      </w:r>
      <w:r w:rsidR="00D66280">
        <w:t>.</w:t>
      </w:r>
      <w:r w:rsidR="00652D5B">
        <w:t xml:space="preserve"> </w:t>
      </w:r>
      <w:r w:rsidR="004632E6">
        <w:t xml:space="preserve">The main empirical analysis focuses on the </w:t>
      </w:r>
      <w:r w:rsidR="00AD3F00">
        <w:t xml:space="preserve">specific ‘bodies of research’ </w:t>
      </w:r>
      <w:r w:rsidR="00271B3C">
        <w:t xml:space="preserve">(BoRs) </w:t>
      </w:r>
      <w:r w:rsidR="00BB02A5">
        <w:t>which underpinned</w:t>
      </w:r>
      <w:r w:rsidR="00104625">
        <w:t xml:space="preserve"> </w:t>
      </w:r>
      <w:r w:rsidR="004632E6">
        <w:t>the departments’ REF2014 Impact Cas</w:t>
      </w:r>
      <w:r w:rsidR="00653B8F">
        <w:t>e</w:t>
      </w:r>
      <w:r w:rsidR="004632E6">
        <w:t xml:space="preserve"> Study submissions</w:t>
      </w:r>
      <w:r w:rsidR="00104625">
        <w:t>.</w:t>
      </w:r>
      <w:r w:rsidR="00C3709E">
        <w:t xml:space="preserve"> In total, I analyse </w:t>
      </w:r>
      <w:r w:rsidR="00D14161">
        <w:t>n=19</w:t>
      </w:r>
      <w:r w:rsidR="00C3709E" w:rsidRPr="00F221DB">
        <w:t xml:space="preserve"> B</w:t>
      </w:r>
      <w:r w:rsidR="00C3709E" w:rsidRPr="00C3709E">
        <w:t>oRs</w:t>
      </w:r>
      <w:r w:rsidR="00C3709E">
        <w:t xml:space="preserve"> from the ten departments</w:t>
      </w:r>
      <w:r w:rsidR="00176CD4">
        <w:t>.</w:t>
      </w:r>
      <w:r w:rsidR="00104625">
        <w:t xml:space="preserve"> I gather a</w:t>
      </w:r>
      <w:r w:rsidR="00BB02A5">
        <w:t xml:space="preserve"> </w:t>
      </w:r>
      <w:r w:rsidR="00AB2D9E">
        <w:t xml:space="preserve">range of </w:t>
      </w:r>
      <w:r w:rsidR="00D66280">
        <w:t xml:space="preserve">documentary </w:t>
      </w:r>
      <w:r w:rsidR="00AB2D9E">
        <w:t>materials related to these BoRs</w:t>
      </w:r>
      <w:r w:rsidR="00652D5B">
        <w:t>, supplemented by</w:t>
      </w:r>
      <w:r w:rsidR="00D66280">
        <w:t xml:space="preserve"> participant </w:t>
      </w:r>
      <w:r w:rsidR="00652D5B">
        <w:t>interviews</w:t>
      </w:r>
      <w:r w:rsidR="00104625">
        <w:t xml:space="preserve"> with researchers involved.</w:t>
      </w:r>
      <w:r w:rsidR="001B1540">
        <w:t xml:space="preserve"> The documentary materials include: information about the research and the department submitted to REF2014; outputs from the underpinning research; other information about the research such as grant proposals or press releases</w:t>
      </w:r>
      <w:r w:rsidR="007D7A1F">
        <w:t>;</w:t>
      </w:r>
      <w:r w:rsidR="001B1540">
        <w:t xml:space="preserve"> and web pages about the research, the individual researchers or research units involved, as well as web pages related to any non-academic actors involved in the research (for example who were mentioned as playing an important role in the REF2014 documents, or who were acknowledged in academic outputs as collaborating or otherwise supporting the research, or who interview respondents mentioned as being important). In total I gathered 34</w:t>
      </w:r>
      <w:r w:rsidR="00F16C96">
        <w:t>5</w:t>
      </w:r>
      <w:r w:rsidR="001B1540">
        <w:t xml:space="preserve"> document</w:t>
      </w:r>
      <w:r w:rsidR="00240346">
        <w:t xml:space="preserve">ary materials </w:t>
      </w:r>
      <w:r w:rsidR="001B1540">
        <w:t xml:space="preserve">for analysis and conducted 10 interviews. </w:t>
      </w:r>
      <w:r w:rsidR="00302E58">
        <w:t xml:space="preserve">The Methodology (Chapter </w:t>
      </w:r>
      <w:r w:rsidR="00415A4A">
        <w:t>3</w:t>
      </w:r>
      <w:r w:rsidR="00302E58">
        <w:t>) and Appendix B provide further methodological details related to sampling and the collection and analysis of data</w:t>
      </w:r>
      <w:r w:rsidR="00026A4F">
        <w:t>, while Appendix C list</w:t>
      </w:r>
      <w:r w:rsidR="00914382">
        <w:t xml:space="preserve">s </w:t>
      </w:r>
      <w:r w:rsidR="00026A4F">
        <w:t xml:space="preserve">all documentary </w:t>
      </w:r>
      <w:r w:rsidR="00894281">
        <w:t>materials</w:t>
      </w:r>
      <w:r w:rsidR="00026A4F">
        <w:t>.</w:t>
      </w:r>
    </w:p>
    <w:p w14:paraId="5EFF5F1F" w14:textId="79E50665" w:rsidR="00816F9E" w:rsidRDefault="00541470" w:rsidP="005734FF">
      <w:pPr>
        <w:pStyle w:val="NormalWeb"/>
        <w:spacing w:before="0" w:beforeAutospacing="0" w:after="120" w:afterAutospacing="0" w:line="360" w:lineRule="auto"/>
      </w:pPr>
      <w:r>
        <w:t>This</w:t>
      </w:r>
      <w:r w:rsidR="00C45AC1">
        <w:t xml:space="preserve"> research is timely and relevant, given what is potentially at stake in current debates about the extent and legitimacy of external influences on universities’ activities, including research.</w:t>
      </w:r>
      <w:r w:rsidR="00C620E5">
        <w:t xml:space="preserve"> To highlight the importance of the research,</w:t>
      </w:r>
      <w:r w:rsidR="00C45AC1">
        <w:t xml:space="preserve"> </w:t>
      </w:r>
      <w:r w:rsidR="000E02C7">
        <w:t>I will briefly highlight three such ‘stakes’</w:t>
      </w:r>
      <w:r w:rsidR="003969F7">
        <w:t xml:space="preserve"> of </w:t>
      </w:r>
      <w:r w:rsidR="00BC2534">
        <w:t xml:space="preserve">current debates about, and apparent </w:t>
      </w:r>
      <w:r w:rsidR="00F45A95">
        <w:t>shifts in</w:t>
      </w:r>
      <w:r w:rsidR="00C41E26">
        <w:t xml:space="preserve"> or reshaping</w:t>
      </w:r>
      <w:r w:rsidR="00022947">
        <w:t xml:space="preserve"> of</w:t>
      </w:r>
      <w:r w:rsidR="00F45A95">
        <w:t xml:space="preserve"> </w:t>
      </w:r>
      <w:r w:rsidR="00F45A95">
        <w:fldChar w:fldCharType="begin"/>
      </w:r>
      <w:r w:rsidR="00F45A95">
        <w:instrText xml:space="preserve"> ADDIN EN.CITE &lt;EndNote&gt;&lt;Cite&gt;&lt;Author&gt;Wright&lt;/Author&gt;&lt;Year&gt;2016&lt;/Year&gt;&lt;IDText&gt;Universities in a knowledge economy or ecology? Policy, contestation and abjection&lt;/IDText&gt;&lt;DisplayText&gt;(Wright, 2016)&lt;/DisplayText&gt;&lt;record&gt;&lt;keywords&gt;&lt;keyword&gt;Article&lt;/keyword&gt;&lt;keyword&gt;Nthropology Of Policy&lt;/keyword&gt;&lt;keyword&gt;University Reform&lt;/keyword&gt;&lt;keyword&gt;Global Knowledge Economy&lt;/keyword&gt;&lt;keyword&gt;Substantive Ecology&lt;/keyword&gt;&lt;keyword&gt;Freedom&lt;/keyword&gt;&lt;keyword&gt;Contestation&lt;/keyword&gt;&lt;keyword&gt;Leadership&lt;/keyword&gt;&lt;/keywords&gt;&lt;isbn&gt;1946-0171&lt;/isbn&gt;&lt;titles&gt;&lt;title&gt;Universities in a knowledge economy or ecology? Policy, contestation and abjection&lt;/title&gt;&lt;secondary-title&gt;Critical Policy Studies&lt;/secondary-title&gt;&lt;/titles&gt;&lt;pages&gt;59-78&lt;/pages&gt;&lt;number&gt;1&lt;/number&gt;&lt;contributors&gt;&lt;authors&gt;&lt;author&gt;Wright, Susan&lt;/author&gt;&lt;/authors&gt;&lt;/contributors&gt;&lt;added-date format="utc"&gt;1523206448&lt;/added-date&gt;&lt;ref-type name="Journal Article"&gt;17&lt;/ref-type&gt;&lt;dates&gt;&lt;year&gt;2016&lt;/year&gt;&lt;/dates&gt;&lt;rec-number&gt;7461&lt;/rec-number&gt;&lt;publisher&gt;Routledge&lt;/publisher&gt;&lt;last-updated-date format="utc"&gt;1523206448&lt;/last-updated-date&gt;&lt;electronic-resource-num&gt;10.1080/19460171.2016.1142457&lt;/electronic-resource-num&gt;&lt;volume&gt;10&lt;/volume&gt;&lt;/record&gt;&lt;/Cite&gt;&lt;/EndNote&gt;</w:instrText>
      </w:r>
      <w:r w:rsidR="00F45A95">
        <w:fldChar w:fldCharType="separate"/>
      </w:r>
      <w:r w:rsidR="00F45A95">
        <w:rPr>
          <w:noProof/>
        </w:rPr>
        <w:t>(Wright, 2016)</w:t>
      </w:r>
      <w:r w:rsidR="00F45A95">
        <w:fldChar w:fldCharType="end"/>
      </w:r>
      <w:r w:rsidR="00BC2534">
        <w:t>,</w:t>
      </w:r>
      <w:r w:rsidR="003969F7">
        <w:t xml:space="preserve"> </w:t>
      </w:r>
      <w:r w:rsidR="00F65B98">
        <w:t>‘</w:t>
      </w:r>
      <w:r w:rsidR="003969F7">
        <w:t>academic boundaries</w:t>
      </w:r>
      <w:r w:rsidR="00F65B98">
        <w:t>’</w:t>
      </w:r>
      <w:r w:rsidR="00E02E5E">
        <w:t>, and provide some indicative references to these debates in the literature</w:t>
      </w:r>
      <w:r w:rsidR="00F4213B">
        <w:t xml:space="preserve">. </w:t>
      </w:r>
      <w:r w:rsidR="000E02C7">
        <w:t xml:space="preserve"> </w:t>
      </w:r>
    </w:p>
    <w:p w14:paraId="1E05FEC3" w14:textId="655A942F" w:rsidR="00965093" w:rsidRPr="00590F06" w:rsidRDefault="00BD79D9" w:rsidP="005734FF">
      <w:pPr>
        <w:pStyle w:val="NormalWeb"/>
        <w:spacing w:before="0" w:beforeAutospacing="0" w:after="120" w:afterAutospacing="0" w:line="360" w:lineRule="auto"/>
      </w:pPr>
      <w:r>
        <w:t>First, what is at stake is the capacity of universities t</w:t>
      </w:r>
      <w:r w:rsidR="00A84787">
        <w:t>o be sufficiently bounded from society to allow space for advanced research and learning</w:t>
      </w:r>
      <w:r w:rsidR="00A83B5E">
        <w:t>, whilst not being so strongly bounded as to lose relevance to wider society.</w:t>
      </w:r>
      <w:r w:rsidR="00167C17">
        <w:t xml:space="preserve"> On one side of the debate is what could be termed the ‘social value’ critique of universities, which considers academic boundaries, </w:t>
      </w:r>
      <w:r w:rsidR="00423312">
        <w:t>including</w:t>
      </w:r>
      <w:r w:rsidR="00965093">
        <w:t xml:space="preserve"> disciplinary boundaries, as</w:t>
      </w:r>
      <w:r w:rsidR="00965093" w:rsidRPr="00590F06">
        <w:t xml:space="preserve"> obsolete</w:t>
      </w:r>
      <w:r w:rsidR="00965093">
        <w:t>, arbitrary and self-serving in the face of goals of</w:t>
      </w:r>
      <w:r w:rsidR="00965093" w:rsidRPr="00590F06">
        <w:t xml:space="preserve"> innovation and Grand Challenges</w:t>
      </w:r>
      <w:r w:rsidR="00965093">
        <w:t>. On</w:t>
      </w:r>
      <w:r w:rsidR="00965093" w:rsidRPr="00590F06">
        <w:t xml:space="preserve"> the other</w:t>
      </w:r>
      <w:r w:rsidR="00965093">
        <w:t xml:space="preserve"> hand</w:t>
      </w:r>
      <w:r w:rsidR="00965093" w:rsidRPr="00590F06">
        <w:t xml:space="preserve">, there is evidence </w:t>
      </w:r>
      <w:r w:rsidR="00D5551A">
        <w:t xml:space="preserve">that </w:t>
      </w:r>
      <w:r w:rsidR="00A62B8A">
        <w:t xml:space="preserve">existing </w:t>
      </w:r>
      <w:r w:rsidR="00D9094F">
        <w:t>academic boundaries</w:t>
      </w:r>
      <w:r w:rsidR="00965093" w:rsidRPr="00590F06">
        <w:t xml:space="preserve"> are important</w:t>
      </w:r>
      <w:r w:rsidR="004D7076">
        <w:t xml:space="preserve"> for ease of communication amongst academics and socialisation of new academics, and therefore also </w:t>
      </w:r>
      <w:r w:rsidR="00965093" w:rsidRPr="00590F06">
        <w:t xml:space="preserve">to the epistemic organisation of knowledge and the formation of </w:t>
      </w:r>
      <w:r w:rsidR="004D7076">
        <w:t xml:space="preserve">important </w:t>
      </w:r>
      <w:r w:rsidR="002906EE">
        <w:t>academic</w:t>
      </w:r>
      <w:r w:rsidR="00965093" w:rsidRPr="00590F06">
        <w:t xml:space="preserve"> identities </w:t>
      </w:r>
      <w:r w:rsidR="00C07E37">
        <w:t>and</w:t>
      </w:r>
      <w:r w:rsidR="00965093" w:rsidRPr="00590F06">
        <w:t xml:space="preserve"> values </w:t>
      </w:r>
      <w:r w:rsidR="004D7076">
        <w:t>which underpin</w:t>
      </w:r>
      <w:r w:rsidR="00965093" w:rsidRPr="00590F06">
        <w:t xml:space="preserve"> objective and reliable inquiry</w:t>
      </w:r>
      <w:r w:rsidR="00965093">
        <w:t>.</w:t>
      </w:r>
      <w:r w:rsidR="00965093" w:rsidRPr="00590F06">
        <w:t xml:space="preserve"> </w:t>
      </w:r>
      <w:r w:rsidR="00233012" w:rsidRPr="00590F06">
        <w:fldChar w:fldCharType="begin">
          <w:fldData xml:space="preserve">PEVuZE5vdGU+PENpdGU+PEF1dGhvcj5Hb2xpbnNraTwvQXV0aG9yPjxZZWFyPjIwMDg8L1llYXI+
PElEVGV4dD5NYWtpbmcgTmF0dXJhbCBLbm93bGVkZ2U6IENvbnN0cnVjdGl2aXNtIGFuZCB0aGUg
SGlzdG9yeSBvZiBTY2llbmNlLCB3aXRoIGEgbmV3IHByZWZhY2U8L0lEVGV4dD48RGlzcGxheVRl
eHQ+KEZvciBsaXRlcmF0dXJlIG9uIHRoZXNlIGRlYmF0ZXMsIHNlZSBCYXJyeSwgQm9ybiwgJmFt
cDsgV2VzemthbG55cywgMjAwODsgQmVuLURhdmlkLCAxOTcxOyBCZXJuc3RlaW4sIDE5NzEsIDIw
MDA7IEJpZ2xhbiwgMTk3MzsgQi4gUi4gQ2xhcmssIDE5ODM7IEdvbGluc2tpLCAyMDA4OyBHb3Ju
aXR6a2EsIDIwMDM7IEhlbmtlbCwgMjAwNDsgS29obGVyLCAxOTk5OyBLcmlzaG5hbiwgMjAwOTsg
TWV0Y2FsZmUsIDIwMTA7IFNjaGFmZmVyLCAyMDEzOyBUcm93bGVyLCBTYXVuZGVycywgJmFtcDsg
QmFtYmVyLCAyMDEyOyBaaW1hbiwgMjAwMCk8L0Rpc3BsYXlUZXh0PjxyZWNvcmQ+PGlzYm4+MDIy
NjMwMjMyNjwvaXNibj48dGl0bGVzPjx0aXRsZT5NYWtpbmcgTmF0dXJhbCBLbm93bGVkZ2U6IENv
bnN0cnVjdGl2aXNtIGFuZCB0aGUgSGlzdG9yeSBvZiBTY2llbmNlLCB3aXRoIGEgbmV3IHByZWZh
Y2U8L3RpdGxlPjwvdGl0bGVzPjxjb250cmlidXRvcnM+PGF1dGhvcnM+PGF1dGhvcj5Hb2xpbnNr
aSwgSmFuPC9hdXRob3I+PC9hdXRob3JzPjwvY29udHJpYnV0b3JzPjxhZGRlZC1kYXRlIGZvcm1h
dD0idXRjIj4xNTIzNjI4Nzc4PC9hZGRlZC1kYXRlPjxyZWYtdHlwZSBuYW1lPSJCb29rIj42PC9y
ZWYtdHlwZT48ZGF0ZXM+PHllYXI+MjAwODwveWVhcj48L2RhdGVzPjxyZWMtbnVtYmVyPjc0ODM8
L3JlYy1udW1iZXI+PHB1Ymxpc2hlcj5Vbml2ZXJzaXR5IG9mIENoaWNhZ28gUHJlc3M8L3B1Ymxp
c2hlcj48bGFzdC11cGRhdGVkLWRhdGUgZm9ybWF0PSJ1dGMiPjE1MjM2Mjg3Nzg8L2xhc3QtdXBk
YXRlZC1kYXRlPjwvcmVjb3JkPjwvQ2l0ZT48Q2l0ZT48QXV0aG9yPktvaGxlcjwvQXV0aG9yPjxZ
ZWFyPjE5OTk8L1llYXI+PElEVGV4dD5UaGUgY29uc3RydWN0aXZpc3RzJmFwb3M7IHRvb2wga2l0
PC9JRFRleHQ+PHJlY29yZD48a2V5d29yZHM+PGtleXdvcmQ+Tm9uZmljdGlvbjwva2V5d29yZD48
a2V5d29yZD5IaXN0b3J5PC9rZXl3b3JkPjxrZXl3b3JkPlNjaWVuY2U8L2tleXdvcmQ+PGtleXdv
cmQ+U29jaW9sb2d5PC9rZXl3b3JkPjwva2V5d29yZHM+PGlzYm4+MDAyMTE3NTM8L2lzYm4+PHRp
dGxlcz48dGl0bGU+VGhlIGNvbnN0cnVjdGl2aXN0cyZhcG9zOyB0b29sIGtpdDwvdGl0bGU+PC90
aXRsZXM+PHBhZ2VzPjMyOS0zMzE8L3BhZ2VzPjxjb250cmlidXRvcnM+PGF1dGhvcnM+PGF1dGhv
cj5Lb2hsZXIsIFJvYmVydDwvYXV0aG9yPjwvYXV0aG9ycz48L2NvbnRyaWJ1dG9ycz48YWRkZWQt
ZGF0ZSBmb3JtYXQ9InV0YyI+MTUyMzYyNzUyMzwvYWRkZWQtZGF0ZT48cHViLWxvY2F0aW9uPkNo
aWNhZ288L3B1Yi1sb2NhdGlvbj48cmVmLXR5cGUgbmFtZT0iR2VuZXJpYyI+MTM8L3JlZi10eXBl
PjxkYXRlcz48eWVhcj4xOTk5PC95ZWFyPjwvZGF0ZXM+PHJlYy1udW1iZXI+NzQ4MTwvcmVjLW51
bWJlcj48cHVibGlzaGVyPlVuaXZlcnNpdHkgb2YgQ2hpY2FnbywgYWN0aW5nIHRocm91Z2ggaXRz
IFByZXNzPC9wdWJsaXNoZXI+PGxhc3QtdXBkYXRlZC1kYXRlIGZvcm1hdD0idXRjIj4xNTIzNjI3
NTIzPC9sYXN0LXVwZGF0ZWQtZGF0ZT48dm9sdW1lPjkwPC92b2x1bWU+PC9yZWNvcmQ+PC9DaXRl
PjxDaXRlPjxBdXRob3I+S3Jpc2huYW48L0F1dGhvcj48WWVhcj4yMDA5PC9ZZWFyPjxJRFRleHQ+
V2hhdCBhcmUgQWNhZGVtaWMgRGlzY2lwbGluZXM/IFNvbWUgb2JzZXJ2YXRpb25zIG9uIHRoZSBE
aXNjaXBsaW5hcml0eSB2cy4gSW50ZXJkaXNjaXBsaW5hcnkgZGViYXRlIChXb3JraW5nIFBhcGVy
KTwvSURUZXh0PjxyZWNvcmQ+PHVybHM+PHJlbGF0ZWQtdXJscz48dXJsPk5hdGlvbmFsIENlbnRy
ZSBmb3IgUmVzZWFyY2ggTWV0aG9kcyB3ZWJzaXRlOiBodHRwOi8vZXByaW50cy5uY3JtLmFjLnVr
Lzc4My8xL3doYXRfYXJlX2FjYWRlbWljX2Rpc2NpcGxpbmVzLnBkZjwvdXJsPjwvcmVsYXRlZC11
cmxzPjwvdXJscz48dGl0bGVzPjx0aXRsZT5XaGF0IGFyZSBBY2FkZW1pYyBEaXNjaXBsaW5lcz8g
U29tZSBvYnNlcnZhdGlvbnMgb24gdGhlIERpc2NpcGxpbmFyaXR5IHZzLiBJbnRlcmRpc2NpcGxp
bmFyeSBkZWJhdGUgKFdvcmtpbmcgUGFwZXIpPC90aXRsZT48L3RpdGxlcz48dXJscz48cGRmLXVy
bHM+PHVybD5maWxlOi8vL0M6L1VzZXJzL2VsaWVsXzAwMC9Eb2N1bWVudHMvQWNhZGVtaWMvUGhE
L3doYXRfYXJlX2FjYWRlbWljX2Rpc2NpcGxpbmVzLnBkZjwvdXJsPjwvcGRmLXVybHM+PC91cmxz
Pjxjb250cmlidXRvcnM+PGF1dGhvcnM+PGF1dGhvcj5LcmlzaG5hbiwgQXJtaW48L2F1dGhvcj48
L2F1dGhvcnM+PC9jb250cmlidXRvcnM+PGFkZGVkLWRhdGUgZm9ybWF0PSJ1dGMiPjE0NTI3MDQ0
MjQ8L2FkZGVkLWRhdGU+PHJlZi10eXBlIG5hbWU9IkVsZWN0cm9uaWMgQXJ0aWNsZSI+NDM8L3Jl
Zi10eXBlPjxkYXRlcz48eWVhcj4yMDA5PC95ZWFyPjwvZGF0ZXM+PHJlYy1udW1iZXI+OTE8L3Jl
Yy1udW1iZXI+PGxhc3QtdXBkYXRlZC1kYXRlIGZvcm1hdD0idXRjIj4xNDY5MjE1NDY4PC9sYXN0
LXVwZGF0ZWQtZGF0ZT48L3JlY29yZD48L0NpdGU+PENpdGU+PEF1dGhvcj5CZW4tRGF2aWQ8L0F1
dGhvcj48WWVhcj4xOTcxPC9ZZWFyPjxJRFRleHQ+VGhlIHNjaWVudGlzdCZhcG9zO3Mgcm9sZSBp
biBzb2NpZXR5OiBhIGNvbXBhcmF0aXZlIHN0dWR5PC9JRFRleHQ+PHJlY29yZD48a2V5d29yZHM+
PGtleXdvcmQ+U2NpZW50aXN0czwva2V5d29yZD48a2V5d29yZD5TY2llbnRpc3RzPC9rZXl3b3Jk
PjxrZXl3b3JkPlNjaWVuY2UgYW5kIGNpdmlsaXphdGlvbjwva2V5d29yZD48a2V5d29yZD5TY2ll
bmNlIGFuZCBjaXZpbGl6YXRpb248L2tleXdvcmQ+PGtleXdvcmQ+Q2l2aWxpemF0aW9uIGFuZCBz
Y2llbmNlPC9rZXl3b3JkPjxrZXl3b3JkPkhpc3RvcnkgYW5kIHNjaWVuY2U8L2tleXdvcmQ+PGtl
eXdvcmQ+U2NpZW5jZSBhbmQgaGlzdG9yeTwva2V5d29yZD48a2V5d29yZD5TY2llbmNlIGFuZCBz
b2NpZXR5PC9rZXl3b3JkPjxrZXl3b3JkPlByb2dyZXNzPC9rZXl3b3JkPjxrZXl3b3JkPlByb2Zl
c3Npb25zPC9rZXl3b3JkPjxrZXl3b3JkPlNvY2lldHkgUm9sZSBvZiBzY2llbnRpc3RzPC9rZXl3
b3JkPjwva2V5d29yZHM+PHRpdGxlcz48dGl0bGU+VGhlIHNjaWVudGlzdCZhcG9zO3Mgcm9sZSBp
biBzb2NpZXR5OiBhIGNvbXBhcmF0aXZlIHN0dWR5PC90aXRsZT48L3RpdGxlcz48Y29udHJpYnV0
b3JzPjxhdXRob3JzPjxhdXRob3I+QmVuLURhdmlkLCBKb3NlcGg8L2F1dGhvcj48L2F1dGhvcnM+
PC9jb250cmlidXRvcnM+PGFkZGVkLWRhdGUgZm9ybWF0PSJ1dGMiPjE1MjM2MjgzNzU8L2FkZGVk
LWRhdGU+PHB1Yi1sb2NhdGlvbj5FbmdsZXdvb2QgQ2xpZmZzPC9wdWItbG9jYXRpb24+PHJlZi10
eXBlIG5hbWU9IkJvb2siPjY8L3JlZi10eXBlPjxkYXRlcz48eWVhcj4xOTcxPC95ZWFyPjwvZGF0
ZXM+PHJlYy1udW1iZXI+NzQ4MjwvcmVjLW51bWJlcj48cHVibGlzaGVyPlByZW50aWNlLUhhbGw8
L3B1Ymxpc2hlcj48bGFzdC11cGRhdGVkLWRhdGUgZm9ybWF0PSJ1dGMiPjE1MjM2MjkxODk8L2xh
c3QtdXBkYXRlZC1kYXRlPjwvcmVjb3JkPjwvQ2l0ZT48Q2l0ZT48QXV0aG9yPkNsYXJrPC9BdXRo
b3I+PFllYXI+MTk4MzwvWWVhcj48SURUZXh0PlRoZSBoaWdoZXIgZWR1Y2F0aW9uIHN5c3RlbTog
YWNhZGVtaWMgb3JnYW5pc2F0aW9uIGluIGNyb3NzLW5hdGlvbmFsIHBlcnNwZWN0aXZlPC9JRFRl
eHQ+PHJlY29yZD48a2V5d29yZHM+PGtleXdvcmQ+RWR1Y2F0aW9uLCBIaWdoZXI8L2tleXdvcmQ+
PGtleXdvcmQ+RWR1Y2F0aW9uLCBIaWdoZXI8L2tleXdvcmQ+PGtleXdvcmQ+SGlnaGVyIGVkdWNh
dGlvbiBDb21wYXJhdGl2ZSBzdHVkaWVzPC9rZXl3b3JkPjwva2V5d29yZHM+PHRpdGxlcz48dGl0
bGU+VGhlIGhpZ2hlciBlZHVjYXRpb24gc3lzdGVtOiBhY2FkZW1pYyBvcmdhbmlzYXRpb24gaW4g
Y3Jvc3MtbmF0aW9uYWwgcGVyc3BlY3RpdmU8L3RpdGxlPjwvdGl0bGVzPjxjb250cmlidXRvcnM+
PGF1dGhvcnM+PGF1dGhvcj5DbGFyaywgQnVydG9uIFIuPC9hdXRob3I+PC9hdXRob3JzPjwvY29u
dHJpYnV0b3JzPjxhZGRlZC1kYXRlIGZvcm1hdD0idXRjIj4xNDU4MTM5NTQ4PC9hZGRlZC1kYXRl
PjxwdWItbG9jYXRpb24+TG9uZG9uPC9wdWItbG9jYXRpb24+PHJlZi10eXBlIG5hbWU9IkJvb2si
PjY8L3JlZi10eXBlPjxkYXRlcz48eWVhcj4xOTgzPC95ZWFyPjwvZGF0ZXM+PHJlYy1udW1iZXI+
Mjk0PC9yZWMtbnVtYmVyPjxwdWJsaXNoZXI+VW5pdmVyc2l0eSBvZiBDYWxpZm9ybmlhIFByZXNz
PC9wdWJsaXNoZXI+PGxhc3QtdXBkYXRlZC1kYXRlIGZvcm1hdD0idXRjIj4xNDcwOTk2OTMyPC9s
YXN0LXVwZGF0ZWQtZGF0ZT48L3JlY29yZD48L0NpdGU+PENpdGU+PEF1dGhvcj5TY2hhZmZlcjwv
QXV0aG9yPjxZZWFyPjIwMTM8L1llYXI+PElEVGV4dD5Ib3cgZGlzY2lwbGluZXMgbG9vazwvSURU
ZXh0PjxyZWNvcmQ+PHRpdGxlcz48dGl0bGU+SG93IGRpc2NpcGxpbmVzIGxvb2s8L3RpdGxlPjxz
ZWNvbmRhcnktdGl0bGU+QmFycnksIEFuZHJldyAgQm9ybiwgR2VvcmdpbmE8L3NlY29uZGFyeS10
aXRsZT48L3RpdGxlcz48Y29udHJpYnV0b3JzPjxhdXRob3JzPjxhdXRob3I+U2NoYWZmZXIsIFNp
bW9uPC9hdXRob3I+PC9hdXRob3JzPjwvY29udHJpYnV0b3JzPjxhZGRlZC1kYXRlIGZvcm1hdD0i
dXRjIj4xNTIzNjI2NzUzPC9hZGRlZC1kYXRlPjxwdWItbG9jYXRpb24+TG9uZG9uPC9wdWItbG9j
YXRpb24+PHJlZi10eXBlIG5hbWU9IkJvb2sgU2VjdGlvbiI+NTwvcmVmLXR5cGU+PGRhdGVzPjx5
ZWFyPjIwMTM8L3llYXI+PC9kYXRlcz48cmVjLW51bWJlcj43NDgwPC9yZWMtbnVtYmVyPjxwdWJs
aXNoZXI+Um91dGxlZGdlPC9wdWJsaXNoZXI+PGxhc3QtdXBkYXRlZC1kYXRlIGZvcm1hdD0idXRj
Ij4xNTIzNjI2ODA4PC9sYXN0LXVwZGF0ZWQtZGF0ZT48Y29udHJpYnV0b3JzPjxzZWNvbmRhcnkt
YXV0aG9ycz48YXV0aG9yPkJhcnJ5LCBBbmRyZXc8L2F1dGhvcj48YXV0aG9yPkJvcm4sIEdlb3Jn
aW5hPC9hdXRob3I+PC9zZWNvbmRhcnktYXV0aG9ycz48L2NvbnRyaWJ1dG9ycz48L3JlY29yZD48
L0NpdGU+PENpdGU+PEF1dGhvcj5NZXRjYWxmZTwvQXV0aG9yPjxZZWFyPjIwMTA8L1llYXI+PElE
VGV4dD5Vbml2ZXJzaXR5IGFuZCBCdXNpbmVzcyBSZWxhdGlvbnM6IENvbm5lY3RpbmcgdGhlIEtu
b3dsZWRnZSBFY29ub215PC9JRFRleHQ+PHJlY29yZD48a2V5d29yZHM+PGtleXdvcmQ+SGlnaGVy
IEVkdWNhdGlvbjwva2V5d29yZD48a2V5d29yZD5Vbml2ZXJzaXRpZXM8L2tleXdvcmQ+PGtleXdv
cmQ+U2Nob29sIEJ1c2luZXNzIFJlbGF0aW9uc2hpcDwva2V5d29yZD48a2V5d29yZD5QYXJ0bmVy
c2hpcHMgSW4gRWR1Y2F0aW9uPC9rZXl3b3JkPjxrZXl3b3JkPkVjb25vbWljczwva2V5d29yZD48
a2V5d29yZD5Lbm93bGVkZ2UgTGV2ZWw8L2tleXdvcmQ+PGtleXdvcmQ+S25vd2xlZGdlIEJhc2Ug
Rm9yIFRlYWNoaW5nPC9rZXl3b3JkPjwva2V5d29yZHM+PGlzYm4+MDAyNi00Njk1PC9pc2JuPjx0
aXRsZXM+PHRpdGxlPlVuaXZlcnNpdHkgYW5kIEJ1c2luZXNzIFJlbGF0aW9uczogQ29ubmVjdGlu
ZyB0aGUgS25vd2xlZGdlIEVjb25vbXk8L3RpdGxlPjxzZWNvbmRhcnktdGl0bGU+TWluZXJ2YTog
QSBSZXZpZXcgb2YgU2NpZW5jZSwgTGVhcm5pbmcgYW5kIFBvbGljeTwvc2Vjb25kYXJ5LXRpdGxl
PjwvdGl0bGVzPjxwYWdlcz41LTMzPC9wYWdlcz48bnVtYmVyPjE8L251bWJlcj48Y29udHJpYnV0
b3JzPjxhdXRob3JzPjxhdXRob3I+TWV0Y2FsZmUsIEouIFN0YW5sZXk8L2F1dGhvcj48L2F1dGhv
cnM+PC9jb250cmlidXRvcnM+PGFkZGVkLWRhdGUgZm9ybWF0PSJ1dGMiPjE0ODY2NjA4MDE8L2Fk
ZGVkLWRhdGU+PHJlZi10eXBlIG5hbWU9IkpvdXJuYWwgQXJ0aWNsZSI+MTc8L3JlZi10eXBlPjxk
YXRlcz48eWVhcj4yMDEwPC95ZWFyPjwvZGF0ZXM+PHJlYy1udW1iZXI+NjYwMTwvcmVjLW51bWJl
cj48bGFzdC11cGRhdGVkLWRhdGUgZm9ybWF0PSJ1dGMiPjE0ODY2NjA4MDE8L2xhc3QtdXBkYXRl
ZC1kYXRlPjxlbGVjdHJvbmljLXJlc291cmNlLW51bT4xMC4xMDA3L3MxMTAyNC0wMTAtOTE0MC00
PC9lbGVjdHJvbmljLXJlc291cmNlLW51bT48dm9sdW1lPjQ4PC92b2x1bWU+PC9yZWNvcmQ+PC9D
aXRlPjxDaXRlPjxBdXRob3I+QmlnbGFuPC9BdXRob3I+PFllYXI+MTk3MzwvWWVhcj48SURUZXh0
PlJlbGF0aW9uc2hpcHMgYmV0d2VlbiBzdWJqZWN0IG1hdHRlciBjaGFyYWN0ZXJpc3RpY3MgYW5k
IHRoZSBzdHJ1Y3R1cmUgYW5kIG91dHB1dCBvZiB1bml2ZXJzaXR5IGRlcGFydG1lbnRzPC9JRFRl
eHQ+PHJlY29yZD48aXNibj4wMDIxLTkwMTA8L2lzYm4+PHRpdGxlcz48dGl0bGU+UmVsYXRpb25z
aGlwcyBiZXR3ZWVuIHN1YmplY3QgbWF0dGVyIGNoYXJhY3RlcmlzdGljcyBhbmQgdGhlIHN0cnVj
dHVyZSBhbmQgb3V0cHV0IG9mIHVuaXZlcnNpdHkgZGVwYXJ0bWVudHM8L3RpdGxlPjxzZWNvbmRh
cnktdGl0bGU+Sm91cm5hbCBvZiBBcHBsaWVkIFBzeWNob2xvZ3k8L3NlY29uZGFyeS10aXRsZT48
L3RpdGxlcz48cGFnZXM+MjA0LTIxMzwvcGFnZXM+PG51bWJlcj4zPC9udW1iZXI+PGNvbnRyaWJ1
dG9ycz48YXV0aG9ycz48YXV0aG9yPkJpZ2xhbiwgQW50aG9ueTwvYXV0aG9yPjwvYXV0aG9ycz48
L2NvbnRyaWJ1dG9ycz48YWRkZWQtZGF0ZSBmb3JtYXQ9InV0YyI+MTQ2NzY0OTk3NjwvYWRkZWQt
ZGF0ZT48cmVmLXR5cGUgbmFtZT0iSm91cm5hbCBBcnRpY2xlIj4xNzwvcmVmLXR5cGU+PGRhdGVz
Pjx5ZWFyPjE5NzM8L3llYXI+PC9kYXRlcz48cmVjLW51bWJlcj40MTI8L3JlYy1udW1iZXI+PGxh
c3QtdXBkYXRlZC1kYXRlIGZvcm1hdD0idXRjIj4xNDY5MjE1NDY4PC9sYXN0LXVwZGF0ZWQtZGF0
ZT48Y29udHJpYnV0b3JzPjxzZWNvbmRhcnktYXV0aG9ycz48YXV0aG9yPkZlaXNobWFuLCBFZHdp
biBBLjwvYXV0aG9yPjwvc2Vjb25kYXJ5LWF1dGhvcnM+PC9jb250cmlidXRvcnM+PGVsZWN0cm9u
aWMtcmVzb3VyY2UtbnVtPjEwLjEwMzcvaDAwMzQ2OTk8L2VsZWN0cm9uaWMtcmVzb3VyY2UtbnVt
Pjx2b2x1bWU+NTc8L3ZvbHVtZT48L3JlY29yZD48L0NpdGU+PENpdGU+PEF1dGhvcj5Hb3JuaXR6
a2E8L0F1dGhvcj48WWVhcj4yMDAzPC9ZZWFyPjxJRFRleHQ+U2NpZW5jZSwgQ2xpZW50cywgYW5k
IHRoZSBTdGF0ZTogQSBzdHVkeSBvZiBTY2llbnRpZmljIEtub3dsZWRnZSBQcm9kdWN0aW9uIGFu
ZCBVc2U8L0lEVGV4dD48cmVjb3JkPjx1cmxzPjxyZWxhdGVkLXVybHM+PHVybD5odHRwczovL3d3
dy51dHdlbnRlLm5sL2Jtcy9jaGVwcy9waGRwb3J0YWwvQ0hFUFMlMjBBbHVtbmklMjBhbmQlMjBU
aGVpciUyMFRoZXNlcy90aGVzaXNnb3JuaXR6a2EucGRmPC91cmw+PC9yZWxhdGVkLXVybHM+PC91
cmxzPjx0aXRsZXM+PHRpdGxlPlNjaWVuY2UsIENsaWVudHMsIGFuZCB0aGUgU3RhdGU6IEEgc3R1
ZHkgb2YgU2NpZW50aWZpYyBLbm93bGVkZ2UgUHJvZHVjdGlvbiBhbmQgVXNlPC90aXRsZT48c2Vj
b25kYXJ5LXRpdGxlPlBoRCB0aGVzaXMswqBUaGUgVW5pdmVyc2l0eSBvZiBUd2VudGUswqA8L3Nl
Y29uZGFyeS10aXRsZT48L3RpdGxlcz48Y29udHJpYnV0b3JzPjxhdXRob3JzPjxhdXRob3I+R29y
bml0emthLCBBc2U8L2F1dGhvcj48L2F1dGhvcnM+PC9jb250cmlidXRvcnM+PGFkZGVkLWRhdGUg
Zm9ybWF0PSJ1dGMiPjE0NjYxNjkyMjc8L2FkZGVkLWRhdGU+PHJlZi10eXBlIG5hbWU9IlRoZXNp
cyI+MzI8L3JlZi10eXBlPjxkYXRlcz48eWVhcj4yMDAzPC95ZWFyPjwvZGF0ZXM+PHJlYy1udW1i
ZXI+MzkyPC9yZWMtbnVtYmVyPjxsYXN0LXVwZGF0ZWQtZGF0ZSBmb3JtYXQ9InV0YyI+MTQ2OTIx
NTQ2ODwvbGFzdC11cGRhdGVkLWRhdGU+PC9yZWNvcmQ+PC9DaXRlPjxDaXRlPjxBdXRob3I+Wmlt
YW48L0F1dGhvcj48WWVhcj4yMDAwPC9ZZWFyPjxJRFRleHQ+UmVhbCBTY2llbmNlOiBXaGF0IGl0
IGlzLCBhbmQgd2hhdCBpdCBtZWFuczwvSURUZXh0PjxyZWNvcmQ+PGtleXdvcmRzPjxrZXl3b3Jk
PlNjaWVuY2UgLS0gUGhpbG9zb3BoeTwva2V5d29yZD48a2V5d29yZD5TY2llbmNlIC0tIFBoaWxv
c29waHk8L2tleXdvcmQ+PGtleXdvcmQ+U2NpZW5jZSAtLSBNZXRob2RvbG9neTwva2V5d29yZD48
a2V5d29yZD5TY2llbmNlIC0tIE1ldGhvZG9sb2d5PC9rZXl3b3JkPjxrZXl3b3JkPlNjaWVudGlm
aWMgbWV0aG9kPC9rZXl3b3JkPjxrZXl3b3JkPkxvZ2ljLCBTeW1ib2xpYyBhbmQgbWF0aGVtYXRp
Y2FsPC9rZXl3b3JkPjxrZXl3b3JkPlNjaWVudGlmaWMgbWV0aG9kPC9rZXl3b3JkPjxrZXl3b3Jk
PkxvZ2ljLCBTeW1ib2xpYyBhbmQgbWF0aGVtYXRpY2FsPC9rZXl3b3JkPjxrZXl3b3JkPk5vcm1h
bCBzY2llbmNlPC9rZXl3b3JkPjxrZXl3b3JkPlBoaWxvc29waHkgb2Ygc2NpZW5jZTwva2V5d29y
ZD48a2V5d29yZD5Ob3JtYWwgc2NpZW5jZTwva2V5d29yZD48a2V5d29yZD5QaGlsb3NvcGh5IG9m
IHNjaWVuY2U8L2tleXdvcmQ+PC9rZXl3b3Jkcz48dGl0bGVzPjx0aXRsZT5SZWFsIFNjaWVuY2U6
IFdoYXQgaXQgaXMsIGFuZCB3aGF0IGl0IG1lYW5zPC90aXRsZT48L3RpdGxlcz48Y29udHJpYnV0
b3JzPjxhdXRob3JzPjxhdXRob3I+WmltYW4sIEouIE0uPC9hdXRob3I+PC9hdXRob3JzPjwvY29u
dHJpYnV0b3JzPjxhZGRlZC1kYXRlIGZvcm1hdD0idXRjIj4xNDY3Mzc1NjUxPC9hZGRlZC1kYXRl
PjxwdWItbG9jYXRpb24+Q2FtYnJpZGdlPC9wdWItbG9jYXRpb24+PHJlZi10eXBlIG5hbWU9IkJv
b2siPjY8L3JlZi10eXBlPjxkYXRlcz48eWVhcj4yMDAwPC95ZWFyPjwvZGF0ZXM+PHJlYy1udW1i
ZXI+NDA2PC9yZWMtbnVtYmVyPjxwdWJsaXNoZXI+Q2FtYnJpZGdlIFVuaXZlcnNpdHkgUHJlc3M8
L3B1Ymxpc2hlcj48bGFzdC11cGRhdGVkLWRhdGUgZm9ybWF0PSJ1dGMiPjE0NjkyMTU0Njg8L2xh
c3QtdXBkYXRlZC1kYXRlPjwvcmVjb3JkPjwvQ2l0ZT48Q2l0ZT48QXV0aG9yPlRyb3dsZXI8L0F1
dGhvcj48WWVhcj4yMDEyPC9ZZWFyPjxJRFRleHQ+VHJpYmVzIGFuZCB0ZXJyaXRvcmllcyBpbiB0
aGUgMjFzdCBjZW50dXJ5OiByZXRoaW5raW5nIHRoZSBzaWduaWZpY2FuY2Ugb2YgZGlzY2lwbGlu
ZXMgaW4gaGlnaGVyIGVkdWNhdGlvbjwvSURUZXh0PjxyZWNvcmQ+PGtleXdvcmRzPjxrZXl3b3Jk
PkVkdWNhdGlvbiwgSGlnaGVyIC0tIENyb3NzLWN1bHR1cmFsIHN0dWRpZXM8L2tleXdvcmQ+PGtl
eXdvcmQ+SW50ZXJkaXNjaXBsaW5hcnkgYXBwcm9hY2ggaW4gZWR1Y2F0aW9uPC9rZXl3b3JkPjxr
ZXl3b3JkPkludGVncmF0ZWQgY3VycmljdWx1bTwva2V5d29yZD48a2V5d29yZD5JbnRlcmRpc2Np
cGxpbmFyaXR5IGluIGVkdWNhdGlvbjwva2V5d29yZD48a2V5d29yZD5JbnRlcmRpc2NpcGxpbmFy
eSBzdHVkaWVzPC9rZXl3b3JkPjxrZXl3b3JkPkN1cnJpY3VsdW0gcGxhbm5pbmc8L2tleXdvcmQ+
PGtleXdvcmQ+SG9saXN0aWMgZWR1Y2F0aW9uPC9rZXl3b3JkPjwva2V5d29yZHM+PHRpdGxlcz48
dGl0bGU+VHJpYmVzIGFuZCB0ZXJyaXRvcmllcyBpbiB0aGUgMjFzdCBjZW50dXJ5OiByZXRoaW5r
aW5nIHRoZSBzaWduaWZpY2FuY2Ugb2YgZGlzY2lwbGluZXMgaW4gaGlnaGVyIGVkdWNhdGlvbjwv
dGl0bGU+PC90aXRsZXM+PGNvbnRyaWJ1dG9ycz48YXV0aG9ycz48YXV0aG9yPlRyb3dsZXIsIFBh
dWw8L2F1dGhvcj48YXV0aG9yPlNhdW5kZXJzLCBNdXJyYXk8L2F1dGhvcj48YXV0aG9yPkJhbWJl
ciwgVmVyb25pY2E8L2F1dGhvcj48L2F1dGhvcnM+PC9jb250cmlidXRvcnM+PGFkZGVkLWRhdGUg
Zm9ybWF0PSJ1dGMiPjE1MzE4MTY5NTU8L2FkZGVkLWRhdGU+PHB1Yi1sb2NhdGlvbj5PeG9uPC9w
dWItbG9jYXRpb24+PHJlZi10eXBlIG5hbWU9IkJvb2siPjY8L3JlZi10eXBlPjxkYXRlcz48eWVh
cj4yMDEyPC95ZWFyPjwvZGF0ZXM+PHJlYy1udW1iZXI+NzYwODwvcmVjLW51bWJlcj48cHVibGlz
aGVyPlJvdXRsZWRnZTwvcHVibGlzaGVyPjxsYXN0LXVwZGF0ZWQtZGF0ZSBmb3JtYXQ9InV0YyI+
MTUzMTgxNzAyODwvbGFzdC11cGRhdGVkLWRhdGU+PC9yZWNvcmQ+PC9DaXRlPjxDaXRlPjxBdXRo
b3I+QmVybnN0ZWluPC9BdXRob3I+PFllYXI+MTk3MTwvWWVhcj48SURUZXh0Pk9uIHRoZSBDbGFz
c2lmaWNhdGlvbiBhbmQgRnJhbWluZyBvZiBFZHVjYXRpb25hbCBLbm93bGVkZ2U8L0lEVGV4dD48
cmVjb3JkPjxrZXl3b3Jkcz48a2V5d29yZD5FZHVjYXRpb25hbCBzb2Npb2xvZ3kgLS0gQ29uZ3Jl
c3Nlczwva2V5d29yZD48a2V5d29yZD5FZHVjYXRpb25hbCBzb2Npb2xvZ3kgLS0gQ29uZ3Jlc3Nl
czwva2V5d29yZD48a2V5d29yZD5FZHVjYXRpb24gU29jaW9sb2dpY2FsIHBlcnNwZWN0aXZlcyBD
b25mZXJlbmNlIHByb2NlZWRpbmdzPC9rZXl3b3JkPjwva2V5d29yZHM+PHRpdGxlcz48dGl0bGU+
T24gdGhlIENsYXNzaWZpY2F0aW9uIGFuZCBGcmFtaW5nIG9mIEVkdWNhdGlvbmFsIEtub3dsZWRn
ZTwvdGl0bGU+PHNlY29uZGFyeS10aXRsZT5Lbm93bGVkZ2UgYW5kIGNvbnRyb2w6IG5ldyBkaXJl
Y3Rpb25zIGZvciB0aGUgc29jaW9sb2d5IG9mIGVkdWNhdGlvbjwvc2Vjb25kYXJ5LXRpdGxlPjwv
dGl0bGVzPjxjb250cmlidXRvcnM+PGF1dGhvcnM+PGF1dGhvcj5CZXJuc3RlaW4sIEJhc2lsPC9h
dXRob3I+PC9hdXRob3JzPjwvY29udHJpYnV0b3JzPjxhZGRlZC1kYXRlIGZvcm1hdD0idXRjIj4x
NTMxODYzNDg0PC9hZGRlZC1kYXRlPjxwdWItbG9jYXRpb24+TG9uZG9uPC9wdWItbG9jYXRpb24+
PHJlZi10eXBlIG5hbWU9IkJvb2sgU2VjdGlvbiI+NTwvcmVmLXR5cGU+PGRhdGVzPjx5ZWFyPjE5
NzE8L3llYXI+PC9kYXRlcz48cmVjLW51bWJlcj43NjE1PC9yZWMtbnVtYmVyPjxwdWJsaXNoZXI+
Q29sbGllci1NYWNtaWxsYW48L3B1Ymxpc2hlcj48bGFzdC11cGRhdGVkLWRhdGUgZm9ybWF0PSJ1
dGMiPjE1MzE4NjM2MDY8L2xhc3QtdXBkYXRlZC1kYXRlPjxjb250cmlidXRvcnM+PHNlY29uZGFy
eS1hdXRob3JzPjxhdXRob3I+WW91bmcsIE1pY2hhZWw8L2F1dGhvcj48L3NlY29uZGFyeS1hdXRo
b3JzPjwvY29udHJpYnV0b3JzPjwvcmVjb3JkPjwvQ2l0ZT48Q2l0ZT48QXV0aG9yPkJlcm5zdGVp
bjwvQXV0aG9yPjxZZWFyPjIwMDA8L1llYXI+PElEVGV4dD5QZWRhZ29neSwgc3ltYm9saWMgY29u
dHJvbCwgYW5kIGlkZW50aXR5OiBUaGVvcnksIHJlc2VhcmNoLCBjcml0aXF1ZTwvSURUZXh0Pjxy
ZWNvcmQ+PGlzYm4+MDg0NzY5NTc2WDwvaXNibj48dGl0bGVzPjx0aXRsZT5QZWRhZ29neSwgc3lt
Ym9saWMgY29udHJvbCwgYW5kIGlkZW50aXR5OiBUaGVvcnksIHJlc2VhcmNoLCBjcml0aXF1ZTwv
dGl0bGU+PC90aXRsZXM+PG51bWJlcj40PC9udW1iZXI+PGNvbnRyaWJ1dG9ycz48YXV0aG9ycz48
YXV0aG9yPkJlcm5zdGVpbiwgQmFzaWw8L2F1dGhvcj48L2F1dGhvcnM+PC9jb250cmlidXRvcnM+
PGVkaXRpb24+Mm5kPC9lZGl0aW9uPjxhZGRlZC1kYXRlIGZvcm1hdD0idXRjIj4xNDUyNzA3ODU1
PC9hZGRlZC1kYXRlPjxwdWItbG9jYXRpb24+T3hmb3JkPC9wdWItbG9jYXRpb24+PHJlZi10eXBl
IG5hbWU9IkJvb2siPjY8L3JlZi10eXBlPjxkYXRlcz48eWVhcj4yMDAwPC95ZWFyPjwvZGF0ZXM+
PHJlYy1udW1iZXI+MTg1PC9yZWMtbnVtYmVyPjxwdWJsaXNoZXI+Um93bWFuICZhbXA7IExpdHRs
ZWZpZWxkPC9wdWJsaXNoZXI+PGxhc3QtdXBkYXRlZC1kYXRlIGZvcm1hdD0idXRjIj4xNDc3NzY2
ODA4PC9sYXN0LXVwZGF0ZWQtZGF0ZT48L3JlY29yZD48L0NpdGU+PENpdGU+PEF1dGhvcj5CYXJy
eTwvQXV0aG9yPjxZZWFyPjIwMDg8L1llYXI+PElEVGV4dD5Mb2dpY3Mgb2YgaW50ZXJkaXNjaXBs
aW5hcml0eTwvSURUZXh0PjxQcmVmaXg+Rm9yIGxpdGVyYXR1cmUgb24gdGhlc2UgZGViYXRlc2As
IHNlZSA8L1ByZWZpeD48cmVjb3JkPjxrZXl3b3Jkcz48a2V5d29yZD5JbnRlcmRpc2NpcGxpbmFy
aXR5PC9rZXl3b3JkPjxrZXl3b3JkPkludGVyZGlzY2lwbGluYXJ5IFJlc2VhcmNoPC9rZXl3b3Jk
PjxrZXl3b3JkPkFjY291bnRhYmlsaXR5PC9rZXl3b3JkPjxrZXl3b3JkPklubm92YXRpb248L2tl
eXdvcmQ+PGtleXdvcmQ+T250b2xvZ3k8L2tleXdvcmQ+PGtleXdvcmQ+RXRobm9ncmFwaHk8L2tl
eXdvcmQ+PGtleXdvcmQ+RW52aXJvbm1lbnQ8L2tleXdvcmQ+PGtleXdvcmQ+QXJ0LVNjaWVuY2U8
L2tleXdvcmQ+PC9rZXl3b3Jkcz48aXNibj4wMzA4LTUxNDc8L2lzYm4+PHRpdGxlcz48dGl0bGU+
TG9naWNzIG9mIGludGVyZGlzY2lwbGluYXJpdHk8L3RpdGxlPjxzZWNvbmRhcnktdGl0bGU+RWNv
bm9teSBhbmQgU29jaWV0eTwvc2Vjb25kYXJ5LXRpdGxlPjwvdGl0bGVzPjxwYWdlcz4yMC00OTwv
cGFnZXM+PG51bWJlcj4xPC9udW1iZXI+PGNvbnRyaWJ1dG9ycz48YXV0aG9ycz48YXV0aG9yPkJh
cnJ5LCBBbmRyZXc8L2F1dGhvcj48YXV0aG9yPkJvcm4sIEdlb3JnaW5hPC9hdXRob3I+PGF1dGhv
cj5XZXN6a2FsbnlzLCBHaXNhPC9hdXRob3I+PC9hdXRob3JzPjwvY29udHJpYnV0b3JzPjxhZGRl
ZC1kYXRlIGZvcm1hdD0idXRjIj4xNTUwODQxMjIxPC9hZGRlZC1kYXRlPjxyZWYtdHlwZSBuYW1l
PSJKb3VybmFsIEFydGljbGUiPjE3PC9yZWYtdHlwZT48ZGF0ZXM+PHllYXI+MjAwODwveWVhcj48
L2RhdGVzPjxyZWMtbnVtYmVyPjc3NTU8L3JlYy1udW1iZXI+PHB1Ymxpc2hlcj5UYXlsb3IgJmFt
cDsgRnJhbmNpcyBHcm91cDwvcHVibGlzaGVyPjxsYXN0LXVwZGF0ZWQtZGF0ZSBmb3JtYXQ9InV0
YyI+MTU1MDg0MTIyMTwvbGFzdC11cGRhdGVkLWRhdGU+PGVsZWN0cm9uaWMtcmVzb3VyY2UtbnVt
PjEwLjEwODAvMDMwODUxNDA3MDE3NjA4NDE8L2VsZWN0cm9uaWMtcmVzb3VyY2UtbnVtPjx2b2x1
bWU+Mzc8L3ZvbHVtZT48L3JlY29yZD48L0NpdGU+PENpdGU+PEF1dGhvcj5IZW5rZWw8L0F1dGhv
cj48WWVhcj4yMDA0PC9ZZWFyPjxJRFRleHQ+Q3VycmVudCBTY2llbmNlIFBvbGljaWVzIGFuZCB0
aGVpciBJbXBsaWNhdGlvbnMgZm9yIHRoZSBGb3JtYXRpb24gYW5kIE1haW50ZW5hbmNlIG9mIEFj
YWRlbWljIElkZW50aXR5PC9JRFRleHQ+PHJlY29yZD48aXNibj4wOTUyLTg3MzM8L2lzYm4+PHRp
dGxlcz48dGl0bGU+Q3VycmVudCBTY2llbmNlIFBvbGljaWVzIGFuZCB0aGVpciBJbXBsaWNhdGlv
bnMgZm9yIHRoZSBGb3JtYXRpb24gYW5kIE1haW50ZW5hbmNlIG9mIEFjYWRlbWljIElkZW50aXR5
PC90aXRsZT48c2Vjb25kYXJ5LXRpdGxlPkhpZ2hlciBFZHVjYXRpb24gUG9saWN5PC9zZWNvbmRh
cnktdGl0bGU+PC90aXRsZXM+PHBhZ2VzPjE2NzwvcGFnZXM+PG51bWJlcj4yPC9udW1iZXI+PGNv
bnRyaWJ1dG9ycz48YXV0aG9ycz48YXV0aG9yPkhlbmtlbCwgTWFyeTwvYXV0aG9yPjwvYXV0aG9y
cz48L2NvbnRyaWJ1dG9ycz48YWRkZWQtZGF0ZSBmb3JtYXQ9InV0YyI+MTUyNjA3NjQ2NTwvYWRk
ZWQtZGF0ZT48cmVmLXR5cGUgbmFtZT0iSm91cm5hbCBBcnRpY2xlIj4xNzwvcmVmLXR5cGU+PGRh
dGVzPjx5ZWFyPjIwMDQ8L3llYXI+PC9kYXRlcz48cmVjLW51bWJlcj43NTE5PC9yZWMtbnVtYmVy
PjxsYXN0LXVwZGF0ZWQtZGF0ZSBmb3JtYXQ9InV0YyI+MTUyNjA3NzE2NDwvbGFzdC11cGRhdGVk
LWRhdGU+PGVsZWN0cm9uaWMtcmVzb3VyY2UtbnVtPjEwLjEwNTcvcGFsZ3JhdmUuaGVwLjgzMDAw
NDk8L2VsZWN0cm9uaWMtcmVzb3VyY2UtbnVtPjx2b2x1bWU+MTc8L3ZvbHVtZT48L3JlY29yZD48
L0NpdGU+PC9FbmROb3RlPn==
</w:fldData>
        </w:fldChar>
      </w:r>
      <w:r w:rsidR="00AF7243">
        <w:instrText xml:space="preserve"> ADDIN EN.CITE </w:instrText>
      </w:r>
      <w:r w:rsidR="00AF7243">
        <w:fldChar w:fldCharType="begin">
          <w:fldData xml:space="preserve">PEVuZE5vdGU+PENpdGU+PEF1dGhvcj5Hb2xpbnNraTwvQXV0aG9yPjxZZWFyPjIwMDg8L1llYXI+
PElEVGV4dD5NYWtpbmcgTmF0dXJhbCBLbm93bGVkZ2U6IENvbnN0cnVjdGl2aXNtIGFuZCB0aGUg
SGlzdG9yeSBvZiBTY2llbmNlLCB3aXRoIGEgbmV3IHByZWZhY2U8L0lEVGV4dD48RGlzcGxheVRl
eHQ+KEZvciBsaXRlcmF0dXJlIG9uIHRoZXNlIGRlYmF0ZXMsIHNlZSBCYXJyeSwgQm9ybiwgJmFt
cDsgV2VzemthbG55cywgMjAwODsgQmVuLURhdmlkLCAxOTcxOyBCZXJuc3RlaW4sIDE5NzEsIDIw
MDA7IEJpZ2xhbiwgMTk3MzsgQi4gUi4gQ2xhcmssIDE5ODM7IEdvbGluc2tpLCAyMDA4OyBHb3Ju
aXR6a2EsIDIwMDM7IEhlbmtlbCwgMjAwNDsgS29obGVyLCAxOTk5OyBLcmlzaG5hbiwgMjAwOTsg
TWV0Y2FsZmUsIDIwMTA7IFNjaGFmZmVyLCAyMDEzOyBUcm93bGVyLCBTYXVuZGVycywgJmFtcDsg
QmFtYmVyLCAyMDEyOyBaaW1hbiwgMjAwMCk8L0Rpc3BsYXlUZXh0PjxyZWNvcmQ+PGlzYm4+MDIy
NjMwMjMyNjwvaXNibj48dGl0bGVzPjx0aXRsZT5NYWtpbmcgTmF0dXJhbCBLbm93bGVkZ2U6IENv
bnN0cnVjdGl2aXNtIGFuZCB0aGUgSGlzdG9yeSBvZiBTY2llbmNlLCB3aXRoIGEgbmV3IHByZWZh
Y2U8L3RpdGxlPjwvdGl0bGVzPjxjb250cmlidXRvcnM+PGF1dGhvcnM+PGF1dGhvcj5Hb2xpbnNr
aSwgSmFuPC9hdXRob3I+PC9hdXRob3JzPjwvY29udHJpYnV0b3JzPjxhZGRlZC1kYXRlIGZvcm1h
dD0idXRjIj4xNTIzNjI4Nzc4PC9hZGRlZC1kYXRlPjxyZWYtdHlwZSBuYW1lPSJCb29rIj42PC9y
ZWYtdHlwZT48ZGF0ZXM+PHllYXI+MjAwODwveWVhcj48L2RhdGVzPjxyZWMtbnVtYmVyPjc0ODM8
L3JlYy1udW1iZXI+PHB1Ymxpc2hlcj5Vbml2ZXJzaXR5IG9mIENoaWNhZ28gUHJlc3M8L3B1Ymxp
c2hlcj48bGFzdC11cGRhdGVkLWRhdGUgZm9ybWF0PSJ1dGMiPjE1MjM2Mjg3Nzg8L2xhc3QtdXBk
YXRlZC1kYXRlPjwvcmVjb3JkPjwvQ2l0ZT48Q2l0ZT48QXV0aG9yPktvaGxlcjwvQXV0aG9yPjxZ
ZWFyPjE5OTk8L1llYXI+PElEVGV4dD5UaGUgY29uc3RydWN0aXZpc3RzJmFwb3M7IHRvb2wga2l0
PC9JRFRleHQ+PHJlY29yZD48a2V5d29yZHM+PGtleXdvcmQ+Tm9uZmljdGlvbjwva2V5d29yZD48
a2V5d29yZD5IaXN0b3J5PC9rZXl3b3JkPjxrZXl3b3JkPlNjaWVuY2U8L2tleXdvcmQ+PGtleXdv
cmQ+U29jaW9sb2d5PC9rZXl3b3JkPjwva2V5d29yZHM+PGlzYm4+MDAyMTE3NTM8L2lzYm4+PHRp
dGxlcz48dGl0bGU+VGhlIGNvbnN0cnVjdGl2aXN0cyZhcG9zOyB0b29sIGtpdDwvdGl0bGU+PC90
aXRsZXM+PHBhZ2VzPjMyOS0zMzE8L3BhZ2VzPjxjb250cmlidXRvcnM+PGF1dGhvcnM+PGF1dGhv
cj5Lb2hsZXIsIFJvYmVydDwvYXV0aG9yPjwvYXV0aG9ycz48L2NvbnRyaWJ1dG9ycz48YWRkZWQt
ZGF0ZSBmb3JtYXQ9InV0YyI+MTUyMzYyNzUyMzwvYWRkZWQtZGF0ZT48cHViLWxvY2F0aW9uPkNo
aWNhZ288L3B1Yi1sb2NhdGlvbj48cmVmLXR5cGUgbmFtZT0iR2VuZXJpYyI+MTM8L3JlZi10eXBl
PjxkYXRlcz48eWVhcj4xOTk5PC95ZWFyPjwvZGF0ZXM+PHJlYy1udW1iZXI+NzQ4MTwvcmVjLW51
bWJlcj48cHVibGlzaGVyPlVuaXZlcnNpdHkgb2YgQ2hpY2FnbywgYWN0aW5nIHRocm91Z2ggaXRz
IFByZXNzPC9wdWJsaXNoZXI+PGxhc3QtdXBkYXRlZC1kYXRlIGZvcm1hdD0idXRjIj4xNTIzNjI3
NTIzPC9sYXN0LXVwZGF0ZWQtZGF0ZT48dm9sdW1lPjkwPC92b2x1bWU+PC9yZWNvcmQ+PC9DaXRl
PjxDaXRlPjxBdXRob3I+S3Jpc2huYW48L0F1dGhvcj48WWVhcj4yMDA5PC9ZZWFyPjxJRFRleHQ+
V2hhdCBhcmUgQWNhZGVtaWMgRGlzY2lwbGluZXM/IFNvbWUgb2JzZXJ2YXRpb25zIG9uIHRoZSBE
aXNjaXBsaW5hcml0eSB2cy4gSW50ZXJkaXNjaXBsaW5hcnkgZGViYXRlIChXb3JraW5nIFBhcGVy
KTwvSURUZXh0PjxyZWNvcmQ+PHVybHM+PHJlbGF0ZWQtdXJscz48dXJsPk5hdGlvbmFsIENlbnRy
ZSBmb3IgUmVzZWFyY2ggTWV0aG9kcyB3ZWJzaXRlOiBodHRwOi8vZXByaW50cy5uY3JtLmFjLnVr
Lzc4My8xL3doYXRfYXJlX2FjYWRlbWljX2Rpc2NpcGxpbmVzLnBkZjwvdXJsPjwvcmVsYXRlZC11
cmxzPjwvdXJscz48dGl0bGVzPjx0aXRsZT5XaGF0IGFyZSBBY2FkZW1pYyBEaXNjaXBsaW5lcz8g
U29tZSBvYnNlcnZhdGlvbnMgb24gdGhlIERpc2NpcGxpbmFyaXR5IHZzLiBJbnRlcmRpc2NpcGxp
bmFyeSBkZWJhdGUgKFdvcmtpbmcgUGFwZXIpPC90aXRsZT48L3RpdGxlcz48dXJscz48cGRmLXVy
bHM+PHVybD5maWxlOi8vL0M6L1VzZXJzL2VsaWVsXzAwMC9Eb2N1bWVudHMvQWNhZGVtaWMvUGhE
L3doYXRfYXJlX2FjYWRlbWljX2Rpc2NpcGxpbmVzLnBkZjwvdXJsPjwvcGRmLXVybHM+PC91cmxz
Pjxjb250cmlidXRvcnM+PGF1dGhvcnM+PGF1dGhvcj5LcmlzaG5hbiwgQXJtaW48L2F1dGhvcj48
L2F1dGhvcnM+PC9jb250cmlidXRvcnM+PGFkZGVkLWRhdGUgZm9ybWF0PSJ1dGMiPjE0NTI3MDQ0
MjQ8L2FkZGVkLWRhdGU+PHJlZi10eXBlIG5hbWU9IkVsZWN0cm9uaWMgQXJ0aWNsZSI+NDM8L3Jl
Zi10eXBlPjxkYXRlcz48eWVhcj4yMDA5PC95ZWFyPjwvZGF0ZXM+PHJlYy1udW1iZXI+OTE8L3Jl
Yy1udW1iZXI+PGxhc3QtdXBkYXRlZC1kYXRlIGZvcm1hdD0idXRjIj4xNDY5MjE1NDY4PC9sYXN0
LXVwZGF0ZWQtZGF0ZT48L3JlY29yZD48L0NpdGU+PENpdGU+PEF1dGhvcj5CZW4tRGF2aWQ8L0F1
dGhvcj48WWVhcj4xOTcxPC9ZZWFyPjxJRFRleHQ+VGhlIHNjaWVudGlzdCZhcG9zO3Mgcm9sZSBp
biBzb2NpZXR5OiBhIGNvbXBhcmF0aXZlIHN0dWR5PC9JRFRleHQ+PHJlY29yZD48a2V5d29yZHM+
PGtleXdvcmQ+U2NpZW50aXN0czwva2V5d29yZD48a2V5d29yZD5TY2llbnRpc3RzPC9rZXl3b3Jk
PjxrZXl3b3JkPlNjaWVuY2UgYW5kIGNpdmlsaXphdGlvbjwva2V5d29yZD48a2V5d29yZD5TY2ll
bmNlIGFuZCBjaXZpbGl6YXRpb248L2tleXdvcmQ+PGtleXdvcmQ+Q2l2aWxpemF0aW9uIGFuZCBz
Y2llbmNlPC9rZXl3b3JkPjxrZXl3b3JkPkhpc3RvcnkgYW5kIHNjaWVuY2U8L2tleXdvcmQ+PGtl
eXdvcmQ+U2NpZW5jZSBhbmQgaGlzdG9yeTwva2V5d29yZD48a2V5d29yZD5TY2llbmNlIGFuZCBz
b2NpZXR5PC9rZXl3b3JkPjxrZXl3b3JkPlByb2dyZXNzPC9rZXl3b3JkPjxrZXl3b3JkPlByb2Zl
c3Npb25zPC9rZXl3b3JkPjxrZXl3b3JkPlNvY2lldHkgUm9sZSBvZiBzY2llbnRpc3RzPC9rZXl3
b3JkPjwva2V5d29yZHM+PHRpdGxlcz48dGl0bGU+VGhlIHNjaWVudGlzdCZhcG9zO3Mgcm9sZSBp
biBzb2NpZXR5OiBhIGNvbXBhcmF0aXZlIHN0dWR5PC90aXRsZT48L3RpdGxlcz48Y29udHJpYnV0
b3JzPjxhdXRob3JzPjxhdXRob3I+QmVuLURhdmlkLCBKb3NlcGg8L2F1dGhvcj48L2F1dGhvcnM+
PC9jb250cmlidXRvcnM+PGFkZGVkLWRhdGUgZm9ybWF0PSJ1dGMiPjE1MjM2MjgzNzU8L2FkZGVk
LWRhdGU+PHB1Yi1sb2NhdGlvbj5FbmdsZXdvb2QgQ2xpZmZzPC9wdWItbG9jYXRpb24+PHJlZi10
eXBlIG5hbWU9IkJvb2siPjY8L3JlZi10eXBlPjxkYXRlcz48eWVhcj4xOTcxPC95ZWFyPjwvZGF0
ZXM+PHJlYy1udW1iZXI+NzQ4MjwvcmVjLW51bWJlcj48cHVibGlzaGVyPlByZW50aWNlLUhhbGw8
L3B1Ymxpc2hlcj48bGFzdC11cGRhdGVkLWRhdGUgZm9ybWF0PSJ1dGMiPjE1MjM2MjkxODk8L2xh
c3QtdXBkYXRlZC1kYXRlPjwvcmVjb3JkPjwvQ2l0ZT48Q2l0ZT48QXV0aG9yPkNsYXJrPC9BdXRo
b3I+PFllYXI+MTk4MzwvWWVhcj48SURUZXh0PlRoZSBoaWdoZXIgZWR1Y2F0aW9uIHN5c3RlbTog
YWNhZGVtaWMgb3JnYW5pc2F0aW9uIGluIGNyb3NzLW5hdGlvbmFsIHBlcnNwZWN0aXZlPC9JRFRl
eHQ+PHJlY29yZD48a2V5d29yZHM+PGtleXdvcmQ+RWR1Y2F0aW9uLCBIaWdoZXI8L2tleXdvcmQ+
PGtleXdvcmQ+RWR1Y2F0aW9uLCBIaWdoZXI8L2tleXdvcmQ+PGtleXdvcmQ+SGlnaGVyIGVkdWNh
dGlvbiBDb21wYXJhdGl2ZSBzdHVkaWVzPC9rZXl3b3JkPjwva2V5d29yZHM+PHRpdGxlcz48dGl0
bGU+VGhlIGhpZ2hlciBlZHVjYXRpb24gc3lzdGVtOiBhY2FkZW1pYyBvcmdhbmlzYXRpb24gaW4g
Y3Jvc3MtbmF0aW9uYWwgcGVyc3BlY3RpdmU8L3RpdGxlPjwvdGl0bGVzPjxjb250cmlidXRvcnM+
PGF1dGhvcnM+PGF1dGhvcj5DbGFyaywgQnVydG9uIFIuPC9hdXRob3I+PC9hdXRob3JzPjwvY29u
dHJpYnV0b3JzPjxhZGRlZC1kYXRlIGZvcm1hdD0idXRjIj4xNDU4MTM5NTQ4PC9hZGRlZC1kYXRl
PjxwdWItbG9jYXRpb24+TG9uZG9uPC9wdWItbG9jYXRpb24+PHJlZi10eXBlIG5hbWU9IkJvb2si
PjY8L3JlZi10eXBlPjxkYXRlcz48eWVhcj4xOTgzPC95ZWFyPjwvZGF0ZXM+PHJlYy1udW1iZXI+
Mjk0PC9yZWMtbnVtYmVyPjxwdWJsaXNoZXI+VW5pdmVyc2l0eSBvZiBDYWxpZm9ybmlhIFByZXNz
PC9wdWJsaXNoZXI+PGxhc3QtdXBkYXRlZC1kYXRlIGZvcm1hdD0idXRjIj4xNDcwOTk2OTMyPC9s
YXN0LXVwZGF0ZWQtZGF0ZT48L3JlY29yZD48L0NpdGU+PENpdGU+PEF1dGhvcj5TY2hhZmZlcjwv
QXV0aG9yPjxZZWFyPjIwMTM8L1llYXI+PElEVGV4dD5Ib3cgZGlzY2lwbGluZXMgbG9vazwvSURU
ZXh0PjxyZWNvcmQ+PHRpdGxlcz48dGl0bGU+SG93IGRpc2NpcGxpbmVzIGxvb2s8L3RpdGxlPjxz
ZWNvbmRhcnktdGl0bGU+QmFycnksIEFuZHJldyAgQm9ybiwgR2VvcmdpbmE8L3NlY29uZGFyeS10
aXRsZT48L3RpdGxlcz48Y29udHJpYnV0b3JzPjxhdXRob3JzPjxhdXRob3I+U2NoYWZmZXIsIFNp
bW9uPC9hdXRob3I+PC9hdXRob3JzPjwvY29udHJpYnV0b3JzPjxhZGRlZC1kYXRlIGZvcm1hdD0i
dXRjIj4xNTIzNjI2NzUzPC9hZGRlZC1kYXRlPjxwdWItbG9jYXRpb24+TG9uZG9uPC9wdWItbG9j
YXRpb24+PHJlZi10eXBlIG5hbWU9IkJvb2sgU2VjdGlvbiI+NTwvcmVmLXR5cGU+PGRhdGVzPjx5
ZWFyPjIwMTM8L3llYXI+PC9kYXRlcz48cmVjLW51bWJlcj43NDgwPC9yZWMtbnVtYmVyPjxwdWJs
aXNoZXI+Um91dGxlZGdlPC9wdWJsaXNoZXI+PGxhc3QtdXBkYXRlZC1kYXRlIGZvcm1hdD0idXRj
Ij4xNTIzNjI2ODA4PC9sYXN0LXVwZGF0ZWQtZGF0ZT48Y29udHJpYnV0b3JzPjxzZWNvbmRhcnkt
YXV0aG9ycz48YXV0aG9yPkJhcnJ5LCBBbmRyZXc8L2F1dGhvcj48YXV0aG9yPkJvcm4sIEdlb3Jn
aW5hPC9hdXRob3I+PC9zZWNvbmRhcnktYXV0aG9ycz48L2NvbnRyaWJ1dG9ycz48L3JlY29yZD48
L0NpdGU+PENpdGU+PEF1dGhvcj5NZXRjYWxmZTwvQXV0aG9yPjxZZWFyPjIwMTA8L1llYXI+PElE
VGV4dD5Vbml2ZXJzaXR5IGFuZCBCdXNpbmVzcyBSZWxhdGlvbnM6IENvbm5lY3RpbmcgdGhlIEtu
b3dsZWRnZSBFY29ub215PC9JRFRleHQ+PHJlY29yZD48a2V5d29yZHM+PGtleXdvcmQ+SGlnaGVy
IEVkdWNhdGlvbjwva2V5d29yZD48a2V5d29yZD5Vbml2ZXJzaXRpZXM8L2tleXdvcmQ+PGtleXdv
cmQ+U2Nob29sIEJ1c2luZXNzIFJlbGF0aW9uc2hpcDwva2V5d29yZD48a2V5d29yZD5QYXJ0bmVy
c2hpcHMgSW4gRWR1Y2F0aW9uPC9rZXl3b3JkPjxrZXl3b3JkPkVjb25vbWljczwva2V5d29yZD48
a2V5d29yZD5Lbm93bGVkZ2UgTGV2ZWw8L2tleXdvcmQ+PGtleXdvcmQ+S25vd2xlZGdlIEJhc2Ug
Rm9yIFRlYWNoaW5nPC9rZXl3b3JkPjwva2V5d29yZHM+PGlzYm4+MDAyNi00Njk1PC9pc2JuPjx0
aXRsZXM+PHRpdGxlPlVuaXZlcnNpdHkgYW5kIEJ1c2luZXNzIFJlbGF0aW9uczogQ29ubmVjdGlu
ZyB0aGUgS25vd2xlZGdlIEVjb25vbXk8L3RpdGxlPjxzZWNvbmRhcnktdGl0bGU+TWluZXJ2YTog
QSBSZXZpZXcgb2YgU2NpZW5jZSwgTGVhcm5pbmcgYW5kIFBvbGljeTwvc2Vjb25kYXJ5LXRpdGxl
PjwvdGl0bGVzPjxwYWdlcz41LTMzPC9wYWdlcz48bnVtYmVyPjE8L251bWJlcj48Y29udHJpYnV0
b3JzPjxhdXRob3JzPjxhdXRob3I+TWV0Y2FsZmUsIEouIFN0YW5sZXk8L2F1dGhvcj48L2F1dGhv
cnM+PC9jb250cmlidXRvcnM+PGFkZGVkLWRhdGUgZm9ybWF0PSJ1dGMiPjE0ODY2NjA4MDE8L2Fk
ZGVkLWRhdGU+PHJlZi10eXBlIG5hbWU9IkpvdXJuYWwgQXJ0aWNsZSI+MTc8L3JlZi10eXBlPjxk
YXRlcz48eWVhcj4yMDEwPC95ZWFyPjwvZGF0ZXM+PHJlYy1udW1iZXI+NjYwMTwvcmVjLW51bWJl
cj48bGFzdC11cGRhdGVkLWRhdGUgZm9ybWF0PSJ1dGMiPjE0ODY2NjA4MDE8L2xhc3QtdXBkYXRl
ZC1kYXRlPjxlbGVjdHJvbmljLXJlc291cmNlLW51bT4xMC4xMDA3L3MxMTAyNC0wMTAtOTE0MC00
PC9lbGVjdHJvbmljLXJlc291cmNlLW51bT48dm9sdW1lPjQ4PC92b2x1bWU+PC9yZWNvcmQ+PC9D
aXRlPjxDaXRlPjxBdXRob3I+QmlnbGFuPC9BdXRob3I+PFllYXI+MTk3MzwvWWVhcj48SURUZXh0
PlJlbGF0aW9uc2hpcHMgYmV0d2VlbiBzdWJqZWN0IG1hdHRlciBjaGFyYWN0ZXJpc3RpY3MgYW5k
IHRoZSBzdHJ1Y3R1cmUgYW5kIG91dHB1dCBvZiB1bml2ZXJzaXR5IGRlcGFydG1lbnRzPC9JRFRl
eHQ+PHJlY29yZD48aXNibj4wMDIxLTkwMTA8L2lzYm4+PHRpdGxlcz48dGl0bGU+UmVsYXRpb25z
aGlwcyBiZXR3ZWVuIHN1YmplY3QgbWF0dGVyIGNoYXJhY3RlcmlzdGljcyBhbmQgdGhlIHN0cnVj
dHVyZSBhbmQgb3V0cHV0IG9mIHVuaXZlcnNpdHkgZGVwYXJ0bWVudHM8L3RpdGxlPjxzZWNvbmRh
cnktdGl0bGU+Sm91cm5hbCBvZiBBcHBsaWVkIFBzeWNob2xvZ3k8L3NlY29uZGFyeS10aXRsZT48
L3RpdGxlcz48cGFnZXM+MjA0LTIxMzwvcGFnZXM+PG51bWJlcj4zPC9udW1iZXI+PGNvbnRyaWJ1
dG9ycz48YXV0aG9ycz48YXV0aG9yPkJpZ2xhbiwgQW50aG9ueTwvYXV0aG9yPjwvYXV0aG9ycz48
L2NvbnRyaWJ1dG9ycz48YWRkZWQtZGF0ZSBmb3JtYXQ9InV0YyI+MTQ2NzY0OTk3NjwvYWRkZWQt
ZGF0ZT48cmVmLXR5cGUgbmFtZT0iSm91cm5hbCBBcnRpY2xlIj4xNzwvcmVmLXR5cGU+PGRhdGVz
Pjx5ZWFyPjE5NzM8L3llYXI+PC9kYXRlcz48cmVjLW51bWJlcj40MTI8L3JlYy1udW1iZXI+PGxh
c3QtdXBkYXRlZC1kYXRlIGZvcm1hdD0idXRjIj4xNDY5MjE1NDY4PC9sYXN0LXVwZGF0ZWQtZGF0
ZT48Y29udHJpYnV0b3JzPjxzZWNvbmRhcnktYXV0aG9ycz48YXV0aG9yPkZlaXNobWFuLCBFZHdp
biBBLjwvYXV0aG9yPjwvc2Vjb25kYXJ5LWF1dGhvcnM+PC9jb250cmlidXRvcnM+PGVsZWN0cm9u
aWMtcmVzb3VyY2UtbnVtPjEwLjEwMzcvaDAwMzQ2OTk8L2VsZWN0cm9uaWMtcmVzb3VyY2UtbnVt
Pjx2b2x1bWU+NTc8L3ZvbHVtZT48L3JlY29yZD48L0NpdGU+PENpdGU+PEF1dGhvcj5Hb3JuaXR6
a2E8L0F1dGhvcj48WWVhcj4yMDAzPC9ZZWFyPjxJRFRleHQ+U2NpZW5jZSwgQ2xpZW50cywgYW5k
IHRoZSBTdGF0ZTogQSBzdHVkeSBvZiBTY2llbnRpZmljIEtub3dsZWRnZSBQcm9kdWN0aW9uIGFu
ZCBVc2U8L0lEVGV4dD48cmVjb3JkPjx1cmxzPjxyZWxhdGVkLXVybHM+PHVybD5odHRwczovL3d3
dy51dHdlbnRlLm5sL2Jtcy9jaGVwcy9waGRwb3J0YWwvQ0hFUFMlMjBBbHVtbmklMjBhbmQlMjBU
aGVpciUyMFRoZXNlcy90aGVzaXNnb3JuaXR6a2EucGRmPC91cmw+PC9yZWxhdGVkLXVybHM+PC91
cmxzPjx0aXRsZXM+PHRpdGxlPlNjaWVuY2UsIENsaWVudHMsIGFuZCB0aGUgU3RhdGU6IEEgc3R1
ZHkgb2YgU2NpZW50aWZpYyBLbm93bGVkZ2UgUHJvZHVjdGlvbiBhbmQgVXNlPC90aXRsZT48c2Vj
b25kYXJ5LXRpdGxlPlBoRCB0aGVzaXMswqBUaGUgVW5pdmVyc2l0eSBvZiBUd2VudGUswqA8L3Nl
Y29uZGFyeS10aXRsZT48L3RpdGxlcz48Y29udHJpYnV0b3JzPjxhdXRob3JzPjxhdXRob3I+R29y
bml0emthLCBBc2U8L2F1dGhvcj48L2F1dGhvcnM+PC9jb250cmlidXRvcnM+PGFkZGVkLWRhdGUg
Zm9ybWF0PSJ1dGMiPjE0NjYxNjkyMjc8L2FkZGVkLWRhdGU+PHJlZi10eXBlIG5hbWU9IlRoZXNp
cyI+MzI8L3JlZi10eXBlPjxkYXRlcz48eWVhcj4yMDAzPC95ZWFyPjwvZGF0ZXM+PHJlYy1udW1i
ZXI+MzkyPC9yZWMtbnVtYmVyPjxsYXN0LXVwZGF0ZWQtZGF0ZSBmb3JtYXQ9InV0YyI+MTQ2OTIx
NTQ2ODwvbGFzdC11cGRhdGVkLWRhdGU+PC9yZWNvcmQ+PC9DaXRlPjxDaXRlPjxBdXRob3I+Wmlt
YW48L0F1dGhvcj48WWVhcj4yMDAwPC9ZZWFyPjxJRFRleHQ+UmVhbCBTY2llbmNlOiBXaGF0IGl0
IGlzLCBhbmQgd2hhdCBpdCBtZWFuczwvSURUZXh0PjxyZWNvcmQ+PGtleXdvcmRzPjxrZXl3b3Jk
PlNjaWVuY2UgLS0gUGhpbG9zb3BoeTwva2V5d29yZD48a2V5d29yZD5TY2llbmNlIC0tIFBoaWxv
c29waHk8L2tleXdvcmQ+PGtleXdvcmQ+U2NpZW5jZSAtLSBNZXRob2RvbG9neTwva2V5d29yZD48
a2V5d29yZD5TY2llbmNlIC0tIE1ldGhvZG9sb2d5PC9rZXl3b3JkPjxrZXl3b3JkPlNjaWVudGlm
aWMgbWV0aG9kPC9rZXl3b3JkPjxrZXl3b3JkPkxvZ2ljLCBTeW1ib2xpYyBhbmQgbWF0aGVtYXRp
Y2FsPC9rZXl3b3JkPjxrZXl3b3JkPlNjaWVudGlmaWMgbWV0aG9kPC9rZXl3b3JkPjxrZXl3b3Jk
PkxvZ2ljLCBTeW1ib2xpYyBhbmQgbWF0aGVtYXRpY2FsPC9rZXl3b3JkPjxrZXl3b3JkPk5vcm1h
bCBzY2llbmNlPC9rZXl3b3JkPjxrZXl3b3JkPlBoaWxvc29waHkgb2Ygc2NpZW5jZTwva2V5d29y
ZD48a2V5d29yZD5Ob3JtYWwgc2NpZW5jZTwva2V5d29yZD48a2V5d29yZD5QaGlsb3NvcGh5IG9m
IHNjaWVuY2U8L2tleXdvcmQ+PC9rZXl3b3Jkcz48dGl0bGVzPjx0aXRsZT5SZWFsIFNjaWVuY2U6
IFdoYXQgaXQgaXMsIGFuZCB3aGF0IGl0IG1lYW5zPC90aXRsZT48L3RpdGxlcz48Y29udHJpYnV0
b3JzPjxhdXRob3JzPjxhdXRob3I+WmltYW4sIEouIE0uPC9hdXRob3I+PC9hdXRob3JzPjwvY29u
dHJpYnV0b3JzPjxhZGRlZC1kYXRlIGZvcm1hdD0idXRjIj4xNDY3Mzc1NjUxPC9hZGRlZC1kYXRl
PjxwdWItbG9jYXRpb24+Q2FtYnJpZGdlPC9wdWItbG9jYXRpb24+PHJlZi10eXBlIG5hbWU9IkJv
b2siPjY8L3JlZi10eXBlPjxkYXRlcz48eWVhcj4yMDAwPC95ZWFyPjwvZGF0ZXM+PHJlYy1udW1i
ZXI+NDA2PC9yZWMtbnVtYmVyPjxwdWJsaXNoZXI+Q2FtYnJpZGdlIFVuaXZlcnNpdHkgUHJlc3M8
L3B1Ymxpc2hlcj48bGFzdC11cGRhdGVkLWRhdGUgZm9ybWF0PSJ1dGMiPjE0NjkyMTU0Njg8L2xh
c3QtdXBkYXRlZC1kYXRlPjwvcmVjb3JkPjwvQ2l0ZT48Q2l0ZT48QXV0aG9yPlRyb3dsZXI8L0F1
dGhvcj48WWVhcj4yMDEyPC9ZZWFyPjxJRFRleHQ+VHJpYmVzIGFuZCB0ZXJyaXRvcmllcyBpbiB0
aGUgMjFzdCBjZW50dXJ5OiByZXRoaW5raW5nIHRoZSBzaWduaWZpY2FuY2Ugb2YgZGlzY2lwbGlu
ZXMgaW4gaGlnaGVyIGVkdWNhdGlvbjwvSURUZXh0PjxyZWNvcmQ+PGtleXdvcmRzPjxrZXl3b3Jk
PkVkdWNhdGlvbiwgSGlnaGVyIC0tIENyb3NzLWN1bHR1cmFsIHN0dWRpZXM8L2tleXdvcmQ+PGtl
eXdvcmQ+SW50ZXJkaXNjaXBsaW5hcnkgYXBwcm9hY2ggaW4gZWR1Y2F0aW9uPC9rZXl3b3JkPjxr
ZXl3b3JkPkludGVncmF0ZWQgY3VycmljdWx1bTwva2V5d29yZD48a2V5d29yZD5JbnRlcmRpc2Np
cGxpbmFyaXR5IGluIGVkdWNhdGlvbjwva2V5d29yZD48a2V5d29yZD5JbnRlcmRpc2NpcGxpbmFy
eSBzdHVkaWVzPC9rZXl3b3JkPjxrZXl3b3JkPkN1cnJpY3VsdW0gcGxhbm5pbmc8L2tleXdvcmQ+
PGtleXdvcmQ+SG9saXN0aWMgZWR1Y2F0aW9uPC9rZXl3b3JkPjwva2V5d29yZHM+PHRpdGxlcz48
dGl0bGU+VHJpYmVzIGFuZCB0ZXJyaXRvcmllcyBpbiB0aGUgMjFzdCBjZW50dXJ5OiByZXRoaW5r
aW5nIHRoZSBzaWduaWZpY2FuY2Ugb2YgZGlzY2lwbGluZXMgaW4gaGlnaGVyIGVkdWNhdGlvbjwv
dGl0bGU+PC90aXRsZXM+PGNvbnRyaWJ1dG9ycz48YXV0aG9ycz48YXV0aG9yPlRyb3dsZXIsIFBh
dWw8L2F1dGhvcj48YXV0aG9yPlNhdW5kZXJzLCBNdXJyYXk8L2F1dGhvcj48YXV0aG9yPkJhbWJl
ciwgVmVyb25pY2E8L2F1dGhvcj48L2F1dGhvcnM+PC9jb250cmlidXRvcnM+PGFkZGVkLWRhdGUg
Zm9ybWF0PSJ1dGMiPjE1MzE4MTY5NTU8L2FkZGVkLWRhdGU+PHB1Yi1sb2NhdGlvbj5PeG9uPC9w
dWItbG9jYXRpb24+PHJlZi10eXBlIG5hbWU9IkJvb2siPjY8L3JlZi10eXBlPjxkYXRlcz48eWVh
cj4yMDEyPC95ZWFyPjwvZGF0ZXM+PHJlYy1udW1iZXI+NzYwODwvcmVjLW51bWJlcj48cHVibGlz
aGVyPlJvdXRsZWRnZTwvcHVibGlzaGVyPjxsYXN0LXVwZGF0ZWQtZGF0ZSBmb3JtYXQ9InV0YyI+
MTUzMTgxNzAyODwvbGFzdC11cGRhdGVkLWRhdGU+PC9yZWNvcmQ+PC9DaXRlPjxDaXRlPjxBdXRo
b3I+QmVybnN0ZWluPC9BdXRob3I+PFllYXI+MTk3MTwvWWVhcj48SURUZXh0Pk9uIHRoZSBDbGFz
c2lmaWNhdGlvbiBhbmQgRnJhbWluZyBvZiBFZHVjYXRpb25hbCBLbm93bGVkZ2U8L0lEVGV4dD48
cmVjb3JkPjxrZXl3b3Jkcz48a2V5d29yZD5FZHVjYXRpb25hbCBzb2Npb2xvZ3kgLS0gQ29uZ3Jl
c3Nlczwva2V5d29yZD48a2V5d29yZD5FZHVjYXRpb25hbCBzb2Npb2xvZ3kgLS0gQ29uZ3Jlc3Nl
czwva2V5d29yZD48a2V5d29yZD5FZHVjYXRpb24gU29jaW9sb2dpY2FsIHBlcnNwZWN0aXZlcyBD
b25mZXJlbmNlIHByb2NlZWRpbmdzPC9rZXl3b3JkPjwva2V5d29yZHM+PHRpdGxlcz48dGl0bGU+
T24gdGhlIENsYXNzaWZpY2F0aW9uIGFuZCBGcmFtaW5nIG9mIEVkdWNhdGlvbmFsIEtub3dsZWRn
ZTwvdGl0bGU+PHNlY29uZGFyeS10aXRsZT5Lbm93bGVkZ2UgYW5kIGNvbnRyb2w6IG5ldyBkaXJl
Y3Rpb25zIGZvciB0aGUgc29jaW9sb2d5IG9mIGVkdWNhdGlvbjwvc2Vjb25kYXJ5LXRpdGxlPjwv
dGl0bGVzPjxjb250cmlidXRvcnM+PGF1dGhvcnM+PGF1dGhvcj5CZXJuc3RlaW4sIEJhc2lsPC9h
dXRob3I+PC9hdXRob3JzPjwvY29udHJpYnV0b3JzPjxhZGRlZC1kYXRlIGZvcm1hdD0idXRjIj4x
NTMxODYzNDg0PC9hZGRlZC1kYXRlPjxwdWItbG9jYXRpb24+TG9uZG9uPC9wdWItbG9jYXRpb24+
PHJlZi10eXBlIG5hbWU9IkJvb2sgU2VjdGlvbiI+NTwvcmVmLXR5cGU+PGRhdGVzPjx5ZWFyPjE5
NzE8L3llYXI+PC9kYXRlcz48cmVjLW51bWJlcj43NjE1PC9yZWMtbnVtYmVyPjxwdWJsaXNoZXI+
Q29sbGllci1NYWNtaWxsYW48L3B1Ymxpc2hlcj48bGFzdC11cGRhdGVkLWRhdGUgZm9ybWF0PSJ1
dGMiPjE1MzE4NjM2MDY8L2xhc3QtdXBkYXRlZC1kYXRlPjxjb250cmlidXRvcnM+PHNlY29uZGFy
eS1hdXRob3JzPjxhdXRob3I+WW91bmcsIE1pY2hhZWw8L2F1dGhvcj48L3NlY29uZGFyeS1hdXRo
b3JzPjwvY29udHJpYnV0b3JzPjwvcmVjb3JkPjwvQ2l0ZT48Q2l0ZT48QXV0aG9yPkJlcm5zdGVp
bjwvQXV0aG9yPjxZZWFyPjIwMDA8L1llYXI+PElEVGV4dD5QZWRhZ29neSwgc3ltYm9saWMgY29u
dHJvbCwgYW5kIGlkZW50aXR5OiBUaGVvcnksIHJlc2VhcmNoLCBjcml0aXF1ZTwvSURUZXh0Pjxy
ZWNvcmQ+PGlzYm4+MDg0NzY5NTc2WDwvaXNibj48dGl0bGVzPjx0aXRsZT5QZWRhZ29neSwgc3lt
Ym9saWMgY29udHJvbCwgYW5kIGlkZW50aXR5OiBUaGVvcnksIHJlc2VhcmNoLCBjcml0aXF1ZTwv
dGl0bGU+PC90aXRsZXM+PG51bWJlcj40PC9udW1iZXI+PGNvbnRyaWJ1dG9ycz48YXV0aG9ycz48
YXV0aG9yPkJlcm5zdGVpbiwgQmFzaWw8L2F1dGhvcj48L2F1dGhvcnM+PC9jb250cmlidXRvcnM+
PGVkaXRpb24+Mm5kPC9lZGl0aW9uPjxhZGRlZC1kYXRlIGZvcm1hdD0idXRjIj4xNDUyNzA3ODU1
PC9hZGRlZC1kYXRlPjxwdWItbG9jYXRpb24+T3hmb3JkPC9wdWItbG9jYXRpb24+PHJlZi10eXBl
IG5hbWU9IkJvb2siPjY8L3JlZi10eXBlPjxkYXRlcz48eWVhcj4yMDAwPC95ZWFyPjwvZGF0ZXM+
PHJlYy1udW1iZXI+MTg1PC9yZWMtbnVtYmVyPjxwdWJsaXNoZXI+Um93bWFuICZhbXA7IExpdHRs
ZWZpZWxkPC9wdWJsaXNoZXI+PGxhc3QtdXBkYXRlZC1kYXRlIGZvcm1hdD0idXRjIj4xNDc3NzY2
ODA4PC9sYXN0LXVwZGF0ZWQtZGF0ZT48L3JlY29yZD48L0NpdGU+PENpdGU+PEF1dGhvcj5CYXJy
eTwvQXV0aG9yPjxZZWFyPjIwMDg8L1llYXI+PElEVGV4dD5Mb2dpY3Mgb2YgaW50ZXJkaXNjaXBs
aW5hcml0eTwvSURUZXh0PjxQcmVmaXg+Rm9yIGxpdGVyYXR1cmUgb24gdGhlc2UgZGViYXRlc2As
IHNlZSA8L1ByZWZpeD48cmVjb3JkPjxrZXl3b3Jkcz48a2V5d29yZD5JbnRlcmRpc2NpcGxpbmFy
aXR5PC9rZXl3b3JkPjxrZXl3b3JkPkludGVyZGlzY2lwbGluYXJ5IFJlc2VhcmNoPC9rZXl3b3Jk
PjxrZXl3b3JkPkFjY291bnRhYmlsaXR5PC9rZXl3b3JkPjxrZXl3b3JkPklubm92YXRpb248L2tl
eXdvcmQ+PGtleXdvcmQ+T250b2xvZ3k8L2tleXdvcmQ+PGtleXdvcmQ+RXRobm9ncmFwaHk8L2tl
eXdvcmQ+PGtleXdvcmQ+RW52aXJvbm1lbnQ8L2tleXdvcmQ+PGtleXdvcmQ+QXJ0LVNjaWVuY2U8
L2tleXdvcmQ+PC9rZXl3b3Jkcz48aXNibj4wMzA4LTUxNDc8L2lzYm4+PHRpdGxlcz48dGl0bGU+
TG9naWNzIG9mIGludGVyZGlzY2lwbGluYXJpdHk8L3RpdGxlPjxzZWNvbmRhcnktdGl0bGU+RWNv
bm9teSBhbmQgU29jaWV0eTwvc2Vjb25kYXJ5LXRpdGxlPjwvdGl0bGVzPjxwYWdlcz4yMC00OTwv
cGFnZXM+PG51bWJlcj4xPC9udW1iZXI+PGNvbnRyaWJ1dG9ycz48YXV0aG9ycz48YXV0aG9yPkJh
cnJ5LCBBbmRyZXc8L2F1dGhvcj48YXV0aG9yPkJvcm4sIEdlb3JnaW5hPC9hdXRob3I+PGF1dGhv
cj5XZXN6a2FsbnlzLCBHaXNhPC9hdXRob3I+PC9hdXRob3JzPjwvY29udHJpYnV0b3JzPjxhZGRl
ZC1kYXRlIGZvcm1hdD0idXRjIj4xNTUwODQxMjIxPC9hZGRlZC1kYXRlPjxyZWYtdHlwZSBuYW1l
PSJKb3VybmFsIEFydGljbGUiPjE3PC9yZWYtdHlwZT48ZGF0ZXM+PHllYXI+MjAwODwveWVhcj48
L2RhdGVzPjxyZWMtbnVtYmVyPjc3NTU8L3JlYy1udW1iZXI+PHB1Ymxpc2hlcj5UYXlsb3IgJmFt
cDsgRnJhbmNpcyBHcm91cDwvcHVibGlzaGVyPjxsYXN0LXVwZGF0ZWQtZGF0ZSBmb3JtYXQ9InV0
YyI+MTU1MDg0MTIyMTwvbGFzdC11cGRhdGVkLWRhdGU+PGVsZWN0cm9uaWMtcmVzb3VyY2UtbnVt
PjEwLjEwODAvMDMwODUxNDA3MDE3NjA4NDE8L2VsZWN0cm9uaWMtcmVzb3VyY2UtbnVtPjx2b2x1
bWU+Mzc8L3ZvbHVtZT48L3JlY29yZD48L0NpdGU+PENpdGU+PEF1dGhvcj5IZW5rZWw8L0F1dGhv
cj48WWVhcj4yMDA0PC9ZZWFyPjxJRFRleHQ+Q3VycmVudCBTY2llbmNlIFBvbGljaWVzIGFuZCB0
aGVpciBJbXBsaWNhdGlvbnMgZm9yIHRoZSBGb3JtYXRpb24gYW5kIE1haW50ZW5hbmNlIG9mIEFj
YWRlbWljIElkZW50aXR5PC9JRFRleHQ+PHJlY29yZD48aXNibj4wOTUyLTg3MzM8L2lzYm4+PHRp
dGxlcz48dGl0bGU+Q3VycmVudCBTY2llbmNlIFBvbGljaWVzIGFuZCB0aGVpciBJbXBsaWNhdGlv
bnMgZm9yIHRoZSBGb3JtYXRpb24gYW5kIE1haW50ZW5hbmNlIG9mIEFjYWRlbWljIElkZW50aXR5
PC90aXRsZT48c2Vjb25kYXJ5LXRpdGxlPkhpZ2hlciBFZHVjYXRpb24gUG9saWN5PC9zZWNvbmRh
cnktdGl0bGU+PC90aXRsZXM+PHBhZ2VzPjE2NzwvcGFnZXM+PG51bWJlcj4yPC9udW1iZXI+PGNv
bnRyaWJ1dG9ycz48YXV0aG9ycz48YXV0aG9yPkhlbmtlbCwgTWFyeTwvYXV0aG9yPjwvYXV0aG9y
cz48L2NvbnRyaWJ1dG9ycz48YWRkZWQtZGF0ZSBmb3JtYXQ9InV0YyI+MTUyNjA3NjQ2NTwvYWRk
ZWQtZGF0ZT48cmVmLXR5cGUgbmFtZT0iSm91cm5hbCBBcnRpY2xlIj4xNzwvcmVmLXR5cGU+PGRh
dGVzPjx5ZWFyPjIwMDQ8L3llYXI+PC9kYXRlcz48cmVjLW51bWJlcj43NTE5PC9yZWMtbnVtYmVy
PjxsYXN0LXVwZGF0ZWQtZGF0ZSBmb3JtYXQ9InV0YyI+MTUyNjA3NzE2NDwvbGFzdC11cGRhdGVk
LWRhdGU+PGVsZWN0cm9uaWMtcmVzb3VyY2UtbnVtPjEwLjEwNTcvcGFsZ3JhdmUuaGVwLjgzMDAw
NDk8L2VsZWN0cm9uaWMtcmVzb3VyY2UtbnVtPjx2b2x1bWU+MTc8L3ZvbHVtZT48L3JlY29yZD48
L0NpdGU+PC9FbmROb3RlPn==
</w:fldData>
        </w:fldChar>
      </w:r>
      <w:r w:rsidR="00AF7243">
        <w:instrText xml:space="preserve"> ADDIN EN.CITE.DATA </w:instrText>
      </w:r>
      <w:r w:rsidR="00AF7243">
        <w:fldChar w:fldCharType="end"/>
      </w:r>
      <w:r w:rsidR="00233012" w:rsidRPr="00590F06">
        <w:fldChar w:fldCharType="separate"/>
      </w:r>
      <w:r w:rsidR="00AF7243">
        <w:rPr>
          <w:noProof/>
        </w:rPr>
        <w:t>(For literature on these debates, see Barry, Born, &amp; Weszkalnys, 2008; Ben-David, 1971; Bernstein, 1971, 2000; Biglan, 1973; B. R. Clark, 1983; Golinski, 2008; Gornitzka, 2003; Henkel, 2004; Kohler, 1999; Krishnan, 2009; Metcalfe, 2010; Schaffer, 2013; Trowler, Saunders, &amp; Bamber, 2012; Ziman, 2000)</w:t>
      </w:r>
      <w:r w:rsidR="00233012" w:rsidRPr="00590F06">
        <w:fldChar w:fldCharType="end"/>
      </w:r>
      <w:r w:rsidR="00965093" w:rsidRPr="00590F06">
        <w:t xml:space="preserve"> </w:t>
      </w:r>
    </w:p>
    <w:p w14:paraId="670B2F51" w14:textId="32B4896A" w:rsidR="00965093" w:rsidRPr="00590F06" w:rsidRDefault="00352D3A" w:rsidP="005734FF">
      <w:pPr>
        <w:pStyle w:val="NormalWeb"/>
        <w:spacing w:before="0" w:beforeAutospacing="0" w:after="120" w:afterAutospacing="0" w:line="360" w:lineRule="auto"/>
      </w:pPr>
      <w:r>
        <w:t>Als</w:t>
      </w:r>
      <w:r w:rsidR="005040CB">
        <w:t>o</w:t>
      </w:r>
      <w:r>
        <w:t xml:space="preserve"> at stake is the</w:t>
      </w:r>
      <w:r w:rsidR="00C25BDF">
        <w:t xml:space="preserve"> issue of which actors and interest</w:t>
      </w:r>
      <w:r w:rsidR="00494305">
        <w:t xml:space="preserve"> groups</w:t>
      </w:r>
      <w:r w:rsidR="00C25BDF">
        <w:t xml:space="preserve"> are </w:t>
      </w:r>
      <w:r w:rsidR="00DC4FCC">
        <w:t>(re-)</w:t>
      </w:r>
      <w:r w:rsidR="00C25BDF">
        <w:t xml:space="preserve">shaping </w:t>
      </w:r>
      <w:r w:rsidR="00B751DD">
        <w:t xml:space="preserve">the </w:t>
      </w:r>
      <w:r w:rsidR="00C25BDF">
        <w:t xml:space="preserve">boundaries and goals of academia in the context of the impact agenda. </w:t>
      </w:r>
      <w:r w:rsidR="00965093">
        <w:t>O</w:t>
      </w:r>
      <w:r w:rsidR="00965093" w:rsidRPr="00590F06">
        <w:t>n the one hand, there is evi</w:t>
      </w:r>
      <w:r w:rsidR="008B70C3">
        <w:t xml:space="preserve">dence that </w:t>
      </w:r>
      <w:r w:rsidR="0089236B">
        <w:t>shifts in the impact-orientation of academic research is</w:t>
      </w:r>
      <w:r w:rsidR="00CD4B96">
        <w:t xml:space="preserve"> largely internal,</w:t>
      </w:r>
      <w:r w:rsidR="0089236B">
        <w:t xml:space="preserve"> simply a reflection of shifts in the attitudes and objectives of academics themselves, who increasingly see close involvement with users, beneficiaries and contexts of application as a legitimate mode of research </w:t>
      </w:r>
      <w:r w:rsidR="00233012" w:rsidRPr="00590F06">
        <w:fldChar w:fldCharType="begin">
          <w:fldData xml:space="preserve">PEVuZE5vdGU+PENpdGU+PEF1dGhvcj5XYXRlcm1leWVyPC9BdXRob3I+PFllYXI+MjAxMjwvWWVh
cj48SURUZXh0PkZyb20gZW5nYWdlbWVudCB0byBpbXBhY3Q/IEFydGljdWxhdGluZyB0aGUgcHVi
bGljIHZhbHVlIG9mIGFjYWRlbWljIHJlc2VhcmNoPC9JRFRleHQ+PERpc3BsYXlUZXh0PihBYnJl
dSwgR3JpbmV2aWNoLCBIdWdoZXMsICZhbXA7IEtpdHNvbiwgMjAwOTsgSHVnaGVzICZhbXA7IEtp
dHNvbiwgMjAxMjsgSHVnaGVzIGV0IGFsLiwgMjAxNjsgTW9yZ2FuIEpvbmVzLCBNYW52aWxsZSwg
JmFtcDsgQ2hhdGF3YXksIDIwMTc7IFdhdGVybWV5ZXIsIDIwMTEsIDIwMTIpPC9EaXNwbGF5VGV4
dD48cmVjb3JkPjxpc2JuPjEzNTgtMzg4MzwvaXNibj48dGl0bGVzPjx0aXRsZT5Gcm9tIGVuZ2Fn
ZW1lbnQgdG8gaW1wYWN0PyBBcnRpY3VsYXRpbmcgdGhlIHB1YmxpYyB2YWx1ZSBvZiBhY2FkZW1p
YyByZXNlYXJjaDwvdGl0bGU+PHNlY29uZGFyeS10aXRsZT5UZXJ0aWFyeSBFZHVjYXRpb24gYW5k
IE1hbmFnZW1lbnQ8L3NlY29uZGFyeS10aXRsZT48L3RpdGxlcz48cGFnZXM+MTE1LTEzMDwvcGFn
ZXM+PG51bWJlcj4yPC9udW1iZXI+PGNvbnRyaWJ1dG9ycz48YXV0aG9ycz48YXV0aG9yPldhdGVy
bWV5ZXIsIFJpY2hhcmQ8L2F1dGhvcj48L2F1dGhvcnM+PC9jb250cmlidXRvcnM+PGFkZGVkLWRh
dGUgZm9ybWF0PSJ1dGMiPjE0NTI4ODY4NTQ8L2FkZGVkLWRhdGU+PHJlZi10eXBlIG5hbWU9Ikpv
dXJuYWwgQXJ0aWNsZSI+MTc8L3JlZi10eXBlPjxkYXRlcz48eWVhcj4yMDEyPC95ZWFyPjwvZGF0
ZXM+PHJlYy1udW1iZXI+MjE5PC9yZWMtbnVtYmVyPjxsYXN0LXVwZGF0ZWQtZGF0ZSBmb3JtYXQ9
InV0YyI+MTQ2OTIxNTQ2ODwvbGFzdC11cGRhdGVkLWRhdGU+PHZvbHVtZT4xODwvdm9sdW1lPjwv
cmVjb3JkPjwvQ2l0ZT48Q2l0ZT48QXV0aG9yPk1vcmdhbiBKb25lczwvQXV0aG9yPjxZZWFyPjIw
MTc8L1llYXI+PElEVGV4dD5MZWFybmluZyBmcm9tIHRoZSBVS+KAmXMgcmVzZWFyY2ggaW1wYWN0
IGFzc2Vzc21lbnQgZXhlcmNpc2U6IGEgY2FzZSBzdHVkeSBvZiBhIHJldHJvc3BlY3RpdmUgaW1w
YWN0IGFzc2Vzc21lbnQgZXhlcmNpc2UgYW5kIHF1ZXN0aW9ucyBmb3IgdGhlIGZ1dHVyZTwvSURU
ZXh0PjxyZWNvcmQ+PGtleXdvcmRzPjxrZXl3b3JkPlJlc2VhcmNoIEV4Y2VsbGVuY2UgRnJhbWV3
b3JrPC9rZXl3b3JkPjxrZXl3b3JkPlJlc2VhcmNoIEltcGFjdDwva2V5d29yZD48a2V5d29yZD5S
ZXNlYXJjaCBQb2xpY3k8L2tleXdvcmQ+PGtleXdvcmQ+U2NpZW5jZSBvZiBTY2llbmNlPC9rZXl3
b3JkPjwva2V5d29yZHM+PGlzYm4+MDg5Mjk5MTI8L2lzYm4+PHRpdGxlcz48dGl0bGU+TGVhcm5p
bmcgZnJvbSB0aGUgVUvigJlzIHJlc2VhcmNoIGltcGFjdCBhc3Nlc3NtZW50IGV4ZXJjaXNlOiBh
IGNhc2Ugc3R1ZHkgb2YgYSByZXRyb3NwZWN0aXZlIGltcGFjdCBhc3Nlc3NtZW50IGV4ZXJjaXNl
IGFuZCBxdWVzdGlvbnMgZm9yIHRoZSBmdXR1cmU8L3RpdGxlPjxzZWNvbmRhcnktdGl0bGU+Sm91
cm5hbCBvZiBUZWNobm9sb2d5IFRyYW5zZmVyPC9zZWNvbmRhcnktdGl0bGU+PC90aXRsZXM+PHBh
Z2VzPjEtMjU8L3BhZ2VzPjxjb250cmlidXRvcnM+PGF1dGhvcnM+PGF1dGhvcj5Nb3JnYW4gSm9u
ZXMsIE0uPC9hdXRob3I+PGF1dGhvcj5NYW52aWxsZSwgQy48L2F1dGhvcj48YXV0aG9yPkNoYXRh
d2F5LCBKLjwvYXV0aG9yPjwvYXV0aG9ycz48L2NvbnRyaWJ1dG9ycz48YWRkZWQtZGF0ZSBmb3Jt
YXQ9InV0YyI+MTUwNDEwNDM5NTwvYWRkZWQtZGF0ZT48cmVmLXR5cGUgbmFtZT0iSm91cm5hbCBB
cnRpY2xlIj4xNzwvcmVmLXR5cGU+PGRhdGVzPjx5ZWFyPjIwMTc8L3llYXI+PC9kYXRlcz48cmVj
LW51bWJlcj43MTEzPC9yZWMtbnVtYmVyPjxsYXN0LXVwZGF0ZWQtZGF0ZSBmb3JtYXQ9InV0YyI+
MTUwNTMzODAwOTwvbGFzdC11cGRhdGVkLWRhdGU+PGVsZWN0cm9uaWMtcmVzb3VyY2UtbnVtPjEw
LjEwMDcvczEwOTYxLTAxNy05NjA4LTY8L2VsZWN0cm9uaWMtcmVzb3VyY2UtbnVtPjwvcmVjb3Jk
PjwvQ2l0ZT48Q2l0ZT48QXV0aG9yPldhdGVybWV5ZXI8L0F1dGhvcj48WWVhcj4yMDExPC9ZZWFy
PjxJRFRleHQ+Q2hhbGxlbmdlcyBmb3IgVW5pdmVyc2l0eSBFbmdhZ2VtZW50IGluIHRoZSBVSzog
VG93YXJkcyBhIFB1YmxpYyBBY2FkZW1lPzwvSURUZXh0PjxyZWNvcmQ+PHVybHM+PHJlbGF0ZWQt
dXJscz48dXJsPmh0dHA6Ly9kb2kud2lsZXkuY29tLzEwLjExMTEvai4xNDY4LTIyNzMuMjAxMS4w
MDQ5Mi54PC91cmw+PC9yZWxhdGVkLXVybHM+PC91cmxzPjx0aXRsZXM+PHRpdGxlPkNoYWxsZW5n
ZXMgZm9yIFVuaXZlcnNpdHkgRW5nYWdlbWVudCBpbiB0aGUgVUs6IFRvd2FyZHMgYSBQdWJsaWMg
QWNhZGVtZT88L3RpdGxlPjxzZWNvbmRhcnktdGl0bGU+SGlnaGVyIEVkdWNhdGlvbiBRdWFydGVy
bHk8L3NlY29uZGFyeS10aXRsZT48L3RpdGxlcz48cGFnZXM+Mzg2LTQxMDwvcGFnZXM+PHVybHM+
PHBkZi11cmxzPjx1cmw+ZmlsZTovLy9DOi9Vc2Vycy9lbGllbF8wMDAvRG9jdW1lbnRzL0FjYWRl
bWljL1BoRC9JbXBhY3QvV2F0ZXJtZXllci0yMDExLUhpZ2hlcl9FZHVjYXRpb25fUXVhcnRlcmx5
LnBkZjwvdXJsPjwvcGRmLXVybHM+PC91cmxzPjxudW1iZXI+NDwvbnVtYmVyPjxjb250cmlidXRv
cnM+PGF1dGhvcnM+PGF1dGhvcj5XYXRlcm1leWVyLCBSaWNoYXJkPC9hdXRob3I+PC9hdXRob3Jz
PjwvY29udHJpYnV0b3JzPjxhZGRlZC1kYXRlIGZvcm1hdD0idXRjIj4xNDUyNzA0NDI1PC9hZGRl
ZC1kYXRlPjxyZWYtdHlwZSBuYW1lPSJKb3VybmFsIEFydGljbGUiPjE3PC9yZWYtdHlwZT48ZGF0
ZXM+PHllYXI+MjAxMTwveWVhcj48L2RhdGVzPjxyZWMtbnVtYmVyPjE2OTwvcmVjLW51bWJlcj48
bGFzdC11cGRhdGVkLWRhdGUgZm9ybWF0PSJ1dGMiPjE0NjkyMTU0Njg8L2xhc3QtdXBkYXRlZC1k
YXRlPjxlbGVjdHJvbmljLXJlc291cmNlLW51bT4xMC4xMTExL2ouMTQ2OC0yMjczLjIwMTEuMDA0
OTIueDwvZWxlY3Ryb25pYy1yZXNvdXJjZS1udW0+PHZvbHVtZT42NTwvdm9sdW1lPjwvcmVjb3Jk
PjwvQ2l0ZT48Q2l0ZT48QXV0aG9yPkFicmV1PC9BdXRob3I+PFllYXI+MjAwOTwvWWVhcj48SURU
ZXh0Pktub3dsZWRnZSBFeGNoYW5nZSBiZXR3ZWVuIEFjYWRlbWljcyBhbmQgdGhlIEJ1c2luZXNz
LCBQdWJsaWMgYW5kIFRoaXJkIFNlY3RvcnM8L0lEVGV4dD48cmVjb3JkPjx1cmxzPjxyZWxhdGVk
LXVybHM+PHVybD5odHRwczovL3d3dy5qYnMuY2FtLmFjLnVrL2ZpbGVhZG1pbi91c2VyX3VwbG9h
ZC9jZW50cmUtZm9yLWJ1c2luZXNzLXJlc2VhcmNoL2Rvd25sb2Fkcy9zcGVjaWFsLXJlcG9ydHMv
c3BlY2lhbHJlcG9ydC1rbm93bGVkZ2VleGNoYW5nZWFjYWRlbWljcy5wZGY8L3VybD48L3JlbGF0
ZWQtdXJscz48L3VybHM+PHRpdGxlcz48dGl0bGU+S25vd2xlZGdlIEV4Y2hhbmdlIGJldHdlZW4g
QWNhZGVtaWNzIGFuZCB0aGUgQnVzaW5lc3MsIFB1YmxpYyBhbmQgVGhpcmQgU2VjdG9yczwvdGl0
bGU+PC90aXRsZXM+PGNvbnRyaWJ1dG9ycz48YXV0aG9ycz48YXV0aG9yPkFicmV1LCBNLjwvYXV0
aG9yPjxhdXRob3I+R3JpbmV2aWNoLCBWLjwvYXV0aG9yPjxhdXRob3I+SHVnaGVzLCBBLjwvYXV0
aG9yPjxhdXRob3I+S2l0c29uLCBNLjwvYXV0aG9yPjwvYXV0aG9ycz48L2NvbnRyaWJ1dG9ycz48
YWRkZWQtZGF0ZSBmb3JtYXQ9InV0YyI+MTQ1MzIyNTkwNTwvYWRkZWQtZGF0ZT48cHViLWxvY2F0
aW9uPlVuaXZlcnNpdHkgb2YgQ2FtYnJpZGdlLCBKdWRnZSBCdXNpbmVzcyBTY2hvb2w8L3B1Yi1s
b2NhdGlvbj48cmVmLXR5cGUgbmFtZT0iUmVwb3J0Ij4yNzwvcmVmLXR5cGU+PGRhdGVzPjx5ZWFy
PjIwMDk8L3llYXI+PC9kYXRlcz48cmVjLW51bWJlcj4yMjU8L3JlYy1udW1iZXI+PHB1Ymxpc2hl
cj5Vbml2ZXJzaXR5IG9mIENhbWJyaWRnZTwvcHVibGlzaGVyPjxsYXN0LXVwZGF0ZWQtZGF0ZSBm
b3JtYXQ9InV0YyI+MTU1NzEyMzMwODwvbGFzdC11cGRhdGVkLWRhdGU+PC9yZWNvcmQ+PC9DaXRl
PjxDaXRlPjxBdXRob3I+SHVnaGVzPC9BdXRob3I+PFllYXI+MjAxMjwvWWVhcj48SURUZXh0PlBh
dGh3YXlzIHRvIGltcGFjdCBhbmQgdGhlIHN0cmF0ZWdpYyByb2xlIG9mIHVuaXZlcnNpdGllczog
TmV3IGV2aWRlbmNlIG9uIHRoZSBicmVhZHRoIGFuZCBkZXB0aCBvZiB1bml2ZXJzaXR5IGtub3ds
ZWRnZSBleGNoYW5nZSBpbiB0aGUgVUsgYW5kIHRoZSBmYWN0b3JzIGNvbnN0cmFpbmluZyBpdHMg
ZGV2ZWxvcG1lbnQ8L0lEVGV4dD48cmVjb3JkPjx1cmxzPjxyZWxhdGVkLXVybHM+PHVybD5odHRw
czovL3d3dy5zY29wdXMuY29tL2lud2FyZC9yZWNvcmQudXJpP2VpZD0yLXMyLjAtODQ4NjExMzY2
ODQmYW1wO3BhcnRuZXJJRD00MCZhbXA7bWQ1PWI3NmY0Y2IyODJhMTIyMTZiZTBkOGI4Zjg3N2M1
YWUwPC91cmw+PC9yZWxhdGVkLXVybHM+PC91cmxzPjx3b3JrLXR5cGU+QXJ0aWNsZTwvd29yay10
eXBlPjx0aXRsZXM+PHRpdGxlPlBhdGh3YXlzIHRvIGltcGFjdCBhbmQgdGhlIHN0cmF0ZWdpYyBy
b2xlIG9mIHVuaXZlcnNpdGllczogTmV3IGV2aWRlbmNlIG9uIHRoZSBicmVhZHRoIGFuZCBkZXB0
aCBvZiB1bml2ZXJzaXR5IGtub3dsZWRnZSBleGNoYW5nZSBpbiB0aGUgVUsgYW5kIHRoZSBmYWN0
b3JzIGNvbnN0cmFpbmluZyBpdHMgZGV2ZWxvcG1lbnQ8L3RpdGxlPjxzZWNvbmRhcnktdGl0bGU+
Q2FtYnJpZGdlIEpvdXJuYWwgb2YgRWNvbm9taWNzPC9zZWNvbmRhcnktdGl0bGU+PC90aXRsZXM+
PHBhZ2VzPjcyMy03NTA8L3BhZ2VzPjxudW1iZXI+MzwvbnVtYmVyPjxjb250cmlidXRvcnM+PGF1
dGhvcnM+PGF1dGhvcj5IdWdoZXMsIEEuPC9hdXRob3I+PGF1dGhvcj5LaXRzb24sIE0uPC9hdXRo
b3I+PC9hdXRob3JzPjwvY29udHJpYnV0b3JzPjxhZGRlZC1kYXRlIGZvcm1hdD0idXRjIj4xNDcy
NjcxODE4PC9hZGRlZC1kYXRlPjxyZWYtdHlwZSBuYW1lPSJKb3VybmFsIEFydGljbGUiPjE3PC9y
ZWYtdHlwZT48ZGF0ZXM+PHllYXI+MjAxMjwveWVhcj48L2RhdGVzPjxyZWMtbnVtYmVyPjI4NTI8
L3JlYy1udW1iZXI+PGxhc3QtdXBkYXRlZC1kYXRlIGZvcm1hdD0idXRjIj4xNDkwMTI2MzMyPC9s
YXN0LXVwZGF0ZWQtZGF0ZT48ZWxlY3Ryb25pYy1yZXNvdXJjZS1udW0+MTAuMTA5My9jamUvYmVz
MDE3PC9lbGVjdHJvbmljLXJlc291cmNlLW51bT48dm9sdW1lPjM2PC92b2x1bWU+PHJlbW90ZS1k
YXRhYmFzZS1uYW1lPlNjb3B1czwvcmVtb3RlLWRhdGFiYXNlLW5hbWU+PC9yZWNvcmQ+PC9DaXRl
PjxDaXRlPjxBdXRob3I+SHVnaGVzPC9BdXRob3I+PFllYXI+MjAxNjwvWWVhcj48SURUZXh0PlRo
ZSBDaGFuZ2luZyBTdGF0ZSBvZiBLbm93bGVkZ2UgRXhjaGFuZ2U6IFVLIEFjYWRlbWljIEludGVy
YWN0aW9ucyB3aXRoIEV4dGVybmFsIE9yZ2FuaXNhdGlvbnMgMjAwNS0yMDE1PC9JRFRleHQ+PHJl
Y29yZD48a2V5d29yZHM+PGtleXdvcmQ+TmF0aW9uYWwgU3VydmV5IE9mIEFjYWRlbWljczwva2V5
d29yZD48L2tleXdvcmRzPjx1cmxzPjxyZWxhdGVkLXVybHM+PHVybD5odHRwOi8vd3d3Lm5jdWIu
Y28udWsvcmVwb3J0cy9uYXRpb25hbC1zdXJ2ZXktb2YtYWNhZGVtaWNzLmh0bWw8L3VybD48L3Jl
bGF0ZWQtdXJscz48L3VybHM+PHRpdGxlcz48dGl0bGU+VGhlIENoYW5naW5nIFN0YXRlIG9mIEtu
b3dsZWRnZSBFeGNoYW5nZTogVUsgQWNhZGVtaWMgSW50ZXJhY3Rpb25zIHdpdGggRXh0ZXJuYWwg
T3JnYW5pc2F0aW9ucyAyMDA1LTIwMTU8L3RpdGxlPjwvdGl0bGVzPjxhY2Nlc3MtZGF0ZT4xNSBB
cHJpbCAyMDE4PC9hY2Nlc3MtZGF0ZT48Y29udHJpYnV0b3JzPjxhdXRob3JzPjxhdXRob3I+SHVn
aGVzLCBBLjwvYXV0aG9yPjxhdXRob3I+TGF3c29uLCBDLjwvYXV0aG9yPjxhdXRob3I+S2l0c29u
LCBNLjwvYXV0aG9yPjxhdXRob3I+U2FsdGVyLCBBLjwvYXV0aG9yPjxhdXRob3I+QnVsbG9jaywg
QS48L2F1dGhvcj48YXV0aG9yPkh1Z2hlcywgUi4gQi48L2F1dGhvcj48L2F1dGhvcnM+PC9jb250
cmlidXRvcnM+PGFkZGVkLWRhdGUgZm9ybWF0PSJ1dGMiPjE0ODQyODQwMTU8L2FkZGVkLWRhdGU+
PHB1Yi1sb2NhdGlvbj5OYXRpb25hbCBDZW50cmUgZm9yIFVuaXZlcnNpdGllcyBhbmQgQnVzaW5l
c3M8L3B1Yi1sb2NhdGlvbj48cmVmLXR5cGUgbmFtZT0iUmVwb3J0Ij4yNzwvcmVmLXR5cGU+PGRh
dGVzPjx5ZWFyPjIwMTY8L3llYXI+PC9kYXRlcz48cmVjLW51bWJlcj42NDY2PC9yZWMtbnVtYmVy
PjxwdWJsaXNoZXI+TmF0aW9uYWwgQ2VudHJlIGZvciBVbml2ZXJzaXRpZXMgYW5kIEJ1c2luZXNz
PC9wdWJsaXNoZXI+PGxhc3QtdXBkYXRlZC1kYXRlIGZvcm1hdD0idXRjIj4xNTU3MTIzODQwPC9s
YXN0LXVwZGF0ZWQtZGF0ZT48L3JlY29yZD48L0NpdGU+PC9FbmROb3RlPgB=
</w:fldData>
        </w:fldChar>
      </w:r>
      <w:r w:rsidR="00417972">
        <w:instrText xml:space="preserve"> ADDIN EN.CITE </w:instrText>
      </w:r>
      <w:r w:rsidR="00417972">
        <w:fldChar w:fldCharType="begin">
          <w:fldData xml:space="preserve">PEVuZE5vdGU+PENpdGU+PEF1dGhvcj5XYXRlcm1leWVyPC9BdXRob3I+PFllYXI+MjAxMjwvWWVh
cj48SURUZXh0PkZyb20gZW5nYWdlbWVudCB0byBpbXBhY3Q/IEFydGljdWxhdGluZyB0aGUgcHVi
bGljIHZhbHVlIG9mIGFjYWRlbWljIHJlc2VhcmNoPC9JRFRleHQ+PERpc3BsYXlUZXh0PihBYnJl
dSwgR3JpbmV2aWNoLCBIdWdoZXMsICZhbXA7IEtpdHNvbiwgMjAwOTsgSHVnaGVzICZhbXA7IEtp
dHNvbiwgMjAxMjsgSHVnaGVzIGV0IGFsLiwgMjAxNjsgTW9yZ2FuIEpvbmVzLCBNYW52aWxsZSwg
JmFtcDsgQ2hhdGF3YXksIDIwMTc7IFdhdGVybWV5ZXIsIDIwMTEsIDIwMTIpPC9EaXNwbGF5VGV4
dD48cmVjb3JkPjxpc2JuPjEzNTgtMzg4MzwvaXNibj48dGl0bGVzPjx0aXRsZT5Gcm9tIGVuZ2Fn
ZW1lbnQgdG8gaW1wYWN0PyBBcnRpY3VsYXRpbmcgdGhlIHB1YmxpYyB2YWx1ZSBvZiBhY2FkZW1p
YyByZXNlYXJjaDwvdGl0bGU+PHNlY29uZGFyeS10aXRsZT5UZXJ0aWFyeSBFZHVjYXRpb24gYW5k
IE1hbmFnZW1lbnQ8L3NlY29uZGFyeS10aXRsZT48L3RpdGxlcz48cGFnZXM+MTE1LTEzMDwvcGFn
ZXM+PG51bWJlcj4yPC9udW1iZXI+PGNvbnRyaWJ1dG9ycz48YXV0aG9ycz48YXV0aG9yPldhdGVy
bWV5ZXIsIFJpY2hhcmQ8L2F1dGhvcj48L2F1dGhvcnM+PC9jb250cmlidXRvcnM+PGFkZGVkLWRh
dGUgZm9ybWF0PSJ1dGMiPjE0NTI4ODY4NTQ8L2FkZGVkLWRhdGU+PHJlZi10eXBlIG5hbWU9Ikpv
dXJuYWwgQXJ0aWNsZSI+MTc8L3JlZi10eXBlPjxkYXRlcz48eWVhcj4yMDEyPC95ZWFyPjwvZGF0
ZXM+PHJlYy1udW1iZXI+MjE5PC9yZWMtbnVtYmVyPjxsYXN0LXVwZGF0ZWQtZGF0ZSBmb3JtYXQ9
InV0YyI+MTQ2OTIxNTQ2ODwvbGFzdC11cGRhdGVkLWRhdGU+PHZvbHVtZT4xODwvdm9sdW1lPjwv
cmVjb3JkPjwvQ2l0ZT48Q2l0ZT48QXV0aG9yPk1vcmdhbiBKb25lczwvQXV0aG9yPjxZZWFyPjIw
MTc8L1llYXI+PElEVGV4dD5MZWFybmluZyBmcm9tIHRoZSBVS+KAmXMgcmVzZWFyY2ggaW1wYWN0
IGFzc2Vzc21lbnQgZXhlcmNpc2U6IGEgY2FzZSBzdHVkeSBvZiBhIHJldHJvc3BlY3RpdmUgaW1w
YWN0IGFzc2Vzc21lbnQgZXhlcmNpc2UgYW5kIHF1ZXN0aW9ucyBmb3IgdGhlIGZ1dHVyZTwvSURU
ZXh0PjxyZWNvcmQ+PGtleXdvcmRzPjxrZXl3b3JkPlJlc2VhcmNoIEV4Y2VsbGVuY2UgRnJhbWV3
b3JrPC9rZXl3b3JkPjxrZXl3b3JkPlJlc2VhcmNoIEltcGFjdDwva2V5d29yZD48a2V5d29yZD5S
ZXNlYXJjaCBQb2xpY3k8L2tleXdvcmQ+PGtleXdvcmQ+U2NpZW5jZSBvZiBTY2llbmNlPC9rZXl3
b3JkPjwva2V5d29yZHM+PGlzYm4+MDg5Mjk5MTI8L2lzYm4+PHRpdGxlcz48dGl0bGU+TGVhcm5p
bmcgZnJvbSB0aGUgVUvigJlzIHJlc2VhcmNoIGltcGFjdCBhc3Nlc3NtZW50IGV4ZXJjaXNlOiBh
IGNhc2Ugc3R1ZHkgb2YgYSByZXRyb3NwZWN0aXZlIGltcGFjdCBhc3Nlc3NtZW50IGV4ZXJjaXNl
IGFuZCBxdWVzdGlvbnMgZm9yIHRoZSBmdXR1cmU8L3RpdGxlPjxzZWNvbmRhcnktdGl0bGU+Sm91
cm5hbCBvZiBUZWNobm9sb2d5IFRyYW5zZmVyPC9zZWNvbmRhcnktdGl0bGU+PC90aXRsZXM+PHBh
Z2VzPjEtMjU8L3BhZ2VzPjxjb250cmlidXRvcnM+PGF1dGhvcnM+PGF1dGhvcj5Nb3JnYW4gSm9u
ZXMsIE0uPC9hdXRob3I+PGF1dGhvcj5NYW52aWxsZSwgQy48L2F1dGhvcj48YXV0aG9yPkNoYXRh
d2F5LCBKLjwvYXV0aG9yPjwvYXV0aG9ycz48L2NvbnRyaWJ1dG9ycz48YWRkZWQtZGF0ZSBmb3Jt
YXQ9InV0YyI+MTUwNDEwNDM5NTwvYWRkZWQtZGF0ZT48cmVmLXR5cGUgbmFtZT0iSm91cm5hbCBB
cnRpY2xlIj4xNzwvcmVmLXR5cGU+PGRhdGVzPjx5ZWFyPjIwMTc8L3llYXI+PC9kYXRlcz48cmVj
LW51bWJlcj43MTEzPC9yZWMtbnVtYmVyPjxsYXN0LXVwZGF0ZWQtZGF0ZSBmb3JtYXQ9InV0YyI+
MTUwNTMzODAwOTwvbGFzdC11cGRhdGVkLWRhdGU+PGVsZWN0cm9uaWMtcmVzb3VyY2UtbnVtPjEw
LjEwMDcvczEwOTYxLTAxNy05NjA4LTY8L2VsZWN0cm9uaWMtcmVzb3VyY2UtbnVtPjwvcmVjb3Jk
PjwvQ2l0ZT48Q2l0ZT48QXV0aG9yPldhdGVybWV5ZXI8L0F1dGhvcj48WWVhcj4yMDExPC9ZZWFy
PjxJRFRleHQ+Q2hhbGxlbmdlcyBmb3IgVW5pdmVyc2l0eSBFbmdhZ2VtZW50IGluIHRoZSBVSzog
VG93YXJkcyBhIFB1YmxpYyBBY2FkZW1lPzwvSURUZXh0PjxyZWNvcmQ+PHVybHM+PHJlbGF0ZWQt
dXJscz48dXJsPmh0dHA6Ly9kb2kud2lsZXkuY29tLzEwLjExMTEvai4xNDY4LTIyNzMuMjAxMS4w
MDQ5Mi54PC91cmw+PC9yZWxhdGVkLXVybHM+PC91cmxzPjx0aXRsZXM+PHRpdGxlPkNoYWxsZW5n
ZXMgZm9yIFVuaXZlcnNpdHkgRW5nYWdlbWVudCBpbiB0aGUgVUs6IFRvd2FyZHMgYSBQdWJsaWMg
QWNhZGVtZT88L3RpdGxlPjxzZWNvbmRhcnktdGl0bGU+SGlnaGVyIEVkdWNhdGlvbiBRdWFydGVy
bHk8L3NlY29uZGFyeS10aXRsZT48L3RpdGxlcz48cGFnZXM+Mzg2LTQxMDwvcGFnZXM+PHVybHM+
PHBkZi11cmxzPjx1cmw+ZmlsZTovLy9DOi9Vc2Vycy9lbGllbF8wMDAvRG9jdW1lbnRzL0FjYWRl
bWljL1BoRC9JbXBhY3QvV2F0ZXJtZXllci0yMDExLUhpZ2hlcl9FZHVjYXRpb25fUXVhcnRlcmx5
LnBkZjwvdXJsPjwvcGRmLXVybHM+PC91cmxzPjxudW1iZXI+NDwvbnVtYmVyPjxjb250cmlidXRv
cnM+PGF1dGhvcnM+PGF1dGhvcj5XYXRlcm1leWVyLCBSaWNoYXJkPC9hdXRob3I+PC9hdXRob3Jz
PjwvY29udHJpYnV0b3JzPjxhZGRlZC1kYXRlIGZvcm1hdD0idXRjIj4xNDUyNzA0NDI1PC9hZGRl
ZC1kYXRlPjxyZWYtdHlwZSBuYW1lPSJKb3VybmFsIEFydGljbGUiPjE3PC9yZWYtdHlwZT48ZGF0
ZXM+PHllYXI+MjAxMTwveWVhcj48L2RhdGVzPjxyZWMtbnVtYmVyPjE2OTwvcmVjLW51bWJlcj48
bGFzdC11cGRhdGVkLWRhdGUgZm9ybWF0PSJ1dGMiPjE0NjkyMTU0Njg8L2xhc3QtdXBkYXRlZC1k
YXRlPjxlbGVjdHJvbmljLXJlc291cmNlLW51bT4xMC4xMTExL2ouMTQ2OC0yMjczLjIwMTEuMDA0
OTIueDwvZWxlY3Ryb25pYy1yZXNvdXJjZS1udW0+PHZvbHVtZT42NTwvdm9sdW1lPjwvcmVjb3Jk
PjwvQ2l0ZT48Q2l0ZT48QXV0aG9yPkFicmV1PC9BdXRob3I+PFllYXI+MjAwOTwvWWVhcj48SURU
ZXh0Pktub3dsZWRnZSBFeGNoYW5nZSBiZXR3ZWVuIEFjYWRlbWljcyBhbmQgdGhlIEJ1c2luZXNz
LCBQdWJsaWMgYW5kIFRoaXJkIFNlY3RvcnM8L0lEVGV4dD48cmVjb3JkPjx1cmxzPjxyZWxhdGVk
LXVybHM+PHVybD5odHRwczovL3d3dy5qYnMuY2FtLmFjLnVrL2ZpbGVhZG1pbi91c2VyX3VwbG9h
ZC9jZW50cmUtZm9yLWJ1c2luZXNzLXJlc2VhcmNoL2Rvd25sb2Fkcy9zcGVjaWFsLXJlcG9ydHMv
c3BlY2lhbHJlcG9ydC1rbm93bGVkZ2VleGNoYW5nZWFjYWRlbWljcy5wZGY8L3VybD48L3JlbGF0
ZWQtdXJscz48L3VybHM+PHRpdGxlcz48dGl0bGU+S25vd2xlZGdlIEV4Y2hhbmdlIGJldHdlZW4g
QWNhZGVtaWNzIGFuZCB0aGUgQnVzaW5lc3MsIFB1YmxpYyBhbmQgVGhpcmQgU2VjdG9yczwvdGl0
bGU+PC90aXRsZXM+PGNvbnRyaWJ1dG9ycz48YXV0aG9ycz48YXV0aG9yPkFicmV1LCBNLjwvYXV0
aG9yPjxhdXRob3I+R3JpbmV2aWNoLCBWLjwvYXV0aG9yPjxhdXRob3I+SHVnaGVzLCBBLjwvYXV0
aG9yPjxhdXRob3I+S2l0c29uLCBNLjwvYXV0aG9yPjwvYXV0aG9ycz48L2NvbnRyaWJ1dG9ycz48
YWRkZWQtZGF0ZSBmb3JtYXQ9InV0YyI+MTQ1MzIyNTkwNTwvYWRkZWQtZGF0ZT48cHViLWxvY2F0
aW9uPlVuaXZlcnNpdHkgb2YgQ2FtYnJpZGdlLCBKdWRnZSBCdXNpbmVzcyBTY2hvb2w8L3B1Yi1s
b2NhdGlvbj48cmVmLXR5cGUgbmFtZT0iUmVwb3J0Ij4yNzwvcmVmLXR5cGU+PGRhdGVzPjx5ZWFy
PjIwMDk8L3llYXI+PC9kYXRlcz48cmVjLW51bWJlcj4yMjU8L3JlYy1udW1iZXI+PHB1Ymxpc2hl
cj5Vbml2ZXJzaXR5IG9mIENhbWJyaWRnZTwvcHVibGlzaGVyPjxsYXN0LXVwZGF0ZWQtZGF0ZSBm
b3JtYXQ9InV0YyI+MTU1NzEyMzMwODwvbGFzdC11cGRhdGVkLWRhdGU+PC9yZWNvcmQ+PC9DaXRl
PjxDaXRlPjxBdXRob3I+SHVnaGVzPC9BdXRob3I+PFllYXI+MjAxMjwvWWVhcj48SURUZXh0PlBh
dGh3YXlzIHRvIGltcGFjdCBhbmQgdGhlIHN0cmF0ZWdpYyByb2xlIG9mIHVuaXZlcnNpdGllczog
TmV3IGV2aWRlbmNlIG9uIHRoZSBicmVhZHRoIGFuZCBkZXB0aCBvZiB1bml2ZXJzaXR5IGtub3ds
ZWRnZSBleGNoYW5nZSBpbiB0aGUgVUsgYW5kIHRoZSBmYWN0b3JzIGNvbnN0cmFpbmluZyBpdHMg
ZGV2ZWxvcG1lbnQ8L0lEVGV4dD48cmVjb3JkPjx1cmxzPjxyZWxhdGVkLXVybHM+PHVybD5odHRw
czovL3d3dy5zY29wdXMuY29tL2lud2FyZC9yZWNvcmQudXJpP2VpZD0yLXMyLjAtODQ4NjExMzY2
ODQmYW1wO3BhcnRuZXJJRD00MCZhbXA7bWQ1PWI3NmY0Y2IyODJhMTIyMTZiZTBkOGI4Zjg3N2M1
YWUwPC91cmw+PC9yZWxhdGVkLXVybHM+PC91cmxzPjx3b3JrLXR5cGU+QXJ0aWNsZTwvd29yay10
eXBlPjx0aXRsZXM+PHRpdGxlPlBhdGh3YXlzIHRvIGltcGFjdCBhbmQgdGhlIHN0cmF0ZWdpYyBy
b2xlIG9mIHVuaXZlcnNpdGllczogTmV3IGV2aWRlbmNlIG9uIHRoZSBicmVhZHRoIGFuZCBkZXB0
aCBvZiB1bml2ZXJzaXR5IGtub3dsZWRnZSBleGNoYW5nZSBpbiB0aGUgVUsgYW5kIHRoZSBmYWN0
b3JzIGNvbnN0cmFpbmluZyBpdHMgZGV2ZWxvcG1lbnQ8L3RpdGxlPjxzZWNvbmRhcnktdGl0bGU+
Q2FtYnJpZGdlIEpvdXJuYWwgb2YgRWNvbm9taWNzPC9zZWNvbmRhcnktdGl0bGU+PC90aXRsZXM+
PHBhZ2VzPjcyMy03NTA8L3BhZ2VzPjxudW1iZXI+MzwvbnVtYmVyPjxjb250cmlidXRvcnM+PGF1
dGhvcnM+PGF1dGhvcj5IdWdoZXMsIEEuPC9hdXRob3I+PGF1dGhvcj5LaXRzb24sIE0uPC9hdXRo
b3I+PC9hdXRob3JzPjwvY29udHJpYnV0b3JzPjxhZGRlZC1kYXRlIGZvcm1hdD0idXRjIj4xNDcy
NjcxODE4PC9hZGRlZC1kYXRlPjxyZWYtdHlwZSBuYW1lPSJKb3VybmFsIEFydGljbGUiPjE3PC9y
ZWYtdHlwZT48ZGF0ZXM+PHllYXI+MjAxMjwveWVhcj48L2RhdGVzPjxyZWMtbnVtYmVyPjI4NTI8
L3JlYy1udW1iZXI+PGxhc3QtdXBkYXRlZC1kYXRlIGZvcm1hdD0idXRjIj4xNDkwMTI2MzMyPC9s
YXN0LXVwZGF0ZWQtZGF0ZT48ZWxlY3Ryb25pYy1yZXNvdXJjZS1udW0+MTAuMTA5My9jamUvYmVz
MDE3PC9lbGVjdHJvbmljLXJlc291cmNlLW51bT48dm9sdW1lPjM2PC92b2x1bWU+PHJlbW90ZS1k
YXRhYmFzZS1uYW1lPlNjb3B1czwvcmVtb3RlLWRhdGFiYXNlLW5hbWU+PC9yZWNvcmQ+PC9DaXRl
PjxDaXRlPjxBdXRob3I+SHVnaGVzPC9BdXRob3I+PFllYXI+MjAxNjwvWWVhcj48SURUZXh0PlRo
ZSBDaGFuZ2luZyBTdGF0ZSBvZiBLbm93bGVkZ2UgRXhjaGFuZ2U6IFVLIEFjYWRlbWljIEludGVy
YWN0aW9ucyB3aXRoIEV4dGVybmFsIE9yZ2FuaXNhdGlvbnMgMjAwNS0yMDE1PC9JRFRleHQ+PHJl
Y29yZD48a2V5d29yZHM+PGtleXdvcmQ+TmF0aW9uYWwgU3VydmV5IE9mIEFjYWRlbWljczwva2V5
d29yZD48L2tleXdvcmRzPjx1cmxzPjxyZWxhdGVkLXVybHM+PHVybD5odHRwOi8vd3d3Lm5jdWIu
Y28udWsvcmVwb3J0cy9uYXRpb25hbC1zdXJ2ZXktb2YtYWNhZGVtaWNzLmh0bWw8L3VybD48L3Jl
bGF0ZWQtdXJscz48L3VybHM+PHRpdGxlcz48dGl0bGU+VGhlIENoYW5naW5nIFN0YXRlIG9mIEtu
b3dsZWRnZSBFeGNoYW5nZTogVUsgQWNhZGVtaWMgSW50ZXJhY3Rpb25zIHdpdGggRXh0ZXJuYWwg
T3JnYW5pc2F0aW9ucyAyMDA1LTIwMTU8L3RpdGxlPjwvdGl0bGVzPjxhY2Nlc3MtZGF0ZT4xNSBB
cHJpbCAyMDE4PC9hY2Nlc3MtZGF0ZT48Y29udHJpYnV0b3JzPjxhdXRob3JzPjxhdXRob3I+SHVn
aGVzLCBBLjwvYXV0aG9yPjxhdXRob3I+TGF3c29uLCBDLjwvYXV0aG9yPjxhdXRob3I+S2l0c29u
LCBNLjwvYXV0aG9yPjxhdXRob3I+U2FsdGVyLCBBLjwvYXV0aG9yPjxhdXRob3I+QnVsbG9jaywg
QS48L2F1dGhvcj48YXV0aG9yPkh1Z2hlcywgUi4gQi48L2F1dGhvcj48L2F1dGhvcnM+PC9jb250
cmlidXRvcnM+PGFkZGVkLWRhdGUgZm9ybWF0PSJ1dGMiPjE0ODQyODQwMTU8L2FkZGVkLWRhdGU+
PHB1Yi1sb2NhdGlvbj5OYXRpb25hbCBDZW50cmUgZm9yIFVuaXZlcnNpdGllcyBhbmQgQnVzaW5l
c3M8L3B1Yi1sb2NhdGlvbj48cmVmLXR5cGUgbmFtZT0iUmVwb3J0Ij4yNzwvcmVmLXR5cGU+PGRh
dGVzPjx5ZWFyPjIwMTY8L3llYXI+PC9kYXRlcz48cmVjLW51bWJlcj42NDY2PC9yZWMtbnVtYmVy
PjxwdWJsaXNoZXI+TmF0aW9uYWwgQ2VudHJlIGZvciBVbml2ZXJzaXRpZXMgYW5kIEJ1c2luZXNz
PC9wdWJsaXNoZXI+PGxhc3QtdXBkYXRlZC1kYXRlIGZvcm1hdD0idXRjIj4xNTU3MTIzODQwPC9s
YXN0LXVwZGF0ZWQtZGF0ZT48L3JlY29yZD48L0NpdGU+PC9FbmROb3RlPgB=
</w:fldData>
        </w:fldChar>
      </w:r>
      <w:r w:rsidR="00417972">
        <w:instrText xml:space="preserve"> ADDIN EN.CITE.DATA </w:instrText>
      </w:r>
      <w:r w:rsidR="00417972">
        <w:fldChar w:fldCharType="end"/>
      </w:r>
      <w:r w:rsidR="00233012" w:rsidRPr="00590F06">
        <w:fldChar w:fldCharType="separate"/>
      </w:r>
      <w:r w:rsidR="00417972">
        <w:rPr>
          <w:noProof/>
        </w:rPr>
        <w:t>(Abreu, Grinevich, Hughes, &amp; Kitson, 2009; Hughes &amp; Kitson, 2012; Hughes et al., 2016; Morgan Jones, Manville, &amp; Chataway, 2017; Watermeyer, 2011, 2012)</w:t>
      </w:r>
      <w:r w:rsidR="00233012" w:rsidRPr="00590F06">
        <w:fldChar w:fldCharType="end"/>
      </w:r>
      <w:r w:rsidR="00965093">
        <w:t>. O</w:t>
      </w:r>
      <w:r w:rsidR="00965093" w:rsidRPr="00590F06">
        <w:t>n the other, there is concern that</w:t>
      </w:r>
      <w:r w:rsidR="00D93BD1">
        <w:t xml:space="preserve"> such behaviour is the inevitable response to </w:t>
      </w:r>
      <w:r w:rsidR="00F443E3">
        <w:t xml:space="preserve">significant external </w:t>
      </w:r>
      <w:r w:rsidR="00D93BD1">
        <w:t>pressure</w:t>
      </w:r>
      <w:r w:rsidR="00F443E3">
        <w:t xml:space="preserve">, </w:t>
      </w:r>
      <w:r w:rsidR="00D93BD1">
        <w:t xml:space="preserve">such that the content of academic research is being </w:t>
      </w:r>
      <w:r w:rsidR="00965093">
        <w:t>disproportionately influenced or even</w:t>
      </w:r>
      <w:r w:rsidR="00965093" w:rsidRPr="00590F06">
        <w:t xml:space="preserve"> co</w:t>
      </w:r>
      <w:r w:rsidR="00965093">
        <w:t>-o</w:t>
      </w:r>
      <w:r w:rsidR="00965093" w:rsidRPr="00590F06">
        <w:t>pted</w:t>
      </w:r>
      <w:r w:rsidR="00965093">
        <w:t xml:space="preserve"> </w:t>
      </w:r>
      <w:r w:rsidR="00965093" w:rsidRPr="00590F06">
        <w:t xml:space="preserve">by already powerful </w:t>
      </w:r>
      <w:r w:rsidR="00965093">
        <w:t xml:space="preserve">social </w:t>
      </w:r>
      <w:r w:rsidR="00965093" w:rsidRPr="00590F06">
        <w:t xml:space="preserve">actors </w:t>
      </w:r>
      <w:r w:rsidR="00233012" w:rsidRPr="00590F06">
        <w:fldChar w:fldCharType="begin">
          <w:fldData xml:space="preserve">PEVuZE5vdGU+PENpdGU+PEF1dGhvcj5CYXJuZXR0PC9BdXRob3I+PFllYXI+MjAxNzwvWWVhcj48
SURUZXh0PlRoZSBFY29sb2dpY2FsIFVuaXZlcnNpdHk6IEEgRmVhc2libGUgVXRvcGlhPC9JRFRl
eHQ+PERpc3BsYXlUZXh0PihCYXJuZXR0LCAyMDE3OyBMYW5nbGV5ICZhbXA7IFBhcmtpbnNvbiwg
MjAwOTsgTWNOaWUgZXQgYWwuLCAyMDE2OyBXYXRlcm1leWVyLCAyMDE2YSk8L0Rpc3BsYXlUZXh0
PjxyZWNvcmQ+PHVybHM+PHJlbGF0ZWQtdXJscz48dXJsPmh0dHBzOi8vd3d3LmFtYXpvbi5jby51
ay9FY29sb2dpY2FsLVVuaXZlcnNpdHktRmVhc2libGUtVXRvcGlhLWVib29rL2RwL0IwNzZERjRD
OUgvcmVmPXRtbV9raW5fc3dhdGNoXzA/X2VuY29kaW5nPVVURjgmYW1wO3FpZD0mYW1wO3NyPTwv
dXJsPjwvcmVsYXRlZC11cmxzPjwvdXJscz48dGl0bGVzPjx0aXRsZT5UaGUgRWNvbG9naWNhbCBV
bml2ZXJzaXR5OiBBIEZlYXNpYmxlIFV0b3BpYTwvdGl0bGU+PC90aXRsZXM+PGNvbnRyaWJ1dG9y
cz48YXV0aG9ycz48YXV0aG9yPkJhcm5ldHQsIFJvbmFsZDwvYXV0aG9yPjwvYXV0aG9ycz48L2Nv
bnRyaWJ1dG9ycz48YWRkZWQtZGF0ZSBmb3JtYXQ9InV0YyI+MTUyMDAwMTk3OTwvYWRkZWQtZGF0
ZT48cHViLWxvY2F0aW9uPkxvbmRvbjwvcHViLWxvY2F0aW9uPjxyZWYtdHlwZSBuYW1lPSJCb29r
Ij42PC9yZWYtdHlwZT48ZGF0ZXM+PHllYXI+MjAxNzwveWVhcj48L2RhdGVzPjxyZWMtbnVtYmVy
PjczNzc8L3JlYy1udW1iZXI+PHB1Ymxpc2hlcj5Sb3V0bGVkZ2U8L3B1Ymxpc2hlcj48bGFzdC11
cGRhdGVkLWRhdGUgZm9ybWF0PSJ1dGMiPjE1MjAwMDIxNDc8L2xhc3QtdXBkYXRlZC1kYXRlPjwv
cmVjb3JkPjwvQ2l0ZT48Q2l0ZT48QXV0aG9yPldhdGVybWV5ZXI8L0F1dGhvcj48WWVhcj4yMDE2
PC9ZZWFyPjxJRFRleHQ+SW1wYWN0IGluIHRoZSBSRUY6IGlzc3VlcyBhbmQgb2JzdGFjbGVzPC9J
RFRleHQ+PHJlY29yZD48a2V5d29yZHM+PGtleXdvcmQ+YWNhZGVtaWMgaWRlbnRpdHk8L2tleXdv
cmQ+PGtleXdvcmQ+YWNhZGVtaWMgcGVyZm9ybWFuY2U8L2tleXdvcmQ+PGtleXdvcmQ+cGVyZm9y
bWFuY2UgYXNzZXNzbWVudDwva2V5d29yZD48a2V5d29yZD5wZXJmb3JtYW5jZS1iYXNlZCBmdW5k
aW5nPC9rZXl3b3JkPjxrZXl3b3JkPnJlc2VhcmNoIGZ1bmRpbmcgYW5kIGV2YWx1YXRpb248L2tl
eXdvcmQ+PC9rZXl3b3Jkcz48dXJscz48cmVsYXRlZC11cmxzPjx1cmw+aHR0cDovL3d3dy50YW5k
Zm9ubGluZS5jb20vZG9pL2Z1bGwvMTAuMTA4MC8wMzA3NTA3OS4yMDE0LjkxNTMwMzwvdXJsPjwv
cmVsYXRlZC11cmxzPjwvdXJscz48dGl0bGVzPjx0aXRsZT5JbXBhY3QgaW4gdGhlIFJFRjogaXNz
dWVzIGFuZCBvYnN0YWNsZXM8L3RpdGxlPjxzZWNvbmRhcnktdGl0bGU+U3R1ZGllcyBpbiBIaWdo
ZXIgRWR1Y2F0aW9uPC9zZWNvbmRhcnktdGl0bGU+PC90aXRsZXM+PHBhZ2VzPjE5OS0yMTQ8L3Bh
Z2VzPjx1cmxzPjxwZGYtdXJscz48dXJsPmZpbGU6Ly8vQzovVXNlcnMvZWxpZWxfMDAwL0RvY3Vt
ZW50cy9BY2FkZW1pYy9QaEQvSW1wYWN0L0ltcGFjdCBpbiBSRUYucGRmPC91cmw+PC9wZGYtdXJs
cz48L3VybHM+PG51bWJlcj4yPC9udW1iZXI+PGNvbnRyaWJ1dG9ycz48YXV0aG9ycz48YXV0aG9y
PldhdGVybWV5ZXIsIFJpY2hhcmQ8L2F1dGhvcj48L2F1dGhvcnM+PC9jb250cmlidXRvcnM+PGFk
ZGVkLWRhdGUgZm9ybWF0PSJ1dGMiPjE0NTI3MDQ0MjU8L2FkZGVkLWRhdGU+PHJlZi10eXBlIG5h
bWU9IkpvdXJuYWwgQXJ0aWNsZSI+MTc8L3JlZi10eXBlPjxkYXRlcz48eWVhcj4yMDE2PC95ZWFy
PjwvZGF0ZXM+PHJlYy1udW1iZXI+MTcwPC9yZWMtbnVtYmVyPjxsYXN0LXVwZGF0ZWQtZGF0ZSBm
b3JtYXQ9InV0YyI+MTQ2OTIxNTQ2ODwvbGFzdC11cGRhdGVkLWRhdGU+PGVsZWN0cm9uaWMtcmVz
b3VyY2UtbnVtPjEwLjEwODAvMDMwNzUwNzkuMjAxNC45MTUzMDM8L2VsZWN0cm9uaWMtcmVzb3Vy
Y2UtbnVtPjx2b2x1bWU+NDE8L3ZvbHVtZT48L3JlY29yZD48L0NpdGU+PENpdGU+PEF1dGhvcj5M
YW5nbGV5PC9BdXRob3I+PFllYXI+MjAwOTwvWWVhcj48cmVjb3JkPjx1cmxzPjxyZWxhdGVkLXVy
bHM+PHVybD5odHRwOi8vd3d3LnNnci5vcmcudWsvU2NpZW5jZVBvbGljeS9TR1JfY29ycF9zY2ll
bmNlX2Z1bGwucGRmPC91cmw+PC9yZWxhdGVkLXVybHM+PC91cmxzPjx0aXRsZXM+PHNlY29uZGFy
eS10aXRsZT5TY2llbmNlIGFuZCB0aGUgY29ycG9yYXRlIGFnZW5kYTogVGhlIGRldHJpbWVudGFs
IGVmZmVjdHMgb2YgY29tbWVyY2lhbCBpbmZsdWVuY2Ugb24gc2NpZW5jZSBhbmQgdGVjaG5vbG9n
eTwvc2Vjb25kYXJ5LXRpdGxlPjwvdGl0bGVzPjxjb250cmlidXRvcnM+PGF1dGhvcnM+PGF1dGhv
cj5MYW5nbGV5LCBDaHJpczwvYXV0aG9yPjxhdXRob3I+UGFya2luc29uLCBTdHVhcnQ8L2F1dGhv
cj48L2F1dGhvcnM+PC9jb250cmlidXRvcnM+PGFkZGVkLWRhdGUgZm9ybWF0PSJ1dGMiPjE0NTI4
ODc0OTI8L2FkZGVkLWRhdGU+PHJlZi10eXBlIG5hbWU9IkVsZWN0cm9uaWMgQXJ0aWNsZSI+NDM8
L3JlZi10eXBlPjxkYXRlcz48eWVhcj4yMDA5PC95ZWFyPjwvZGF0ZXM+PHJlYy1udW1iZXI+MjIw
PC9yZWMtbnVtYmVyPjxsYXN0LXVwZGF0ZWQtZGF0ZSBmb3JtYXQ9InV0YyI+MTQ2OTIxNTQ2ODwv
bGFzdC11cGRhdGVkLWRhdGU+PC9yZWNvcmQ+PC9DaXRlPjxDaXRlPjxBdXRob3I+TWNOaWU8L0F1
dGhvcj48WWVhcj4yMDE2PC9ZZWFyPjxJRFRleHQ+SW1wcm92aW5nIHRoZSBwdWJsaWMgdmFsdWUg
b2Ygc2NpZW5jZTogQSB0eXBvbG9neSB0byBpbmZvcm0gZGlzY3Vzc2lvbiwgZGVzaWduIGFuZCBp
bXBsZW1lbnRhdGlvbiBvZiByZXNlYXJjaDwvSURUZXh0PjxyZWNvcmQ+PHVybHM+PHJlbGF0ZWQt
dXJscz48dXJsPmh0dHBzOi8vd3d3LnNjb3B1cy5jb20vaW53YXJkL3JlY29yZC51cmk/ZWlkPTIt
czIuMC04NDk1OTQzMTkyNCZhbXA7cGFydG5lcklEPTQwJmFtcDttZDU9NmU0ZmMwMWQxOWQxYjYx
YjA5MDg0ZTZkNmFhMjQ0ZGI8L3VybD48L3JlbGF0ZWQtdXJscz48L3VybHM+PHdvcmstdHlwZT5B
cnRpY2xlPC93b3JrLXR5cGU+PHRpdGxlcz48dGl0bGU+SW1wcm92aW5nIHRoZSBwdWJsaWMgdmFs
dWUgb2Ygc2NpZW5jZTogQSB0eXBvbG9neSB0byBpbmZvcm0gZGlzY3Vzc2lvbiwgZGVzaWduIGFu
ZCBpbXBsZW1lbnRhdGlvbiBvZiByZXNlYXJjaDwvdGl0bGU+PHNlY29uZGFyeS10aXRsZT5SZXNl
YXJjaCBQb2xpY3k8L3NlY29uZGFyeS10aXRsZT48L3RpdGxlcz48cGFnZXM+ODg0LTg5NTwvcGFn
ZXM+PG51bWJlcj40PC9udW1iZXI+PGNvbnRyaWJ1dG9ycz48YXV0aG9ycz48YXV0aG9yPk1jTmll
LCBFLiBDLjwvYXV0aG9yPjxhdXRob3I+UGFycmlzLCBBLjwvYXV0aG9yPjxhdXRob3I+U2FyZXdp
dHosIEQuPC9hdXRob3I+PC9hdXRob3JzPjwvY29udHJpYnV0b3JzPjxhZGRlZC1kYXRlIGZvcm1h
dD0idXRjIj4xNDczNzE5MjM3PC9hZGRlZC1kYXRlPjxyZWYtdHlwZSBuYW1lPSJKb3VybmFsIEFy
dGljbGUiPjE3PC9yZWYtdHlwZT48ZGF0ZXM+PHllYXI+MjAxNjwveWVhcj48L2RhdGVzPjxyZWMt
bnVtYmVyPjM0ODQ8L3JlYy1udW1iZXI+PGxhc3QtdXBkYXRlZC1kYXRlIGZvcm1hdD0idXRjIj4x
NDczNzE5MjM3PC9sYXN0LXVwZGF0ZWQtZGF0ZT48ZWxlY3Ryb25pYy1yZXNvdXJjZS1udW0+MTAu
MTAxNi9qLnJlc3BvbC4yMDE2LjAxLjAwNDwvZWxlY3Ryb25pYy1yZXNvdXJjZS1udW0+PHZvbHVt
ZT40NTwvdm9sdW1lPjxyZW1vdGUtZGF0YWJhc2UtbmFtZT5TY29wdXM8L3JlbW90ZS1kYXRhYmFz
ZS1uYW1lPjwvcmVjb3JkPjwvQ2l0ZT48L0VuZE5vdGU+
</w:fldData>
        </w:fldChar>
      </w:r>
      <w:r w:rsidR="0034419A">
        <w:instrText xml:space="preserve"> ADDIN EN.CITE </w:instrText>
      </w:r>
      <w:r w:rsidR="0034419A">
        <w:fldChar w:fldCharType="begin">
          <w:fldData xml:space="preserve">PEVuZE5vdGU+PENpdGU+PEF1dGhvcj5CYXJuZXR0PC9BdXRob3I+PFllYXI+MjAxNzwvWWVhcj48
SURUZXh0PlRoZSBFY29sb2dpY2FsIFVuaXZlcnNpdHk6IEEgRmVhc2libGUgVXRvcGlhPC9JRFRl
eHQ+PERpc3BsYXlUZXh0PihCYXJuZXR0LCAyMDE3OyBMYW5nbGV5ICZhbXA7IFBhcmtpbnNvbiwg
MjAwOTsgTWNOaWUgZXQgYWwuLCAyMDE2OyBXYXRlcm1leWVyLCAyMDE2YSk8L0Rpc3BsYXlUZXh0
PjxyZWNvcmQ+PHVybHM+PHJlbGF0ZWQtdXJscz48dXJsPmh0dHBzOi8vd3d3LmFtYXpvbi5jby51
ay9FY29sb2dpY2FsLVVuaXZlcnNpdHktRmVhc2libGUtVXRvcGlhLWVib29rL2RwL0IwNzZERjRD
OUgvcmVmPXRtbV9raW5fc3dhdGNoXzA/X2VuY29kaW5nPVVURjgmYW1wO3FpZD0mYW1wO3NyPTwv
dXJsPjwvcmVsYXRlZC11cmxzPjwvdXJscz48dGl0bGVzPjx0aXRsZT5UaGUgRWNvbG9naWNhbCBV
bml2ZXJzaXR5OiBBIEZlYXNpYmxlIFV0b3BpYTwvdGl0bGU+PC90aXRsZXM+PGNvbnRyaWJ1dG9y
cz48YXV0aG9ycz48YXV0aG9yPkJhcm5ldHQsIFJvbmFsZDwvYXV0aG9yPjwvYXV0aG9ycz48L2Nv
bnRyaWJ1dG9ycz48YWRkZWQtZGF0ZSBmb3JtYXQ9InV0YyI+MTUyMDAwMTk3OTwvYWRkZWQtZGF0
ZT48cHViLWxvY2F0aW9uPkxvbmRvbjwvcHViLWxvY2F0aW9uPjxyZWYtdHlwZSBuYW1lPSJCb29r
Ij42PC9yZWYtdHlwZT48ZGF0ZXM+PHllYXI+MjAxNzwveWVhcj48L2RhdGVzPjxyZWMtbnVtYmVy
PjczNzc8L3JlYy1udW1iZXI+PHB1Ymxpc2hlcj5Sb3V0bGVkZ2U8L3B1Ymxpc2hlcj48bGFzdC11
cGRhdGVkLWRhdGUgZm9ybWF0PSJ1dGMiPjE1MjAwMDIxNDc8L2xhc3QtdXBkYXRlZC1kYXRlPjwv
cmVjb3JkPjwvQ2l0ZT48Q2l0ZT48QXV0aG9yPldhdGVybWV5ZXI8L0F1dGhvcj48WWVhcj4yMDE2
PC9ZZWFyPjxJRFRleHQ+SW1wYWN0IGluIHRoZSBSRUY6IGlzc3VlcyBhbmQgb2JzdGFjbGVzPC9J
RFRleHQ+PHJlY29yZD48a2V5d29yZHM+PGtleXdvcmQ+YWNhZGVtaWMgaWRlbnRpdHk8L2tleXdv
cmQ+PGtleXdvcmQ+YWNhZGVtaWMgcGVyZm9ybWFuY2U8L2tleXdvcmQ+PGtleXdvcmQ+cGVyZm9y
bWFuY2UgYXNzZXNzbWVudDwva2V5d29yZD48a2V5d29yZD5wZXJmb3JtYW5jZS1iYXNlZCBmdW5k
aW5nPC9rZXl3b3JkPjxrZXl3b3JkPnJlc2VhcmNoIGZ1bmRpbmcgYW5kIGV2YWx1YXRpb248L2tl
eXdvcmQ+PC9rZXl3b3Jkcz48dXJscz48cmVsYXRlZC11cmxzPjx1cmw+aHR0cDovL3d3dy50YW5k
Zm9ubGluZS5jb20vZG9pL2Z1bGwvMTAuMTA4MC8wMzA3NTA3OS4yMDE0LjkxNTMwMzwvdXJsPjwv
cmVsYXRlZC11cmxzPjwvdXJscz48dGl0bGVzPjx0aXRsZT5JbXBhY3QgaW4gdGhlIFJFRjogaXNz
dWVzIGFuZCBvYnN0YWNsZXM8L3RpdGxlPjxzZWNvbmRhcnktdGl0bGU+U3R1ZGllcyBpbiBIaWdo
ZXIgRWR1Y2F0aW9uPC9zZWNvbmRhcnktdGl0bGU+PC90aXRsZXM+PHBhZ2VzPjE5OS0yMTQ8L3Bh
Z2VzPjx1cmxzPjxwZGYtdXJscz48dXJsPmZpbGU6Ly8vQzovVXNlcnMvZWxpZWxfMDAwL0RvY3Vt
ZW50cy9BY2FkZW1pYy9QaEQvSW1wYWN0L0ltcGFjdCBpbiBSRUYucGRmPC91cmw+PC9wZGYtdXJs
cz48L3VybHM+PG51bWJlcj4yPC9udW1iZXI+PGNvbnRyaWJ1dG9ycz48YXV0aG9ycz48YXV0aG9y
PldhdGVybWV5ZXIsIFJpY2hhcmQ8L2F1dGhvcj48L2F1dGhvcnM+PC9jb250cmlidXRvcnM+PGFk
ZGVkLWRhdGUgZm9ybWF0PSJ1dGMiPjE0NTI3MDQ0MjU8L2FkZGVkLWRhdGU+PHJlZi10eXBlIG5h
bWU9IkpvdXJuYWwgQXJ0aWNsZSI+MTc8L3JlZi10eXBlPjxkYXRlcz48eWVhcj4yMDE2PC95ZWFy
PjwvZGF0ZXM+PHJlYy1udW1iZXI+MTcwPC9yZWMtbnVtYmVyPjxsYXN0LXVwZGF0ZWQtZGF0ZSBm
b3JtYXQ9InV0YyI+MTQ2OTIxNTQ2ODwvbGFzdC11cGRhdGVkLWRhdGU+PGVsZWN0cm9uaWMtcmVz
b3VyY2UtbnVtPjEwLjEwODAvMDMwNzUwNzkuMjAxNC45MTUzMDM8L2VsZWN0cm9uaWMtcmVzb3Vy
Y2UtbnVtPjx2b2x1bWU+NDE8L3ZvbHVtZT48L3JlY29yZD48L0NpdGU+PENpdGU+PEF1dGhvcj5M
YW5nbGV5PC9BdXRob3I+PFllYXI+MjAwOTwvWWVhcj48cmVjb3JkPjx1cmxzPjxyZWxhdGVkLXVy
bHM+PHVybD5odHRwOi8vd3d3LnNnci5vcmcudWsvU2NpZW5jZVBvbGljeS9TR1JfY29ycF9zY2ll
bmNlX2Z1bGwucGRmPC91cmw+PC9yZWxhdGVkLXVybHM+PC91cmxzPjx0aXRsZXM+PHNlY29uZGFy
eS10aXRsZT5TY2llbmNlIGFuZCB0aGUgY29ycG9yYXRlIGFnZW5kYTogVGhlIGRldHJpbWVudGFs
IGVmZmVjdHMgb2YgY29tbWVyY2lhbCBpbmZsdWVuY2Ugb24gc2NpZW5jZSBhbmQgdGVjaG5vbG9n
eTwvc2Vjb25kYXJ5LXRpdGxlPjwvdGl0bGVzPjxjb250cmlidXRvcnM+PGF1dGhvcnM+PGF1dGhv
cj5MYW5nbGV5LCBDaHJpczwvYXV0aG9yPjxhdXRob3I+UGFya2luc29uLCBTdHVhcnQ8L2F1dGhv
cj48L2F1dGhvcnM+PC9jb250cmlidXRvcnM+PGFkZGVkLWRhdGUgZm9ybWF0PSJ1dGMiPjE0NTI4
ODc0OTI8L2FkZGVkLWRhdGU+PHJlZi10eXBlIG5hbWU9IkVsZWN0cm9uaWMgQXJ0aWNsZSI+NDM8
L3JlZi10eXBlPjxkYXRlcz48eWVhcj4yMDA5PC95ZWFyPjwvZGF0ZXM+PHJlYy1udW1iZXI+MjIw
PC9yZWMtbnVtYmVyPjxsYXN0LXVwZGF0ZWQtZGF0ZSBmb3JtYXQ9InV0YyI+MTQ2OTIxNTQ2ODwv
bGFzdC11cGRhdGVkLWRhdGU+PC9yZWNvcmQ+PC9DaXRlPjxDaXRlPjxBdXRob3I+TWNOaWU8L0F1
dGhvcj48WWVhcj4yMDE2PC9ZZWFyPjxJRFRleHQ+SW1wcm92aW5nIHRoZSBwdWJsaWMgdmFsdWUg
b2Ygc2NpZW5jZTogQSB0eXBvbG9neSB0byBpbmZvcm0gZGlzY3Vzc2lvbiwgZGVzaWduIGFuZCBp
bXBsZW1lbnRhdGlvbiBvZiByZXNlYXJjaDwvSURUZXh0PjxyZWNvcmQ+PHVybHM+PHJlbGF0ZWQt
dXJscz48dXJsPmh0dHBzOi8vd3d3LnNjb3B1cy5jb20vaW53YXJkL3JlY29yZC51cmk/ZWlkPTIt
czIuMC04NDk1OTQzMTkyNCZhbXA7cGFydG5lcklEPTQwJmFtcDttZDU9NmU0ZmMwMWQxOWQxYjYx
YjA5MDg0ZTZkNmFhMjQ0ZGI8L3VybD48L3JlbGF0ZWQtdXJscz48L3VybHM+PHdvcmstdHlwZT5B
cnRpY2xlPC93b3JrLXR5cGU+PHRpdGxlcz48dGl0bGU+SW1wcm92aW5nIHRoZSBwdWJsaWMgdmFs
dWUgb2Ygc2NpZW5jZTogQSB0eXBvbG9neSB0byBpbmZvcm0gZGlzY3Vzc2lvbiwgZGVzaWduIGFu
ZCBpbXBsZW1lbnRhdGlvbiBvZiByZXNlYXJjaDwvdGl0bGU+PHNlY29uZGFyeS10aXRsZT5SZXNl
YXJjaCBQb2xpY3k8L3NlY29uZGFyeS10aXRsZT48L3RpdGxlcz48cGFnZXM+ODg0LTg5NTwvcGFn
ZXM+PG51bWJlcj40PC9udW1iZXI+PGNvbnRyaWJ1dG9ycz48YXV0aG9ycz48YXV0aG9yPk1jTmll
LCBFLiBDLjwvYXV0aG9yPjxhdXRob3I+UGFycmlzLCBBLjwvYXV0aG9yPjxhdXRob3I+U2FyZXdp
dHosIEQuPC9hdXRob3I+PC9hdXRob3JzPjwvY29udHJpYnV0b3JzPjxhZGRlZC1kYXRlIGZvcm1h
dD0idXRjIj4xNDczNzE5MjM3PC9hZGRlZC1kYXRlPjxyZWYtdHlwZSBuYW1lPSJKb3VybmFsIEFy
dGljbGUiPjE3PC9yZWYtdHlwZT48ZGF0ZXM+PHllYXI+MjAxNjwveWVhcj48L2RhdGVzPjxyZWMt
bnVtYmVyPjM0ODQ8L3JlYy1udW1iZXI+PGxhc3QtdXBkYXRlZC1kYXRlIGZvcm1hdD0idXRjIj4x
NDczNzE5MjM3PC9sYXN0LXVwZGF0ZWQtZGF0ZT48ZWxlY3Ryb25pYy1yZXNvdXJjZS1udW0+MTAu
MTAxNi9qLnJlc3BvbC4yMDE2LjAxLjAwNDwvZWxlY3Ryb25pYy1yZXNvdXJjZS1udW0+PHZvbHVt
ZT40NTwvdm9sdW1lPjxyZW1vdGUtZGF0YWJhc2UtbmFtZT5TY29wdXM8L3JlbW90ZS1kYXRhYmFz
ZS1uYW1lPjwvcmVjb3JkPjwvQ2l0ZT48L0VuZE5vdGU+
</w:fldData>
        </w:fldChar>
      </w:r>
      <w:r w:rsidR="0034419A">
        <w:instrText xml:space="preserve"> ADDIN EN.CITE.DATA </w:instrText>
      </w:r>
      <w:r w:rsidR="0034419A">
        <w:fldChar w:fldCharType="end"/>
      </w:r>
      <w:r w:rsidR="00233012" w:rsidRPr="00590F06">
        <w:fldChar w:fldCharType="separate"/>
      </w:r>
      <w:r w:rsidR="0034419A">
        <w:rPr>
          <w:noProof/>
        </w:rPr>
        <w:t>(Barnett, 2017; Langley &amp; Parkinson, 2009; McNie et al., 2016; Watermeyer, 2016a)</w:t>
      </w:r>
      <w:r w:rsidR="00233012" w:rsidRPr="00590F06">
        <w:fldChar w:fldCharType="end"/>
      </w:r>
      <w:r w:rsidR="00965093" w:rsidRPr="00590F06">
        <w:t>.</w:t>
      </w:r>
    </w:p>
    <w:p w14:paraId="33232446" w14:textId="6395C27A" w:rsidR="00965093" w:rsidRDefault="004A252D" w:rsidP="005734FF">
      <w:pPr>
        <w:pStyle w:val="NormalWeb"/>
        <w:spacing w:before="0" w:beforeAutospacing="0" w:after="120" w:afterAutospacing="0" w:line="360" w:lineRule="auto"/>
      </w:pPr>
      <w:r>
        <w:t xml:space="preserve">Third, at stake are the careers, motivations and wellbeing of individual academics. </w:t>
      </w:r>
      <w:r w:rsidR="00495B2C">
        <w:t>For example, there is evidence of significant</w:t>
      </w:r>
      <w:r w:rsidR="00965093" w:rsidRPr="00590F06">
        <w:t xml:space="preserve"> negative reactions to the impact agenda</w:t>
      </w:r>
      <w:r w:rsidR="00FB479A">
        <w:t>,</w:t>
      </w:r>
      <w:r w:rsidR="00965093" w:rsidRPr="00590F06">
        <w:t xml:space="preserve"> centr</w:t>
      </w:r>
      <w:r w:rsidR="00FB479A">
        <w:t>ing</w:t>
      </w:r>
      <w:r w:rsidR="00965093" w:rsidRPr="00590F06">
        <w:t xml:space="preserve"> on the perceived incompatibility of discourses of impact with the values and aims that have traditionally guided academic work</w:t>
      </w:r>
      <w:r w:rsidR="00224392">
        <w:t xml:space="preserve">, </w:t>
      </w:r>
      <w:r w:rsidR="00DF6252">
        <w:t>and even, paradoxically of incompatibility of the impact agenda</w:t>
      </w:r>
      <w:r w:rsidR="00965093">
        <w:t xml:space="preserve"> </w:t>
      </w:r>
      <w:r w:rsidR="0051673F">
        <w:t xml:space="preserve">with </w:t>
      </w:r>
      <w:r w:rsidR="000B0E42">
        <w:t xml:space="preserve">the values that have provided motivation for </w:t>
      </w:r>
      <w:r w:rsidR="00DF6252">
        <w:t xml:space="preserve">academics’ </w:t>
      </w:r>
      <w:r w:rsidR="00965093">
        <w:t>external engagement</w:t>
      </w:r>
      <w:r w:rsidR="00965093" w:rsidRPr="00590F06">
        <w:t xml:space="preserve"> </w:t>
      </w:r>
      <w:r w:rsidR="00233012" w:rsidRPr="00590F06">
        <w:fldChar w:fldCharType="begin">
          <w:fldData xml:space="preserve">PEVuZE5vdGU+PENpdGU+PEF1dGhvcj5XYXRlcm1leWVyPC9BdXRob3I+PFllYXI+MjAxNDwvWWVh
cj48SURUZXh0Pklzc3VlcyBpbiB0aGUgYXJ0aWN1bGF0aW9uIG9mIOKAmGltcGFjdOKAmTogdGhl
IHJlc3BvbnNlcyBvZiBVSyBhY2FkZW1pY3MgdG8g4oCYaW1wYWN04oCZIGFzIGEgbmV3IG1lYXN1
cmUgb2YgcmVzZWFyY2ggYXNzZXNzbWVudDwvSURUZXh0PjxEaXNwbGF5VGV4dD4oQ2h1YmIgJmFt
cDsgV2F0ZXJtZXllciwgMjAxNzsgV2F0ZXJtZXllciwgMjAxNCk8L0Rpc3BsYXlUZXh0PjxyZWNv
cmQ+PHVybHM+PHJlbGF0ZWQtdXJscz48dXJsPmh0dHA6Ly93d3cudGFuZGZvbmxpbmUuY29tL2Rv
aS9hYnMvMTAuMTA4MC8wMzA3NTA3OS4yMDEyLjcwOTQ5MDwvdXJsPjwvcmVsYXRlZC11cmxzPjwv
dXJscz48dGl0bGVzPjx0aXRsZT5Jc3N1ZXMgaW4gdGhlIGFydGljdWxhdGlvbiBvZiDigJhpbXBh
Y3TigJk6IHRoZSByZXNwb25zZXMgb2YgVUsgYWNhZGVtaWNzIHRvIOKAmGltcGFjdOKAmSBhcyBh
IG5ldyBtZWFzdXJlIG9mIHJlc2VhcmNoIGFzc2Vzc21lbnQ8L3RpdGxlPjxzZWNvbmRhcnktdGl0
bGU+U3R1ZGllcyBpbiBIaWdoZXIgRWR1Y2F0aW9uPC9zZWNvbmRhcnktdGl0bGU+PC90aXRsZXM+
PHBhZ2VzPjM1OS0zNzc8L3BhZ2VzPjx1cmxzPjxwZGYtdXJscz48dXJsPmZpbGU6Ly8vQzovVXNl
cnMvZWxpZWxfMDAwL0RvY3VtZW50cy9BY2FkZW1pYy9QaEQvSW1wYWN0L2FydGljdWxhdGlvbiBv
ZiAmYXBvcztpbXBhY3QmYXBvczsucGRmPC91cmw+PC9wZGYtdXJscz48L3VybHM+PG51bWJlcj4y
PC9udW1iZXI+PGNvbnRyaWJ1dG9ycz48YXV0aG9ycz48YXV0aG9yPldhdGVybWV5ZXIsIFJpY2hh
cmQ8L2F1dGhvcj48L2F1dGhvcnM+PC9jb250cmlidXRvcnM+PGFkZGVkLWRhdGUgZm9ybWF0PSJ1
dGMiPjE0NTI3MDQ0MjU8L2FkZGVkLWRhdGU+PHJlZi10eXBlIG5hbWU9IkpvdXJuYWwgQXJ0aWNs
ZSI+MTc8L3JlZi10eXBlPjxkYXRlcz48eWVhcj4yMDE0PC95ZWFyPjwvZGF0ZXM+PHJlYy1udW1i
ZXI+MTcyPC9yZWMtbnVtYmVyPjxsYXN0LXVwZGF0ZWQtZGF0ZSBmb3JtYXQ9InV0YyI+MTQ2OTIx
NTQ2ODwvbGFzdC11cGRhdGVkLWRhdGU+PGVsZWN0cm9uaWMtcmVzb3VyY2UtbnVtPjEwLjEwODAv
MDMwNzUwNzkuMjAxMi43MDk0OTA8L2VsZWN0cm9uaWMtcmVzb3VyY2UtbnVtPjx2b2x1bWU+Mzk8
L3ZvbHVtZT48L3JlY29yZD48L0NpdGU+PENpdGU+PEF1dGhvcj5DaHViYjwvQXV0aG9yPjxZZWFy
PjIwMTc8L1llYXI+PElEVGV4dD5BcnRpZmljZSBvciBpbnRlZ3JpdHkgaW4gdGhlIG1hcmtldGl6
YXRpb24gb2YgcmVzZWFyY2ggaW1wYWN0PyBJbnZlc3RpZ2F0aW5nIHRoZSBtb3JhbCBlY29ub215
IG9mIChwYXRod2F5cyB0bykgaW1wYWN0IHN0YXRlbWVudHMgd2l0aGluIHJlc2VhcmNoIGZ1bmRp
bmcgcHJvcG9zYWxzIGluIHRoZSBVSyBhbmQgQXVzdHJhbGlhPC9JRFRleHQ+PHJlY29yZD48a2V5
d29yZHM+PGtleXdvcmQ+QXJ0aWNsZTwva2V5d29yZD48a2V5d29yZD5SZXNlYXJjaCBJbXBhY3Q8
L2tleXdvcmQ+PGtleXdvcmQ+QWNhZGVtaWMgUHJhY3RpY2U8L2tleXdvcmQ+PGtleXdvcmQ+UmVz
ZWFyY2ggSW50ZWdyaXR5PC9rZXl3b3JkPjxrZXl3b3JkPk1hcmtldGl6YXRpb248L2tleXdvcmQ+
PGtleXdvcmQ+TmVvbGliZXJhbGlzbTwva2V5d29yZD48L2tleXdvcmRzPjxpc2JuPjAzMDctNTA3
OTwvaXNibj48dGl0bGVzPjx0aXRsZT5BcnRpZmljZSBvciBpbnRlZ3JpdHkgaW4gdGhlIG1hcmtl
dGl6YXRpb24gb2YgcmVzZWFyY2ggaW1wYWN0PyBJbnZlc3RpZ2F0aW5nIHRoZSBtb3JhbCBlY29u
b215IG9mIChwYXRod2F5cyB0bykgaW1wYWN0IHN0YXRlbWVudHMgd2l0aGluIHJlc2VhcmNoIGZ1
bmRpbmcgcHJvcG9zYWxzIGluIHRoZSBVSyBhbmQgQXVzdHJhbGlhPC90aXRsZT48c2Vjb25kYXJ5
LXRpdGxlPlN0dWRpZXMgaW4gSGlnaGVyIEVkdWNhdGlvbjwvc2Vjb25kYXJ5LXRpdGxlPjwvdGl0
bGVzPjxwYWdlcz4yMzYwLTIzNzI8L3BhZ2VzPjxudW1iZXI+MTI8L251bWJlcj48Y29udHJpYnV0
b3JzPjxhdXRob3JzPjxhdXRob3I+Q2h1YmIsIEplbm5pZmVyPC9hdXRob3I+PGF1dGhvcj5XYXRl
cm1leWVyLCBSaWNoYXJkPC9hdXRob3I+PC9hdXRob3JzPjwvY29udHJpYnV0b3JzPjxhZGRlZC1k
YXRlIGZvcm1hdD0idXRjIj4xNTMwNjk5ODM4PC9hZGRlZC1kYXRlPjxyZWYtdHlwZSBuYW1lPSJK
b3VybmFsIEFydGljbGUiPjE3PC9yZWYtdHlwZT48ZGF0ZXM+PHllYXI+MjAxNzwveWVhcj48L2Rh
dGVzPjxyZWMtbnVtYmVyPjc1ODI8L3JlYy1udW1iZXI+PHB1Ymxpc2hlcj5Sb3V0bGVkZ2U8L3B1
Ymxpc2hlcj48bGFzdC11cGRhdGVkLWRhdGUgZm9ybWF0PSJ1dGMiPjE1MzA2OTk5MjE8L2xhc3Qt
dXBkYXRlZC1kYXRlPjxlbGVjdHJvbmljLXJlc291cmNlLW51bT4xMC4xMDgwLzAzMDc1MDc5LjIw
MTYuMTE0NDE4MjwvZWxlY3Ryb25pYy1yZXNvdXJjZS1udW0+PHZvbHVtZT40Mjwvdm9sdW1lPjwv
cmVjb3JkPjwvQ2l0ZT48L0VuZE5vdGU+
</w:fldData>
        </w:fldChar>
      </w:r>
      <w:r w:rsidR="00965093">
        <w:instrText xml:space="preserve"> ADDIN EN.CITE </w:instrText>
      </w:r>
      <w:r w:rsidR="00233012">
        <w:fldChar w:fldCharType="begin">
          <w:fldData xml:space="preserve">PEVuZE5vdGU+PENpdGU+PEF1dGhvcj5XYXRlcm1leWVyPC9BdXRob3I+PFllYXI+MjAxNDwvWWVh
cj48SURUZXh0Pklzc3VlcyBpbiB0aGUgYXJ0aWN1bGF0aW9uIG9mIOKAmGltcGFjdOKAmTogdGhl
IHJlc3BvbnNlcyBvZiBVSyBhY2FkZW1pY3MgdG8g4oCYaW1wYWN04oCZIGFzIGEgbmV3IG1lYXN1
cmUgb2YgcmVzZWFyY2ggYXNzZXNzbWVudDwvSURUZXh0PjxEaXNwbGF5VGV4dD4oQ2h1YmIgJmFt
cDsgV2F0ZXJtZXllciwgMjAxNzsgV2F0ZXJtZXllciwgMjAxNCk8L0Rpc3BsYXlUZXh0PjxyZWNv
cmQ+PHVybHM+PHJlbGF0ZWQtdXJscz48dXJsPmh0dHA6Ly93d3cudGFuZGZvbmxpbmUuY29tL2Rv
aS9hYnMvMTAuMTA4MC8wMzA3NTA3OS4yMDEyLjcwOTQ5MDwvdXJsPjwvcmVsYXRlZC11cmxzPjwv
dXJscz48dGl0bGVzPjx0aXRsZT5Jc3N1ZXMgaW4gdGhlIGFydGljdWxhdGlvbiBvZiDigJhpbXBh
Y3TigJk6IHRoZSByZXNwb25zZXMgb2YgVUsgYWNhZGVtaWNzIHRvIOKAmGltcGFjdOKAmSBhcyBh
IG5ldyBtZWFzdXJlIG9mIHJlc2VhcmNoIGFzc2Vzc21lbnQ8L3RpdGxlPjxzZWNvbmRhcnktdGl0
bGU+U3R1ZGllcyBpbiBIaWdoZXIgRWR1Y2F0aW9uPC9zZWNvbmRhcnktdGl0bGU+PC90aXRsZXM+
PHBhZ2VzPjM1OS0zNzc8L3BhZ2VzPjx1cmxzPjxwZGYtdXJscz48dXJsPmZpbGU6Ly8vQzovVXNl
cnMvZWxpZWxfMDAwL0RvY3VtZW50cy9BY2FkZW1pYy9QaEQvSW1wYWN0L2FydGljdWxhdGlvbiBv
ZiAmYXBvcztpbXBhY3QmYXBvczsucGRmPC91cmw+PC9wZGYtdXJscz48L3VybHM+PG51bWJlcj4y
PC9udW1iZXI+PGNvbnRyaWJ1dG9ycz48YXV0aG9ycz48YXV0aG9yPldhdGVybWV5ZXIsIFJpY2hh
cmQ8L2F1dGhvcj48L2F1dGhvcnM+PC9jb250cmlidXRvcnM+PGFkZGVkLWRhdGUgZm9ybWF0PSJ1
dGMiPjE0NTI3MDQ0MjU8L2FkZGVkLWRhdGU+PHJlZi10eXBlIG5hbWU9IkpvdXJuYWwgQXJ0aWNs
ZSI+MTc8L3JlZi10eXBlPjxkYXRlcz48eWVhcj4yMDE0PC95ZWFyPjwvZGF0ZXM+PHJlYy1udW1i
ZXI+MTcyPC9yZWMtbnVtYmVyPjxsYXN0LXVwZGF0ZWQtZGF0ZSBmb3JtYXQ9InV0YyI+MTQ2OTIx
NTQ2ODwvbGFzdC11cGRhdGVkLWRhdGU+PGVsZWN0cm9uaWMtcmVzb3VyY2UtbnVtPjEwLjEwODAv
MDMwNzUwNzkuMjAxMi43MDk0OTA8L2VsZWN0cm9uaWMtcmVzb3VyY2UtbnVtPjx2b2x1bWU+Mzk8
L3ZvbHVtZT48L3JlY29yZD48L0NpdGU+PENpdGU+PEF1dGhvcj5DaHViYjwvQXV0aG9yPjxZZWFy
PjIwMTc8L1llYXI+PElEVGV4dD5BcnRpZmljZSBvciBpbnRlZ3JpdHkgaW4gdGhlIG1hcmtldGl6
YXRpb24gb2YgcmVzZWFyY2ggaW1wYWN0PyBJbnZlc3RpZ2F0aW5nIHRoZSBtb3JhbCBlY29ub215
IG9mIChwYXRod2F5cyB0bykgaW1wYWN0IHN0YXRlbWVudHMgd2l0aGluIHJlc2VhcmNoIGZ1bmRp
bmcgcHJvcG9zYWxzIGluIHRoZSBVSyBhbmQgQXVzdHJhbGlhPC9JRFRleHQ+PHJlY29yZD48a2V5
d29yZHM+PGtleXdvcmQ+QXJ0aWNsZTwva2V5d29yZD48a2V5d29yZD5SZXNlYXJjaCBJbXBhY3Q8
L2tleXdvcmQ+PGtleXdvcmQ+QWNhZGVtaWMgUHJhY3RpY2U8L2tleXdvcmQ+PGtleXdvcmQ+UmVz
ZWFyY2ggSW50ZWdyaXR5PC9rZXl3b3JkPjxrZXl3b3JkPk1hcmtldGl6YXRpb248L2tleXdvcmQ+
PGtleXdvcmQ+TmVvbGliZXJhbGlzbTwva2V5d29yZD48L2tleXdvcmRzPjxpc2JuPjAzMDctNTA3
OTwvaXNibj48dGl0bGVzPjx0aXRsZT5BcnRpZmljZSBvciBpbnRlZ3JpdHkgaW4gdGhlIG1hcmtl
dGl6YXRpb24gb2YgcmVzZWFyY2ggaW1wYWN0PyBJbnZlc3RpZ2F0aW5nIHRoZSBtb3JhbCBlY29u
b215IG9mIChwYXRod2F5cyB0bykgaW1wYWN0IHN0YXRlbWVudHMgd2l0aGluIHJlc2VhcmNoIGZ1
bmRpbmcgcHJvcG9zYWxzIGluIHRoZSBVSyBhbmQgQXVzdHJhbGlhPC90aXRsZT48c2Vjb25kYXJ5
LXRpdGxlPlN0dWRpZXMgaW4gSGlnaGVyIEVkdWNhdGlvbjwvc2Vjb25kYXJ5LXRpdGxlPjwvdGl0
bGVzPjxwYWdlcz4yMzYwLTIzNzI8L3BhZ2VzPjxudW1iZXI+MTI8L251bWJlcj48Y29udHJpYnV0
b3JzPjxhdXRob3JzPjxhdXRob3I+Q2h1YmIsIEplbm5pZmVyPC9hdXRob3I+PGF1dGhvcj5XYXRl
cm1leWVyLCBSaWNoYXJkPC9hdXRob3I+PC9hdXRob3JzPjwvY29udHJpYnV0b3JzPjxhZGRlZC1k
YXRlIGZvcm1hdD0idXRjIj4xNTMwNjk5ODM4PC9hZGRlZC1kYXRlPjxyZWYtdHlwZSBuYW1lPSJK
b3VybmFsIEFydGljbGUiPjE3PC9yZWYtdHlwZT48ZGF0ZXM+PHllYXI+MjAxNzwveWVhcj48L2Rh
dGVzPjxyZWMtbnVtYmVyPjc1ODI8L3JlYy1udW1iZXI+PHB1Ymxpc2hlcj5Sb3V0bGVkZ2U8L3B1
Ymxpc2hlcj48bGFzdC11cGRhdGVkLWRhdGUgZm9ybWF0PSJ1dGMiPjE1MzA2OTk5MjE8L2xhc3Qt
dXBkYXRlZC1kYXRlPjxlbGVjdHJvbmljLXJlc291cmNlLW51bT4xMC4xMDgwLzAzMDc1MDc5LjIw
MTYuMTE0NDE4MjwvZWxlY3Ryb25pYy1yZXNvdXJjZS1udW0+PHZvbHVtZT40Mjwvdm9sdW1lPjwv
cmVjb3JkPjwvQ2l0ZT48L0VuZE5vdGU+
</w:fldData>
        </w:fldChar>
      </w:r>
      <w:r w:rsidR="00965093">
        <w:instrText xml:space="preserve"> ADDIN EN.CITE.DATA </w:instrText>
      </w:r>
      <w:r w:rsidR="00233012">
        <w:fldChar w:fldCharType="end"/>
      </w:r>
      <w:r w:rsidR="00233012" w:rsidRPr="00590F06">
        <w:fldChar w:fldCharType="separate"/>
      </w:r>
      <w:r w:rsidR="00965093">
        <w:rPr>
          <w:noProof/>
        </w:rPr>
        <w:t>(Chubb &amp; Watermeyer, 2017; Watermeyer, 2014)</w:t>
      </w:r>
      <w:r w:rsidR="00233012" w:rsidRPr="00590F06">
        <w:fldChar w:fldCharType="end"/>
      </w:r>
      <w:r w:rsidR="00965093">
        <w:t>. On</w:t>
      </w:r>
      <w:r w:rsidR="00965093" w:rsidRPr="00590F06">
        <w:t xml:space="preserve"> the other, there is evidence that</w:t>
      </w:r>
      <w:r w:rsidR="008B15B4">
        <w:t xml:space="preserve"> the</w:t>
      </w:r>
      <w:r w:rsidR="00965093" w:rsidRPr="00590F06">
        <w:t xml:space="preserve"> </w:t>
      </w:r>
      <w:r w:rsidR="008B15B4">
        <w:t xml:space="preserve">increased incentives and support </w:t>
      </w:r>
      <w:r w:rsidR="007F3E0B">
        <w:t xml:space="preserve">that the impact agenda encourages </w:t>
      </w:r>
      <w:r w:rsidR="008B15B4">
        <w:t xml:space="preserve">for reaching out across academic </w:t>
      </w:r>
      <w:r w:rsidR="00965093" w:rsidRPr="00590F06">
        <w:t xml:space="preserve">boundaries </w:t>
      </w:r>
      <w:r w:rsidR="00B7322B">
        <w:t>are</w:t>
      </w:r>
      <w:r w:rsidR="00B7322B" w:rsidRPr="00590F06">
        <w:t xml:space="preserve"> </w:t>
      </w:r>
      <w:r w:rsidR="00965093" w:rsidRPr="00590F06">
        <w:t xml:space="preserve">proving to be liberating and productive </w:t>
      </w:r>
      <w:r w:rsidR="00965093">
        <w:t>for</w:t>
      </w:r>
      <w:r w:rsidR="006F1ED7">
        <w:t xml:space="preserve"> many</w:t>
      </w:r>
      <w:r w:rsidR="00965093">
        <w:t xml:space="preserve"> researchers</w:t>
      </w:r>
      <w:r w:rsidR="006F1ED7">
        <w:t>, particularly those who have always seen e</w:t>
      </w:r>
      <w:r w:rsidR="00965093">
        <w:t>ngagement and impact as a natural part of their work</w:t>
      </w:r>
      <w:r w:rsidR="006F1ED7">
        <w:t xml:space="preserve"> but have perhaps not been rewarded for this in the past</w:t>
      </w:r>
      <w:r w:rsidR="00965093">
        <w:t xml:space="preserve"> </w:t>
      </w:r>
      <w:r w:rsidR="00233012" w:rsidRPr="00590F06">
        <w:fldChar w:fldCharType="begin"/>
      </w:r>
      <w:r w:rsidR="00965093" w:rsidRPr="00590F06">
        <w:instrText xml:space="preserve"> ADDIN EN.CITE &lt;EndNote&gt;&lt;Cite&gt;&lt;Author&gt;Morgan Jones&lt;/Author&gt;&lt;Year&gt;2017&lt;/Year&gt;&lt;IDText&gt;Learning from the UK’s research impact assessment exercise: a case study of a retrospective impact assessment exercise and questions for the future&lt;/IDText&gt;&lt;DisplayText&gt;(Morgan Jones et al., 2017)&lt;/DisplayText&gt;&lt;record&gt;&lt;keywords&gt;&lt;keyword&gt;Research Excellence Framework&lt;/keyword&gt;&lt;keyword&gt;Research Impact&lt;/keyword&gt;&lt;keyword&gt;Research Policy&lt;/keyword&gt;&lt;keyword&gt;Science of Science&lt;/keyword&gt;&lt;/keywords&gt;&lt;isbn&gt;08929912&lt;/isbn&gt;&lt;titles&gt;&lt;title&gt;Learning from the UK’s research impact assessment exercise: a case study of a retrospective impact assessment exercise and questions for the future&lt;/title&gt;&lt;secondary-title&gt;Journal of Technology Transfer&lt;/secondary-title&gt;&lt;/titles&gt;&lt;pages&gt;1-25&lt;/pages&gt;&lt;contributors&gt;&lt;authors&gt;&lt;author&gt;Morgan Jones, M.&lt;/author&gt;&lt;author&gt;Manville, C.&lt;/author&gt;&lt;author&gt;Chataway, J.&lt;/author&gt;&lt;/authors&gt;&lt;/contributors&gt;&lt;added-date format="utc"&gt;1504104395&lt;/added-date&gt;&lt;ref-type name="Journal Article"&gt;17&lt;/ref-type&gt;&lt;dates&gt;&lt;year&gt;2017&lt;/year&gt;&lt;/dates&gt;&lt;rec-number&gt;7113&lt;/rec-number&gt;&lt;last-updated-date format="utc"&gt;1505338009&lt;/last-updated-date&gt;&lt;electronic-resource-num&gt;10.1007/s10961-017-9608-6&lt;/electronic-resource-num&gt;&lt;/record&gt;&lt;/Cite&gt;&lt;/EndNote&gt;</w:instrText>
      </w:r>
      <w:r w:rsidR="00233012" w:rsidRPr="00590F06">
        <w:fldChar w:fldCharType="separate"/>
      </w:r>
      <w:r w:rsidR="00965093" w:rsidRPr="00590F06">
        <w:rPr>
          <w:noProof/>
        </w:rPr>
        <w:t>(Morgan Jones et al., 2017)</w:t>
      </w:r>
      <w:r w:rsidR="00233012" w:rsidRPr="00590F06">
        <w:fldChar w:fldCharType="end"/>
      </w:r>
      <w:r w:rsidR="00965093" w:rsidRPr="00590F06">
        <w:t xml:space="preserve">. </w:t>
      </w:r>
    </w:p>
    <w:p w14:paraId="11B6F4D8" w14:textId="7878D2E0" w:rsidR="00157B7D" w:rsidRDefault="00F74E9C" w:rsidP="005734FF">
      <w:pPr>
        <w:pStyle w:val="NormalWeb"/>
        <w:spacing w:before="0" w:beforeAutospacing="0" w:after="120" w:afterAutospacing="0" w:line="360" w:lineRule="auto"/>
      </w:pPr>
      <w:r>
        <w:t>The</w:t>
      </w:r>
      <w:r w:rsidR="000D469B">
        <w:t>se indicative debates raise dilemmas about</w:t>
      </w:r>
      <w:r>
        <w:t xml:space="preserve"> academic </w:t>
      </w:r>
      <w:r w:rsidR="00185BD6">
        <w:t>boundari</w:t>
      </w:r>
      <w:r>
        <w:t>es</w:t>
      </w:r>
      <w:r w:rsidR="000D469B">
        <w:t xml:space="preserve"> </w:t>
      </w:r>
      <w:r w:rsidR="00185BD6">
        <w:t>and the extent to which they have and should shift or loosen</w:t>
      </w:r>
      <w:r w:rsidR="000D469B">
        <w:t xml:space="preserve">. They </w:t>
      </w:r>
      <w:r>
        <w:t>call for efforts</w:t>
      </w:r>
      <w:r w:rsidR="000D469B">
        <w:t>, such as mine,</w:t>
      </w:r>
      <w:r>
        <w:t xml:space="preserve"> to explore empirically </w:t>
      </w:r>
      <w:r w:rsidR="005D3538">
        <w:t>how</w:t>
      </w:r>
      <w:r>
        <w:t xml:space="preserve"> interactions </w:t>
      </w:r>
      <w:r w:rsidR="001A0B86">
        <w:t>a</w:t>
      </w:r>
      <w:r>
        <w:t xml:space="preserve">cross boundaries are playing out, and with what </w:t>
      </w:r>
      <w:r w:rsidR="00E61517">
        <w:t>consequence</w:t>
      </w:r>
      <w:r>
        <w:t xml:space="preserve">s. </w:t>
      </w:r>
      <w:r w:rsidR="00157B7D">
        <w:t xml:space="preserve"> </w:t>
      </w:r>
    </w:p>
    <w:p w14:paraId="41743310" w14:textId="7166CA47" w:rsidR="00D652CD" w:rsidRPr="00B74888" w:rsidRDefault="00D652CD" w:rsidP="00D652CD">
      <w:pPr>
        <w:pStyle w:val="Heading2"/>
      </w:pPr>
      <w:bookmarkStart w:id="25" w:name="_Toc536717909"/>
      <w:bookmarkStart w:id="26" w:name="_Toc31701941"/>
      <w:r>
        <w:t>Thesis</w:t>
      </w:r>
      <w:bookmarkEnd w:id="25"/>
      <w:r>
        <w:t xml:space="preserve"> </w:t>
      </w:r>
      <w:r w:rsidR="00110DCB">
        <w:t>structur</w:t>
      </w:r>
      <w:r>
        <w:t>e</w:t>
      </w:r>
      <w:bookmarkEnd w:id="26"/>
    </w:p>
    <w:p w14:paraId="08F4CBCE" w14:textId="38E36340" w:rsidR="00D82C7C" w:rsidRDefault="00D82C7C" w:rsidP="009A5112">
      <w:pPr>
        <w:spacing w:after="120" w:line="360" w:lineRule="auto"/>
        <w:rPr>
          <w:sz w:val="24"/>
          <w:szCs w:val="24"/>
        </w:rPr>
      </w:pPr>
      <w:r>
        <w:rPr>
          <w:sz w:val="24"/>
          <w:szCs w:val="24"/>
        </w:rPr>
        <w:t xml:space="preserve">The present chapter has introduced the </w:t>
      </w:r>
      <w:r w:rsidR="009A5112">
        <w:rPr>
          <w:rFonts w:eastAsia="Times New Roman"/>
          <w:sz w:val="24"/>
          <w:szCs w:val="24"/>
        </w:rPr>
        <w:t>thesis and the key concepts and ideas used. The study</w:t>
      </w:r>
      <w:r>
        <w:rPr>
          <w:rFonts w:eastAsia="Times New Roman"/>
          <w:sz w:val="24"/>
          <w:szCs w:val="24"/>
        </w:rPr>
        <w:t xml:space="preserve"> focuses on aspects of universities’ research-based relations to wider society. It uses the context of the ‘impact agenda’ as a lens and a focal point for the study. I operationalise this focus primarily by using</w:t>
      </w:r>
      <w:r w:rsidR="00DA3EDC">
        <w:rPr>
          <w:rFonts w:eastAsia="Times New Roman"/>
          <w:sz w:val="24"/>
          <w:szCs w:val="24"/>
        </w:rPr>
        <w:t xml:space="preserve"> data within REF2014 submission</w:t>
      </w:r>
      <w:r>
        <w:rPr>
          <w:rFonts w:eastAsia="Times New Roman"/>
          <w:sz w:val="24"/>
          <w:szCs w:val="24"/>
        </w:rPr>
        <w:t xml:space="preserve"> documents and results as part of my sampling procedure and my corpus of documents for analysis. In particular, the departmental Impact Case Study documents, publicly available at </w:t>
      </w:r>
      <w:hyperlink r:id="rId10" w:history="1">
        <w:r w:rsidRPr="00847A02">
          <w:rPr>
            <w:rStyle w:val="Hyperlink"/>
            <w:rFonts w:eastAsia="Times New Roman"/>
            <w:sz w:val="24"/>
            <w:szCs w:val="24"/>
          </w:rPr>
          <w:t>https://impact.ref.ac.uk/casestudies/</w:t>
        </w:r>
      </w:hyperlink>
      <w:r>
        <w:rPr>
          <w:rFonts w:eastAsia="Times New Roman"/>
          <w:sz w:val="24"/>
          <w:szCs w:val="24"/>
        </w:rPr>
        <w:t xml:space="preserve"> thanks to the work of King’s College London</w:t>
      </w:r>
      <w:r w:rsidRPr="009D2C4F">
        <w:rPr>
          <w:rFonts w:eastAsia="Times New Roman"/>
          <w:sz w:val="24"/>
          <w:szCs w:val="24"/>
        </w:rPr>
        <w:t xml:space="preserve"> and D</w:t>
      </w:r>
      <w:r>
        <w:rPr>
          <w:rFonts w:eastAsia="Times New Roman"/>
          <w:sz w:val="24"/>
          <w:szCs w:val="24"/>
        </w:rPr>
        <w:t xml:space="preserve">igital </w:t>
      </w:r>
      <w:r w:rsidRPr="009D2C4F">
        <w:rPr>
          <w:rFonts w:eastAsia="Times New Roman"/>
          <w:sz w:val="24"/>
          <w:szCs w:val="24"/>
        </w:rPr>
        <w:t>S</w:t>
      </w:r>
      <w:r>
        <w:rPr>
          <w:rFonts w:eastAsia="Times New Roman"/>
          <w:sz w:val="24"/>
          <w:szCs w:val="24"/>
        </w:rPr>
        <w:t>cience</w:t>
      </w:r>
      <w:r w:rsidRPr="009D2C4F">
        <w:rPr>
          <w:rFonts w:eastAsia="Times New Roman"/>
          <w:sz w:val="24"/>
          <w:szCs w:val="24"/>
        </w:rPr>
        <w:t xml:space="preserve"> </w:t>
      </w:r>
      <w:r w:rsidRPr="009D2C4F">
        <w:rPr>
          <w:rFonts w:asciiTheme="majorBidi" w:hAnsiTheme="majorBidi" w:cstheme="majorBidi"/>
          <w:color w:val="000000"/>
          <w:sz w:val="24"/>
          <w:szCs w:val="24"/>
        </w:rPr>
        <w:fldChar w:fldCharType="begin"/>
      </w:r>
      <w:r w:rsidRPr="009D2C4F">
        <w:rPr>
          <w:rFonts w:asciiTheme="majorBidi" w:hAnsiTheme="majorBidi" w:cstheme="majorBidi"/>
          <w:color w:val="000000"/>
          <w:sz w:val="24"/>
          <w:szCs w:val="24"/>
        </w:rPr>
        <w:instrText xml:space="preserve"> ADDIN EN.CITE &lt;EndNote&gt;&lt;Cite ExcludeAuth="1"&gt;&lt;Author&gt;King&amp;apos;s College London&lt;/Author&gt;&lt;Year&gt;2015&lt;/Year&gt;&lt;IDText&gt;The nature, scale and beneficiaries of research impact: An initial analysis of Research Excellence Framework (REF) 2014 impact case studies&lt;/IDText&gt;&lt;DisplayText&gt;(2015)&lt;/DisplayText&gt;&lt;record&gt;&lt;urls&gt;&lt;related-urls&gt;&lt;url&gt;http://www.kcl.ac.uk/sspp/policy-institute/publications/Analysis-of-REF-impact.pdf&lt;/url&gt;&lt;/related-urls&gt;&lt;/urls&gt;&lt;titles&gt;&lt;title&gt;The nature, scale and beneficiaries of research impact: An initial analysis of Research Excellence Framework (REF) 2014 impact case studies&lt;/title&gt;&lt;/titles&gt;&lt;contributors&gt;&lt;authors&gt;&lt;author&gt;King&amp;apos;s College London,&lt;/author&gt;&lt;author&gt;Digital Science,&lt;/author&gt;&lt;/authors&gt;&lt;/contributors&gt;&lt;added-date format="utc"&gt;1480108432&lt;/added-date&gt;&lt;ref-type name="Report"&gt;27&lt;/ref-type&gt;&lt;dates&gt;&lt;year&gt;2015&lt;/year&gt;&lt;/dates&gt;&lt;rec-number&gt;6402&lt;/rec-number&gt;&lt;publisher&gt;King&amp;apos;s College London &amp;amp;amp; Digital Science&lt;/publisher&gt;&lt;last-updated-date format="utc"&gt;1480334598&lt;/last-updated-date&gt;&lt;/record&gt;&lt;/Cite&gt;&lt;/EndNote&gt;</w:instrText>
      </w:r>
      <w:r w:rsidRPr="009D2C4F">
        <w:rPr>
          <w:rFonts w:asciiTheme="majorBidi" w:hAnsiTheme="majorBidi" w:cstheme="majorBidi"/>
          <w:color w:val="000000"/>
          <w:sz w:val="24"/>
          <w:szCs w:val="24"/>
        </w:rPr>
        <w:fldChar w:fldCharType="separate"/>
      </w:r>
      <w:r w:rsidRPr="009D2C4F">
        <w:rPr>
          <w:rFonts w:asciiTheme="majorBidi" w:hAnsiTheme="majorBidi" w:cstheme="majorBidi"/>
          <w:noProof/>
          <w:color w:val="000000"/>
          <w:sz w:val="24"/>
          <w:szCs w:val="24"/>
        </w:rPr>
        <w:t>(2015)</w:t>
      </w:r>
      <w:r w:rsidRPr="009D2C4F">
        <w:rPr>
          <w:rFonts w:asciiTheme="majorBidi" w:hAnsiTheme="majorBidi" w:cstheme="majorBidi"/>
          <w:color w:val="000000"/>
          <w:sz w:val="24"/>
          <w:szCs w:val="24"/>
        </w:rPr>
        <w:fldChar w:fldCharType="end"/>
      </w:r>
      <w:r>
        <w:rPr>
          <w:rFonts w:asciiTheme="majorBidi" w:hAnsiTheme="majorBidi" w:cstheme="majorBidi"/>
          <w:color w:val="000000"/>
          <w:sz w:val="24"/>
          <w:szCs w:val="24"/>
        </w:rPr>
        <w:t xml:space="preserve">, provide me with an initial ‘way in’ to bodies of STEMM research which involved significant ‘boundary transactions’ and have received official recognition for their ‘impact’. </w:t>
      </w:r>
    </w:p>
    <w:p w14:paraId="55956523" w14:textId="75DE915D" w:rsidR="001C085E" w:rsidRDefault="001C085E" w:rsidP="00E550C4">
      <w:pPr>
        <w:spacing w:before="120" w:after="120" w:line="360" w:lineRule="auto"/>
        <w:rPr>
          <w:sz w:val="24"/>
          <w:szCs w:val="24"/>
        </w:rPr>
      </w:pPr>
      <w:r>
        <w:rPr>
          <w:sz w:val="24"/>
          <w:szCs w:val="24"/>
        </w:rPr>
        <w:t xml:space="preserve">Chapter </w:t>
      </w:r>
      <w:r w:rsidR="00E435A1">
        <w:rPr>
          <w:sz w:val="24"/>
          <w:szCs w:val="24"/>
        </w:rPr>
        <w:t>2</w:t>
      </w:r>
      <w:r>
        <w:rPr>
          <w:sz w:val="24"/>
          <w:szCs w:val="24"/>
        </w:rPr>
        <w:t xml:space="preserve"> is a systematic review of relevant</w:t>
      </w:r>
      <w:r w:rsidR="005C53DB">
        <w:rPr>
          <w:sz w:val="24"/>
          <w:szCs w:val="24"/>
        </w:rPr>
        <w:t xml:space="preserve"> theoretical and empirical</w:t>
      </w:r>
      <w:r>
        <w:rPr>
          <w:sz w:val="24"/>
          <w:szCs w:val="24"/>
        </w:rPr>
        <w:t xml:space="preserve"> literature, split up into three sections and leading up to a fourth section which presents the </w:t>
      </w:r>
      <w:r w:rsidRPr="00857422">
        <w:rPr>
          <w:sz w:val="24"/>
          <w:szCs w:val="24"/>
        </w:rPr>
        <w:t>analytical framework</w:t>
      </w:r>
      <w:r>
        <w:rPr>
          <w:sz w:val="24"/>
          <w:szCs w:val="24"/>
        </w:rPr>
        <w:t xml:space="preserve">. </w:t>
      </w:r>
      <w:r w:rsidR="00E930BB">
        <w:rPr>
          <w:sz w:val="24"/>
          <w:szCs w:val="24"/>
        </w:rPr>
        <w:t>The</w:t>
      </w:r>
      <w:r w:rsidR="00461951">
        <w:rPr>
          <w:sz w:val="24"/>
          <w:szCs w:val="24"/>
        </w:rPr>
        <w:t xml:space="preserve"> chapter’s</w:t>
      </w:r>
      <w:r w:rsidR="00E930BB">
        <w:rPr>
          <w:sz w:val="24"/>
          <w:szCs w:val="24"/>
        </w:rPr>
        <w:t xml:space="preserve"> </w:t>
      </w:r>
      <w:r w:rsidR="00E930BB" w:rsidRPr="00857422">
        <w:rPr>
          <w:i/>
          <w:sz w:val="24"/>
          <w:szCs w:val="24"/>
        </w:rPr>
        <w:t>first</w:t>
      </w:r>
      <w:r w:rsidR="00E930BB">
        <w:rPr>
          <w:sz w:val="24"/>
          <w:szCs w:val="24"/>
        </w:rPr>
        <w:t xml:space="preserve"> </w:t>
      </w:r>
      <w:r w:rsidR="004A0C7E" w:rsidRPr="00857422">
        <w:rPr>
          <w:i/>
          <w:sz w:val="24"/>
          <w:szCs w:val="24"/>
        </w:rPr>
        <w:t>section</w:t>
      </w:r>
      <w:r w:rsidR="004A0C7E">
        <w:rPr>
          <w:sz w:val="24"/>
          <w:szCs w:val="24"/>
        </w:rPr>
        <w:t xml:space="preserve"> outlines the Bernsteinian ‘boundary lens’, presenting my application of the key Bernsteinian concepts of ‘power’ and ‘control’, and highlight</w:t>
      </w:r>
      <w:r w:rsidR="0024523A">
        <w:rPr>
          <w:sz w:val="24"/>
          <w:szCs w:val="24"/>
        </w:rPr>
        <w:t>ing</w:t>
      </w:r>
      <w:r w:rsidR="004A0C7E">
        <w:rPr>
          <w:sz w:val="24"/>
          <w:szCs w:val="24"/>
        </w:rPr>
        <w:t xml:space="preserve"> the differential power and control across academic contexts as part of the justification for my decision to purposefully sample from distinct academic research contexts. It also introduces the key causal mechanistic concept of ‘boundary transactions’</w:t>
      </w:r>
      <w:r w:rsidR="00673562">
        <w:rPr>
          <w:sz w:val="24"/>
          <w:szCs w:val="24"/>
        </w:rPr>
        <w:t>.</w:t>
      </w:r>
      <w:r w:rsidR="009F4739">
        <w:rPr>
          <w:sz w:val="24"/>
          <w:szCs w:val="24"/>
        </w:rPr>
        <w:t xml:space="preserve"> The </w:t>
      </w:r>
      <w:r w:rsidR="009F4739">
        <w:rPr>
          <w:i/>
          <w:sz w:val="24"/>
          <w:szCs w:val="24"/>
        </w:rPr>
        <w:t xml:space="preserve">second section </w:t>
      </w:r>
      <w:r w:rsidR="00910CDF">
        <w:rPr>
          <w:sz w:val="24"/>
          <w:szCs w:val="24"/>
        </w:rPr>
        <w:t>makes the forms of academic boundary transaction</w:t>
      </w:r>
      <w:r w:rsidR="00D43EBC">
        <w:rPr>
          <w:sz w:val="24"/>
          <w:szCs w:val="24"/>
        </w:rPr>
        <w:t xml:space="preserve"> its central focus. It is organised around five main forms </w:t>
      </w:r>
      <w:r w:rsidR="00681773">
        <w:rPr>
          <w:sz w:val="24"/>
          <w:szCs w:val="24"/>
        </w:rPr>
        <w:t xml:space="preserve">of </w:t>
      </w:r>
      <w:r w:rsidR="00D43EBC">
        <w:rPr>
          <w:sz w:val="24"/>
          <w:szCs w:val="24"/>
        </w:rPr>
        <w:t>boundary transaction identified in the literature</w:t>
      </w:r>
      <w:r w:rsidR="00560479">
        <w:rPr>
          <w:sz w:val="24"/>
          <w:szCs w:val="24"/>
        </w:rPr>
        <w:t xml:space="preserve">. These </w:t>
      </w:r>
      <w:r w:rsidR="00581804">
        <w:rPr>
          <w:sz w:val="24"/>
          <w:szCs w:val="24"/>
        </w:rPr>
        <w:t xml:space="preserve">main forms of </w:t>
      </w:r>
      <w:r w:rsidR="00560479">
        <w:rPr>
          <w:sz w:val="24"/>
          <w:szCs w:val="24"/>
        </w:rPr>
        <w:t>boundary transaction are ‘outreach’, ‘collaboration’, ‘use-oriented outputs’, ‘boundary structures’ and ‘boundary-spanners’.</w:t>
      </w:r>
      <w:r w:rsidR="003D5631">
        <w:rPr>
          <w:sz w:val="24"/>
          <w:szCs w:val="24"/>
        </w:rPr>
        <w:t xml:space="preserve"> The </w:t>
      </w:r>
      <w:r w:rsidR="003D5631">
        <w:rPr>
          <w:i/>
          <w:sz w:val="24"/>
          <w:szCs w:val="24"/>
        </w:rPr>
        <w:t xml:space="preserve">third </w:t>
      </w:r>
      <w:r w:rsidR="003D5631">
        <w:rPr>
          <w:sz w:val="24"/>
          <w:szCs w:val="24"/>
        </w:rPr>
        <w:t>section emphasises that boundary transactions do not take place in a vacuum but in the context of actual research</w:t>
      </w:r>
      <w:r w:rsidR="00207E60">
        <w:rPr>
          <w:sz w:val="24"/>
          <w:szCs w:val="24"/>
        </w:rPr>
        <w:t xml:space="preserve"> activity</w:t>
      </w:r>
      <w:r w:rsidR="003D5631">
        <w:rPr>
          <w:sz w:val="24"/>
          <w:szCs w:val="24"/>
        </w:rPr>
        <w:t>.</w:t>
      </w:r>
      <w:r w:rsidR="00DA3D8C">
        <w:rPr>
          <w:sz w:val="24"/>
          <w:szCs w:val="24"/>
        </w:rPr>
        <w:t xml:space="preserve"> In order to understand boundary transactions, it is necessary to understand how they function in their particular contexts of research. But r</w:t>
      </w:r>
      <w:r w:rsidR="003D5631">
        <w:rPr>
          <w:sz w:val="24"/>
          <w:szCs w:val="24"/>
        </w:rPr>
        <w:t xml:space="preserve">esearch is </w:t>
      </w:r>
      <w:r w:rsidR="008D6C46">
        <w:rPr>
          <w:sz w:val="24"/>
          <w:szCs w:val="24"/>
        </w:rPr>
        <w:t xml:space="preserve">inherently </w:t>
      </w:r>
      <w:r w:rsidR="003D5631">
        <w:rPr>
          <w:sz w:val="24"/>
          <w:szCs w:val="24"/>
        </w:rPr>
        <w:t>complex and multidimensional.</w:t>
      </w:r>
      <w:r w:rsidR="00DA3D8C">
        <w:rPr>
          <w:sz w:val="24"/>
          <w:szCs w:val="24"/>
        </w:rPr>
        <w:t xml:space="preserve"> This section therefore focuses on a typology constructed by McNie et al. (2016) </w:t>
      </w:r>
      <w:r w:rsidR="00E80D26">
        <w:rPr>
          <w:sz w:val="24"/>
          <w:szCs w:val="24"/>
        </w:rPr>
        <w:t>which can be used to produce a codified description of a given ‘body of research’ (BoR).</w:t>
      </w:r>
      <w:r w:rsidR="00423A0B">
        <w:rPr>
          <w:sz w:val="24"/>
          <w:szCs w:val="24"/>
        </w:rPr>
        <w:t xml:space="preserve"> Developing a codified conceptualisation of my sample of BoRs provides a basis for understanding how boundary transactions operate across different contexts. </w:t>
      </w:r>
      <w:r w:rsidR="00B66215">
        <w:rPr>
          <w:sz w:val="24"/>
          <w:szCs w:val="24"/>
        </w:rPr>
        <w:t xml:space="preserve">The </w:t>
      </w:r>
      <w:r w:rsidR="00B66215">
        <w:rPr>
          <w:i/>
          <w:sz w:val="24"/>
          <w:szCs w:val="24"/>
        </w:rPr>
        <w:t xml:space="preserve">fourth </w:t>
      </w:r>
      <w:r w:rsidR="00B66215" w:rsidRPr="008A5256">
        <w:rPr>
          <w:sz w:val="24"/>
          <w:szCs w:val="24"/>
        </w:rPr>
        <w:t>and final</w:t>
      </w:r>
      <w:r w:rsidR="00B66215">
        <w:rPr>
          <w:i/>
          <w:sz w:val="24"/>
          <w:szCs w:val="24"/>
        </w:rPr>
        <w:t xml:space="preserve"> </w:t>
      </w:r>
      <w:r w:rsidR="00B66215">
        <w:rPr>
          <w:sz w:val="24"/>
          <w:szCs w:val="24"/>
        </w:rPr>
        <w:t>secti</w:t>
      </w:r>
      <w:r w:rsidR="005D618E">
        <w:rPr>
          <w:sz w:val="24"/>
          <w:szCs w:val="24"/>
        </w:rPr>
        <w:t xml:space="preserve">on draws on elements of the previous three to present an analytical framework. A fuller description of the analytical procedures and their relation to the critical realist epistemological framework adopted is presented in the Methodology (Chapter </w:t>
      </w:r>
      <w:r w:rsidR="00415A4A">
        <w:rPr>
          <w:sz w:val="24"/>
          <w:szCs w:val="24"/>
        </w:rPr>
        <w:t>3</w:t>
      </w:r>
      <w:r w:rsidR="005D618E">
        <w:rPr>
          <w:sz w:val="24"/>
          <w:szCs w:val="24"/>
        </w:rPr>
        <w:t xml:space="preserve">). </w:t>
      </w:r>
    </w:p>
    <w:p w14:paraId="1D2508BE" w14:textId="15330E00" w:rsidR="00DB65F2" w:rsidRDefault="00D652CD" w:rsidP="007C004C">
      <w:pPr>
        <w:spacing w:before="120" w:after="120" w:line="360" w:lineRule="auto"/>
        <w:rPr>
          <w:sz w:val="24"/>
          <w:szCs w:val="24"/>
        </w:rPr>
      </w:pPr>
      <w:r>
        <w:rPr>
          <w:sz w:val="24"/>
          <w:szCs w:val="24"/>
        </w:rPr>
        <w:t xml:space="preserve">Chapter </w:t>
      </w:r>
      <w:r w:rsidR="00CB3EBB">
        <w:rPr>
          <w:sz w:val="24"/>
          <w:szCs w:val="24"/>
        </w:rPr>
        <w:t>3</w:t>
      </w:r>
      <w:r>
        <w:rPr>
          <w:sz w:val="24"/>
          <w:szCs w:val="24"/>
        </w:rPr>
        <w:t xml:space="preserve"> is the </w:t>
      </w:r>
      <w:r w:rsidR="00E154E8">
        <w:rPr>
          <w:sz w:val="24"/>
          <w:szCs w:val="24"/>
        </w:rPr>
        <w:t>M</w:t>
      </w:r>
      <w:r>
        <w:rPr>
          <w:sz w:val="24"/>
          <w:szCs w:val="24"/>
        </w:rPr>
        <w:t>ethodology chapter,</w:t>
      </w:r>
      <w:r w:rsidR="00D4310E">
        <w:rPr>
          <w:sz w:val="24"/>
          <w:szCs w:val="24"/>
        </w:rPr>
        <w:t xml:space="preserve"> describing the research design and</w:t>
      </w:r>
      <w:r>
        <w:rPr>
          <w:sz w:val="24"/>
          <w:szCs w:val="24"/>
        </w:rPr>
        <w:t xml:space="preserve"> the sampling procedure</w:t>
      </w:r>
      <w:r w:rsidR="00D4310E">
        <w:rPr>
          <w:sz w:val="24"/>
          <w:szCs w:val="24"/>
        </w:rPr>
        <w:t xml:space="preserve">, as well as providing more detail about the </w:t>
      </w:r>
      <w:r w:rsidR="00151748">
        <w:rPr>
          <w:sz w:val="24"/>
          <w:szCs w:val="24"/>
        </w:rPr>
        <w:t>analysis</w:t>
      </w:r>
      <w:r w:rsidR="00CF4E29">
        <w:rPr>
          <w:sz w:val="24"/>
          <w:szCs w:val="24"/>
        </w:rPr>
        <w:t xml:space="preserve">. </w:t>
      </w:r>
      <w:r w:rsidR="00C4410C">
        <w:rPr>
          <w:sz w:val="24"/>
          <w:szCs w:val="24"/>
        </w:rPr>
        <w:t>I position my research within the</w:t>
      </w:r>
      <w:r w:rsidR="00E51067">
        <w:rPr>
          <w:sz w:val="24"/>
          <w:szCs w:val="24"/>
        </w:rPr>
        <w:t xml:space="preserve"> metatheoretical framework and ontological and epistemological standpoint of critical realism. The chapter</w:t>
      </w:r>
      <w:r w:rsidR="00D4310E">
        <w:rPr>
          <w:sz w:val="24"/>
          <w:szCs w:val="24"/>
        </w:rPr>
        <w:t xml:space="preserve"> also address</w:t>
      </w:r>
      <w:r w:rsidR="00C33311">
        <w:rPr>
          <w:sz w:val="24"/>
          <w:szCs w:val="24"/>
        </w:rPr>
        <w:t>es</w:t>
      </w:r>
      <w:r w:rsidR="00D4310E">
        <w:rPr>
          <w:sz w:val="24"/>
          <w:szCs w:val="24"/>
        </w:rPr>
        <w:t xml:space="preserve"> the</w:t>
      </w:r>
      <w:r>
        <w:rPr>
          <w:sz w:val="24"/>
          <w:szCs w:val="24"/>
        </w:rPr>
        <w:t xml:space="preserve"> limitations and the ethical issues of the study. </w:t>
      </w:r>
    </w:p>
    <w:p w14:paraId="59079D81" w14:textId="4553EBE4" w:rsidR="000968C1" w:rsidRPr="009C4DC7" w:rsidRDefault="00134FB3" w:rsidP="007C004C">
      <w:pPr>
        <w:spacing w:before="120" w:after="120" w:line="360" w:lineRule="auto"/>
        <w:rPr>
          <w:sz w:val="24"/>
          <w:szCs w:val="24"/>
        </w:rPr>
      </w:pPr>
      <w:r>
        <w:rPr>
          <w:sz w:val="24"/>
          <w:szCs w:val="24"/>
        </w:rPr>
        <w:t xml:space="preserve">Chapter </w:t>
      </w:r>
      <w:r w:rsidR="00CB3EBB">
        <w:rPr>
          <w:sz w:val="24"/>
          <w:szCs w:val="24"/>
        </w:rPr>
        <w:t>4</w:t>
      </w:r>
      <w:r>
        <w:rPr>
          <w:sz w:val="24"/>
          <w:szCs w:val="24"/>
        </w:rPr>
        <w:t xml:space="preserve"> </w:t>
      </w:r>
      <w:r w:rsidR="00E154E8">
        <w:rPr>
          <w:sz w:val="24"/>
          <w:szCs w:val="24"/>
        </w:rPr>
        <w:t>(Analysis</w:t>
      </w:r>
      <w:r w:rsidR="00415A4A">
        <w:rPr>
          <w:sz w:val="24"/>
          <w:szCs w:val="24"/>
        </w:rPr>
        <w:t xml:space="preserve"> and findings</w:t>
      </w:r>
      <w:r w:rsidR="00E154E8">
        <w:rPr>
          <w:sz w:val="24"/>
          <w:szCs w:val="24"/>
        </w:rPr>
        <w:t>) presents the findings</w:t>
      </w:r>
      <w:r w:rsidR="004D0B45">
        <w:rPr>
          <w:sz w:val="24"/>
          <w:szCs w:val="24"/>
        </w:rPr>
        <w:t>. It involves both</w:t>
      </w:r>
      <w:r w:rsidR="00E154E8">
        <w:rPr>
          <w:sz w:val="24"/>
          <w:szCs w:val="24"/>
        </w:rPr>
        <w:t xml:space="preserve"> descriptive</w:t>
      </w:r>
      <w:r w:rsidR="00A91BE6">
        <w:rPr>
          <w:sz w:val="24"/>
          <w:szCs w:val="24"/>
        </w:rPr>
        <w:t>, empirical</w:t>
      </w:r>
      <w:r w:rsidR="00E154E8">
        <w:rPr>
          <w:sz w:val="24"/>
          <w:szCs w:val="24"/>
        </w:rPr>
        <w:t xml:space="preserve"> analys</w:t>
      </w:r>
      <w:r w:rsidR="00A91BE6">
        <w:rPr>
          <w:sz w:val="24"/>
          <w:szCs w:val="24"/>
        </w:rPr>
        <w:t>i</w:t>
      </w:r>
      <w:r w:rsidR="00E154E8">
        <w:rPr>
          <w:sz w:val="24"/>
          <w:szCs w:val="24"/>
        </w:rPr>
        <w:t>s and more interpretive</w:t>
      </w:r>
      <w:r w:rsidR="00A91BE6">
        <w:rPr>
          <w:sz w:val="24"/>
          <w:szCs w:val="24"/>
        </w:rPr>
        <w:t>,</w:t>
      </w:r>
      <w:r w:rsidR="00E154E8">
        <w:rPr>
          <w:sz w:val="24"/>
          <w:szCs w:val="24"/>
        </w:rPr>
        <w:t xml:space="preserve"> explanatory analys</w:t>
      </w:r>
      <w:r w:rsidR="00A91BE6">
        <w:rPr>
          <w:sz w:val="24"/>
          <w:szCs w:val="24"/>
        </w:rPr>
        <w:t>i</w:t>
      </w:r>
      <w:r w:rsidR="00E154E8">
        <w:rPr>
          <w:sz w:val="24"/>
          <w:szCs w:val="24"/>
        </w:rPr>
        <w:t xml:space="preserve">s. </w:t>
      </w:r>
      <w:r w:rsidR="000968C1">
        <w:rPr>
          <w:sz w:val="24"/>
          <w:szCs w:val="24"/>
        </w:rPr>
        <w:t>Rather than break do</w:t>
      </w:r>
      <w:r w:rsidR="005B094B">
        <w:rPr>
          <w:sz w:val="24"/>
          <w:szCs w:val="24"/>
        </w:rPr>
        <w:t xml:space="preserve">wn the different elements of the analysis into </w:t>
      </w:r>
      <w:r w:rsidR="00C53E08">
        <w:rPr>
          <w:sz w:val="24"/>
          <w:szCs w:val="24"/>
        </w:rPr>
        <w:t>separate</w:t>
      </w:r>
      <w:r w:rsidR="005B094B">
        <w:rPr>
          <w:sz w:val="24"/>
          <w:szCs w:val="24"/>
        </w:rPr>
        <w:t xml:space="preserve"> chapters, I chose to keep all</w:t>
      </w:r>
      <w:r w:rsidR="00A91BE6">
        <w:rPr>
          <w:sz w:val="24"/>
          <w:szCs w:val="24"/>
        </w:rPr>
        <w:t xml:space="preserve"> analysis</w:t>
      </w:r>
      <w:r w:rsidR="005B094B">
        <w:rPr>
          <w:sz w:val="24"/>
          <w:szCs w:val="24"/>
        </w:rPr>
        <w:t xml:space="preserve"> within one long chapter with distinct sections.</w:t>
      </w:r>
      <w:r w:rsidR="00451E20">
        <w:rPr>
          <w:sz w:val="24"/>
          <w:szCs w:val="24"/>
        </w:rPr>
        <w:t xml:space="preserve"> </w:t>
      </w:r>
      <w:r w:rsidR="00A91BE6">
        <w:rPr>
          <w:sz w:val="24"/>
          <w:szCs w:val="24"/>
        </w:rPr>
        <w:t xml:space="preserve">The </w:t>
      </w:r>
      <w:r w:rsidR="00A91BE6" w:rsidRPr="00CC7D7F">
        <w:rPr>
          <w:i/>
          <w:sz w:val="24"/>
          <w:szCs w:val="24"/>
        </w:rPr>
        <w:t>first</w:t>
      </w:r>
      <w:r w:rsidR="00CC7D7F">
        <w:rPr>
          <w:sz w:val="24"/>
          <w:szCs w:val="24"/>
        </w:rPr>
        <w:t xml:space="preserve"> </w:t>
      </w:r>
      <w:r w:rsidR="00CC7D7F">
        <w:rPr>
          <w:i/>
          <w:sz w:val="24"/>
          <w:szCs w:val="24"/>
        </w:rPr>
        <w:t xml:space="preserve">section </w:t>
      </w:r>
      <w:r w:rsidR="00CC7D7F">
        <w:rPr>
          <w:sz w:val="24"/>
          <w:szCs w:val="24"/>
        </w:rPr>
        <w:t>of analysis</w:t>
      </w:r>
      <w:r w:rsidR="00A91BE6">
        <w:rPr>
          <w:sz w:val="24"/>
          <w:szCs w:val="24"/>
        </w:rPr>
        <w:t xml:space="preserve"> starts with </w:t>
      </w:r>
      <w:r w:rsidR="00B81426">
        <w:rPr>
          <w:sz w:val="24"/>
          <w:szCs w:val="24"/>
        </w:rPr>
        <w:t xml:space="preserve">some of </w:t>
      </w:r>
      <w:r w:rsidR="00A91BE6">
        <w:rPr>
          <w:sz w:val="24"/>
          <w:szCs w:val="24"/>
        </w:rPr>
        <w:t>the empirical findin</w:t>
      </w:r>
      <w:r w:rsidR="00846107">
        <w:rPr>
          <w:sz w:val="24"/>
          <w:szCs w:val="24"/>
        </w:rPr>
        <w:t>gs</w:t>
      </w:r>
      <w:r w:rsidR="00A91BE6">
        <w:rPr>
          <w:sz w:val="24"/>
          <w:szCs w:val="24"/>
        </w:rPr>
        <w:t xml:space="preserve"> of the </w:t>
      </w:r>
      <w:r w:rsidR="00B81426" w:rsidRPr="00AB13DA">
        <w:rPr>
          <w:sz w:val="24"/>
          <w:szCs w:val="24"/>
        </w:rPr>
        <w:t>‘interpretative quantitative’</w:t>
      </w:r>
      <w:r w:rsidR="00125948">
        <w:rPr>
          <w:sz w:val="24"/>
          <w:szCs w:val="24"/>
        </w:rPr>
        <w:t xml:space="preserve"> analysis</w:t>
      </w:r>
      <w:r w:rsidR="00B81426">
        <w:rPr>
          <w:sz w:val="24"/>
          <w:szCs w:val="24"/>
        </w:rPr>
        <w:t xml:space="preserve"> </w:t>
      </w:r>
      <w:r w:rsidR="00B81426" w:rsidRPr="00AB13DA">
        <w:rPr>
          <w:sz w:val="24"/>
          <w:szCs w:val="24"/>
        </w:rPr>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00B81426" w:rsidRPr="00AB13DA">
        <w:rPr>
          <w:sz w:val="24"/>
          <w:szCs w:val="24"/>
        </w:rPr>
        <w:instrText xml:space="preserve"> ADDIN EN.CITE </w:instrText>
      </w:r>
      <w:r w:rsidR="00B81426" w:rsidRPr="00AB13DA">
        <w:rPr>
          <w:sz w:val="24"/>
          <w:szCs w:val="24"/>
        </w:rPr>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00B81426" w:rsidRPr="00AB13DA">
        <w:rPr>
          <w:sz w:val="24"/>
          <w:szCs w:val="24"/>
        </w:rPr>
        <w:instrText xml:space="preserve"> ADDIN EN.CITE.DATA </w:instrText>
      </w:r>
      <w:r w:rsidR="00B81426" w:rsidRPr="00AB13DA">
        <w:rPr>
          <w:sz w:val="24"/>
          <w:szCs w:val="24"/>
        </w:rPr>
      </w:r>
      <w:r w:rsidR="00B81426" w:rsidRPr="00AB13DA">
        <w:rPr>
          <w:sz w:val="24"/>
          <w:szCs w:val="24"/>
        </w:rPr>
        <w:fldChar w:fldCharType="end"/>
      </w:r>
      <w:r w:rsidR="00B81426" w:rsidRPr="00AB13DA">
        <w:rPr>
          <w:sz w:val="24"/>
          <w:szCs w:val="24"/>
        </w:rPr>
      </w:r>
      <w:r w:rsidR="00B81426" w:rsidRPr="00AB13DA">
        <w:rPr>
          <w:sz w:val="24"/>
          <w:szCs w:val="24"/>
        </w:rPr>
        <w:fldChar w:fldCharType="separate"/>
      </w:r>
      <w:r w:rsidR="00B81426" w:rsidRPr="00AB13DA">
        <w:rPr>
          <w:noProof/>
          <w:sz w:val="24"/>
          <w:szCs w:val="24"/>
        </w:rPr>
        <w:t>(Babones, 2016; Westerman &amp; Yanchar, 2011)</w:t>
      </w:r>
      <w:r w:rsidR="00B81426" w:rsidRPr="00AB13DA">
        <w:rPr>
          <w:sz w:val="24"/>
          <w:szCs w:val="24"/>
        </w:rPr>
        <w:fldChar w:fldCharType="end"/>
      </w:r>
      <w:r w:rsidR="00B81426">
        <w:rPr>
          <w:sz w:val="24"/>
          <w:szCs w:val="24"/>
        </w:rPr>
        <w:t xml:space="preserve"> </w:t>
      </w:r>
      <w:r w:rsidR="00A91BE6">
        <w:rPr>
          <w:sz w:val="24"/>
          <w:szCs w:val="24"/>
        </w:rPr>
        <w:t>of</w:t>
      </w:r>
      <w:r w:rsidR="00125948">
        <w:rPr>
          <w:sz w:val="24"/>
          <w:szCs w:val="24"/>
        </w:rPr>
        <w:t xml:space="preserve"> the</w:t>
      </w:r>
      <w:r w:rsidR="00A91BE6">
        <w:rPr>
          <w:sz w:val="24"/>
          <w:szCs w:val="24"/>
        </w:rPr>
        <w:t xml:space="preserve"> data generated</w:t>
      </w:r>
      <w:r w:rsidR="00A34B20">
        <w:rPr>
          <w:sz w:val="24"/>
          <w:szCs w:val="24"/>
        </w:rPr>
        <w:t xml:space="preserve"> from the</w:t>
      </w:r>
      <w:r w:rsidR="00A91BE6">
        <w:rPr>
          <w:sz w:val="24"/>
          <w:szCs w:val="24"/>
        </w:rPr>
        <w:t xml:space="preserve"> typology</w:t>
      </w:r>
      <w:r w:rsidR="00CC7D7F">
        <w:rPr>
          <w:sz w:val="24"/>
          <w:szCs w:val="24"/>
        </w:rPr>
        <w:t>; my slightly adapted version of the typology captures the extent and nature of the ‘boundedness’ of the sampled research, taken to be an indicator of its tendency towards the reproduction (in the case of ‘bounded’ research) or weakening (in the case of ‘unbounded’ research)</w:t>
      </w:r>
      <w:r w:rsidR="000D7005">
        <w:rPr>
          <w:sz w:val="24"/>
          <w:szCs w:val="24"/>
        </w:rPr>
        <w:t xml:space="preserve"> of boundaries.</w:t>
      </w:r>
      <w:r w:rsidR="00CC7D7F">
        <w:rPr>
          <w:sz w:val="24"/>
          <w:szCs w:val="24"/>
        </w:rPr>
        <w:t xml:space="preserve"> It then ex</w:t>
      </w:r>
      <w:r w:rsidR="001F2973">
        <w:rPr>
          <w:sz w:val="24"/>
          <w:szCs w:val="24"/>
        </w:rPr>
        <w:t>amines</w:t>
      </w:r>
      <w:r w:rsidR="00CC7D7F">
        <w:rPr>
          <w:sz w:val="24"/>
          <w:szCs w:val="24"/>
        </w:rPr>
        <w:t xml:space="preserve"> the role of boundary transactions in </w:t>
      </w:r>
      <w:r w:rsidR="007D38F4">
        <w:rPr>
          <w:sz w:val="24"/>
          <w:szCs w:val="24"/>
        </w:rPr>
        <w:t xml:space="preserve">producing </w:t>
      </w:r>
      <w:r w:rsidR="00CC7D7F">
        <w:rPr>
          <w:sz w:val="24"/>
          <w:szCs w:val="24"/>
        </w:rPr>
        <w:t>these results</w:t>
      </w:r>
      <w:r w:rsidR="001F2973">
        <w:rPr>
          <w:sz w:val="24"/>
          <w:szCs w:val="24"/>
        </w:rPr>
        <w:t xml:space="preserve">. The </w:t>
      </w:r>
      <w:r w:rsidR="001F2973">
        <w:rPr>
          <w:i/>
          <w:sz w:val="24"/>
          <w:szCs w:val="24"/>
        </w:rPr>
        <w:t xml:space="preserve">second section </w:t>
      </w:r>
      <w:r w:rsidR="001F2973">
        <w:rPr>
          <w:sz w:val="24"/>
          <w:szCs w:val="24"/>
        </w:rPr>
        <w:t xml:space="preserve">presents an in-depth illustrative analysis of three of n=19 BoRs sampled. This </w:t>
      </w:r>
      <w:r w:rsidR="00A92A81">
        <w:rPr>
          <w:sz w:val="24"/>
          <w:szCs w:val="24"/>
        </w:rPr>
        <w:t>allows me to go into detail about how I read, interpreted and coded the BoRs. It therefore gives the reader greater access to the research process. It also provides me with an opportunity to illustrate some concepts used in the analysis which are difficult to convey without examples from the complex reality of research.</w:t>
      </w:r>
      <w:r w:rsidR="007D38F4">
        <w:rPr>
          <w:sz w:val="24"/>
          <w:szCs w:val="24"/>
        </w:rPr>
        <w:t xml:space="preserve"> For illustrative purposes, I select the BoR with the highest overall typology value, the lowest value, and the middle value, conceptualised as examples o</w:t>
      </w:r>
      <w:r w:rsidR="008177BF">
        <w:rPr>
          <w:sz w:val="24"/>
          <w:szCs w:val="24"/>
        </w:rPr>
        <w:t>f</w:t>
      </w:r>
      <w:r w:rsidR="007D38F4">
        <w:rPr>
          <w:sz w:val="24"/>
          <w:szCs w:val="24"/>
        </w:rPr>
        <w:t xml:space="preserve"> ‘bounded’ research, ‘unbounded’ research, and ‘moderately bounded’ research, respectively.</w:t>
      </w:r>
      <w:r w:rsidR="00A92A81">
        <w:rPr>
          <w:sz w:val="24"/>
          <w:szCs w:val="24"/>
        </w:rPr>
        <w:t xml:space="preserve"> </w:t>
      </w:r>
      <w:r w:rsidR="009C4DC7">
        <w:rPr>
          <w:sz w:val="24"/>
          <w:szCs w:val="24"/>
        </w:rPr>
        <w:t xml:space="preserve">The </w:t>
      </w:r>
      <w:r w:rsidR="009C4DC7">
        <w:rPr>
          <w:i/>
          <w:sz w:val="24"/>
          <w:szCs w:val="24"/>
        </w:rPr>
        <w:t xml:space="preserve">third section </w:t>
      </w:r>
      <w:r w:rsidR="009C4DC7">
        <w:rPr>
          <w:sz w:val="24"/>
          <w:szCs w:val="24"/>
        </w:rPr>
        <w:t>moves towards a more explanatory analysis. It draws on more detailed readings of the documentary data and, crucially, the qualitative interview data in order to seek some of the underpinning factors shaping the results. It is organised around a focus on the contexts of research and variations within different contextual categories, i.e.</w:t>
      </w:r>
      <w:r w:rsidR="007333A5">
        <w:rPr>
          <w:sz w:val="24"/>
          <w:szCs w:val="24"/>
        </w:rPr>
        <w:t xml:space="preserve"> variations between different</w:t>
      </w:r>
      <w:r w:rsidR="009C4DC7">
        <w:rPr>
          <w:sz w:val="24"/>
          <w:szCs w:val="24"/>
        </w:rPr>
        <w:t xml:space="preserve"> institutional and epistemic context</w:t>
      </w:r>
      <w:r w:rsidR="007333A5">
        <w:rPr>
          <w:sz w:val="24"/>
          <w:szCs w:val="24"/>
        </w:rPr>
        <w:t>s</w:t>
      </w:r>
      <w:r w:rsidR="009C4DC7">
        <w:rPr>
          <w:sz w:val="24"/>
          <w:szCs w:val="24"/>
        </w:rPr>
        <w:t xml:space="preserve">. The idea is that by </w:t>
      </w:r>
      <w:r w:rsidR="00D91836">
        <w:rPr>
          <w:sz w:val="24"/>
          <w:szCs w:val="24"/>
        </w:rPr>
        <w:t xml:space="preserve">homing in on </w:t>
      </w:r>
      <w:r w:rsidR="00080B78">
        <w:rPr>
          <w:sz w:val="24"/>
          <w:szCs w:val="24"/>
        </w:rPr>
        <w:t xml:space="preserve">underpinning reasons for </w:t>
      </w:r>
      <w:r w:rsidR="005820B6">
        <w:rPr>
          <w:sz w:val="24"/>
          <w:szCs w:val="24"/>
        </w:rPr>
        <w:t xml:space="preserve">variations </w:t>
      </w:r>
      <w:r w:rsidR="00080B78">
        <w:rPr>
          <w:sz w:val="24"/>
          <w:szCs w:val="24"/>
        </w:rPr>
        <w:t>between</w:t>
      </w:r>
      <w:r w:rsidR="009C4DC7">
        <w:rPr>
          <w:sz w:val="24"/>
          <w:szCs w:val="24"/>
        </w:rPr>
        <w:t xml:space="preserve"> one context </w:t>
      </w:r>
      <w:r w:rsidR="00681773">
        <w:rPr>
          <w:sz w:val="24"/>
          <w:szCs w:val="24"/>
        </w:rPr>
        <w:t xml:space="preserve">and </w:t>
      </w:r>
      <w:r w:rsidR="009C4DC7">
        <w:rPr>
          <w:sz w:val="24"/>
          <w:szCs w:val="24"/>
        </w:rPr>
        <w:t>another, I will better be able to identify the most salient underpinning structural force</w:t>
      </w:r>
      <w:r w:rsidR="005820B6">
        <w:rPr>
          <w:sz w:val="24"/>
          <w:szCs w:val="24"/>
        </w:rPr>
        <w:t>s</w:t>
      </w:r>
      <w:r w:rsidR="009C4DC7">
        <w:rPr>
          <w:sz w:val="24"/>
          <w:szCs w:val="24"/>
        </w:rPr>
        <w:t xml:space="preserve"> </w:t>
      </w:r>
      <w:r w:rsidR="00080B78">
        <w:rPr>
          <w:sz w:val="24"/>
          <w:szCs w:val="24"/>
        </w:rPr>
        <w:t>shaping</w:t>
      </w:r>
      <w:r w:rsidR="009C4DC7">
        <w:rPr>
          <w:sz w:val="24"/>
          <w:szCs w:val="24"/>
        </w:rPr>
        <w:t xml:space="preserve"> academic research an</w:t>
      </w:r>
      <w:r w:rsidR="0093480F">
        <w:rPr>
          <w:sz w:val="24"/>
          <w:szCs w:val="24"/>
        </w:rPr>
        <w:t>d the reproduction or weakening of</w:t>
      </w:r>
      <w:r w:rsidR="009C4DC7">
        <w:rPr>
          <w:sz w:val="24"/>
          <w:szCs w:val="24"/>
        </w:rPr>
        <w:t xml:space="preserve"> academic boundaries. </w:t>
      </w:r>
    </w:p>
    <w:p w14:paraId="21265DC9" w14:textId="48F209F0" w:rsidR="00D652CD" w:rsidRDefault="007333A5" w:rsidP="00EB5565">
      <w:pPr>
        <w:spacing w:before="120" w:after="120" w:line="360" w:lineRule="auto"/>
        <w:rPr>
          <w:sz w:val="24"/>
          <w:szCs w:val="24"/>
        </w:rPr>
      </w:pPr>
      <w:r>
        <w:rPr>
          <w:sz w:val="24"/>
          <w:szCs w:val="24"/>
        </w:rPr>
        <w:t>Chapter</w:t>
      </w:r>
      <w:r w:rsidR="007D1D71">
        <w:rPr>
          <w:sz w:val="24"/>
          <w:szCs w:val="24"/>
        </w:rPr>
        <w:t xml:space="preserve"> </w:t>
      </w:r>
      <w:r w:rsidR="00CB3EBB">
        <w:rPr>
          <w:sz w:val="24"/>
          <w:szCs w:val="24"/>
        </w:rPr>
        <w:t>5</w:t>
      </w:r>
      <w:r>
        <w:rPr>
          <w:sz w:val="24"/>
          <w:szCs w:val="24"/>
        </w:rPr>
        <w:t xml:space="preserve"> (Discussion) </w:t>
      </w:r>
      <w:r w:rsidR="00091FE6">
        <w:rPr>
          <w:sz w:val="24"/>
          <w:szCs w:val="24"/>
        </w:rPr>
        <w:t>discusses</w:t>
      </w:r>
      <w:r>
        <w:rPr>
          <w:sz w:val="24"/>
          <w:szCs w:val="24"/>
        </w:rPr>
        <w:t xml:space="preserve"> the plausibility of </w:t>
      </w:r>
      <w:r w:rsidR="00F35009">
        <w:rPr>
          <w:sz w:val="24"/>
          <w:szCs w:val="24"/>
        </w:rPr>
        <w:t>explanations put forward in the Analysis</w:t>
      </w:r>
      <w:r w:rsidR="003C2C33">
        <w:rPr>
          <w:sz w:val="24"/>
          <w:szCs w:val="24"/>
        </w:rPr>
        <w:t xml:space="preserve"> (Chapter </w:t>
      </w:r>
      <w:r w:rsidR="00CB3EBB">
        <w:rPr>
          <w:sz w:val="24"/>
          <w:szCs w:val="24"/>
        </w:rPr>
        <w:t>4</w:t>
      </w:r>
      <w:r w:rsidR="003C2C33">
        <w:rPr>
          <w:sz w:val="24"/>
          <w:szCs w:val="24"/>
        </w:rPr>
        <w:t>)</w:t>
      </w:r>
      <w:r>
        <w:rPr>
          <w:sz w:val="24"/>
          <w:szCs w:val="24"/>
        </w:rPr>
        <w:t xml:space="preserve"> in relation to existing empirical and theoretical literature. </w:t>
      </w:r>
      <w:r w:rsidR="003C2C33">
        <w:rPr>
          <w:sz w:val="24"/>
          <w:szCs w:val="24"/>
        </w:rPr>
        <w:t xml:space="preserve">This </w:t>
      </w:r>
      <w:r w:rsidR="00F35009">
        <w:rPr>
          <w:sz w:val="24"/>
          <w:szCs w:val="24"/>
        </w:rPr>
        <w:t xml:space="preserve">chapter summarises my insights into </w:t>
      </w:r>
      <w:r w:rsidR="00F16AB6">
        <w:rPr>
          <w:sz w:val="24"/>
          <w:szCs w:val="24"/>
        </w:rPr>
        <w:t>the balance of ‘power’ and ‘control’ over academic research</w:t>
      </w:r>
      <w:r w:rsidR="00F35009">
        <w:rPr>
          <w:sz w:val="24"/>
          <w:szCs w:val="24"/>
        </w:rPr>
        <w:t xml:space="preserve"> and academic boundaries, addressing both internal and external sources of power and their interplay, as external power is differentially mediated by the (institutional and epistemic) context of academic research.</w:t>
      </w:r>
    </w:p>
    <w:p w14:paraId="4DBF09BB" w14:textId="77777777" w:rsidR="00867873" w:rsidRDefault="00D652CD" w:rsidP="00163851">
      <w:pPr>
        <w:pStyle w:val="NormalWeb"/>
        <w:spacing w:before="120" w:beforeAutospacing="0" w:after="120" w:afterAutospacing="0" w:line="360" w:lineRule="auto"/>
      </w:pPr>
      <w:r>
        <w:t xml:space="preserve">Finally, Chapter </w:t>
      </w:r>
      <w:r w:rsidR="00CB3EBB">
        <w:t>6</w:t>
      </w:r>
      <w:r>
        <w:t xml:space="preserve"> concludes</w:t>
      </w:r>
      <w:r w:rsidR="001E0D46">
        <w:t xml:space="preserve"> the thesis. It</w:t>
      </w:r>
      <w:r>
        <w:t xml:space="preserve"> </w:t>
      </w:r>
      <w:r w:rsidR="00443881">
        <w:t>summarises the findings and</w:t>
      </w:r>
      <w:r>
        <w:t xml:space="preserve"> consider</w:t>
      </w:r>
      <w:r w:rsidR="00C016D5">
        <w:t>s</w:t>
      </w:r>
      <w:r w:rsidR="00AF21C2">
        <w:t xml:space="preserve"> </w:t>
      </w:r>
      <w:r>
        <w:t>the</w:t>
      </w:r>
      <w:r w:rsidR="001A1B4C">
        <w:t>ir</w:t>
      </w:r>
      <w:r>
        <w:t xml:space="preserve"> </w:t>
      </w:r>
      <w:r w:rsidR="001A1B4C">
        <w:t>implications</w:t>
      </w:r>
      <w:r w:rsidR="00EA56F5">
        <w:t xml:space="preserve"> for</w:t>
      </w:r>
      <w:r w:rsidR="00717171">
        <w:t xml:space="preserve"> academi</w:t>
      </w:r>
      <w:r w:rsidR="000E5ADC">
        <w:t>a</w:t>
      </w:r>
      <w:r w:rsidR="007D38F4">
        <w:t xml:space="preserve"> and the future of academic boundaries</w:t>
      </w:r>
      <w:r w:rsidR="000E5ADC">
        <w:t>.</w:t>
      </w:r>
      <w:r w:rsidR="00FC2AD7">
        <w:t xml:space="preserve"> One of the main findings is that my evidence points, on balance, towards power and control over academic boundaries and boundary transactions lying mainly within academia rather than with external sources acting upon it, and therefore the research-related boundary transactions tend towards the reproduction of academic boundaries. But it also </w:t>
      </w:r>
      <w:r w:rsidR="00DB5043">
        <w:t>find</w:t>
      </w:r>
      <w:r w:rsidR="00FC2AD7">
        <w:t>s</w:t>
      </w:r>
      <w:r w:rsidR="00DB5043">
        <w:t xml:space="preserve"> evidence of </w:t>
      </w:r>
      <w:r w:rsidR="00F7146D">
        <w:t xml:space="preserve">both internal and external sources of </w:t>
      </w:r>
      <w:r w:rsidR="00525A17">
        <w:t>tension which should prevent t</w:t>
      </w:r>
      <w:r w:rsidR="00FC2AD7">
        <w:t>his reproduction</w:t>
      </w:r>
      <w:r w:rsidR="00525A17">
        <w:t xml:space="preserve"> from being taken for granted.</w:t>
      </w:r>
      <w:r w:rsidR="00FC2AD7">
        <w:t xml:space="preserve"> </w:t>
      </w:r>
      <w:bookmarkStart w:id="27" w:name="_Toc536717919"/>
      <w:bookmarkStart w:id="28" w:name="_Toc536717910"/>
    </w:p>
    <w:p w14:paraId="3ED90B4A" w14:textId="08F1BEB6" w:rsidR="00365ABE" w:rsidRDefault="00365ABE" w:rsidP="00867873">
      <w:pPr>
        <w:pStyle w:val="Heading2"/>
        <w:rPr>
          <w:sz w:val="32"/>
          <w:szCs w:val="32"/>
        </w:rPr>
      </w:pPr>
      <w:r>
        <w:br w:type="page"/>
      </w:r>
    </w:p>
    <w:p w14:paraId="50456546" w14:textId="5AD5071D" w:rsidR="0045378D" w:rsidRDefault="0045378D" w:rsidP="0045378D">
      <w:pPr>
        <w:pStyle w:val="Heading1"/>
        <w:spacing w:before="0"/>
      </w:pPr>
      <w:bookmarkStart w:id="29" w:name="_Toc31701942"/>
      <w:r>
        <w:t xml:space="preserve">Chapter </w:t>
      </w:r>
      <w:r w:rsidR="001B4926">
        <w:t>2</w:t>
      </w:r>
      <w:r>
        <w:t xml:space="preserve">. </w:t>
      </w:r>
      <w:bookmarkEnd w:id="27"/>
      <w:r w:rsidR="0047518F">
        <w:t>The ‘Boundary’ Lens:</w:t>
      </w:r>
      <w:r w:rsidR="001D15CD">
        <w:t xml:space="preserve"> Empirical and Theoretical </w:t>
      </w:r>
      <w:r w:rsidR="00BB35F4">
        <w:t xml:space="preserve">Literature </w:t>
      </w:r>
      <w:r w:rsidR="001D15CD">
        <w:t>and an</w:t>
      </w:r>
      <w:r w:rsidR="00840EBC">
        <w:t xml:space="preserve"> </w:t>
      </w:r>
      <w:r w:rsidR="004F03AE">
        <w:t>A</w:t>
      </w:r>
      <w:r w:rsidR="00840EBC">
        <w:t xml:space="preserve">nalytical </w:t>
      </w:r>
      <w:r w:rsidR="004F03AE">
        <w:t>F</w:t>
      </w:r>
      <w:r w:rsidR="00840EBC">
        <w:t>ramework</w:t>
      </w:r>
      <w:bookmarkEnd w:id="29"/>
      <w:r w:rsidR="00F8197D">
        <w:t xml:space="preserve"> </w:t>
      </w:r>
    </w:p>
    <w:p w14:paraId="114AFE62" w14:textId="77777777" w:rsidR="0045378D" w:rsidRDefault="0045378D" w:rsidP="00BC2F62">
      <w:pPr>
        <w:pStyle w:val="Heading2"/>
        <w:spacing w:before="0"/>
      </w:pPr>
      <w:bookmarkStart w:id="30" w:name="_Toc536717920"/>
      <w:bookmarkStart w:id="31" w:name="_Toc31701943"/>
      <w:r>
        <w:t>Introduction</w:t>
      </w:r>
      <w:bookmarkEnd w:id="30"/>
      <w:bookmarkEnd w:id="31"/>
    </w:p>
    <w:p w14:paraId="7BA59F9C" w14:textId="7D7BA662" w:rsidR="008F0221" w:rsidRPr="009E6E82" w:rsidRDefault="00D5414B" w:rsidP="00705244">
      <w:pPr>
        <w:pStyle w:val="CommentText"/>
        <w:spacing w:after="120" w:line="360" w:lineRule="auto"/>
        <w:rPr>
          <w:sz w:val="24"/>
          <w:szCs w:val="24"/>
        </w:rPr>
      </w:pPr>
      <w:r w:rsidRPr="009E6E82">
        <w:rPr>
          <w:sz w:val="24"/>
          <w:szCs w:val="24"/>
        </w:rPr>
        <w:t xml:space="preserve">This chapter is broken down into four main sections. The first three </w:t>
      </w:r>
      <w:r w:rsidR="007B60EE" w:rsidRPr="009E6E82">
        <w:rPr>
          <w:sz w:val="24"/>
          <w:szCs w:val="24"/>
        </w:rPr>
        <w:t>draw from existing literature to discuss different aspects of academic boundaries and boundary transactions associated with academic research</w:t>
      </w:r>
      <w:r w:rsidRPr="009E6E82">
        <w:rPr>
          <w:sz w:val="24"/>
          <w:szCs w:val="24"/>
        </w:rPr>
        <w:t>, while the fourth distils the</w:t>
      </w:r>
      <w:r w:rsidR="007B60EE" w:rsidRPr="009E6E82">
        <w:rPr>
          <w:sz w:val="24"/>
          <w:szCs w:val="24"/>
        </w:rPr>
        <w:t>se three elements</w:t>
      </w:r>
      <w:r w:rsidRPr="009E6E82">
        <w:rPr>
          <w:sz w:val="24"/>
          <w:szCs w:val="24"/>
        </w:rPr>
        <w:t xml:space="preserve"> </w:t>
      </w:r>
      <w:r w:rsidR="00C27D3E">
        <w:rPr>
          <w:sz w:val="24"/>
          <w:szCs w:val="24"/>
        </w:rPr>
        <w:t xml:space="preserve">and combines them </w:t>
      </w:r>
      <w:r w:rsidRPr="009E6E82">
        <w:rPr>
          <w:sz w:val="24"/>
          <w:szCs w:val="24"/>
        </w:rPr>
        <w:t xml:space="preserve">into an analytical framework. </w:t>
      </w:r>
      <w:r w:rsidR="00C448B2" w:rsidRPr="009E6E82">
        <w:rPr>
          <w:sz w:val="24"/>
          <w:szCs w:val="24"/>
        </w:rPr>
        <w:t>To elaborate</w:t>
      </w:r>
      <w:r w:rsidR="00C448B2" w:rsidRPr="009A5701">
        <w:rPr>
          <w:i/>
          <w:sz w:val="24"/>
          <w:szCs w:val="24"/>
        </w:rPr>
        <w:t>, t</w:t>
      </w:r>
      <w:r w:rsidR="00785BC8" w:rsidRPr="009A5701">
        <w:rPr>
          <w:i/>
          <w:sz w:val="24"/>
          <w:szCs w:val="24"/>
        </w:rPr>
        <w:t>he first</w:t>
      </w:r>
      <w:r w:rsidR="00785BC8" w:rsidRPr="009E6E82">
        <w:rPr>
          <w:sz w:val="24"/>
          <w:szCs w:val="24"/>
        </w:rPr>
        <w:t xml:space="preserve"> section is primarily theoretical, focusing </w:t>
      </w:r>
      <w:r w:rsidR="00681773">
        <w:rPr>
          <w:sz w:val="24"/>
          <w:szCs w:val="24"/>
        </w:rPr>
        <w:t xml:space="preserve">on </w:t>
      </w:r>
      <w:r w:rsidR="00785BC8" w:rsidRPr="009E6E82">
        <w:rPr>
          <w:sz w:val="24"/>
          <w:szCs w:val="24"/>
        </w:rPr>
        <w:t xml:space="preserve">the ‘boundary’ metaphor as a lens through which to study concepts of ‘power’ and ‘control’ over academic </w:t>
      </w:r>
      <w:r w:rsidR="001A0832">
        <w:rPr>
          <w:sz w:val="24"/>
          <w:szCs w:val="24"/>
        </w:rPr>
        <w:t>knowledge, research and related activities</w:t>
      </w:r>
      <w:r w:rsidR="00785BC8" w:rsidRPr="009E6E82">
        <w:rPr>
          <w:sz w:val="24"/>
          <w:szCs w:val="24"/>
        </w:rPr>
        <w:t>.</w:t>
      </w:r>
      <w:r w:rsidR="008813F0" w:rsidRPr="009E6E82">
        <w:rPr>
          <w:sz w:val="24"/>
          <w:szCs w:val="24"/>
        </w:rPr>
        <w:t xml:space="preserve"> </w:t>
      </w:r>
      <w:r w:rsidR="005B12EB" w:rsidRPr="009E6E82">
        <w:rPr>
          <w:sz w:val="24"/>
          <w:szCs w:val="24"/>
        </w:rPr>
        <w:t xml:space="preserve">As </w:t>
      </w:r>
      <w:r w:rsidR="008813F0" w:rsidRPr="009E6E82">
        <w:rPr>
          <w:sz w:val="24"/>
          <w:szCs w:val="24"/>
        </w:rPr>
        <w:t xml:space="preserve">explained in Chapter 1, </w:t>
      </w:r>
      <w:r w:rsidR="00605DE0" w:rsidRPr="009E6E82">
        <w:rPr>
          <w:sz w:val="24"/>
          <w:szCs w:val="24"/>
        </w:rPr>
        <w:t xml:space="preserve">I understand boundaries to have </w:t>
      </w:r>
      <w:r w:rsidR="00263C2B" w:rsidRPr="009E6E82">
        <w:rPr>
          <w:sz w:val="24"/>
          <w:szCs w:val="24"/>
        </w:rPr>
        <w:t>the</w:t>
      </w:r>
      <w:r w:rsidR="00605DE0" w:rsidRPr="009E6E82">
        <w:rPr>
          <w:sz w:val="24"/>
          <w:szCs w:val="24"/>
        </w:rPr>
        <w:t xml:space="preserve"> function of </w:t>
      </w:r>
      <w:r w:rsidR="00601F5C" w:rsidRPr="009E6E82">
        <w:rPr>
          <w:sz w:val="24"/>
          <w:szCs w:val="24"/>
        </w:rPr>
        <w:t xml:space="preserve">(i) </w:t>
      </w:r>
      <w:r w:rsidR="00605DE0" w:rsidRPr="009E6E82">
        <w:rPr>
          <w:sz w:val="24"/>
          <w:szCs w:val="24"/>
        </w:rPr>
        <w:t xml:space="preserve">demarcating a </w:t>
      </w:r>
      <w:r w:rsidR="009A277B" w:rsidRPr="009E6E82">
        <w:rPr>
          <w:sz w:val="24"/>
          <w:szCs w:val="24"/>
        </w:rPr>
        <w:t xml:space="preserve">social </w:t>
      </w:r>
      <w:r w:rsidR="00601F5C" w:rsidRPr="009E6E82">
        <w:rPr>
          <w:sz w:val="24"/>
          <w:szCs w:val="24"/>
        </w:rPr>
        <w:t>space or activity</w:t>
      </w:r>
      <w:r w:rsidR="00605DE0" w:rsidRPr="009E6E82">
        <w:rPr>
          <w:sz w:val="24"/>
          <w:szCs w:val="24"/>
        </w:rPr>
        <w:t xml:space="preserve"> </w:t>
      </w:r>
      <w:r w:rsidR="00463DB3" w:rsidRPr="009E6E82">
        <w:rPr>
          <w:sz w:val="24"/>
          <w:szCs w:val="24"/>
        </w:rPr>
        <w:t>over which a</w:t>
      </w:r>
      <w:r w:rsidR="00605DE0" w:rsidRPr="009E6E82">
        <w:rPr>
          <w:sz w:val="24"/>
          <w:szCs w:val="24"/>
        </w:rPr>
        <w:t xml:space="preserve"> certain group</w:t>
      </w:r>
      <w:r w:rsidR="00463DB3" w:rsidRPr="009E6E82">
        <w:rPr>
          <w:sz w:val="24"/>
          <w:szCs w:val="24"/>
        </w:rPr>
        <w:t xml:space="preserve"> holds relative ‘power’ and ‘control’</w:t>
      </w:r>
      <w:r w:rsidR="00601F5C" w:rsidRPr="009E6E82">
        <w:rPr>
          <w:sz w:val="24"/>
          <w:szCs w:val="24"/>
        </w:rPr>
        <w:t xml:space="preserve">, but (ii) so as to </w:t>
      </w:r>
      <w:r w:rsidR="00605DE0" w:rsidRPr="009E6E82">
        <w:rPr>
          <w:i/>
          <w:sz w:val="24"/>
          <w:szCs w:val="24"/>
        </w:rPr>
        <w:t>regulat</w:t>
      </w:r>
      <w:r w:rsidR="00601F5C" w:rsidRPr="009E6E82">
        <w:rPr>
          <w:i/>
          <w:sz w:val="24"/>
          <w:szCs w:val="24"/>
        </w:rPr>
        <w:t xml:space="preserve">e </w:t>
      </w:r>
      <w:r w:rsidR="00601F5C" w:rsidRPr="009E6E82">
        <w:rPr>
          <w:sz w:val="24"/>
          <w:szCs w:val="24"/>
        </w:rPr>
        <w:t>the relationship of this group to wider society, rather than</w:t>
      </w:r>
      <w:r w:rsidR="00D86660" w:rsidRPr="009E6E82">
        <w:rPr>
          <w:sz w:val="24"/>
          <w:szCs w:val="24"/>
        </w:rPr>
        <w:t xml:space="preserve"> entirely</w:t>
      </w:r>
      <w:r w:rsidR="00601F5C" w:rsidRPr="009E6E82">
        <w:rPr>
          <w:sz w:val="24"/>
          <w:szCs w:val="24"/>
        </w:rPr>
        <w:t xml:space="preserve"> isolate or dislocate them</w:t>
      </w:r>
      <w:r w:rsidR="00E425AE" w:rsidRPr="009E6E82">
        <w:rPr>
          <w:sz w:val="24"/>
          <w:szCs w:val="24"/>
        </w:rPr>
        <w:t xml:space="preserve"> (Bernstein, 2000)</w:t>
      </w:r>
      <w:r w:rsidR="00601F5C" w:rsidRPr="009E6E82">
        <w:rPr>
          <w:sz w:val="24"/>
          <w:szCs w:val="24"/>
        </w:rPr>
        <w:t>.</w:t>
      </w:r>
      <w:r w:rsidR="00C87993" w:rsidRPr="009E6E82">
        <w:rPr>
          <w:sz w:val="24"/>
          <w:szCs w:val="24"/>
        </w:rPr>
        <w:t xml:space="preserve"> From this perspective, the key empirical focus in the study of boundaries is </w:t>
      </w:r>
      <w:r w:rsidR="00F54263" w:rsidRPr="009E6E82">
        <w:rPr>
          <w:sz w:val="24"/>
          <w:szCs w:val="24"/>
        </w:rPr>
        <w:t>the</w:t>
      </w:r>
      <w:r w:rsidR="00C87993" w:rsidRPr="009E6E82">
        <w:rPr>
          <w:sz w:val="24"/>
          <w:szCs w:val="24"/>
        </w:rPr>
        <w:t xml:space="preserve"> ‘transactions’ across boundaries</w:t>
      </w:r>
      <w:r w:rsidR="006A7690" w:rsidRPr="009E6E82">
        <w:rPr>
          <w:sz w:val="24"/>
          <w:szCs w:val="24"/>
        </w:rPr>
        <w:t>, since b</w:t>
      </w:r>
      <w:r w:rsidR="00601F5C" w:rsidRPr="009E6E82">
        <w:rPr>
          <w:sz w:val="24"/>
          <w:szCs w:val="24"/>
        </w:rPr>
        <w:t>o</w:t>
      </w:r>
      <w:r w:rsidR="00954DB0" w:rsidRPr="009E6E82">
        <w:rPr>
          <w:sz w:val="24"/>
          <w:szCs w:val="24"/>
        </w:rPr>
        <w:t xml:space="preserve">undaries are reproduced </w:t>
      </w:r>
      <w:r w:rsidR="00C87993" w:rsidRPr="009E6E82">
        <w:rPr>
          <w:sz w:val="24"/>
          <w:szCs w:val="24"/>
        </w:rPr>
        <w:t>and/</w:t>
      </w:r>
      <w:r w:rsidR="00954DB0" w:rsidRPr="009E6E82">
        <w:rPr>
          <w:sz w:val="24"/>
          <w:szCs w:val="24"/>
        </w:rPr>
        <w:t>or reshaped through the</w:t>
      </w:r>
      <w:r w:rsidR="00021560" w:rsidRPr="009E6E82">
        <w:rPr>
          <w:sz w:val="24"/>
          <w:szCs w:val="24"/>
        </w:rPr>
        <w:t xml:space="preserve"> interplay</w:t>
      </w:r>
      <w:r w:rsidR="00954DB0" w:rsidRPr="009E6E82">
        <w:rPr>
          <w:sz w:val="24"/>
          <w:szCs w:val="24"/>
        </w:rPr>
        <w:t xml:space="preserve"> of power and control</w:t>
      </w:r>
      <w:r w:rsidR="00605DE0" w:rsidRPr="009E6E82">
        <w:rPr>
          <w:sz w:val="24"/>
          <w:szCs w:val="24"/>
        </w:rPr>
        <w:t xml:space="preserve"> </w:t>
      </w:r>
      <w:r w:rsidR="00BC49FA" w:rsidRPr="009E6E82">
        <w:rPr>
          <w:sz w:val="24"/>
          <w:szCs w:val="24"/>
        </w:rPr>
        <w:t>over</w:t>
      </w:r>
      <w:r w:rsidR="005637C0" w:rsidRPr="009E6E82">
        <w:rPr>
          <w:sz w:val="24"/>
          <w:szCs w:val="24"/>
        </w:rPr>
        <w:t xml:space="preserve"> the nature and manner of</w:t>
      </w:r>
      <w:r w:rsidR="00BC49FA" w:rsidRPr="009E6E82">
        <w:rPr>
          <w:sz w:val="24"/>
          <w:szCs w:val="24"/>
        </w:rPr>
        <w:t xml:space="preserve"> </w:t>
      </w:r>
      <w:r w:rsidR="005637C0" w:rsidRPr="009E6E82">
        <w:rPr>
          <w:sz w:val="24"/>
          <w:szCs w:val="24"/>
        </w:rPr>
        <w:t>these ‘boundary transactions’</w:t>
      </w:r>
      <w:r w:rsidR="00BC49FA" w:rsidRPr="009E6E82">
        <w:rPr>
          <w:sz w:val="24"/>
          <w:szCs w:val="24"/>
        </w:rPr>
        <w:t>.</w:t>
      </w:r>
      <w:r w:rsidR="00E552DE" w:rsidRPr="009E6E82">
        <w:rPr>
          <w:sz w:val="24"/>
          <w:szCs w:val="24"/>
        </w:rPr>
        <w:t xml:space="preserve"> </w:t>
      </w:r>
      <w:r w:rsidR="00732F31" w:rsidRPr="009A5701">
        <w:rPr>
          <w:i/>
          <w:sz w:val="24"/>
          <w:szCs w:val="24"/>
        </w:rPr>
        <w:t>The second</w:t>
      </w:r>
      <w:r w:rsidR="00732F31" w:rsidRPr="009E6E82">
        <w:rPr>
          <w:sz w:val="24"/>
          <w:szCs w:val="24"/>
        </w:rPr>
        <w:t xml:space="preserve"> section reviews existing literature in order to identify key forms of ‘boundary transaction’. Many, although not all, of the authors referenced here write specifically in terms of the metaphor of ‘boundaries’, while a few write in terms of ‘transactions’. </w:t>
      </w:r>
      <w:r w:rsidR="00264C5F" w:rsidRPr="009E6E82">
        <w:rPr>
          <w:sz w:val="24"/>
          <w:szCs w:val="24"/>
        </w:rPr>
        <w:t>This section of the literature gives some indication of how boundary transactions</w:t>
      </w:r>
      <w:r w:rsidR="00F5769D">
        <w:rPr>
          <w:sz w:val="24"/>
          <w:szCs w:val="24"/>
        </w:rPr>
        <w:t xml:space="preserve"> </w:t>
      </w:r>
      <w:r w:rsidR="00264C5F" w:rsidRPr="009E6E82">
        <w:rPr>
          <w:sz w:val="24"/>
          <w:szCs w:val="24"/>
        </w:rPr>
        <w:t xml:space="preserve">play out in actual contexts of academia’s relations with wider society. </w:t>
      </w:r>
      <w:r w:rsidR="003C2C5D" w:rsidRPr="009E6E82">
        <w:rPr>
          <w:sz w:val="24"/>
          <w:szCs w:val="24"/>
        </w:rPr>
        <w:t>This literature review help</w:t>
      </w:r>
      <w:r w:rsidR="0086267A">
        <w:rPr>
          <w:sz w:val="24"/>
          <w:szCs w:val="24"/>
        </w:rPr>
        <w:t>s</w:t>
      </w:r>
      <w:r w:rsidR="003C2C5D" w:rsidRPr="009E6E82">
        <w:rPr>
          <w:sz w:val="24"/>
          <w:szCs w:val="24"/>
        </w:rPr>
        <w:t xml:space="preserve"> to orient and contextualise my empirical analysis.</w:t>
      </w:r>
      <w:r w:rsidR="00F25548" w:rsidRPr="009E6E82">
        <w:rPr>
          <w:sz w:val="24"/>
          <w:szCs w:val="24"/>
        </w:rPr>
        <w:t xml:space="preserve"> </w:t>
      </w:r>
      <w:r w:rsidR="00BA7062" w:rsidRPr="009A5701">
        <w:rPr>
          <w:i/>
          <w:sz w:val="24"/>
          <w:szCs w:val="24"/>
        </w:rPr>
        <w:t>The third</w:t>
      </w:r>
      <w:r w:rsidR="00BA7062" w:rsidRPr="009E6E82">
        <w:rPr>
          <w:sz w:val="24"/>
          <w:szCs w:val="24"/>
        </w:rPr>
        <w:t xml:space="preserve"> section</w:t>
      </w:r>
      <w:r w:rsidR="00BA21AD" w:rsidRPr="009E6E82">
        <w:rPr>
          <w:sz w:val="24"/>
          <w:szCs w:val="24"/>
        </w:rPr>
        <w:t xml:space="preserve"> emphasi</w:t>
      </w:r>
      <w:r w:rsidR="00155475" w:rsidRPr="009E6E82">
        <w:rPr>
          <w:sz w:val="24"/>
          <w:szCs w:val="24"/>
        </w:rPr>
        <w:t>ses the importance of acknowledging the multi-dimensional complexity of research</w:t>
      </w:r>
      <w:r w:rsidR="00EA56C8">
        <w:rPr>
          <w:sz w:val="24"/>
          <w:szCs w:val="24"/>
        </w:rPr>
        <w:t xml:space="preserve"> activity</w:t>
      </w:r>
      <w:r w:rsidR="0005256A" w:rsidRPr="009E6E82">
        <w:rPr>
          <w:sz w:val="24"/>
          <w:szCs w:val="24"/>
        </w:rPr>
        <w:t xml:space="preserve"> as a site of </w:t>
      </w:r>
      <w:r w:rsidR="00155475" w:rsidRPr="009E6E82">
        <w:rPr>
          <w:sz w:val="24"/>
          <w:szCs w:val="24"/>
        </w:rPr>
        <w:t>boundary transactions.</w:t>
      </w:r>
      <w:r w:rsidR="007733FE" w:rsidRPr="009E6E82">
        <w:rPr>
          <w:sz w:val="24"/>
          <w:szCs w:val="24"/>
        </w:rPr>
        <w:t xml:space="preserve"> This is </w:t>
      </w:r>
      <w:r w:rsidR="00E46FEB" w:rsidRPr="009E6E82">
        <w:rPr>
          <w:sz w:val="24"/>
          <w:szCs w:val="24"/>
        </w:rPr>
        <w:t>addressed primarily with reference to t</w:t>
      </w:r>
      <w:r w:rsidR="00E21DE1" w:rsidRPr="009E6E82">
        <w:rPr>
          <w:sz w:val="24"/>
          <w:szCs w:val="24"/>
        </w:rPr>
        <w:t xml:space="preserve">he </w:t>
      </w:r>
      <w:r w:rsidR="00E46FEB" w:rsidRPr="009E6E82">
        <w:rPr>
          <w:sz w:val="24"/>
          <w:szCs w:val="24"/>
        </w:rPr>
        <w:t>findings of</w:t>
      </w:r>
      <w:r w:rsidR="00FF4D84" w:rsidRPr="009E6E82">
        <w:rPr>
          <w:sz w:val="24"/>
          <w:szCs w:val="24"/>
        </w:rPr>
        <w:t xml:space="preserve"> McNie et al.</w:t>
      </w:r>
      <w:r w:rsidR="00E46FEB" w:rsidRPr="009E6E82">
        <w:rPr>
          <w:sz w:val="24"/>
          <w:szCs w:val="24"/>
        </w:rPr>
        <w:t>’s</w:t>
      </w:r>
      <w:r w:rsidR="00FF4D84" w:rsidRPr="009E6E82">
        <w:rPr>
          <w:sz w:val="24"/>
          <w:szCs w:val="24"/>
        </w:rPr>
        <w:t xml:space="preserve"> (2016</w:t>
      </w:r>
      <w:r w:rsidR="00E46FEB" w:rsidRPr="009E6E82">
        <w:rPr>
          <w:sz w:val="24"/>
          <w:szCs w:val="24"/>
        </w:rPr>
        <w:t>) own extensive literature review</w:t>
      </w:r>
      <w:r w:rsidR="00713504" w:rsidRPr="009E6E82">
        <w:rPr>
          <w:sz w:val="24"/>
          <w:szCs w:val="24"/>
        </w:rPr>
        <w:t xml:space="preserve"> and </w:t>
      </w:r>
      <w:r w:rsidR="00556666" w:rsidRPr="009E6E82">
        <w:rPr>
          <w:sz w:val="24"/>
          <w:szCs w:val="24"/>
        </w:rPr>
        <w:t>collective</w:t>
      </w:r>
      <w:r w:rsidR="00713504" w:rsidRPr="009E6E82">
        <w:rPr>
          <w:sz w:val="24"/>
          <w:szCs w:val="24"/>
        </w:rPr>
        <w:t xml:space="preserve"> experience </w:t>
      </w:r>
      <w:r w:rsidR="00684549" w:rsidRPr="009E6E82">
        <w:rPr>
          <w:sz w:val="24"/>
          <w:szCs w:val="24"/>
        </w:rPr>
        <w:t>as</w:t>
      </w:r>
      <w:r w:rsidR="00713504" w:rsidRPr="009E6E82">
        <w:rPr>
          <w:sz w:val="24"/>
          <w:szCs w:val="24"/>
        </w:rPr>
        <w:t xml:space="preserve"> scientists, science users and science pol</w:t>
      </w:r>
      <w:r w:rsidR="006C27AA" w:rsidRPr="009E6E82">
        <w:rPr>
          <w:sz w:val="24"/>
          <w:szCs w:val="24"/>
        </w:rPr>
        <w:t>icy decision makers</w:t>
      </w:r>
      <w:r w:rsidR="009C2CAA" w:rsidRPr="009E6E82">
        <w:rPr>
          <w:sz w:val="24"/>
          <w:szCs w:val="24"/>
        </w:rPr>
        <w:t xml:space="preserve"> and advisers</w:t>
      </w:r>
      <w:r w:rsidR="00EB7813" w:rsidRPr="009E6E82">
        <w:rPr>
          <w:sz w:val="24"/>
          <w:szCs w:val="24"/>
        </w:rPr>
        <w:t xml:space="preserve"> in North America</w:t>
      </w:r>
      <w:r w:rsidR="00684549" w:rsidRPr="009E6E82">
        <w:rPr>
          <w:sz w:val="24"/>
          <w:szCs w:val="24"/>
        </w:rPr>
        <w:t xml:space="preserve">. McNie et al. (2016) synthesise this knowledge and experience in a </w:t>
      </w:r>
      <w:r w:rsidR="00AF745D" w:rsidRPr="009E6E82">
        <w:rPr>
          <w:sz w:val="24"/>
          <w:szCs w:val="24"/>
        </w:rPr>
        <w:t>typology</w:t>
      </w:r>
      <w:r w:rsidR="00663ED9" w:rsidRPr="009E6E82">
        <w:rPr>
          <w:sz w:val="24"/>
          <w:szCs w:val="24"/>
        </w:rPr>
        <w:t xml:space="preserve"> made up of fifteen </w:t>
      </w:r>
      <w:r w:rsidR="00BE408C" w:rsidRPr="009E6E82">
        <w:rPr>
          <w:sz w:val="24"/>
          <w:szCs w:val="24"/>
        </w:rPr>
        <w:t>attributes and activities which, combined, allow a holistic picture of the research process</w:t>
      </w:r>
      <w:r w:rsidR="0019518B" w:rsidRPr="009E6E82">
        <w:rPr>
          <w:sz w:val="24"/>
          <w:szCs w:val="24"/>
        </w:rPr>
        <w:t xml:space="preserve"> in its complexity.</w:t>
      </w:r>
      <w:r w:rsidR="0062198B" w:rsidRPr="009E6E82">
        <w:rPr>
          <w:sz w:val="24"/>
          <w:szCs w:val="24"/>
        </w:rPr>
        <w:t xml:space="preserve"> The typology offers</w:t>
      </w:r>
      <w:r w:rsidR="009E6E82" w:rsidRPr="009E6E82">
        <w:rPr>
          <w:sz w:val="24"/>
          <w:szCs w:val="24"/>
        </w:rPr>
        <w:t xml:space="preserve"> “a systematic framework” for comparing the relationship between “knowledge generation” and “stakeholder and user engagement” (McNie et al., 2016, p. 885).</w:t>
      </w:r>
      <w:r w:rsidR="00705244">
        <w:rPr>
          <w:sz w:val="24"/>
          <w:szCs w:val="24"/>
        </w:rPr>
        <w:t xml:space="preserve"> </w:t>
      </w:r>
      <w:r w:rsidR="0019518B" w:rsidRPr="009E6E82">
        <w:rPr>
          <w:sz w:val="24"/>
          <w:szCs w:val="24"/>
        </w:rPr>
        <w:t xml:space="preserve">Being able to work with this complexity is important if I am going to understand the functioning of boundary transactions in their actual contexts. </w:t>
      </w:r>
      <w:r w:rsidR="00F55C51" w:rsidRPr="009A5701">
        <w:rPr>
          <w:i/>
          <w:sz w:val="24"/>
          <w:szCs w:val="24"/>
        </w:rPr>
        <w:t>Lastly</w:t>
      </w:r>
      <w:r w:rsidR="00F55C51" w:rsidRPr="009E6E82">
        <w:rPr>
          <w:sz w:val="24"/>
          <w:szCs w:val="24"/>
        </w:rPr>
        <w:t xml:space="preserve">, I summarise the key lessons and insights from the first three sections as I present the </w:t>
      </w:r>
      <w:r w:rsidR="00F55C51" w:rsidRPr="00CB200B">
        <w:rPr>
          <w:i/>
          <w:sz w:val="24"/>
          <w:szCs w:val="24"/>
        </w:rPr>
        <w:t>analytical framework</w:t>
      </w:r>
      <w:r w:rsidR="00F55C51" w:rsidRPr="009E6E82">
        <w:rPr>
          <w:sz w:val="24"/>
          <w:szCs w:val="24"/>
        </w:rPr>
        <w:t xml:space="preserve"> which guides my empirical analysis. </w:t>
      </w:r>
    </w:p>
    <w:p w14:paraId="1F24E205" w14:textId="7A022208" w:rsidR="00523DF8" w:rsidRPr="00AB53C9" w:rsidRDefault="00ED1F5A" w:rsidP="00ED1F5A">
      <w:pPr>
        <w:pStyle w:val="Heading2"/>
      </w:pPr>
      <w:bookmarkStart w:id="32" w:name="_Toc31701944"/>
      <w:r>
        <w:t xml:space="preserve">Power and control through the </w:t>
      </w:r>
      <w:r w:rsidR="00C13AC0">
        <w:t>‘boundary’ lens</w:t>
      </w:r>
      <w:bookmarkEnd w:id="32"/>
    </w:p>
    <w:p w14:paraId="1B76132B" w14:textId="3A127A4A" w:rsidR="000C36D3" w:rsidRDefault="001C1178" w:rsidP="006E30B9">
      <w:pPr>
        <w:pStyle w:val="Heading3"/>
      </w:pPr>
      <w:bookmarkStart w:id="33" w:name="_Toc31701945"/>
      <w:r>
        <w:t>B</w:t>
      </w:r>
      <w:r w:rsidR="00CC51CB">
        <w:t>o</w:t>
      </w:r>
      <w:r w:rsidR="001C0540">
        <w:t>undaries and</w:t>
      </w:r>
      <w:r w:rsidR="00292801">
        <w:t xml:space="preserve"> </w:t>
      </w:r>
      <w:r w:rsidR="00913D6E">
        <w:t>‘</w:t>
      </w:r>
      <w:r w:rsidR="00292801">
        <w:t>power</w:t>
      </w:r>
      <w:r w:rsidR="00913D6E">
        <w:t>’</w:t>
      </w:r>
      <w:bookmarkEnd w:id="33"/>
    </w:p>
    <w:p w14:paraId="72DDA0E2" w14:textId="0A44F84A" w:rsidR="00266D44" w:rsidRDefault="00102052" w:rsidP="005734FF">
      <w:pPr>
        <w:pStyle w:val="NormalWeb"/>
        <w:spacing w:before="0" w:beforeAutospacing="0" w:after="120" w:afterAutospacing="0" w:line="360" w:lineRule="auto"/>
      </w:pPr>
      <w:r>
        <w:t>As discussed briefly in Chapter</w:t>
      </w:r>
      <w:r w:rsidR="00A531C1">
        <w:t xml:space="preserve"> </w:t>
      </w:r>
      <w:r w:rsidR="00CB71E0">
        <w:t>1</w:t>
      </w:r>
      <w:r>
        <w:t>, so</w:t>
      </w:r>
      <w:r w:rsidR="00736610">
        <w:t>cial</w:t>
      </w:r>
      <w:r w:rsidR="004E2C52">
        <w:t xml:space="preserve"> boundar</w:t>
      </w:r>
      <w:r w:rsidR="00736610">
        <w:t>ies</w:t>
      </w:r>
      <w:r w:rsidR="004E2C52">
        <w:t xml:space="preserve"> </w:t>
      </w:r>
      <w:r>
        <w:t>are</w:t>
      </w:r>
      <w:r w:rsidR="002B5279">
        <w:t xml:space="preserve"> </w:t>
      </w:r>
      <w:r w:rsidR="00A022A5">
        <w:t>socially constructed</w:t>
      </w:r>
      <w:r w:rsidR="002B5279">
        <w:t xml:space="preserve"> device</w:t>
      </w:r>
      <w:r w:rsidR="00736610">
        <w:t>s</w:t>
      </w:r>
      <w:r w:rsidR="002B5279">
        <w:t xml:space="preserve"> for regulating a relationship between two (or potentially more) categories, such as two categories of actor or group, or two categories of activity or domains of knowledge.</w:t>
      </w:r>
      <w:r>
        <w:t xml:space="preserve"> </w:t>
      </w:r>
      <w:r w:rsidR="00EC5EBA">
        <w:rPr>
          <w:rFonts w:eastAsia="MalgunNew Roman"/>
        </w:rPr>
        <w:t>Boundaries</w:t>
      </w:r>
      <w:r w:rsidR="00692A10">
        <w:rPr>
          <w:rFonts w:eastAsia="MalgunNew Roman"/>
        </w:rPr>
        <w:t xml:space="preserve"> reflect and</w:t>
      </w:r>
      <w:r w:rsidR="00215240">
        <w:t xml:space="preserve"> aim to preserve the ‘power’ (Bernstein, 2000) held by a given group over some privileged social asset or position</w:t>
      </w:r>
      <w:r w:rsidR="00266D44">
        <w:t xml:space="preserve">. </w:t>
      </w:r>
      <w:r w:rsidR="001664D7">
        <w:t xml:space="preserve">Such power, and the ability to reap advantages from it, such as advantages in the form of symbolic and social capital, are scarce. As with anything which is relatively scarce and valuable, its distribution is a social problem, that is, it is an issue which is to be decided </w:t>
      </w:r>
      <w:r w:rsidR="00E55FF9">
        <w:t>through social processes</w:t>
      </w:r>
      <w:r w:rsidR="00E5423A">
        <w:t>,</w:t>
      </w:r>
      <w:r w:rsidR="00E55FF9">
        <w:t xml:space="preserve"> social mechanisms</w:t>
      </w:r>
      <w:r w:rsidR="00E5423A">
        <w:t xml:space="preserve"> and the construction of social institutions and norms</w:t>
      </w:r>
      <w:r w:rsidR="00E55FF9">
        <w:t>.</w:t>
      </w:r>
      <w:r w:rsidR="001664D7">
        <w:t xml:space="preserve"> </w:t>
      </w:r>
      <w:r w:rsidR="006E1839">
        <w:t xml:space="preserve">The social structures, groupings and norms which arise as a result of struggles to solidify the access to such scarce resources, can therefore be thought of </w:t>
      </w:r>
      <w:r w:rsidR="0051439D">
        <w:t xml:space="preserve">as </w:t>
      </w:r>
      <w:r w:rsidR="006E1839">
        <w:t xml:space="preserve">social solutions to </w:t>
      </w:r>
      <w:r w:rsidR="00A022A5">
        <w:t>socially faced</w:t>
      </w:r>
      <w:r w:rsidR="006E1839">
        <w:t xml:space="preserve"> problems</w:t>
      </w:r>
      <w:r w:rsidR="00094ECA">
        <w:t xml:space="preserve"> (Tilly, 1998). This is how social boundaries are to be understood. </w:t>
      </w:r>
    </w:p>
    <w:p w14:paraId="3F824BD8" w14:textId="022ADD26" w:rsidR="009A7EA2" w:rsidRDefault="00016013" w:rsidP="005734FF">
      <w:pPr>
        <w:pStyle w:val="NormalWeb"/>
        <w:spacing w:before="0" w:beforeAutospacing="0" w:after="120" w:afterAutospacing="0" w:line="360" w:lineRule="auto"/>
      </w:pPr>
      <w:r>
        <w:t>Boundaries can exist wherever</w:t>
      </w:r>
      <w:r w:rsidR="000B6B3F">
        <w:t xml:space="preserve"> sufficiently powerful actors or groups have a stake in</w:t>
      </w:r>
      <w:r>
        <w:t xml:space="preserve"> their production and “</w:t>
      </w:r>
      <w:r w:rsidRPr="007A2A64">
        <w:rPr>
          <w:i/>
        </w:rPr>
        <w:t>maintenance</w:t>
      </w:r>
      <w:r>
        <w:t>”</w:t>
      </w:r>
      <w:r w:rsidR="000B6B3F">
        <w:t xml:space="preserve">, that is, whenever sufficiently powerful groups are sufficiently motivated </w:t>
      </w:r>
      <w:r w:rsidR="00903E7F">
        <w:t>to</w:t>
      </w:r>
      <w:r w:rsidR="000B6B3F">
        <w:t xml:space="preserve"> </w:t>
      </w:r>
      <w:r w:rsidR="00903E7F">
        <w:t>“</w:t>
      </w:r>
      <w:r w:rsidR="000B6B3F">
        <w:t>regulat</w:t>
      </w:r>
      <w:r w:rsidR="00903E7F">
        <w:t>e”</w:t>
      </w:r>
      <w:r w:rsidR="000B6B3F">
        <w:t xml:space="preserve"> </w:t>
      </w:r>
      <w:r w:rsidR="00903E7F">
        <w:t xml:space="preserve">the relation between two or more categories </w:t>
      </w:r>
      <w:r w:rsidR="00903E7F" w:rsidRPr="0081200F">
        <w:fldChar w:fldCharType="begin"/>
      </w:r>
      <w:r w:rsidR="00903E7F" w:rsidRPr="0081200F">
        <w:instrText xml:space="preserve"> ADDIN EN.CITE &lt;EndNote&gt;&lt;Cite&gt;&lt;Author&gt;Bernstein&lt;/Author&gt;&lt;Year&gt;2003/1990&lt;/Year&gt;&lt;IDText&gt;Class, Codes and Control Volume IV: The Structuring of Pedagogic Discourse&lt;/IDText&gt;&lt;Suffix&gt;`, original emphasis&lt;/Suffix&gt;&lt;Pages&gt;95&lt;/Pages&gt;&lt;DisplayText&gt;(Bernstein, 2003/1990, p. 95, original emphasis)&lt;/DisplayText&gt;&lt;record&gt;&lt;keywords&gt;&lt;keyword&gt;Sociolinguistics&lt;/keyword&gt;&lt;keyword&gt;Language and languages -- Social aspects&lt;/keyword&gt;&lt;keyword&gt;Language and languages -- Sociological aspects&lt;/keyword&gt;&lt;keyword&gt;Language and society&lt;/keyword&gt;&lt;keyword&gt;Society and language&lt;/keyword&gt;&lt;keyword&gt;Sociology of language&lt;/keyword&gt;&lt;keyword&gt;Language and culture&lt;/keyword&gt;&lt;keyword&gt;Linguistics&lt;/keyword&gt;&lt;keyword&gt;Sociology&lt;/keyword&gt;&lt;keyword&gt;Integrational linguistics (Oxford school)&lt;/keyword&gt;&lt;keyword&gt;Language Social aspects&lt;/keyword&gt;&lt;/keywords&gt;&lt;titles&gt;&lt;title&gt;Class, Codes and Control Volume IV: The Structuring of Pedagogic Discourse&lt;/title&gt;&lt;/titles&gt;&lt;contributors&gt;&lt;authors&gt;&lt;author&gt;Bernstein, Basil&lt;/author&gt;&lt;/authors&gt;&lt;/contributors&gt;&lt;added-date format="utc"&gt;1531876834&lt;/added-date&gt;&lt;pub-location&gt;London&lt;/pub-location&gt;&lt;ref-type name="Book"&gt;6&lt;/ref-type&gt;&lt;dates&gt;&lt;year&gt;2003/1990&lt;/year&gt;&lt;/dates&gt;&lt;rec-number&gt;7614&lt;/rec-number&gt;&lt;publisher&gt;Routledge&lt;/publisher&gt;&lt;last-updated-date format="utc"&gt;1549043003&lt;/last-updated-date&gt;&lt;/record&gt;&lt;/Cite&gt;&lt;/EndNote&gt;</w:instrText>
      </w:r>
      <w:r w:rsidR="00903E7F" w:rsidRPr="0081200F">
        <w:fldChar w:fldCharType="separate"/>
      </w:r>
      <w:r w:rsidR="00903E7F" w:rsidRPr="0081200F">
        <w:rPr>
          <w:noProof/>
        </w:rPr>
        <w:t>(Bernstein, 2003/1990, p. 95, original emphasis)</w:t>
      </w:r>
      <w:r w:rsidR="00903E7F" w:rsidRPr="0081200F">
        <w:fldChar w:fldCharType="end"/>
      </w:r>
      <w:r w:rsidR="00903E7F">
        <w:t>.</w:t>
      </w:r>
      <w:r w:rsidR="001E2ACD">
        <w:t xml:space="preserve"> </w:t>
      </w:r>
      <w:r w:rsidR="009A7EA2">
        <w:t>A boundary implies that there is something worth regulating and, therefore, potentially worth struggling over: the definition and demarcation of a ‘boundary’; what counts as ‘inside’ or ‘outside’</w:t>
      </w:r>
      <w:r w:rsidR="00B229F4">
        <w:t>;</w:t>
      </w:r>
      <w:r w:rsidR="009A7EA2">
        <w:t xml:space="preserve"> characteristics such as the ‘strength’</w:t>
      </w:r>
      <w:r w:rsidR="00AD2C77">
        <w:t>,</w:t>
      </w:r>
      <w:r w:rsidR="009A7EA2">
        <w:t xml:space="preserve"> ‘porosity’ and ‘flexibility’ of a boundary – all these are potential sites and sources of struggle, because something about that boundary has value to one or more groups. </w:t>
      </w:r>
    </w:p>
    <w:p w14:paraId="4DC22650" w14:textId="436DCC68" w:rsidR="001E2ACD" w:rsidRDefault="00C458F2" w:rsidP="005734FF">
      <w:pPr>
        <w:pStyle w:val="NormalWeb"/>
        <w:spacing w:before="0" w:beforeAutospacing="0" w:after="120" w:afterAutospacing="0" w:line="360" w:lineRule="auto"/>
      </w:pPr>
      <w:r>
        <w:t xml:space="preserve">Social boundaries do not have to refer to boundaries between groups but can </w:t>
      </w:r>
      <w:r w:rsidR="005172AF">
        <w:t>refer</w:t>
      </w:r>
      <w:r>
        <w:t xml:space="preserve"> to boundaries and divisions between any meaningful “categories” (Bernstein, 2000, p. 6).</w:t>
      </w:r>
      <w:r w:rsidR="00A06DC7">
        <w:t xml:space="preserve"> However, where the boundary is not between two (or more) well-defined ‘groups’, it is still likely to be the case that some group has a particular stake in the maintenance of that category. </w:t>
      </w:r>
      <w:r w:rsidR="00451611">
        <w:t>For</w:t>
      </w:r>
      <w:r w:rsidR="00A06DC7">
        <w:t xml:space="preserve"> example, the discipline of </w:t>
      </w:r>
      <w:r w:rsidR="00851187">
        <w:t xml:space="preserve">physics </w:t>
      </w:r>
      <w:r w:rsidR="00A06DC7">
        <w:t xml:space="preserve">is a category </w:t>
      </w:r>
      <w:r w:rsidR="00851187">
        <w:t xml:space="preserve">related to </w:t>
      </w:r>
      <w:r w:rsidR="008E660A">
        <w:t>knowledge about</w:t>
      </w:r>
      <w:r w:rsidR="00851187">
        <w:t xml:space="preserve"> certain natural phenomena</w:t>
      </w:r>
      <w:r w:rsidR="00EC08CA">
        <w:t>, but there is also a group, referred to as</w:t>
      </w:r>
      <w:r w:rsidR="00851187">
        <w:t xml:space="preserve"> physicists</w:t>
      </w:r>
      <w:r w:rsidR="00EC08CA">
        <w:t>, who are d</w:t>
      </w:r>
      <w:r w:rsidR="0020195D">
        <w:t>efined by their authority over that domain of knowledge, and therefore</w:t>
      </w:r>
      <w:r w:rsidR="00851187">
        <w:t xml:space="preserve"> with the greatest interests in the maintenance of the boundaries associated with their discipline. </w:t>
      </w:r>
    </w:p>
    <w:p w14:paraId="2415C256" w14:textId="358074F9" w:rsidR="005A34CF" w:rsidRDefault="005A34CF" w:rsidP="005734FF">
      <w:pPr>
        <w:pStyle w:val="NormalWeb"/>
        <w:spacing w:before="0" w:beforeAutospacing="0" w:after="120" w:afterAutospacing="0" w:line="360" w:lineRule="auto"/>
      </w:pPr>
      <w:r>
        <w:t xml:space="preserve">Boundaries may or may not be formal or legal boundaries. They may rather be based more on norms, expectations and patterns of activity. There may also be a blend of formal and informal regulations. For example, while there may be no formal rules preventing the historian from making claims to knowledge of physics, there are </w:t>
      </w:r>
      <w:r w:rsidR="00A03544">
        <w:t xml:space="preserve">formal </w:t>
      </w:r>
      <w:r>
        <w:t>bureaucratic realities which classify academic expertise</w:t>
      </w:r>
      <w:r w:rsidR="00D00187">
        <w:t xml:space="preserve">, for example job titles. </w:t>
      </w:r>
    </w:p>
    <w:p w14:paraId="329BA2B5" w14:textId="7C709621" w:rsidR="00D369E9" w:rsidRPr="005A7423" w:rsidRDefault="006617DB" w:rsidP="005734FF">
      <w:pPr>
        <w:pStyle w:val="NormalWeb"/>
        <w:spacing w:before="0" w:beforeAutospacing="0" w:after="120" w:afterAutospacing="0" w:line="360" w:lineRule="auto"/>
      </w:pPr>
      <w:r>
        <w:t>In general, the existence of boundaries is not</w:t>
      </w:r>
      <w:r w:rsidR="00313368">
        <w:t xml:space="preserve"> inherently negative or positive</w:t>
      </w:r>
      <w:r>
        <w:t>.</w:t>
      </w:r>
      <w:r w:rsidR="00A03544">
        <w:t xml:space="preserve"> In one sense, boundaries are always </w:t>
      </w:r>
      <w:r w:rsidR="00A03544">
        <w:rPr>
          <w:i/>
        </w:rPr>
        <w:t>productive</w:t>
      </w:r>
      <w:r w:rsidR="00A03544">
        <w:t>, in the earlier sense that they ‘solve’</w:t>
      </w:r>
      <w:r w:rsidR="006D006C">
        <w:t xml:space="preserve"> (albeit not indefinitely)</w:t>
      </w:r>
      <w:r w:rsidR="00A03544">
        <w:t xml:space="preserve"> </w:t>
      </w:r>
      <w:r w:rsidR="00A022A5">
        <w:t>socially faced</w:t>
      </w:r>
      <w:r w:rsidR="00A03544">
        <w:t xml:space="preserve"> problems</w:t>
      </w:r>
      <w:r w:rsidR="005A10DF">
        <w:t>. T</w:t>
      </w:r>
      <w:r>
        <w:t>his</w:t>
      </w:r>
      <w:r w:rsidR="00C60C9D">
        <w:t xml:space="preserve"> ‘productive’ element</w:t>
      </w:r>
      <w:r>
        <w:t xml:space="preserve"> even goes for instances in which boundaries have horrific consequences for humanity.</w:t>
      </w:r>
      <w:r w:rsidR="005A7423">
        <w:t xml:space="preserve"> For example, historian John W. Cell </w:t>
      </w:r>
      <w:r w:rsidR="005A7423" w:rsidRPr="005A7423">
        <w:rPr>
          <w:rFonts w:asciiTheme="majorBidi" w:hAnsiTheme="majorBidi" w:cstheme="majorBidi"/>
        </w:rPr>
        <w:fldChar w:fldCharType="begin"/>
      </w:r>
      <w:r w:rsidR="005A7423" w:rsidRPr="005A7423">
        <w:rPr>
          <w:rFonts w:asciiTheme="majorBidi" w:hAnsiTheme="majorBidi" w:cstheme="majorBidi"/>
        </w:rPr>
        <w:instrText xml:space="preserve"> ADDIN EN.CITE &lt;EndNote&gt;&lt;Cite ExcludeAuth="1"&gt;&lt;Author&gt;Cell&lt;/Author&gt;&lt;Year&gt;1982&lt;/Year&gt;&lt;IDText&gt;The Highest Stage of White Supremacy: The Origins of Segregation in South Africa and the American South&lt;/IDText&gt;&lt;DisplayText&gt;(1982)&lt;/DisplayText&gt;&lt;record&gt;&lt;isbn&gt;0521270618&lt;/isbn&gt;&lt;titles&gt;&lt;title&gt;The Highest Stage of White Supremacy: The Origins of Segregation in South Africa and the American South&lt;/title&gt;&lt;/titles&gt;&lt;contributors&gt;&lt;authors&gt;&lt;author&gt;Cell, John Whitson&lt;/author&gt;&lt;/authors&gt;&lt;/contributors&gt;&lt;added-date format="utc"&gt;1537473421&lt;/added-date&gt;&lt;ref-type name="Book"&gt;6&lt;/ref-type&gt;&lt;dates&gt;&lt;year&gt;1982&lt;/year&gt;&lt;/dates&gt;&lt;rec-number&gt;7656&lt;/rec-number&gt;&lt;publisher&gt;Cambridge University Press&lt;/publisher&gt;&lt;last-updated-date format="utc"&gt;1537473665&lt;/last-updated-date&gt;&lt;/record&gt;&lt;/Cite&gt;&lt;/EndNote&gt;</w:instrText>
      </w:r>
      <w:r w:rsidR="005A7423" w:rsidRPr="005A7423">
        <w:rPr>
          <w:rFonts w:asciiTheme="majorBidi" w:hAnsiTheme="majorBidi" w:cstheme="majorBidi"/>
        </w:rPr>
        <w:fldChar w:fldCharType="separate"/>
      </w:r>
      <w:r w:rsidR="005A7423" w:rsidRPr="005A7423">
        <w:rPr>
          <w:rFonts w:asciiTheme="majorBidi" w:hAnsiTheme="majorBidi" w:cstheme="majorBidi"/>
          <w:noProof/>
        </w:rPr>
        <w:t>(1982)</w:t>
      </w:r>
      <w:r w:rsidR="005A7423" w:rsidRPr="005A7423">
        <w:rPr>
          <w:rFonts w:asciiTheme="majorBidi" w:hAnsiTheme="majorBidi" w:cstheme="majorBidi"/>
        </w:rPr>
        <w:fldChar w:fldCharType="end"/>
      </w:r>
      <w:r w:rsidR="005A7423">
        <w:rPr>
          <w:rFonts w:asciiTheme="majorBidi" w:hAnsiTheme="majorBidi" w:cstheme="majorBidi"/>
        </w:rPr>
        <w:t xml:space="preserve"> </w:t>
      </w:r>
      <w:r w:rsidR="009D61E9">
        <w:rPr>
          <w:rFonts w:asciiTheme="majorBidi" w:hAnsiTheme="majorBidi" w:cstheme="majorBidi"/>
        </w:rPr>
        <w:t>analys</w:t>
      </w:r>
      <w:r w:rsidR="005A7423">
        <w:rPr>
          <w:rFonts w:asciiTheme="majorBidi" w:hAnsiTheme="majorBidi" w:cstheme="majorBidi"/>
        </w:rPr>
        <w:t>ed the history of</w:t>
      </w:r>
      <w:r w:rsidR="005A7423" w:rsidRPr="005A7423">
        <w:rPr>
          <w:rFonts w:asciiTheme="majorBidi" w:hAnsiTheme="majorBidi" w:cstheme="majorBidi"/>
        </w:rPr>
        <w:t xml:space="preserve"> racial segregation in South Africa and the United States</w:t>
      </w:r>
      <w:r w:rsidR="005A7423">
        <w:rPr>
          <w:rFonts w:asciiTheme="majorBidi" w:hAnsiTheme="majorBidi" w:cstheme="majorBidi"/>
        </w:rPr>
        <w:t xml:space="preserve">. He </w:t>
      </w:r>
      <w:r w:rsidR="005A7423" w:rsidRPr="005A7423">
        <w:rPr>
          <w:rFonts w:asciiTheme="majorBidi" w:hAnsiTheme="majorBidi" w:cstheme="majorBidi"/>
        </w:rPr>
        <w:t>explains that the concept of segregation</w:t>
      </w:r>
      <w:r w:rsidR="007E46CC">
        <w:rPr>
          <w:rFonts w:asciiTheme="majorBidi" w:hAnsiTheme="majorBidi" w:cstheme="majorBidi"/>
        </w:rPr>
        <w:t xml:space="preserve"> emerged not at a time when there was a genuine segregation, that is,</w:t>
      </w:r>
      <w:r w:rsidR="0022648F">
        <w:rPr>
          <w:rFonts w:asciiTheme="majorBidi" w:hAnsiTheme="majorBidi" w:cstheme="majorBidi"/>
        </w:rPr>
        <w:t xml:space="preserve"> a genuine separation</w:t>
      </w:r>
      <w:r w:rsidR="007E46CC">
        <w:rPr>
          <w:rFonts w:asciiTheme="majorBidi" w:hAnsiTheme="majorBidi" w:cstheme="majorBidi"/>
        </w:rPr>
        <w:t xml:space="preserve"> between the two ‘races’</w:t>
      </w:r>
      <w:r w:rsidR="00656F91">
        <w:rPr>
          <w:rFonts w:asciiTheme="majorBidi" w:hAnsiTheme="majorBidi" w:cstheme="majorBidi"/>
        </w:rPr>
        <w:t>; r</w:t>
      </w:r>
      <w:r w:rsidR="007E46CC">
        <w:rPr>
          <w:rFonts w:asciiTheme="majorBidi" w:hAnsiTheme="majorBidi" w:cstheme="majorBidi"/>
        </w:rPr>
        <w:t>ather, segregation as a policy, and even usage of the term itself, only emerged when the</w:t>
      </w:r>
      <w:r w:rsidR="00487324">
        <w:rPr>
          <w:rFonts w:asciiTheme="majorBidi" w:hAnsiTheme="majorBidi" w:cstheme="majorBidi"/>
        </w:rPr>
        <w:t xml:space="preserve"> level of interaction between them made acute the</w:t>
      </w:r>
      <w:r w:rsidR="007E46CC">
        <w:rPr>
          <w:rFonts w:asciiTheme="majorBidi" w:hAnsiTheme="majorBidi" w:cstheme="majorBidi"/>
        </w:rPr>
        <w:t xml:space="preserve"> problem of regulating the</w:t>
      </w:r>
      <w:r w:rsidR="00CB4A94">
        <w:rPr>
          <w:rFonts w:asciiTheme="majorBidi" w:hAnsiTheme="majorBidi" w:cstheme="majorBidi"/>
        </w:rPr>
        <w:t>ir</w:t>
      </w:r>
      <w:r w:rsidR="007E46CC">
        <w:rPr>
          <w:rFonts w:asciiTheme="majorBidi" w:hAnsiTheme="majorBidi" w:cstheme="majorBidi"/>
        </w:rPr>
        <w:t xml:space="preserve"> </w:t>
      </w:r>
      <w:r w:rsidR="00CB4A94">
        <w:rPr>
          <w:rFonts w:asciiTheme="majorBidi" w:hAnsiTheme="majorBidi" w:cstheme="majorBidi"/>
        </w:rPr>
        <w:t>inter</w:t>
      </w:r>
      <w:r w:rsidR="007E46CC">
        <w:rPr>
          <w:rFonts w:asciiTheme="majorBidi" w:hAnsiTheme="majorBidi" w:cstheme="majorBidi"/>
        </w:rPr>
        <w:t xml:space="preserve">relationship. </w:t>
      </w:r>
      <w:r w:rsidR="002769FC">
        <w:rPr>
          <w:rFonts w:asciiTheme="majorBidi" w:hAnsiTheme="majorBidi" w:cstheme="majorBidi"/>
        </w:rPr>
        <w:t>Cell’s (1982)</w:t>
      </w:r>
      <w:r w:rsidR="007E46CC">
        <w:rPr>
          <w:rFonts w:asciiTheme="majorBidi" w:hAnsiTheme="majorBidi" w:cstheme="majorBidi"/>
        </w:rPr>
        <w:t xml:space="preserve"> perspective </w:t>
      </w:r>
      <w:r w:rsidR="005D29A4">
        <w:rPr>
          <w:rFonts w:asciiTheme="majorBidi" w:hAnsiTheme="majorBidi" w:cstheme="majorBidi"/>
        </w:rPr>
        <w:t xml:space="preserve">therefore </w:t>
      </w:r>
      <w:r w:rsidR="007E46CC">
        <w:rPr>
          <w:rFonts w:asciiTheme="majorBidi" w:hAnsiTheme="majorBidi" w:cstheme="majorBidi"/>
        </w:rPr>
        <w:t xml:space="preserve">sees segregation as a special form of ‘integration’, </w:t>
      </w:r>
      <w:r w:rsidR="00A2533C">
        <w:rPr>
          <w:rFonts w:asciiTheme="majorBidi" w:hAnsiTheme="majorBidi" w:cstheme="majorBidi"/>
        </w:rPr>
        <w:t xml:space="preserve">one that is based on </w:t>
      </w:r>
      <w:r w:rsidR="00A022A5">
        <w:rPr>
          <w:rFonts w:asciiTheme="majorBidi" w:hAnsiTheme="majorBidi" w:cstheme="majorBidi"/>
        </w:rPr>
        <w:t>heavily regulated</w:t>
      </w:r>
      <w:r w:rsidR="00A2533C">
        <w:rPr>
          <w:rFonts w:asciiTheme="majorBidi" w:hAnsiTheme="majorBidi" w:cstheme="majorBidi"/>
        </w:rPr>
        <w:t xml:space="preserve"> boundaries (regulated by both law and racist ideology). </w:t>
      </w:r>
      <w:r w:rsidR="007E46CC">
        <w:rPr>
          <w:rFonts w:asciiTheme="majorBidi" w:hAnsiTheme="majorBidi" w:cstheme="majorBidi"/>
        </w:rPr>
        <w:t xml:space="preserve"> </w:t>
      </w:r>
    </w:p>
    <w:p w14:paraId="2D8F785E" w14:textId="10F83C31" w:rsidR="00807FF5" w:rsidRDefault="002769FC" w:rsidP="005734FF">
      <w:pPr>
        <w:pStyle w:val="NormalWeb"/>
        <w:spacing w:before="0" w:beforeAutospacing="0" w:after="120" w:afterAutospacing="0" w:line="360" w:lineRule="auto"/>
      </w:pPr>
      <w:r>
        <w:t xml:space="preserve">Coming back to the case of the discipline of physics, </w:t>
      </w:r>
      <w:r w:rsidR="00D90520">
        <w:t xml:space="preserve">boundaries </w:t>
      </w:r>
      <w:r w:rsidR="00067D0D">
        <w:t xml:space="preserve">can </w:t>
      </w:r>
      <w:r w:rsidR="00D90520">
        <w:t xml:space="preserve">also </w:t>
      </w:r>
      <w:r w:rsidR="00067D0D">
        <w:t xml:space="preserve">be productive in </w:t>
      </w:r>
      <w:r w:rsidR="00CE16B3">
        <w:t xml:space="preserve">that there can be benefits from allowing </w:t>
      </w:r>
      <w:r w:rsidR="004C6561">
        <w:t>distinct and bounded</w:t>
      </w:r>
      <w:r w:rsidR="00CE16B3">
        <w:t xml:space="preserve"> categories “a space in which to develop their unique[ness]” </w:t>
      </w:r>
      <w:r w:rsidR="00CE16B3">
        <w:fldChar w:fldCharType="begin"/>
      </w:r>
      <w:r w:rsidR="00CE16B3">
        <w:instrText xml:space="preserve"> ADDIN EN.CITE &lt;EndNote&gt;&lt;Cite&gt;&lt;Author&gt;Bernstein&lt;/Author&gt;&lt;Year&gt;2000&lt;/Year&gt;&lt;IDText&gt;Pedagogy, symbolic control, and identity: Theory, research, critique&lt;/IDText&gt;&lt;Pages&gt;6&lt;/Pages&gt;&lt;DisplayText&gt;(Bernstein, 2000, p. 6)&lt;/DisplayText&gt;&lt;record&gt;&lt;isbn&gt;084769576X&lt;/isbn&gt;&lt;titles&gt;&lt;title&gt;Pedagogy,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format="utc"&gt;1452707855&lt;/added-date&gt;&lt;pub-location&gt;Oxford&lt;/pub-location&gt;&lt;ref-type name="Book"&gt;6&lt;/ref-type&gt;&lt;dates&gt;&lt;year&gt;2000&lt;/year&gt;&lt;/dates&gt;&lt;rec-number&gt;185&lt;/rec-number&gt;&lt;publisher&gt;Rowman &amp;amp; Littlefield&lt;/publisher&gt;&lt;last-updated-date format="utc"&gt;1477766808&lt;/last-updated-date&gt;&lt;/record&gt;&lt;/Cite&gt;&lt;/EndNote&gt;</w:instrText>
      </w:r>
      <w:r w:rsidR="00CE16B3">
        <w:fldChar w:fldCharType="separate"/>
      </w:r>
      <w:r w:rsidR="00CE16B3">
        <w:rPr>
          <w:noProof/>
        </w:rPr>
        <w:t>(Bernstein, 2000, p. 6)</w:t>
      </w:r>
      <w:r w:rsidR="00CE16B3">
        <w:fldChar w:fldCharType="end"/>
      </w:r>
      <w:r w:rsidR="00CE16B3">
        <w:t>.</w:t>
      </w:r>
      <w:r w:rsidR="00F77A7A" w:rsidRPr="00F77A7A">
        <w:t xml:space="preserve"> </w:t>
      </w:r>
      <w:r w:rsidR="00F77A7A">
        <w:t xml:space="preserve">The </w:t>
      </w:r>
      <w:r w:rsidR="00ED74AF">
        <w:t>construc</w:t>
      </w:r>
      <w:r w:rsidR="00F77A7A">
        <w:t>tion and maintenance of boundaries around this domain of knowledge allows a space for dedicated specialisms to develop in which knowledge of the physical world can advance, and new physicists can be trained</w:t>
      </w:r>
      <w:r w:rsidR="00451DFE">
        <w:t>.</w:t>
      </w:r>
      <w:r w:rsidR="00F77A7A">
        <w:t xml:space="preserve"> </w:t>
      </w:r>
      <w:r w:rsidR="00D90520">
        <w:t>Even in</w:t>
      </w:r>
      <w:r w:rsidR="007B200D">
        <w:t xml:space="preserve"> such</w:t>
      </w:r>
      <w:r w:rsidR="00D90520">
        <w:t xml:space="preserve"> benign </w:t>
      </w:r>
      <w:r w:rsidR="00F77A7A">
        <w:t xml:space="preserve">and positive cases </w:t>
      </w:r>
      <w:r w:rsidR="00D90520">
        <w:t>though, boundaries may</w:t>
      </w:r>
      <w:r w:rsidR="00C545EE">
        <w:t xml:space="preserve"> still</w:t>
      </w:r>
      <w:r w:rsidR="00D708F9">
        <w:t xml:space="preserve"> be conceived as having </w:t>
      </w:r>
      <w:r w:rsidR="00D90520">
        <w:t>constraining effects</w:t>
      </w:r>
      <w:r w:rsidR="005D5836">
        <w:t>. This is the line of argument that sees disciplinarity as obsolete and as preventing, say, physicists, from engaging in the kinds of learning and collaboration that allows them to put their knowledge to use in applied contexts</w:t>
      </w:r>
      <w:r w:rsidR="004A2B55">
        <w:t>, by focusing physicists</w:t>
      </w:r>
      <w:r w:rsidR="004D7A29">
        <w:t>’</w:t>
      </w:r>
      <w:r w:rsidR="004A2B55">
        <w:t xml:space="preserve"> attention on narrow goals such as citation counts and reputation amongst immediate peers (McNie et al., 2016). </w:t>
      </w:r>
    </w:p>
    <w:p w14:paraId="55D3F4E0" w14:textId="1E25B21A" w:rsidR="006443D6" w:rsidRDefault="005B140F" w:rsidP="005734FF">
      <w:pPr>
        <w:pStyle w:val="NormalWeb"/>
        <w:spacing w:before="0" w:beforeAutospacing="0" w:after="120" w:afterAutospacing="0" w:line="360" w:lineRule="auto"/>
      </w:pPr>
      <w:r>
        <w:t>For Bernstein</w:t>
      </w:r>
      <w:r w:rsidR="00F81BB2">
        <w:t xml:space="preserve"> (2000)</w:t>
      </w:r>
      <w:r>
        <w:t>, whether</w:t>
      </w:r>
      <w:r w:rsidR="00042C1A">
        <w:t xml:space="preserve"> </w:t>
      </w:r>
      <w:r w:rsidR="00F81BB2">
        <w:t>academi</w:t>
      </w:r>
      <w:r w:rsidR="00494439">
        <w:t>a</w:t>
      </w:r>
      <w:r w:rsidR="00291C1A">
        <w:t xml:space="preserve"> comes to</w:t>
      </w:r>
      <w:r w:rsidR="00F81BB2">
        <w:t xml:space="preserve"> </w:t>
      </w:r>
      <w:r w:rsidR="00494439">
        <w:t>afford relatively less</w:t>
      </w:r>
      <w:r w:rsidR="00F81BB2">
        <w:t xml:space="preserve"> </w:t>
      </w:r>
      <w:r w:rsidR="00DB46DF">
        <w:t>focus on</w:t>
      </w:r>
      <w:r w:rsidR="00F81BB2">
        <w:t xml:space="preserve"> disciplinary knowledge </w:t>
      </w:r>
      <w:r w:rsidR="00970293">
        <w:t xml:space="preserve">and </w:t>
      </w:r>
      <w:r w:rsidR="00291C1A">
        <w:t xml:space="preserve">correspondingly </w:t>
      </w:r>
      <w:r w:rsidR="00970293">
        <w:t>more attention</w:t>
      </w:r>
      <w:r w:rsidR="00A82047">
        <w:t xml:space="preserve"> “outwards”, say on “fields of practice”</w:t>
      </w:r>
      <w:r w:rsidR="000733D6">
        <w:t>, is determined by</w:t>
      </w:r>
      <w:r w:rsidR="00074A78">
        <w:t xml:space="preserve"> power</w:t>
      </w:r>
      <w:r w:rsidR="00A82047">
        <w:t xml:space="preserve"> (pp.</w:t>
      </w:r>
      <w:r w:rsidR="00074A78">
        <w:t xml:space="preserve"> </w:t>
      </w:r>
      <w:r w:rsidR="00A82047">
        <w:t>34, 55)</w:t>
      </w:r>
      <w:r w:rsidR="000733D6">
        <w:t>.</w:t>
      </w:r>
      <w:r w:rsidR="00E92AB5">
        <w:t xml:space="preserve"> I</w:t>
      </w:r>
      <w:r w:rsidR="00074A78">
        <w:t xml:space="preserve">t “is </w:t>
      </w:r>
      <w:r w:rsidR="00074A78">
        <w:rPr>
          <w:i/>
        </w:rPr>
        <w:t>power</w:t>
      </w:r>
      <w:r w:rsidR="00074A78">
        <w:t>”</w:t>
      </w:r>
      <w:r w:rsidR="00AC7138">
        <w:t xml:space="preserve"> </w:t>
      </w:r>
      <w:r w:rsidR="00AC7138">
        <w:rPr>
          <w:rFonts w:eastAsia="MalgunNew Roman"/>
        </w:rPr>
        <w:t>(</w:t>
      </w:r>
      <w:r w:rsidR="00E92AB5">
        <w:rPr>
          <w:rFonts w:eastAsia="MalgunNew Roman"/>
        </w:rPr>
        <w:t>Bernstein, 2000,</w:t>
      </w:r>
      <w:r w:rsidR="00AC7138">
        <w:rPr>
          <w:rFonts w:eastAsia="MalgunNew Roman"/>
        </w:rPr>
        <w:t xml:space="preserve"> p. 6, original emphasis)</w:t>
      </w:r>
      <w:r w:rsidR="00074A78">
        <w:t xml:space="preserve"> that determines the streng</w:t>
      </w:r>
      <w:r w:rsidR="00AC7138">
        <w:t>th of a boundary</w:t>
      </w:r>
      <w:r w:rsidR="006443D6">
        <w:t xml:space="preserve">. </w:t>
      </w:r>
      <w:r w:rsidR="00F147AC">
        <w:t>H</w:t>
      </w:r>
      <w:r w:rsidR="00E92AB5">
        <w:t>e even</w:t>
      </w:r>
      <w:r w:rsidR="006443D6">
        <w:t xml:space="preserve"> goes </w:t>
      </w:r>
      <w:r w:rsidR="00B93B7C">
        <w:t xml:space="preserve">so </w:t>
      </w:r>
      <w:r w:rsidR="006443D6">
        <w:t xml:space="preserve">far as to </w:t>
      </w:r>
      <w:r w:rsidR="00CA59B4">
        <w:t>state</w:t>
      </w:r>
      <w:r w:rsidR="006443D6">
        <w:t xml:space="preserve"> that</w:t>
      </w:r>
      <w:r w:rsidR="00CA59B4">
        <w:t>:</w:t>
      </w:r>
      <w:r w:rsidR="00AC7138" w:rsidRPr="0081200F">
        <w:t xml:space="preserve"> </w:t>
      </w:r>
      <w:r w:rsidR="007075ED" w:rsidRPr="0081200F">
        <w:t>“</w:t>
      </w:r>
      <w:r w:rsidR="007075ED" w:rsidRPr="0081200F">
        <w:rPr>
          <w:i/>
        </w:rPr>
        <w:t xml:space="preserve">the distribution of power maintains itself essentially through the maintenance of the appropriate degree of insulation between the categories </w:t>
      </w:r>
      <w:r w:rsidR="00E92AB5">
        <w:rPr>
          <w:i/>
        </w:rPr>
        <w:t>...</w:t>
      </w:r>
      <w:r w:rsidR="007075ED" w:rsidRPr="0081200F">
        <w:rPr>
          <w:i/>
        </w:rPr>
        <w:t xml:space="preserve"> it legitimizes</w:t>
      </w:r>
      <w:r w:rsidR="006443D6">
        <w:t>.”</w:t>
      </w:r>
      <w:r w:rsidR="007075ED" w:rsidRPr="0081200F">
        <w:rPr>
          <w:i/>
        </w:rPr>
        <w:t xml:space="preserve"> </w:t>
      </w:r>
      <w:r w:rsidR="006443D6" w:rsidRPr="0081200F">
        <w:fldChar w:fldCharType="begin"/>
      </w:r>
      <w:r w:rsidR="006443D6" w:rsidRPr="0081200F">
        <w:instrText xml:space="preserve"> ADDIN EN.CITE &lt;EndNote&gt;&lt;Cite&gt;&lt;Author&gt;Bernstein&lt;/Author&gt;&lt;Year&gt;2003/1990&lt;/Year&gt;&lt;IDText&gt;Class, Codes and Control Volume IV: The Structuring of Pedagogic Discourse&lt;/IDText&gt;&lt;Suffix&gt;`, original emphasis&lt;/Suffix&gt;&lt;Pages&gt;95&lt;/Pages&gt;&lt;DisplayText&gt;(Bernstein, 2003/1990, p. 95, original emphasis)&lt;/DisplayText&gt;&lt;record&gt;&lt;keywords&gt;&lt;keyword&gt;Sociolinguistics&lt;/keyword&gt;&lt;keyword&gt;Language and languages -- Social aspects&lt;/keyword&gt;&lt;keyword&gt;Language and languages -- Sociological aspects&lt;/keyword&gt;&lt;keyword&gt;Language and society&lt;/keyword&gt;&lt;keyword&gt;Society and language&lt;/keyword&gt;&lt;keyword&gt;Sociology of language&lt;/keyword&gt;&lt;keyword&gt;Language and culture&lt;/keyword&gt;&lt;keyword&gt;Linguistics&lt;/keyword&gt;&lt;keyword&gt;Sociology&lt;/keyword&gt;&lt;keyword&gt;Integrational linguistics (Oxford school)&lt;/keyword&gt;&lt;keyword&gt;Language Social aspects&lt;/keyword&gt;&lt;/keywords&gt;&lt;titles&gt;&lt;title&gt;Class, Codes and Control Volume IV: The Structuring of Pedagogic Discourse&lt;/title&gt;&lt;/titles&gt;&lt;contributors&gt;&lt;authors&gt;&lt;author&gt;Bernstein, Basil&lt;/author&gt;&lt;/authors&gt;&lt;/contributors&gt;&lt;added-date format="utc"&gt;1531876834&lt;/added-date&gt;&lt;pub-location&gt;London&lt;/pub-location&gt;&lt;ref-type name="Book"&gt;6&lt;/ref-type&gt;&lt;dates&gt;&lt;year&gt;2003/1990&lt;/year&gt;&lt;/dates&gt;&lt;rec-number&gt;7614&lt;/rec-number&gt;&lt;publisher&gt;Routledge&lt;/publisher&gt;&lt;last-updated-date format="utc"&gt;1549043003&lt;/last-updated-date&gt;&lt;/record&gt;&lt;/Cite&gt;&lt;/EndNote&gt;</w:instrText>
      </w:r>
      <w:r w:rsidR="006443D6" w:rsidRPr="0081200F">
        <w:fldChar w:fldCharType="separate"/>
      </w:r>
      <w:r w:rsidR="006443D6" w:rsidRPr="0081200F">
        <w:rPr>
          <w:noProof/>
        </w:rPr>
        <w:t>(Bernstein, 2003/1990, p. 95, original emphasis)</w:t>
      </w:r>
      <w:r w:rsidR="006443D6" w:rsidRPr="0081200F">
        <w:fldChar w:fldCharType="end"/>
      </w:r>
      <w:r w:rsidR="008168A1">
        <w:t xml:space="preserve">. </w:t>
      </w:r>
      <w:r w:rsidR="00702DF4">
        <w:t>In short, the reproduction or increase in the insulation and strength of academic boundaries reflects the internal power of the bounded group, or the group which has authority over the bounded category (i.e. domain of knowledge</w:t>
      </w:r>
      <w:r w:rsidR="0091521B">
        <w:t xml:space="preserve"> or activity).</w:t>
      </w:r>
      <w:r w:rsidR="00624254">
        <w:t xml:space="preserve"> By contrast, a weakening </w:t>
      </w:r>
      <w:r w:rsidR="00DD2F30">
        <w:t>of</w:t>
      </w:r>
      <w:r w:rsidR="00624254">
        <w:t xml:space="preserve"> boundaries reflects that the power of this group has waned relative to outside actors, who either aim to hold authority over that category themselves, or else wish to exert influence over the group that holds authority. </w:t>
      </w:r>
    </w:p>
    <w:p w14:paraId="4B66DA8C" w14:textId="5F9968DB" w:rsidR="005E515C" w:rsidRDefault="005E515C" w:rsidP="005734FF">
      <w:pPr>
        <w:pStyle w:val="NormalWeb"/>
        <w:spacing w:before="0" w:beforeAutospacing="0" w:after="120" w:afterAutospacing="0" w:line="360" w:lineRule="auto"/>
      </w:pPr>
      <w:r>
        <w:t xml:space="preserve">The issue to be raised at this point is how and why bounded groups, or groups holding authority over bounded categories of knowledge or activity, might allow themselves to be influenced in this way; how and why might </w:t>
      </w:r>
      <w:r w:rsidR="00C243DE">
        <w:t xml:space="preserve">academic </w:t>
      </w:r>
      <w:r>
        <w:t xml:space="preserve">boundaries come to </w:t>
      </w:r>
      <w:r w:rsidR="001D1D70">
        <w:t>be weakened</w:t>
      </w:r>
      <w:r w:rsidR="00A609EC">
        <w:t xml:space="preserve">? </w:t>
      </w:r>
      <w:r w:rsidR="00A21B9E">
        <w:t>In short, the answer is that</w:t>
      </w:r>
      <w:r w:rsidR="0004786B">
        <w:t xml:space="preserve"> some level of external influence is unavoidable. The nature of social boundaries requires some level of porosity, that is, there must be some mechanism for </w:t>
      </w:r>
      <w:r w:rsidR="00A01A75">
        <w:t xml:space="preserve">linkage and exchange between </w:t>
      </w:r>
      <w:r w:rsidR="0004786B">
        <w:t xml:space="preserve">the bounded category </w:t>
      </w:r>
      <w:r w:rsidR="00A01A75">
        <w:t xml:space="preserve">and </w:t>
      </w:r>
      <w:r w:rsidR="0004786B">
        <w:t>wider society</w:t>
      </w:r>
      <w:r w:rsidR="008F00D7">
        <w:t xml:space="preserve"> (albeit in a ‘regulated’ way)</w:t>
      </w:r>
      <w:r w:rsidR="0004786B">
        <w:t>, and this means there is always the potential for weakness. To explain this, particularly in relation to academic boundaries,</w:t>
      </w:r>
      <w:r w:rsidR="00C243DE">
        <w:t xml:space="preserve"> requires deeper theoretical </w:t>
      </w:r>
      <w:r w:rsidR="0004786B">
        <w:t>discussion</w:t>
      </w:r>
      <w:r w:rsidR="00C243DE">
        <w:t xml:space="preserve"> </w:t>
      </w:r>
      <w:r w:rsidR="00361F3F">
        <w:t>invoking the legacy of Émile Durkheim</w:t>
      </w:r>
      <w:r w:rsidR="003E4AA8">
        <w:t xml:space="preserve">, often regarded as </w:t>
      </w:r>
      <w:r w:rsidR="009C05E9">
        <w:t xml:space="preserve">the first to apply sustained </w:t>
      </w:r>
      <w:r w:rsidR="003E4AA8">
        <w:t>sociological thought on</w:t>
      </w:r>
      <w:r w:rsidR="00A23263">
        <w:t xml:space="preserve"> issues of</w:t>
      </w:r>
      <w:r w:rsidR="003E4AA8">
        <w:t xml:space="preserve"> education and the university</w:t>
      </w:r>
      <w:r w:rsidR="00934D17">
        <w:t xml:space="preserve"> (Bernstein, 2000; B. R. Clark, 1983; Young, 2000). </w:t>
      </w:r>
    </w:p>
    <w:p w14:paraId="12015BA9" w14:textId="39103420" w:rsidR="00C01316" w:rsidRDefault="00FB0442" w:rsidP="005734FF">
      <w:pPr>
        <w:spacing w:after="120" w:line="360" w:lineRule="auto"/>
        <w:rPr>
          <w:sz w:val="24"/>
          <w:szCs w:val="24"/>
        </w:rPr>
      </w:pPr>
      <w:r>
        <w:rPr>
          <w:sz w:val="24"/>
          <w:szCs w:val="24"/>
        </w:rPr>
        <w:t>In</w:t>
      </w:r>
      <w:r w:rsidR="00AC652F">
        <w:rPr>
          <w:sz w:val="24"/>
          <w:szCs w:val="24"/>
        </w:rPr>
        <w:t xml:space="preserve"> </w:t>
      </w:r>
      <w:r w:rsidR="00143C50">
        <w:rPr>
          <w:i/>
          <w:sz w:val="24"/>
          <w:szCs w:val="24"/>
        </w:rPr>
        <w:t>The Elementary Forms of the Religious Life</w:t>
      </w:r>
      <w:r w:rsidR="00772D3A">
        <w:rPr>
          <w:sz w:val="24"/>
          <w:szCs w:val="24"/>
        </w:rPr>
        <w:t>,</w:t>
      </w:r>
      <w:r>
        <w:rPr>
          <w:sz w:val="24"/>
          <w:szCs w:val="24"/>
        </w:rPr>
        <w:t xml:space="preserve"> Durkheim </w:t>
      </w:r>
      <w:r>
        <w:rPr>
          <w:sz w:val="24"/>
          <w:szCs w:val="24"/>
        </w:rPr>
        <w:fldChar w:fldCharType="begin"/>
      </w:r>
      <w:r>
        <w:rPr>
          <w:sz w:val="24"/>
          <w:szCs w:val="24"/>
        </w:rPr>
        <w:instrText xml:space="preserve"> ADDIN EN.CITE &lt;EndNote&gt;&lt;Cite ExcludeAuth="1"&gt;&lt;Author&gt;Durkheim&lt;/Author&gt;&lt;Year&gt;1915&lt;/Year&gt;&lt;IDText&gt;The elementary forms of the religious life&lt;/IDText&gt;&lt;DisplayText&gt;(1915)&lt;/DisplayText&gt;&lt;record&gt;&lt;keywords&gt;&lt;keyword&gt;Religion&lt;/keyword&gt;&lt;keyword&gt;Cultus&lt;/keyword&gt;&lt;keyword&gt;Totemism&lt;/keyword&gt;&lt;keyword&gt;Religion -- Philosophy&lt;/keyword&gt;&lt;/keywords&gt;&lt;titles&gt;&lt;title&gt;The elementary forms of the religious life&lt;/title&gt;&lt;/titles&gt;&lt;contributors&gt;&lt;authors&gt;&lt;author&gt;Durkheim, Émile&lt;/author&gt;&lt;/authors&gt;&lt;/contributors&gt;&lt;added-date format="utc"&gt;1452812064&lt;/added-date&gt;&lt;pub-location&gt;London&lt;/pub-location&gt;&lt;ref-type name="Book"&gt;6&lt;/ref-type&gt;&lt;dates&gt;&lt;year&gt;1915&lt;/year&gt;&lt;/dates&gt;&lt;rec-number&gt;209&lt;/rec-number&gt;&lt;publisher&gt;Allen Unwin&lt;/publisher&gt;&lt;last-updated-date format="utc"&gt;1469215468&lt;/last-updated-date&gt;&lt;contributors&gt;&lt;subsidiary-authors&gt;&lt;author&gt;Joseph Ward Swain&lt;/author&gt;&lt;/subsidiary-authors&gt;&lt;/contributors&gt;&lt;/record&gt;&lt;/Cite&gt;&lt;/EndNote&gt;</w:instrText>
      </w:r>
      <w:r>
        <w:rPr>
          <w:sz w:val="24"/>
          <w:szCs w:val="24"/>
        </w:rPr>
        <w:fldChar w:fldCharType="separate"/>
      </w:r>
      <w:r>
        <w:rPr>
          <w:noProof/>
          <w:sz w:val="24"/>
          <w:szCs w:val="24"/>
        </w:rPr>
        <w:t>(1915)</w:t>
      </w:r>
      <w:r>
        <w:rPr>
          <w:sz w:val="24"/>
          <w:szCs w:val="24"/>
        </w:rPr>
        <w:fldChar w:fldCharType="end"/>
      </w:r>
      <w:r w:rsidRPr="00FB0442">
        <w:rPr>
          <w:sz w:val="24"/>
          <w:szCs w:val="24"/>
        </w:rPr>
        <w:t xml:space="preserve"> </w:t>
      </w:r>
      <w:r>
        <w:rPr>
          <w:sz w:val="24"/>
          <w:szCs w:val="24"/>
        </w:rPr>
        <w:t>was originally interested in the formation and integration of societies. Just as I posed the persistence of the integrity of universities as</w:t>
      </w:r>
      <w:r w:rsidR="004B0BD1">
        <w:rPr>
          <w:sz w:val="24"/>
          <w:szCs w:val="24"/>
        </w:rPr>
        <w:t xml:space="preserve"> a</w:t>
      </w:r>
      <w:r>
        <w:rPr>
          <w:sz w:val="24"/>
          <w:szCs w:val="24"/>
        </w:rPr>
        <w:t xml:space="preserve"> sociological problem, so did Durkheim see societies as particular social forms which, rather than being natural or obvious, were produced and sustained through particular forms of collective human activity and organisation. As such, they presented an intellectual problem and required an explanation. He posited a sociological explanation which emphasised the relationship between individuals and the institutions which they collectively construct. Durkheim (1915) was therefore</w:t>
      </w:r>
      <w:r w:rsidR="005D45A4">
        <w:rPr>
          <w:sz w:val="24"/>
          <w:szCs w:val="24"/>
        </w:rPr>
        <w:t xml:space="preserve"> interested in</w:t>
      </w:r>
      <w:r>
        <w:rPr>
          <w:sz w:val="24"/>
          <w:szCs w:val="24"/>
        </w:rPr>
        <w:t xml:space="preserve"> how social forms and institutions achieved a sense of moral solidarity and the cohesion of disparate individuals into a society.</w:t>
      </w:r>
    </w:p>
    <w:p w14:paraId="30C6E749" w14:textId="2E40FFD8" w:rsidR="00143C50" w:rsidRDefault="00C01316" w:rsidP="005734FF">
      <w:pPr>
        <w:spacing w:after="120" w:line="360" w:lineRule="auto"/>
        <w:rPr>
          <w:sz w:val="24"/>
          <w:szCs w:val="24"/>
        </w:rPr>
      </w:pPr>
      <w:r>
        <w:rPr>
          <w:sz w:val="24"/>
          <w:szCs w:val="24"/>
        </w:rPr>
        <w:t>H</w:t>
      </w:r>
      <w:r w:rsidR="00143C50">
        <w:rPr>
          <w:sz w:val="24"/>
          <w:szCs w:val="24"/>
        </w:rPr>
        <w:t xml:space="preserve">is starting point was to acknowledge that the idea or concept of a society necessarily transcends the idea of the individual, and even transcends the idea of multiple individuals. This is because society implies not only a multiplicity of individuals, but a multiplicity of individuals who are linked to each other in particular ways, in which they are </w:t>
      </w:r>
      <w:r w:rsidR="00143C50">
        <w:rPr>
          <w:i/>
          <w:sz w:val="24"/>
          <w:szCs w:val="24"/>
        </w:rPr>
        <w:t xml:space="preserve">not </w:t>
      </w:r>
      <w:r w:rsidR="00143C50">
        <w:rPr>
          <w:sz w:val="24"/>
          <w:szCs w:val="24"/>
        </w:rPr>
        <w:t xml:space="preserve">linked to other individuals who fall outside of this multiplicity (for example, those in neighbouring ‘tribes’). As such, the construction of a society out of disparate individuals necessitates that these individuals participate in a </w:t>
      </w:r>
      <w:r w:rsidR="00143C50">
        <w:rPr>
          <w:i/>
          <w:sz w:val="24"/>
          <w:szCs w:val="24"/>
        </w:rPr>
        <w:t>collective cognitive act</w:t>
      </w:r>
      <w:r w:rsidR="00143C50">
        <w:rPr>
          <w:sz w:val="24"/>
          <w:szCs w:val="24"/>
        </w:rPr>
        <w:t>, that is, they must all come to some understanding</w:t>
      </w:r>
      <w:r w:rsidR="00A51EE4">
        <w:rPr>
          <w:sz w:val="24"/>
          <w:szCs w:val="24"/>
        </w:rPr>
        <w:t xml:space="preserve"> of their collective selves as mutually </w:t>
      </w:r>
      <w:r w:rsidR="00143C50">
        <w:rPr>
          <w:sz w:val="24"/>
          <w:szCs w:val="24"/>
        </w:rPr>
        <w:t xml:space="preserve">belonging to a common collective, i.e. a society. What was needed was some kind of intermediary concept that transcended any given individual but was sufficiently tangible for disparate individuals to cohere around. </w:t>
      </w:r>
    </w:p>
    <w:p w14:paraId="59A3B4C2" w14:textId="77777777" w:rsidR="00143C50" w:rsidRDefault="00143C50" w:rsidP="005734FF">
      <w:pPr>
        <w:spacing w:after="120" w:line="360" w:lineRule="auto"/>
        <w:rPr>
          <w:sz w:val="24"/>
          <w:szCs w:val="24"/>
        </w:rPr>
      </w:pPr>
      <w:r>
        <w:rPr>
          <w:sz w:val="24"/>
          <w:szCs w:val="24"/>
        </w:rPr>
        <w:t xml:space="preserve">Durkheim (1915) introduces the ‘sacred’ as just such an intermediary concept through which this collective cognitive act can be achieved, and through which a shared conceptualisation of society can become manifest. For Durkheim </w:t>
      </w:r>
      <w:r>
        <w:rPr>
          <w:sz w:val="24"/>
          <w:szCs w:val="24"/>
        </w:rPr>
        <w:fldChar w:fldCharType="begin"/>
      </w:r>
      <w:r>
        <w:rPr>
          <w:sz w:val="24"/>
          <w:szCs w:val="24"/>
        </w:rPr>
        <w:instrText xml:space="preserve"> ADDIN EN.CITE &lt;EndNote&gt;&lt;Cite ExcludeAuth="1"&gt;&lt;Author&gt;Durkheim&lt;/Author&gt;&lt;Year&gt;1915&lt;/Year&gt;&lt;IDText&gt;The elementary forms of the religious life&lt;/IDText&gt;&lt;DisplayText&gt;(1915)&lt;/DisplayText&gt;&lt;record&gt;&lt;keywords&gt;&lt;keyword&gt;Religion&lt;/keyword&gt;&lt;keyword&gt;Cultus&lt;/keyword&gt;&lt;keyword&gt;Totemism&lt;/keyword&gt;&lt;keyword&gt;Religion -- Philosophy&lt;/keyword&gt;&lt;/keywords&gt;&lt;titles&gt;&lt;title&gt;The elementary forms of the religious life&lt;/title&gt;&lt;/titles&gt;&lt;contributors&gt;&lt;authors&gt;&lt;author&gt;Durkheim, Émile&lt;/author&gt;&lt;/authors&gt;&lt;/contributors&gt;&lt;added-date format="utc"&gt;1452812064&lt;/added-date&gt;&lt;pub-location&gt;London&lt;/pub-location&gt;&lt;ref-type name="Book"&gt;6&lt;/ref-type&gt;&lt;dates&gt;&lt;year&gt;1915&lt;/year&gt;&lt;/dates&gt;&lt;rec-number&gt;209&lt;/rec-number&gt;&lt;publisher&gt;Allen Unwin&lt;/publisher&gt;&lt;last-updated-date format="utc"&gt;1469215468&lt;/last-updated-date&gt;&lt;contributors&gt;&lt;subsidiary-authors&gt;&lt;author&gt;Joseph Ward Swain&lt;/author&gt;&lt;/subsidiary-authors&gt;&lt;/contributors&gt;&lt;/record&gt;&lt;/Cite&gt;&lt;/EndNote&gt;</w:instrText>
      </w:r>
      <w:r>
        <w:rPr>
          <w:sz w:val="24"/>
          <w:szCs w:val="24"/>
        </w:rPr>
        <w:fldChar w:fldCharType="separate"/>
      </w:r>
      <w:r>
        <w:rPr>
          <w:noProof/>
          <w:sz w:val="24"/>
          <w:szCs w:val="24"/>
        </w:rPr>
        <w:t>(1915)</w:t>
      </w:r>
      <w:r>
        <w:rPr>
          <w:sz w:val="24"/>
          <w:szCs w:val="24"/>
        </w:rPr>
        <w:fldChar w:fldCharType="end"/>
      </w:r>
      <w:r>
        <w:rPr>
          <w:sz w:val="24"/>
          <w:szCs w:val="24"/>
        </w:rPr>
        <w:t>, those objects, phenomena, activities, rituals, persons, ideas and beliefs which come to be classified as ‘sacred’ in any given collective are precisely those which come to symbolise the “idea of society”</w:t>
      </w:r>
      <w:r w:rsidRPr="00370F98">
        <w:rPr>
          <w:sz w:val="24"/>
          <w:szCs w:val="24"/>
        </w:rPr>
        <w:t xml:space="preserve"> </w:t>
      </w:r>
      <w:r>
        <w:rPr>
          <w:sz w:val="24"/>
          <w:szCs w:val="24"/>
        </w:rPr>
        <w:fldChar w:fldCharType="begin"/>
      </w:r>
      <w:r>
        <w:rPr>
          <w:sz w:val="24"/>
          <w:szCs w:val="24"/>
        </w:rPr>
        <w:instrText xml:space="preserve"> ADDIN EN.CITE &lt;EndNote&gt;&lt;Cite ExcludeAuth="1" ExcludeYear="1"&gt;&lt;Author&gt;Durkheim&lt;/Author&gt;&lt;Year&gt;1915&lt;/Year&gt;&lt;IDText&gt;The elementary forms of the religious life&lt;/IDText&gt;&lt;Pages&gt;347&lt;/Pages&gt;&lt;DisplayText&gt;(p. 347)&lt;/DisplayText&gt;&lt;record&gt;&lt;keywords&gt;&lt;keyword&gt;Religion&lt;/keyword&gt;&lt;keyword&gt;Cultus&lt;/keyword&gt;&lt;keyword&gt;Totemism&lt;/keyword&gt;&lt;keyword&gt;Religion -- Philosophy&lt;/keyword&gt;&lt;/keywords&gt;&lt;titles&gt;&lt;title&gt;The elementary forms of the religious life&lt;/title&gt;&lt;/titles&gt;&lt;contributors&gt;&lt;authors&gt;&lt;author&gt;Durkheim, Émile&lt;/author&gt;&lt;/authors&gt;&lt;/contributors&gt;&lt;added-date format="utc"&gt;1452812064&lt;/added-date&gt;&lt;pub-location&gt;London&lt;/pub-location&gt;&lt;ref-type name="Book"&gt;6&lt;/ref-type&gt;&lt;dates&gt;&lt;year&gt;1915&lt;/year&gt;&lt;/dates&gt;&lt;rec-number&gt;209&lt;/rec-number&gt;&lt;publisher&gt;Allen Unwin&lt;/publisher&gt;&lt;last-updated-date format="utc"&gt;1469215468&lt;/last-updated-date&gt;&lt;contributors&gt;&lt;subsidiary-authors&gt;&lt;author&gt;Joseph Ward Swain&lt;/author&gt;&lt;/subsidiary-authors&gt;&lt;/contributors&gt;&lt;/record&gt;&lt;/Cite&gt;&lt;/EndNote&gt;</w:instrText>
      </w:r>
      <w:r>
        <w:rPr>
          <w:sz w:val="24"/>
          <w:szCs w:val="24"/>
        </w:rPr>
        <w:fldChar w:fldCharType="separate"/>
      </w:r>
      <w:r>
        <w:rPr>
          <w:noProof/>
          <w:sz w:val="24"/>
          <w:szCs w:val="24"/>
        </w:rPr>
        <w:t>(p. 347)</w:t>
      </w:r>
      <w:r>
        <w:rPr>
          <w:sz w:val="24"/>
          <w:szCs w:val="24"/>
        </w:rPr>
        <w:fldChar w:fldCharType="end"/>
      </w:r>
      <w:r>
        <w:rPr>
          <w:sz w:val="24"/>
          <w:szCs w:val="24"/>
        </w:rPr>
        <w:t xml:space="preserve">; the ‘sacred’ is the symbolic “ideal ... expression of the whole collective life” </w:t>
      </w:r>
      <w:r>
        <w:rPr>
          <w:sz w:val="24"/>
          <w:szCs w:val="24"/>
        </w:rPr>
        <w:fldChar w:fldCharType="begin"/>
      </w:r>
      <w:r>
        <w:rPr>
          <w:sz w:val="24"/>
          <w:szCs w:val="24"/>
        </w:rPr>
        <w:instrText xml:space="preserve"> ADDIN EN.CITE &lt;EndNote&gt;&lt;Cite ExcludeAuth="1" ExcludeYear="1"&gt;&lt;Author&gt;Durkheim&lt;/Author&gt;&lt;Year&gt;1915&lt;/Year&gt;&lt;IDText&gt;The elementary forms of the religious life&lt;/IDText&gt;&lt;Pages&gt;419-420&lt;/Pages&gt;&lt;DisplayText&gt;(pp. 419-420)&lt;/DisplayText&gt;&lt;record&gt;&lt;keywords&gt;&lt;keyword&gt;Religion&lt;/keyword&gt;&lt;keyword&gt;Cultus&lt;/keyword&gt;&lt;keyword&gt;Totemism&lt;/keyword&gt;&lt;keyword&gt;Religion -- Philosophy&lt;/keyword&gt;&lt;/keywords&gt;&lt;titles&gt;&lt;title&gt;The elementary forms of the religious life&lt;/title&gt;&lt;/titles&gt;&lt;contributors&gt;&lt;authors&gt;&lt;author&gt;Durkheim, Émile&lt;/author&gt;&lt;/authors&gt;&lt;/contributors&gt;&lt;added-date format="utc"&gt;1452812064&lt;/added-date&gt;&lt;pub-location&gt;London&lt;/pub-location&gt;&lt;ref-type name="Book"&gt;6&lt;/ref-type&gt;&lt;dates&gt;&lt;year&gt;1915&lt;/year&gt;&lt;/dates&gt;&lt;rec-number&gt;209&lt;/rec-number&gt;&lt;publisher&gt;Allen Unwin&lt;/publisher&gt;&lt;last-updated-date format="utc"&gt;1469215468&lt;/last-updated-date&gt;&lt;contributors&gt;&lt;subsidiary-authors&gt;&lt;author&gt;Joseph Ward Swain&lt;/author&gt;&lt;/subsidiary-authors&gt;&lt;/contributors&gt;&lt;/record&gt;&lt;/Cite&gt;&lt;/EndNote&gt;</w:instrText>
      </w:r>
      <w:r>
        <w:rPr>
          <w:sz w:val="24"/>
          <w:szCs w:val="24"/>
        </w:rPr>
        <w:fldChar w:fldCharType="separate"/>
      </w:r>
      <w:r>
        <w:rPr>
          <w:noProof/>
          <w:sz w:val="24"/>
          <w:szCs w:val="24"/>
        </w:rPr>
        <w:t>(pp. 419-420)</w:t>
      </w:r>
      <w:r>
        <w:rPr>
          <w:sz w:val="24"/>
          <w:szCs w:val="24"/>
        </w:rPr>
        <w:fldChar w:fldCharType="end"/>
      </w:r>
      <w:r>
        <w:rPr>
          <w:sz w:val="24"/>
          <w:szCs w:val="24"/>
        </w:rPr>
        <w:t xml:space="preserve">. For our purposes, it is not particularly relevant to consider the specifics of why any such phenomenon, object, event, etc. may come to be classified as sacred rather than another. What is important is to appreciate the function of the ‘sacred’ as having this special symbolic meaning. This meaning makes it distinct from the non-sacred objects, phenomena, activities etc. of everyday life, that is the ‘profane’. </w:t>
      </w:r>
    </w:p>
    <w:p w14:paraId="785A5D20" w14:textId="03EB2745" w:rsidR="00143C50" w:rsidRDefault="00143C50" w:rsidP="005734FF">
      <w:pPr>
        <w:spacing w:after="120" w:line="360" w:lineRule="auto"/>
        <w:rPr>
          <w:sz w:val="24"/>
          <w:szCs w:val="24"/>
        </w:rPr>
      </w:pPr>
      <w:r>
        <w:rPr>
          <w:rFonts w:eastAsia="MalgunNew Roman"/>
          <w:sz w:val="24"/>
          <w:szCs w:val="24"/>
        </w:rPr>
        <w:t>Bernstein</w:t>
      </w:r>
      <w:r w:rsidR="0012785C">
        <w:rPr>
          <w:rFonts w:eastAsia="MalgunNew Roman"/>
          <w:sz w:val="24"/>
          <w:szCs w:val="24"/>
        </w:rPr>
        <w:t>,</w:t>
      </w:r>
      <w:r>
        <w:rPr>
          <w:rFonts w:eastAsia="MalgunNew Roman"/>
          <w:sz w:val="24"/>
          <w:szCs w:val="24"/>
        </w:rPr>
        <w:t xml:space="preserve"> and later his students, emphasised</w:t>
      </w:r>
      <w:r w:rsidR="00325ACF">
        <w:rPr>
          <w:rFonts w:eastAsia="MalgunNew Roman"/>
          <w:sz w:val="24"/>
          <w:szCs w:val="24"/>
        </w:rPr>
        <w:t>,</w:t>
      </w:r>
      <w:r>
        <w:rPr>
          <w:rFonts w:eastAsia="MalgunNew Roman"/>
          <w:sz w:val="24"/>
          <w:szCs w:val="24"/>
        </w:rPr>
        <w:t xml:space="preserve"> elaborated</w:t>
      </w:r>
      <w:r w:rsidR="00325ACF">
        <w:rPr>
          <w:rFonts w:eastAsia="MalgunNew Roman"/>
          <w:sz w:val="24"/>
          <w:szCs w:val="24"/>
        </w:rPr>
        <w:t xml:space="preserve"> and, to an extent, generalised</w:t>
      </w:r>
      <w:r>
        <w:rPr>
          <w:rFonts w:eastAsia="MalgunNew Roman"/>
          <w:sz w:val="24"/>
          <w:szCs w:val="24"/>
        </w:rPr>
        <w:t xml:space="preserve"> aspects of Durkheim’s model. </w:t>
      </w:r>
      <w:r w:rsidR="00E70B6C">
        <w:rPr>
          <w:rFonts w:eastAsia="MalgunNew Roman"/>
          <w:sz w:val="24"/>
          <w:szCs w:val="24"/>
        </w:rPr>
        <w:t xml:space="preserve">First, </w:t>
      </w:r>
      <w:r w:rsidR="00BB1F31">
        <w:rPr>
          <w:rFonts w:eastAsia="MalgunNew Roman"/>
          <w:sz w:val="24"/>
          <w:szCs w:val="24"/>
        </w:rPr>
        <w:t>Bernstein</w:t>
      </w:r>
      <w:r w:rsidR="0012785C">
        <w:rPr>
          <w:rFonts w:eastAsia="MalgunNew Roman"/>
          <w:sz w:val="24"/>
          <w:szCs w:val="24"/>
        </w:rPr>
        <w:t xml:space="preserve"> (2000)</w:t>
      </w:r>
      <w:r w:rsidR="00BB1F31">
        <w:rPr>
          <w:rFonts w:eastAsia="MalgunNew Roman"/>
          <w:sz w:val="24"/>
          <w:szCs w:val="24"/>
        </w:rPr>
        <w:t xml:space="preserve"> emphasised</w:t>
      </w:r>
      <w:r>
        <w:rPr>
          <w:rFonts w:eastAsia="MalgunNew Roman"/>
          <w:sz w:val="24"/>
          <w:szCs w:val="24"/>
        </w:rPr>
        <w:t xml:space="preserve"> that these two classes, the sacred and the profane, are in fact classes of </w:t>
      </w:r>
      <w:r>
        <w:rPr>
          <w:rFonts w:eastAsia="MalgunNew Roman"/>
          <w:i/>
          <w:sz w:val="24"/>
          <w:szCs w:val="24"/>
        </w:rPr>
        <w:t>knowledge</w:t>
      </w:r>
      <w:r>
        <w:rPr>
          <w:rStyle w:val="FootnoteReference"/>
          <w:rFonts w:eastAsia="MalgunNew Roman"/>
          <w:i/>
          <w:sz w:val="24"/>
          <w:szCs w:val="24"/>
        </w:rPr>
        <w:footnoteReference w:id="5"/>
      </w:r>
      <w:r>
        <w:rPr>
          <w:rFonts w:eastAsia="MalgunNew Roman"/>
          <w:sz w:val="24"/>
          <w:szCs w:val="24"/>
        </w:rPr>
        <w:t xml:space="preserve">. To the extent that the objects, events and phenomena which are classified as sacred are understood by a community to have transcendental symbolic meaning, which unites and gives order to their everyday existence, then it is effectively a class of abstract, “transcendental” (Bernstein, 2000, p. 29) knowledge, distinct from the “mundane” (Bernstein, 2000, p. 29) knowledge of everyday life. </w:t>
      </w:r>
      <w:r>
        <w:rPr>
          <w:sz w:val="24"/>
          <w:szCs w:val="24"/>
        </w:rPr>
        <w:t xml:space="preserve">As Young </w:t>
      </w:r>
      <w:r>
        <w:rPr>
          <w:sz w:val="24"/>
          <w:szCs w:val="24"/>
        </w:rPr>
        <w:fldChar w:fldCharType="begin"/>
      </w:r>
      <w:r>
        <w:rPr>
          <w:sz w:val="24"/>
          <w:szCs w:val="24"/>
        </w:rPr>
        <w:instrText xml:space="preserve"> ADDIN EN.CITE &lt;EndNote&gt;&lt;Cite ExcludeAuth="1"&gt;&lt;Author&gt;Young&lt;/Author&gt;&lt;Year&gt;2008&lt;/Year&gt;&lt;IDText&gt;Bringing knowledge back in: from social constructivism to social realism in the sociology of education&lt;/IDText&gt;&lt;DisplayText&gt;(2008)&lt;/DisplayText&gt;&lt;record&gt;&lt;keywords&gt;&lt;keyword&gt;Educational sociology&lt;/keyword&gt;&lt;keyword&gt;Education -- Curricula&lt;/keyword&gt;&lt;keyword&gt;Constructivism (Education)&lt;/keyword&gt;&lt;/keywords&gt;&lt;titles&gt;&lt;title&gt;Bringing knowledge back in: from social constructivism to social realism in the sociology of education&lt;/title&gt;&lt;/titles&gt;&lt;contributors&gt;&lt;authors&gt;&lt;author&gt;Young, Michael F. D.&lt;/author&gt;&lt;/authors&gt;&lt;/contributors&gt;&lt;added-date format="utc"&gt;1452811937&lt;/added-date&gt;&lt;pub-location&gt;London&lt;/pub-location&gt;&lt;ref-type name="Book"&gt;6&lt;/ref-type&gt;&lt;dates&gt;&lt;year&gt;2008&lt;/year&gt;&lt;/dates&gt;&lt;rec-number&gt;208&lt;/rec-number&gt;&lt;publisher&gt;Routledge&lt;/publisher&gt;&lt;last-updated-date format="utc"&gt;1469215468&lt;/last-updated-date&gt;&lt;/record&gt;&lt;/Cite&gt;&lt;/EndNote&gt;</w:instrText>
      </w:r>
      <w:r>
        <w:rPr>
          <w:sz w:val="24"/>
          <w:szCs w:val="24"/>
        </w:rPr>
        <w:fldChar w:fldCharType="separate"/>
      </w:r>
      <w:r>
        <w:rPr>
          <w:noProof/>
          <w:sz w:val="24"/>
          <w:szCs w:val="24"/>
        </w:rPr>
        <w:t>(2008)</w:t>
      </w:r>
      <w:r>
        <w:rPr>
          <w:sz w:val="24"/>
          <w:szCs w:val="24"/>
        </w:rPr>
        <w:fldChar w:fldCharType="end"/>
      </w:r>
      <w:r>
        <w:rPr>
          <w:sz w:val="24"/>
          <w:szCs w:val="24"/>
        </w:rPr>
        <w:t xml:space="preserve">, a student of Bernstein’s, explains, the ‘sacred’ therefore provides society with “the model for all the other types of abstract thought, such as modern science, that consist of unobservable concepts” </w:t>
      </w:r>
      <w:r>
        <w:rPr>
          <w:sz w:val="24"/>
          <w:szCs w:val="24"/>
        </w:rPr>
        <w:fldChar w:fldCharType="begin"/>
      </w:r>
      <w:r>
        <w:rPr>
          <w:sz w:val="24"/>
          <w:szCs w:val="24"/>
        </w:rPr>
        <w:instrText xml:space="preserve"> ADDIN EN.CITE &lt;EndNote&gt;&lt;Cite ExcludeAuth="1" ExcludeYear="1"&gt;&lt;Author&gt;Young&lt;/Author&gt;&lt;Year&gt;2008&lt;/Year&gt;&lt;IDText&gt;Bringing knowledge back in: from social constructivism to social realism in the sociology of education&lt;/IDText&gt;&lt;Pages&gt;41&lt;/Pages&gt;&lt;DisplayText&gt;(p. 41)&lt;/DisplayText&gt;&lt;record&gt;&lt;keywords&gt;&lt;keyword&gt;Educational sociology&lt;/keyword&gt;&lt;keyword&gt;Education -- Curricula&lt;/keyword&gt;&lt;keyword&gt;Constructivism (Education)&lt;/keyword&gt;&lt;/keywords&gt;&lt;titles&gt;&lt;title&gt;Bringing knowledge back in: from social constructivism to social realism in the sociology of education&lt;/title&gt;&lt;/titles&gt;&lt;contributors&gt;&lt;authors&gt;&lt;author&gt;Young, Michael F. D.&lt;/author&gt;&lt;/authors&gt;&lt;/contributors&gt;&lt;added-date format="utc"&gt;1452811937&lt;/added-date&gt;&lt;pub-location&gt;London&lt;/pub-location&gt;&lt;ref-type name="Book"&gt;6&lt;/ref-type&gt;&lt;dates&gt;&lt;year&gt;2008&lt;/year&gt;&lt;/dates&gt;&lt;rec-number&gt;208&lt;/rec-number&gt;&lt;publisher&gt;Routledge&lt;/publisher&gt;&lt;last-updated-date format="utc"&gt;1469215468&lt;/last-updated-date&gt;&lt;/record&gt;&lt;/Cite&gt;&lt;/EndNote&gt;</w:instrText>
      </w:r>
      <w:r>
        <w:rPr>
          <w:sz w:val="24"/>
          <w:szCs w:val="24"/>
        </w:rPr>
        <w:fldChar w:fldCharType="separate"/>
      </w:r>
      <w:r>
        <w:rPr>
          <w:noProof/>
          <w:sz w:val="24"/>
          <w:szCs w:val="24"/>
        </w:rPr>
        <w:t>(p. 41)</w:t>
      </w:r>
      <w:r>
        <w:rPr>
          <w:sz w:val="24"/>
          <w:szCs w:val="24"/>
        </w:rPr>
        <w:fldChar w:fldCharType="end"/>
      </w:r>
      <w:r>
        <w:rPr>
          <w:sz w:val="24"/>
          <w:szCs w:val="24"/>
        </w:rPr>
        <w:t>. Thus, from this theoretical perspective, the cognitive act of classifying the ‘sacred’ as distinct from the ‘profane’ is simultaneously an act of constructing a system for “specialised, symbolic structures of explicit knowledge” which transcends the unsystematised knowledge of “everyday” experience</w:t>
      </w:r>
      <w:r w:rsidR="004D2B2D">
        <w:rPr>
          <w:sz w:val="24"/>
          <w:szCs w:val="24"/>
        </w:rPr>
        <w:t xml:space="preserve"> (Bernstein, 2000, pp. 29, 160)</w:t>
      </w:r>
      <w:r>
        <w:rPr>
          <w:sz w:val="24"/>
          <w:szCs w:val="24"/>
        </w:rPr>
        <w:t xml:space="preserve">. In other words, this collective cognitive act </w:t>
      </w:r>
      <w:r w:rsidRPr="00C31880">
        <w:rPr>
          <w:sz w:val="24"/>
          <w:szCs w:val="24"/>
        </w:rPr>
        <w:t>institutionalise</w:t>
      </w:r>
      <w:r>
        <w:rPr>
          <w:sz w:val="24"/>
          <w:szCs w:val="24"/>
        </w:rPr>
        <w:t>s a system of</w:t>
      </w:r>
      <w:r w:rsidRPr="00C31880">
        <w:rPr>
          <w:sz w:val="24"/>
          <w:szCs w:val="24"/>
        </w:rPr>
        <w:t xml:space="preserve"> specialised</w:t>
      </w:r>
      <w:r>
        <w:rPr>
          <w:sz w:val="24"/>
          <w:szCs w:val="24"/>
        </w:rPr>
        <w:t xml:space="preserve">, transcendental knowledge. In this respect, it is therefore a precursor to all modern systems of specialised, “esoteric” </w:t>
      </w:r>
      <w:r>
        <w:rPr>
          <w:rFonts w:eastAsia="MalgunNew Roman"/>
          <w:sz w:val="24"/>
          <w:szCs w:val="24"/>
        </w:rPr>
        <w:fldChar w:fldCharType="begin"/>
      </w:r>
      <w:r>
        <w:rPr>
          <w:rFonts w:eastAsia="MalgunNew Roman"/>
          <w:sz w:val="24"/>
          <w:szCs w:val="24"/>
        </w:rPr>
        <w:instrText xml:space="preserve"> ADDIN EN.CITE &lt;EndNote&gt;&lt;Cite&gt;&lt;Author&gt;Bernstein&lt;/Author&gt;&lt;Year&gt;2000&lt;/Year&gt;&lt;IDText&gt;Pedagogy, symbolic control, and identity: Theory, research, critique&lt;/IDText&gt;&lt;Pages&gt;29&lt;/Pages&gt;&lt;DisplayText&gt;(Bernstein, 2000, p. 29)&lt;/DisplayText&gt;&lt;record&gt;&lt;isbn&gt;084769576X&lt;/isbn&gt;&lt;titles&gt;&lt;title&gt;Pedagogy,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format="utc"&gt;1452707855&lt;/added-date&gt;&lt;pub-location&gt;Oxford&lt;/pub-location&gt;&lt;ref-type name="Book"&gt;6&lt;/ref-type&gt;&lt;dates&gt;&lt;year&gt;2000&lt;/year&gt;&lt;/dates&gt;&lt;rec-number&gt;185&lt;/rec-number&gt;&lt;publisher&gt;Rowman &amp;amp; Littlefield&lt;/publisher&gt;&lt;last-updated-date format="utc"&gt;1477766808&lt;/last-updated-date&gt;&lt;/record&gt;&lt;/Cite&gt;&lt;/EndNote&gt;</w:instrText>
      </w:r>
      <w:r>
        <w:rPr>
          <w:rFonts w:eastAsia="MalgunNew Roman"/>
          <w:sz w:val="24"/>
          <w:szCs w:val="24"/>
        </w:rPr>
        <w:fldChar w:fldCharType="separate"/>
      </w:r>
      <w:r>
        <w:rPr>
          <w:rFonts w:eastAsia="MalgunNew Roman"/>
          <w:noProof/>
          <w:sz w:val="24"/>
          <w:szCs w:val="24"/>
        </w:rPr>
        <w:t>(Bernstein, 2000, p. 29)</w:t>
      </w:r>
      <w:r>
        <w:rPr>
          <w:rFonts w:eastAsia="MalgunNew Roman"/>
          <w:sz w:val="24"/>
          <w:szCs w:val="24"/>
        </w:rPr>
        <w:fldChar w:fldCharType="end"/>
      </w:r>
      <w:r>
        <w:rPr>
          <w:sz w:val="24"/>
          <w:szCs w:val="24"/>
        </w:rPr>
        <w:t xml:space="preserve"> knowledge</w:t>
      </w:r>
      <w:r w:rsidR="00884DCA">
        <w:rPr>
          <w:sz w:val="24"/>
          <w:szCs w:val="24"/>
        </w:rPr>
        <w:t xml:space="preserve"> and transcendental thought</w:t>
      </w:r>
      <w:r>
        <w:rPr>
          <w:sz w:val="24"/>
          <w:szCs w:val="24"/>
        </w:rPr>
        <w:t xml:space="preserve">, including that which modern societies have organised into academic disciplines. </w:t>
      </w:r>
      <w:r w:rsidR="00884DCA">
        <w:rPr>
          <w:sz w:val="24"/>
          <w:szCs w:val="24"/>
        </w:rPr>
        <w:t>A</w:t>
      </w:r>
      <w:r>
        <w:rPr>
          <w:sz w:val="24"/>
          <w:szCs w:val="24"/>
        </w:rPr>
        <w:t>cademic institutions such as universities and the disciplinary groupings which they house are arguably the primary institutions through which contemporary society pursues “transcendental” thought – or</w:t>
      </w:r>
      <w:r w:rsidR="00884DCA">
        <w:rPr>
          <w:sz w:val="24"/>
          <w:szCs w:val="24"/>
        </w:rPr>
        <w:t xml:space="preserve"> through </w:t>
      </w:r>
      <w:r w:rsidR="008D6E8B">
        <w:rPr>
          <w:sz w:val="24"/>
          <w:szCs w:val="24"/>
        </w:rPr>
        <w:t xml:space="preserve">which </w:t>
      </w:r>
      <w:r w:rsidR="00884DCA">
        <w:rPr>
          <w:sz w:val="24"/>
          <w:szCs w:val="24"/>
        </w:rPr>
        <w:t>society</w:t>
      </w:r>
      <w:r>
        <w:rPr>
          <w:sz w:val="24"/>
          <w:szCs w:val="24"/>
        </w:rPr>
        <w:t xml:space="preserve"> “partakes of the sacred” (Beck &amp; Young, 2005, p. 185). </w:t>
      </w:r>
    </w:p>
    <w:p w14:paraId="1242B58F" w14:textId="31257DD7" w:rsidR="006F35F1" w:rsidRDefault="00F00E93" w:rsidP="005734FF">
      <w:pPr>
        <w:autoSpaceDE w:val="0"/>
        <w:autoSpaceDN w:val="0"/>
        <w:adjustRightInd w:val="0"/>
        <w:spacing w:after="120" w:line="360" w:lineRule="auto"/>
        <w:rPr>
          <w:sz w:val="24"/>
          <w:szCs w:val="24"/>
        </w:rPr>
      </w:pPr>
      <w:r>
        <w:rPr>
          <w:sz w:val="24"/>
          <w:szCs w:val="24"/>
        </w:rPr>
        <w:t xml:space="preserve">Bernstein </w:t>
      </w:r>
      <w:r w:rsidR="00650BCF">
        <w:rPr>
          <w:sz w:val="24"/>
          <w:szCs w:val="24"/>
        </w:rPr>
        <w:t xml:space="preserve">(2000) </w:t>
      </w:r>
      <w:r w:rsidR="00363840">
        <w:rPr>
          <w:sz w:val="24"/>
          <w:szCs w:val="24"/>
        </w:rPr>
        <w:t xml:space="preserve">also noted </w:t>
      </w:r>
      <w:r>
        <w:rPr>
          <w:sz w:val="24"/>
          <w:szCs w:val="24"/>
        </w:rPr>
        <w:t xml:space="preserve">that the </w:t>
      </w:r>
      <w:r w:rsidR="00664D48">
        <w:rPr>
          <w:sz w:val="24"/>
          <w:szCs w:val="24"/>
        </w:rPr>
        <w:t>boundary separating the sacred from the profane, and by extension</w:t>
      </w:r>
      <w:r w:rsidR="00766F64">
        <w:rPr>
          <w:sz w:val="24"/>
          <w:szCs w:val="24"/>
        </w:rPr>
        <w:t xml:space="preserve"> </w:t>
      </w:r>
      <w:r w:rsidR="00664D48">
        <w:rPr>
          <w:sz w:val="24"/>
          <w:szCs w:val="24"/>
        </w:rPr>
        <w:t xml:space="preserve">that separating the </w:t>
      </w:r>
      <w:r w:rsidR="00766F64">
        <w:rPr>
          <w:sz w:val="24"/>
          <w:szCs w:val="24"/>
        </w:rPr>
        <w:t>transcendental</w:t>
      </w:r>
      <w:r w:rsidR="00664D48">
        <w:rPr>
          <w:sz w:val="24"/>
          <w:szCs w:val="24"/>
        </w:rPr>
        <w:t xml:space="preserve"> from the </w:t>
      </w:r>
      <w:r w:rsidR="00766F64">
        <w:rPr>
          <w:sz w:val="24"/>
          <w:szCs w:val="24"/>
        </w:rPr>
        <w:t xml:space="preserve">everyday, </w:t>
      </w:r>
      <w:r w:rsidR="00902EB2">
        <w:rPr>
          <w:rFonts w:eastAsia="MalgunNew Roman"/>
          <w:sz w:val="24"/>
          <w:szCs w:val="24"/>
        </w:rPr>
        <w:t>is</w:t>
      </w:r>
      <w:r w:rsidR="00766F64">
        <w:rPr>
          <w:rFonts w:eastAsia="MalgunNew Roman"/>
          <w:sz w:val="24"/>
          <w:szCs w:val="24"/>
        </w:rPr>
        <w:t xml:space="preserve"> n</w:t>
      </w:r>
      <w:r w:rsidR="00E1558D">
        <w:rPr>
          <w:rFonts w:eastAsia="MalgunNew Roman"/>
          <w:sz w:val="24"/>
          <w:szCs w:val="24"/>
        </w:rPr>
        <w:t>ot a complete “dis</w:t>
      </w:r>
      <w:r w:rsidR="00143C50">
        <w:rPr>
          <w:rFonts w:eastAsia="MalgunNew Roman"/>
          <w:sz w:val="24"/>
          <w:szCs w:val="24"/>
        </w:rPr>
        <w:t>location</w:t>
      </w:r>
      <w:r w:rsidR="00766F64">
        <w:rPr>
          <w:rFonts w:eastAsia="MalgunNew Roman"/>
          <w:sz w:val="24"/>
          <w:szCs w:val="24"/>
        </w:rPr>
        <w:t>”</w:t>
      </w:r>
      <w:r w:rsidR="00143C50">
        <w:rPr>
          <w:rFonts w:eastAsia="MalgunNew Roman"/>
          <w:sz w:val="24"/>
          <w:szCs w:val="24"/>
        </w:rPr>
        <w:t xml:space="preserve"> (p. 30)</w:t>
      </w:r>
      <w:r w:rsidR="00664D48">
        <w:rPr>
          <w:rFonts w:eastAsia="MalgunNew Roman"/>
          <w:sz w:val="24"/>
          <w:szCs w:val="24"/>
        </w:rPr>
        <w:t>. Despite the existence of boundaries,</w:t>
      </w:r>
      <w:r w:rsidR="00766F64">
        <w:rPr>
          <w:rFonts w:eastAsia="MalgunNew Roman"/>
          <w:sz w:val="24"/>
          <w:szCs w:val="24"/>
        </w:rPr>
        <w:t xml:space="preserve"> there must necessarily </w:t>
      </w:r>
      <w:r w:rsidR="00664D48">
        <w:rPr>
          <w:rFonts w:eastAsia="MalgunNew Roman"/>
          <w:sz w:val="24"/>
          <w:szCs w:val="24"/>
        </w:rPr>
        <w:t xml:space="preserve">also be some </w:t>
      </w:r>
      <w:r w:rsidR="00C46E61">
        <w:rPr>
          <w:rFonts w:eastAsia="MalgunNew Roman"/>
          <w:sz w:val="24"/>
          <w:szCs w:val="24"/>
        </w:rPr>
        <w:t>channel or mechanism for the boundary to be crossed, for there to be some level of mutual</w:t>
      </w:r>
      <w:r w:rsidR="00C32B14">
        <w:rPr>
          <w:rFonts w:eastAsia="MalgunNew Roman"/>
          <w:sz w:val="24"/>
          <w:szCs w:val="24"/>
        </w:rPr>
        <w:t xml:space="preserve"> (although not necessarily equal)</w:t>
      </w:r>
      <w:r w:rsidR="00C46E61">
        <w:rPr>
          <w:rFonts w:eastAsia="MalgunNew Roman"/>
          <w:sz w:val="24"/>
          <w:szCs w:val="24"/>
        </w:rPr>
        <w:t xml:space="preserve"> influence from either side of the boundary</w:t>
      </w:r>
      <w:r w:rsidR="00664D48">
        <w:rPr>
          <w:rFonts w:eastAsia="MalgunNew Roman"/>
          <w:sz w:val="24"/>
          <w:szCs w:val="24"/>
        </w:rPr>
        <w:t>.</w:t>
      </w:r>
      <w:r w:rsidR="00766F64">
        <w:rPr>
          <w:rFonts w:eastAsia="MalgunNew Roman"/>
          <w:sz w:val="24"/>
          <w:szCs w:val="24"/>
        </w:rPr>
        <w:t xml:space="preserve"> </w:t>
      </w:r>
      <w:r w:rsidR="00143C50">
        <w:rPr>
          <w:rFonts w:eastAsia="MalgunNew Roman"/>
          <w:sz w:val="24"/>
          <w:szCs w:val="24"/>
        </w:rPr>
        <w:t xml:space="preserve">This must be so since although </w:t>
      </w:r>
      <w:r w:rsidR="00222A3C">
        <w:rPr>
          <w:rFonts w:eastAsia="MalgunNew Roman"/>
          <w:sz w:val="24"/>
          <w:szCs w:val="24"/>
        </w:rPr>
        <w:t>the ‘sacred’</w:t>
      </w:r>
      <w:r w:rsidR="00143C50">
        <w:rPr>
          <w:rFonts w:eastAsia="MalgunNew Roman"/>
          <w:sz w:val="24"/>
          <w:szCs w:val="24"/>
        </w:rPr>
        <w:t xml:space="preserve"> function</w:t>
      </w:r>
      <w:r w:rsidR="00222A3C">
        <w:rPr>
          <w:rFonts w:eastAsia="MalgunNew Roman"/>
          <w:sz w:val="24"/>
          <w:szCs w:val="24"/>
        </w:rPr>
        <w:t>s</w:t>
      </w:r>
      <w:r w:rsidR="00143C50">
        <w:rPr>
          <w:rFonts w:eastAsia="MalgunNew Roman"/>
          <w:sz w:val="24"/>
          <w:szCs w:val="24"/>
        </w:rPr>
        <w:t xml:space="preserve"> to </w:t>
      </w:r>
      <w:r w:rsidR="00143C50" w:rsidRPr="00E74DED">
        <w:rPr>
          <w:rFonts w:eastAsia="MalgunNew Roman"/>
          <w:sz w:val="24"/>
          <w:szCs w:val="24"/>
        </w:rPr>
        <w:t>transcend and unite individuals,</w:t>
      </w:r>
      <w:r w:rsidR="00143C50">
        <w:rPr>
          <w:rFonts w:eastAsia="MalgunNew Roman"/>
          <w:sz w:val="24"/>
          <w:szCs w:val="24"/>
        </w:rPr>
        <w:t xml:space="preserve"> it is ultimately individuals who collectively </w:t>
      </w:r>
      <w:r w:rsidR="00627B7D">
        <w:rPr>
          <w:rFonts w:eastAsia="MalgunNew Roman"/>
          <w:sz w:val="24"/>
          <w:szCs w:val="24"/>
        </w:rPr>
        <w:t xml:space="preserve">are responsible for the construction of </w:t>
      </w:r>
      <w:r w:rsidR="00A4646B">
        <w:rPr>
          <w:rFonts w:eastAsia="MalgunNew Roman"/>
          <w:sz w:val="24"/>
          <w:szCs w:val="24"/>
        </w:rPr>
        <w:t>the symbolic, specialised, esoteric system</w:t>
      </w:r>
      <w:r w:rsidR="003A1CB5">
        <w:rPr>
          <w:rFonts w:eastAsia="MalgunNew Roman"/>
          <w:sz w:val="24"/>
          <w:szCs w:val="24"/>
        </w:rPr>
        <w:t xml:space="preserve"> </w:t>
      </w:r>
      <w:r w:rsidR="00143C50">
        <w:rPr>
          <w:rFonts w:eastAsia="MalgunNew Roman"/>
          <w:sz w:val="24"/>
          <w:szCs w:val="24"/>
        </w:rPr>
        <w:t>– they</w:t>
      </w:r>
      <w:r w:rsidR="00A4646B">
        <w:rPr>
          <w:rFonts w:eastAsia="MalgunNew Roman"/>
          <w:sz w:val="24"/>
          <w:szCs w:val="24"/>
        </w:rPr>
        <w:t xml:space="preserve"> may transcend us, but they</w:t>
      </w:r>
      <w:r w:rsidR="00143C50">
        <w:rPr>
          <w:rFonts w:eastAsia="MalgunNew Roman"/>
          <w:sz w:val="24"/>
          <w:szCs w:val="24"/>
        </w:rPr>
        <w:t xml:space="preserve"> “have their roots in us” (Durkheim, 1915, p. 420).</w:t>
      </w:r>
      <w:r w:rsidR="00143C50" w:rsidRPr="00B75612">
        <w:rPr>
          <w:sz w:val="24"/>
          <w:szCs w:val="24"/>
        </w:rPr>
        <w:t xml:space="preserve"> </w:t>
      </w:r>
      <w:r w:rsidR="009B21F7">
        <w:rPr>
          <w:sz w:val="24"/>
          <w:szCs w:val="24"/>
        </w:rPr>
        <w:t>T</w:t>
      </w:r>
      <w:r w:rsidR="00830016">
        <w:rPr>
          <w:sz w:val="24"/>
          <w:szCs w:val="24"/>
        </w:rPr>
        <w:t xml:space="preserve">he </w:t>
      </w:r>
      <w:r w:rsidR="00864DB9">
        <w:rPr>
          <w:sz w:val="24"/>
          <w:szCs w:val="24"/>
        </w:rPr>
        <w:t>construction of systems</w:t>
      </w:r>
      <w:r w:rsidR="00830016">
        <w:rPr>
          <w:sz w:val="24"/>
          <w:szCs w:val="24"/>
        </w:rPr>
        <w:t xml:space="preserve"> for specialising in the transcendental </w:t>
      </w:r>
      <w:r w:rsidR="006F13D2">
        <w:rPr>
          <w:sz w:val="24"/>
          <w:szCs w:val="24"/>
        </w:rPr>
        <w:t xml:space="preserve">involves the construction of boundaries around </w:t>
      </w:r>
      <w:r w:rsidR="00272FE7">
        <w:rPr>
          <w:sz w:val="24"/>
          <w:szCs w:val="24"/>
        </w:rPr>
        <w:t>the</w:t>
      </w:r>
      <w:r w:rsidR="006F13D2">
        <w:rPr>
          <w:sz w:val="24"/>
          <w:szCs w:val="24"/>
        </w:rPr>
        <w:t xml:space="preserve"> transcendental</w:t>
      </w:r>
      <w:r w:rsidR="00272FE7">
        <w:rPr>
          <w:sz w:val="24"/>
          <w:szCs w:val="24"/>
        </w:rPr>
        <w:t>;</w:t>
      </w:r>
      <w:r w:rsidR="006F13D2">
        <w:rPr>
          <w:sz w:val="24"/>
          <w:szCs w:val="24"/>
        </w:rPr>
        <w:t xml:space="preserve"> but</w:t>
      </w:r>
      <w:r w:rsidR="00864DB9">
        <w:rPr>
          <w:sz w:val="24"/>
          <w:szCs w:val="24"/>
        </w:rPr>
        <w:t xml:space="preserve"> such boundaries are</w:t>
      </w:r>
      <w:r w:rsidR="00272FE7">
        <w:rPr>
          <w:sz w:val="24"/>
          <w:szCs w:val="24"/>
        </w:rPr>
        <w:t xml:space="preserve"> themselves</w:t>
      </w:r>
      <w:r w:rsidR="00864DB9">
        <w:rPr>
          <w:sz w:val="24"/>
          <w:szCs w:val="24"/>
        </w:rPr>
        <w:t xml:space="preserve"> </w:t>
      </w:r>
      <w:r w:rsidR="00864DB9" w:rsidRPr="00272FE7">
        <w:rPr>
          <w:i/>
          <w:sz w:val="24"/>
          <w:szCs w:val="24"/>
        </w:rPr>
        <w:t>bound</w:t>
      </w:r>
      <w:r w:rsidR="00864DB9">
        <w:rPr>
          <w:sz w:val="24"/>
          <w:szCs w:val="24"/>
        </w:rPr>
        <w:t xml:space="preserve"> to an everyday context</w:t>
      </w:r>
      <w:r w:rsidR="00272FE7">
        <w:rPr>
          <w:sz w:val="24"/>
          <w:szCs w:val="24"/>
        </w:rPr>
        <w:t>, since</w:t>
      </w:r>
      <w:r w:rsidR="00864DB9">
        <w:rPr>
          <w:sz w:val="24"/>
          <w:szCs w:val="24"/>
        </w:rPr>
        <w:t xml:space="preserve"> they are ultimately grounded in, and give meaning to, everyday life.</w:t>
      </w:r>
      <w:r w:rsidR="006A1D35">
        <w:rPr>
          <w:sz w:val="24"/>
          <w:szCs w:val="24"/>
        </w:rPr>
        <w:t xml:space="preserve"> </w:t>
      </w:r>
      <w:r w:rsidR="00DD6433">
        <w:rPr>
          <w:sz w:val="24"/>
          <w:szCs w:val="24"/>
        </w:rPr>
        <w:t>Bernstein therefore generalises Durkheim’s concepts</w:t>
      </w:r>
      <w:r w:rsidR="006254FD">
        <w:rPr>
          <w:sz w:val="24"/>
          <w:szCs w:val="24"/>
        </w:rPr>
        <w:t>. The ‘sacred’ and the ‘profane’ become, more generally, the transcendental and the everyday.</w:t>
      </w:r>
      <w:r w:rsidR="00DD6433">
        <w:rPr>
          <w:sz w:val="24"/>
          <w:szCs w:val="24"/>
        </w:rPr>
        <w:t xml:space="preserve"> </w:t>
      </w:r>
    </w:p>
    <w:p w14:paraId="5E7C3B3D" w14:textId="48578917" w:rsidR="0020438C" w:rsidRDefault="006A1D35" w:rsidP="005734FF">
      <w:pPr>
        <w:autoSpaceDE w:val="0"/>
        <w:autoSpaceDN w:val="0"/>
        <w:adjustRightInd w:val="0"/>
        <w:spacing w:after="120" w:line="360" w:lineRule="auto"/>
        <w:rPr>
          <w:sz w:val="24"/>
          <w:szCs w:val="24"/>
        </w:rPr>
      </w:pPr>
      <w:r>
        <w:rPr>
          <w:sz w:val="24"/>
          <w:szCs w:val="24"/>
        </w:rPr>
        <w:t xml:space="preserve">There </w:t>
      </w:r>
      <w:r w:rsidR="0041579C">
        <w:rPr>
          <w:sz w:val="24"/>
          <w:szCs w:val="24"/>
        </w:rPr>
        <w:t>are a few</w:t>
      </w:r>
      <w:r>
        <w:rPr>
          <w:sz w:val="24"/>
          <w:szCs w:val="24"/>
        </w:rPr>
        <w:t xml:space="preserve"> implications of </w:t>
      </w:r>
      <w:r w:rsidR="0041579C">
        <w:rPr>
          <w:sz w:val="24"/>
          <w:szCs w:val="24"/>
        </w:rPr>
        <w:t xml:space="preserve">the above discussion </w:t>
      </w:r>
      <w:r>
        <w:rPr>
          <w:sz w:val="24"/>
          <w:szCs w:val="24"/>
        </w:rPr>
        <w:t xml:space="preserve">for </w:t>
      </w:r>
      <w:r w:rsidR="00F63424">
        <w:rPr>
          <w:sz w:val="24"/>
          <w:szCs w:val="24"/>
        </w:rPr>
        <w:t>how I have understood and applied the idea of academic boundaries in this study</w:t>
      </w:r>
      <w:r>
        <w:rPr>
          <w:sz w:val="24"/>
          <w:szCs w:val="24"/>
        </w:rPr>
        <w:t xml:space="preserve">. </w:t>
      </w:r>
      <w:r w:rsidR="0041579C">
        <w:rPr>
          <w:sz w:val="24"/>
          <w:szCs w:val="24"/>
        </w:rPr>
        <w:t>First, a</w:t>
      </w:r>
      <w:r w:rsidR="00073745">
        <w:rPr>
          <w:sz w:val="24"/>
          <w:szCs w:val="24"/>
        </w:rPr>
        <w:t xml:space="preserve"> </w:t>
      </w:r>
      <w:r w:rsidR="0041579C">
        <w:rPr>
          <w:sz w:val="24"/>
          <w:szCs w:val="24"/>
        </w:rPr>
        <w:t>bounded category</w:t>
      </w:r>
      <w:r w:rsidR="00073745">
        <w:rPr>
          <w:sz w:val="24"/>
          <w:szCs w:val="24"/>
        </w:rPr>
        <w:t xml:space="preserve"> can never be defined purely in its own terms.</w:t>
      </w:r>
      <w:r w:rsidR="0041579C">
        <w:rPr>
          <w:sz w:val="24"/>
          <w:szCs w:val="24"/>
        </w:rPr>
        <w:t xml:space="preserve"> Any category is always defined not solely in terms of what it claims to be, but rather must be defined </w:t>
      </w:r>
      <w:r w:rsidR="0041579C">
        <w:rPr>
          <w:i/>
          <w:sz w:val="24"/>
          <w:szCs w:val="24"/>
        </w:rPr>
        <w:t>relationally</w:t>
      </w:r>
      <w:r w:rsidR="0041579C">
        <w:rPr>
          <w:sz w:val="24"/>
          <w:szCs w:val="24"/>
        </w:rPr>
        <w:t xml:space="preserve">, that is, in relation to what separates it from other similar or opposing categories. Hence, any boundary is contingent upon a relation </w:t>
      </w:r>
      <w:r w:rsidR="008542CF">
        <w:rPr>
          <w:sz w:val="24"/>
          <w:szCs w:val="24"/>
        </w:rPr>
        <w:t xml:space="preserve">to that which exists outside it. Second, the construction, maintenance and reproduction of boundaries requires </w:t>
      </w:r>
      <w:r w:rsidR="008542CF">
        <w:rPr>
          <w:i/>
          <w:sz w:val="24"/>
          <w:szCs w:val="24"/>
        </w:rPr>
        <w:t>work</w:t>
      </w:r>
      <w:r w:rsidR="008573DD">
        <w:rPr>
          <w:i/>
          <w:sz w:val="24"/>
          <w:szCs w:val="24"/>
        </w:rPr>
        <w:t xml:space="preserve"> </w:t>
      </w:r>
      <w:r w:rsidR="008573DD" w:rsidRPr="0002467C">
        <w:rPr>
          <w:sz w:val="24"/>
          <w:szCs w:val="24"/>
        </w:rPr>
        <w:fldChar w:fldCharType="begin">
          <w:fldData xml:space="preserve">PEVuZE5vdGU+PENpdGU+PEF1dGhvcj5DbGFyazwvQXV0aG9yPjxZZWFyPjIwMTY8L1llYXI+PElE
VGV4dD5Cb3VuZGFyeSB3b3JrIGZvciBzdXN0YWluYWJsZSBkZXZlbG9wbWVudDogTmF0dXJhbCBy
ZXNvdXJjZSBtYW5hZ2VtZW50IGF0IHRoZSBDb25zdWx0YXRpdmUgR3JvdXAgb24gSW50ZXJuYXRp
b25hbCBBZ3JpY3VsdHVyYWwgUmVzZWFyY2ggKENHSUFSKTwvSURUZXh0PjxQcmVmaXg+aGVuY2Ug
dGhlIGNvbmNlcHQgb2YgJmFwb3M7Ym91bmRhcnkgd29yayZhcG9zO2AsIGUuZy4gPC9QcmVmaXg+
PERpc3BsYXlUZXh0PihoZW5jZSB0aGUgY29uY2VwdCBvZiAmYXBvcztib3VuZGFyeSB3b3JrJmFw
b3M7LCBlLmcuIFcuIEMuIENsYXJrIGV0IGFsLiwgMjAxNjsgR2llcnluLCAxOTgzOyBOaWNrb2xh
aSBldCBhbC4sIDIwMTI7IFBhd2xleSwgMjAxMjsgUsO2ZGRlciwgMjAxNyk8L0Rpc3BsYXlUZXh0
PjxyZWNvcmQ+PGtleXdvcmRzPjxrZXl3b3JkPlNjaWVuY2VzIChHZW5lcmFsKTwva2V5d29yZD48
L2tleXdvcmRzPjxpc2JuPjAwMjctODQyNDwvaXNibj48dGl0bGVzPjx0aXRsZT5Cb3VuZGFyeSB3
b3JrIGZvciBzdXN0YWluYWJsZSBkZXZlbG9wbWVudDogTmF0dXJhbCByZXNvdXJjZSBtYW5hZ2Vt
ZW50IGF0IHRoZSBDb25zdWx0YXRpdmUgR3JvdXAgb24gSW50ZXJuYXRpb25hbCBBZ3JpY3VsdHVy
YWwgUmVzZWFyY2ggKENHSUFSKTwvdGl0bGU+PHNlY29uZGFyeS10aXRsZT5Qcm9jZWVkaW5ncyBv
ZiB0aGUgTmF0aW9uYWwgQWNhZGVteSBvZiBTY2llbmNlczwvc2Vjb25kYXJ5LXRpdGxlPjwvdGl0
bGVzPjxwYWdlcz40NjE1PC9wYWdlcz48bnVtYmVyPjE3PC9udW1iZXI+PGNvbnRyaWJ1dG9ycz48
YXV0aG9ycz48YXV0aG9yPkNsYXJrLCBXLiBDLjwvYXV0aG9yPjxhdXRob3I+VG9taWNoLCBULiBQ
LjwvYXV0aG9yPjxhdXRob3I+dmFuIE5vb3Jkd2lqaywgTS48L2F1dGhvcj48YXV0aG9yPkd1c3Rv
biwgRC48L2F1dGhvcj48YXV0aG9yPkNhdGFjdXRhbiwgRC48L2F1dGhvcj48YXV0aG9yPkRpY2tz
b24sIE4uIE0uPC9hdXRob3I+PGF1dGhvcj5NY25pZSwgRS48L2F1dGhvcj48L2F1dGhvcnM+PC9j
b250cmlidXRvcnM+PGFkZGVkLWRhdGUgZm9ybWF0PSJ1dGMiPjE1MzI0NTIzOTg8L2FkZGVkLWRh
dGU+PHJlZi10eXBlIG5hbWU9IkpvdXJuYWwgQXJ0aWNsZSI+MTc8L3JlZi10eXBlPjxkYXRlcz48
eWVhcj4yMDE2PC95ZWFyPjwvZGF0ZXM+PHJlYy1udW1iZXI+NzYyNDwvcmVjLW51bWJlcj48bGFz
dC11cGRhdGVkLWRhdGUgZm9ybWF0PSJ1dGMiPjE1MzI0NTI2NTg8L2xhc3QtdXBkYXRlZC1kYXRl
PjxlbGVjdHJvbmljLXJlc291cmNlLW51bT4xMC4xMDczL3BuYXMuMDkwMDIzMTEwODwvZWxlY3Ry
b25pYy1yZXNvdXJjZS1udW0+PHZvbHVtZT4xMTM8L3ZvbHVtZT48L3JlY29yZD48L0NpdGU+PENp
dGU+PEF1dGhvcj5HaWVyeW48L0F1dGhvcj48WWVhcj4xOTgzPC9ZZWFyPjxJRFRleHQ+Qm91bmRh
cnktV29yayBhbmQgdGhlIERlbWFyY2F0aW9uIG9mIFNjaWVuY2UgZnJvbSBOb24tU2NpZW5jZTog
U3RyYWlucyBhbmQgSW50ZXJlc3RzIGluIFByb2Zlc3Npb25hbCBJZGVvbG9naWVzIG9mIFNjaWVu
dGlzdHM8L0lEVGV4dD48cmVjb3JkPjxrZXl3b3Jkcz48a2V5d29yZD5QaGlsb3NvcGh54oCTQXBw
bGllZCBwaGlsb3NvcGh54oCTUGhpbG9zb3BoeSBvZiBzY2llbmNl4oCTUHNldWRvc2NpZW5jZeKA
k1BocmVub2xvZ3k8L2tleXdvcmQ+PGtleXdvcmQ+U29jaWFsIHNjaWVuY2Vz4oCTQW50aHJvcG9s
b2d54oCTRXRobm9sb2d54oCTRXRobm9ncmFwaHnigJNFdXJvcGVhbiBzdHVkaWVz4oCTRXVyb3Bl
YW4gaGlzdG9yeeKAk1ZpY3RvcmlhbiBlcmHigJNWaWN0b3JpYW5zPC9rZXl3b3JkPjxrZXl3b3Jk
PlBoaWxvc29waHnigJNBcHBsaWVkIHBoaWxvc29waHnigJNQaGlsb3NvcGh5IG9mIHNjaWVuY2Xi
gJNEZW1hcmNhdGlvbiBwcm9ibGVtPC9rZXl3b3JkPjxrZXl3b3JkPkJpb2xvZ2ljYWwgc2NpZW5j
ZXPigJNCaW9sb2d54oCTQW5hdG9teTwva2V5d29yZD48a2V5d29yZD5SZWxpZ2lvbuKAk1NwaXJp
dHVhbCBiZWxpZWYgc3lzdGVtc+KAk0NocmlzdGlhbml0eTwva2V5d29yZD48a2V5d29yZD5BcHBs
aWVkIHNjaWVuY2Vz4oCTVGVjaG5vbG9neTwva2V5d29yZD48a2V5d29yZD5Qb2xpdGljYWwgc2Np
ZW5jZeKAk1BvbGl0aWNhbCBzb2Npb2xvZ3k8L2tleXdvcmQ+PGtleXdvcmQ+RWR1Y2F0aW9u4oCT
Rm9ybWFsIGVkdWNhdGlvbuKAk0VkdWNhdGlvbmFsIGluc3RpdHV0aW9uc+KAk1NjaG9vbHPigJNV
bml2ZXJzaXRpZXPigJNSZXNlYXJjaCB1bml2ZXJzaXRpZXM8L2tleXdvcmQ+PGtleXdvcmQ+UmVs
aWdpb248L2tleXdvcmQ+PGtleXdvcmQ+QXBwbGllZCBzY2llbmNlc+KAk1RlY2hub2xvZ3nigJND
b21tdW5pY2F0aW9ucyB0ZWNobm9sb2d5PC9rZXl3b3JkPjwva2V5d29yZHM+PGlzYm4+MDAwMzEy
MjQ8L2lzYm4+PHRpdGxlcz48dGl0bGU+Qm91bmRhcnktV29yayBhbmQgdGhlIERlbWFyY2F0aW9u
IG9mIFNjaWVuY2UgZnJvbSBOb24tU2NpZW5jZTogU3RyYWlucyBhbmQgSW50ZXJlc3RzIGluIFBy
b2Zlc3Npb25hbCBJZGVvbG9naWVzIG9mIFNjaWVudGlzdHM8L3RpdGxlPjxzZWNvbmRhcnktdGl0
bGU+QW1lcmljYW4gU29jaW9sb2dpY2FsIFJldmlldzwvc2Vjb25kYXJ5LXRpdGxlPjwvdGl0bGVz
PjxwYWdlcz43ODEtNzk1PC9wYWdlcz48bnVtYmVyPjY8L251bWJlcj48Y29udHJpYnV0b3JzPjxh
dXRob3JzPjxhdXRob3I+R2llcnluLCBUaG9tYXMgRi48L2F1dGhvcj48L2F1dGhvcnM+PC9jb250
cmlidXRvcnM+PGFkZGVkLWRhdGUgZm9ybWF0PSJ1dGMiPjE1Mjc5NzcxNDY8L2FkZGVkLWRhdGU+
PHJlZi10eXBlIG5hbWU9IkpvdXJuYWwgQXJ0aWNsZSI+MTc8L3JlZi10eXBlPjxkYXRlcz48eWVh
cj4xOTgzPC95ZWFyPjwvZGF0ZXM+PHJlYy1udW1iZXI+NzU0MTwvcmVjLW51bWJlcj48bGFzdC11
cGRhdGVkLWRhdGUgZm9ybWF0PSJ1dGMiPjE1Mjc5NzcxNDY8L2xhc3QtdXBkYXRlZC1kYXRlPjxl
bGVjdHJvbmljLXJlc291cmNlLW51bT4xMC4yMzA3LzIwOTUzMjU8L2VsZWN0cm9uaWMtcmVzb3Vy
Y2UtbnVtPjx2b2x1bWU+NDg8L3ZvbHVtZT48L3JlY29yZD48L0NpdGU+PENpdGU+PEF1dGhvcj5O
aWNrb2xhaTwvQXV0aG9yPjxZZWFyPjIwMTI8L1llYXI+PElEVGV4dD5DYW4gYSBLbm93bGVkZ2Ug
U2FuY3R1YXJ5IGFsc28gYmUgYW4gRWNvbm9taWMgRW5naW5lPyBUaGUgTWFya2V0aXphdGlvbiBv
ZiBIaWdoZXIgRWR1Y2F0aW9uIGFzIEluc3RpdHV0aW9uYWwgQm91bmRhcnkgV29yazwvSURUZXh0
PjxyZWNvcmQ+PGtleXdvcmRzPjxrZXl3b3JkPkhpZ2hlciBFZHVjYXRpb248L2tleXdvcmQ+PGtl
eXdvcmQ+S25vd2xlZGdlPC9rZXl3b3JkPjxrZXl3b3JkPkNvbGxlZ2UgU3R1ZGVudHM8L2tleXdv
cmQ+PGtleXdvcmQ+TGVhcm5pbmc8L2tleXdvcmQ+PGtleXdvcmQ+U3R1ZGVudHM8L2tleXdvcmQ+
PGtleXdvcmQ+TWFya2V0czwva2V5d29yZD48a2V5d29yZD5WYWx1ZXM8L2tleXdvcmQ+PGtleXdv
cmQ+T3JnYW5pemF0aW9uYWwgU3RydWN0dXJlPC9rZXl3b3JkPjxrZXl3b3JkPkN1bHR1cmFsIEdy
b3Vwczwva2V5d29yZD48a2V5d29yZD5Db21wbGV4IE9yZ2FuaXphdGlvbjwva2V5d29yZD48a2V5
d29yZD5CdXJlYXVjcmF0aWMgU3RydWN0dXJlL09yZ2FuaXphdGlvbmFsIFNvY2lvbG9neTwva2V5
d29yZD48a2V5d29yZD5BcnRpY2xlPC9rZXl3b3JkPjwva2V5d29yZHM+PGlzYm4+MTc1MS05MDIw
PC9pc2JuPjx0aXRsZXM+PHRpdGxlPkNhbiBhIEtub3dsZWRnZSBTYW5jdHVhcnkgYWxzbyBiZSBh
biBFY29ub21pYyBFbmdpbmU/IFRoZSBNYXJrZXRpemF0aW9uIG9mIEhpZ2hlciBFZHVjYXRpb24g
YXMgSW5zdGl0dXRpb25hbCBCb3VuZGFyeSBXb3JrPC90aXRsZT48L3RpdGxlcz48cGFnZXM+MjA1
LTIxODwvcGFnZXM+PGNvbnRyaWJ1dG9ycz48YXV0aG9ycz48YXV0aG9yPk5pY2tvbGFpLCBEYW5p
ZWwgSC48L2F1dGhvcj48YXV0aG9yPkhvZmZtYW4sIFN0ZXZlIEcuPC9hdXRob3I+PGF1dGhvcj5U
cmF1dG5lciwgTWFyeSBOZWxsPC9hdXRob3I+PC9hdXRob3JzPjwvY29udHJpYnV0b3JzPjxhZGRl
ZC1kYXRlIGZvcm1hdD0idXRjIj4xNTIzMzc0MDc0PC9hZGRlZC1kYXRlPjxwdWItbG9jYXRpb24+
T3hmb3JkLCBVSzwvcHViLWxvY2F0aW9uPjxyZWYtdHlwZSBuYW1lPSJHZW5lcmljIj4xMzwvcmVm
LXR5cGU+PGRhdGVzPjx5ZWFyPjIwMTI8L3llYXI+PC9kYXRlcz48cmVjLW51bWJlcj43NDcwPC9y
ZWMtbnVtYmVyPjxsYXN0LXVwZGF0ZWQtZGF0ZSBmb3JtYXQ9InV0YyI+MTUyMzM3NDA3NDwvbGFz
dC11cGRhdGVkLWRhdGU+PGVsZWN0cm9uaWMtcmVzb3VyY2UtbnVtPjEwLjExMTEvai4xNzUxLTkw
MjAuMjAxMS4wMDQ0OS54PC9lbGVjdHJvbmljLXJlc291cmNlLW51bT48dm9sdW1lPjY8L3ZvbHVt
ZT48L3JlY29yZD48L0NpdGU+PENpdGU+PEF1dGhvcj5QYXdsZXk8L0F1dGhvcj48WWVhcj4yMDEy
PC9ZZWFyPjxJRFRleHQ+RW5naW5lZXJpbmcgZmFjdWx0eSBkcmF3aW5nIHRoZSBsaW5lOiBhIHRh
eG9ub215IG9mIGJvdW5kYXJ5IHdvcmsgaW4gYWNhZGVtaWMgZW5naW5lZXJpbmc8L0lEVGV4dD48
cmVjb3JkPjxrZXl3b3Jkcz48a2V5d29yZD5Cb3VuZGFyeSBUYXhvbm9teTwva2V5d29yZD48a2V5
d29yZD5Cb3VuZGFyeSBXb3JrPC9rZXl3b3JkPjxrZXl3b3JkPkJvdW5kYXJ5IE1hcmtlcnM8L2tl
eXdvcmQ+PGtleXdvcmQ+RW5naW5lZXJpbmcgRmFjdWx0eSBNZW1iZXJzPC9rZXl3b3JkPjwva2V5
d29yZHM+PGlzYm4+MTkzNy04NjI5PC9pc2JuPjx0aXRsZXM+PHRpdGxlPkVuZ2luZWVyaW5nIGZh
Y3VsdHkgZHJhd2luZyB0aGUgbGluZTogYSB0YXhvbm9teSBvZiBib3VuZGFyeSB3b3JrIGluIGFj
YWRlbWljIGVuZ2luZWVyaW5nPC90aXRsZT48c2Vjb25kYXJ5LXRpdGxlPkVuZ2luZWVyaW5nIFN0
dWRpZXM8L3NlY29uZGFyeS10aXRsZT48L3RpdGxlcz48cGFnZXM+MTQ1LTE2OTwvcGFnZXM+PG51
bWJlcj4yPC9udW1iZXI+PGNvbnRyaWJ1dG9ycz48YXV0aG9ycz48YXV0aG9yPlBhd2xleSwgQWxp
Y2UgTC48L2F1dGhvcj48L2F1dGhvcnM+PC9jb250cmlidXRvcnM+PGFkZGVkLWRhdGUgZm9ybWF0
PSJ1dGMiPjE1MjMzNzQzNDM8L2FkZGVkLWRhdGU+PHJlZi10eXBlIG5hbWU9IkpvdXJuYWwgQXJ0
aWNsZSI+MTc8L3JlZi10eXBlPjxkYXRlcz48eWVhcj4yMDEyPC95ZWFyPjwvZGF0ZXM+PHJlYy1u
dW1iZXI+NzQ3MTwvcmVjLW51bWJlcj48cHVibGlzaGVyPlRheWxvciAmYW1wOyBGcmFuY2lzPC9w
dWJsaXNoZXI+PGxhc3QtdXBkYXRlZC1kYXRlIGZvcm1hdD0idXRjIj4xNTIzMzc0MzQzPC9sYXN0
LXVwZGF0ZWQtZGF0ZT48ZWxlY3Ryb25pYy1yZXNvdXJjZS1udW0+MTAuMTA4MC8xOTM3ODYyOS4y
MDEyLjY4NzAwMDwvZWxlY3Ryb25pYy1yZXNvdXJjZS1udW0+PHZvbHVtZT40PC92b2x1bWU+PC9y
ZWNvcmQ+PC9DaXRlPjxDaXRlPjxBdXRob3I+UsO2ZGRlcjwvQXV0aG9yPjxZZWFyPjIwMTc8L1ll
YXI+PElEVGV4dD5UaGUgQ2xpbWF0ZSBvZiBTY2llbmNlLSBBcnQgYW5kIHRoZSBBcnQtIFNjaWVu
Y2Ugb2YgdGhlIENsaW1hdGU6IE1lZXRpbmcgUG9pbnRzLCBCb3VuZGFyeSBPYmplY3RzIGFuZCBC
b3VuZGFyeSBXb3JrPC9JRFRleHQ+PHJlY29yZD48a2V5d29yZHM+PGtleXdvcmQ+QXJ0LSBzY2ll
bmNlPC9rZXl3b3JkPjxrZXl3b3JkPkJvdW5kYXJ5IHdvcms8L2tleXdvcmQ+PGtleXdvcmQ+KElu
aGliaXRvcnkpIGJvdW5kYXJ5IG9iamVjdDwva2V5d29yZD48a2V5d29yZD5DbGltYXRlIGNoYW5n
ZTwva2V5d29yZD48a2V5d29yZD5BcnRpc3RpYyByZXNlYXJjaDwva2V5d29yZD48L2tleXdvcmRz
Pjxpc2JuPjAwMjYtNDY5NTwvaXNibj48dGl0bGVzPjx0aXRsZT5UaGUgQ2xpbWF0ZSBvZiBTY2ll
bmNlLSBBcnQgYW5kIHRoZSBBcnQtIFNjaWVuY2Ugb2YgdGhlIENsaW1hdGU6IE1lZXRpbmcgUG9p
bnRzLCBCb3VuZGFyeSBPYmplY3RzIGFuZCBCb3VuZGFyeSBXb3JrPC90aXRsZT48c2Vjb25kYXJ5
LXRpdGxlPkEgUmV2aWV3IG9mIFNjaWVuY2UsIExlYXJuaW5nIGFuZCBQb2xpY3k8L3NlY29uZGFy
eS10aXRsZT48L3RpdGxlcz48cGFnZXM+OTMtMTE2PC9wYWdlcz48bnVtYmVyPjE8L251bWJlcj48
Y29udHJpYnV0b3JzPjxhdXRob3JzPjxhdXRob3I+UsO2ZGRlciwgU2ltb25lPC9hdXRob3I+PC9h
dXRob3JzPjwvY29udHJpYnV0b3JzPjxhZGRlZC1kYXRlIGZvcm1hdD0idXRjIj4xNTE5NTY5NDQz
PC9hZGRlZC1kYXRlPjxwdWItbG9jYXRpb24+RG9yZHJlY2h0PC9wdWItbG9jYXRpb24+PHJlZi10
eXBlIG5hbWU9IkpvdXJuYWwgQXJ0aWNsZSI+MTc8L3JlZi10eXBlPjxkYXRlcz48eWVhcj4yMDE3
PC95ZWFyPjwvZGF0ZXM+PHJlYy1udW1iZXI+NzM1OTwvcmVjLW51bWJlcj48bGFzdC11cGRhdGVk
LWRhdGUgZm9ybWF0PSJ1dGMiPjE1MTk1Njk0NDM8L2xhc3QtdXBkYXRlZC1kYXRlPjxlbGVjdHJv
bmljLXJlc291cmNlLW51bT4xMC4xMDA3L3MxMTAyNC0wMTYtOTMxMi15PC9lbGVjdHJvbmljLXJl
c291cmNlLW51bT48dm9sdW1lPjU1PC92b2x1bWU+PC9yZWNvcmQ+PC9DaXRlPjwvRW5kTm90ZT4A
</w:fldData>
        </w:fldChar>
      </w:r>
      <w:r w:rsidR="0002467C">
        <w:rPr>
          <w:sz w:val="24"/>
          <w:szCs w:val="24"/>
        </w:rPr>
        <w:instrText xml:space="preserve"> ADDIN EN.CITE </w:instrText>
      </w:r>
      <w:r w:rsidR="0002467C">
        <w:rPr>
          <w:sz w:val="24"/>
          <w:szCs w:val="24"/>
        </w:rPr>
        <w:fldChar w:fldCharType="begin">
          <w:fldData xml:space="preserve">PEVuZE5vdGU+PENpdGU+PEF1dGhvcj5DbGFyazwvQXV0aG9yPjxZZWFyPjIwMTY8L1llYXI+PElE
VGV4dD5Cb3VuZGFyeSB3b3JrIGZvciBzdXN0YWluYWJsZSBkZXZlbG9wbWVudDogTmF0dXJhbCBy
ZXNvdXJjZSBtYW5hZ2VtZW50IGF0IHRoZSBDb25zdWx0YXRpdmUgR3JvdXAgb24gSW50ZXJuYXRp
b25hbCBBZ3JpY3VsdHVyYWwgUmVzZWFyY2ggKENHSUFSKTwvSURUZXh0PjxQcmVmaXg+aGVuY2Ug
dGhlIGNvbmNlcHQgb2YgJmFwb3M7Ym91bmRhcnkgd29yayZhcG9zO2AsIGUuZy4gPC9QcmVmaXg+
PERpc3BsYXlUZXh0PihoZW5jZSB0aGUgY29uY2VwdCBvZiAmYXBvcztib3VuZGFyeSB3b3JrJmFw
b3M7LCBlLmcuIFcuIEMuIENsYXJrIGV0IGFsLiwgMjAxNjsgR2llcnluLCAxOTgzOyBOaWNrb2xh
aSBldCBhbC4sIDIwMTI7IFBhd2xleSwgMjAxMjsgUsO2ZGRlciwgMjAxNyk8L0Rpc3BsYXlUZXh0
PjxyZWNvcmQ+PGtleXdvcmRzPjxrZXl3b3JkPlNjaWVuY2VzIChHZW5lcmFsKTwva2V5d29yZD48
L2tleXdvcmRzPjxpc2JuPjAwMjctODQyNDwvaXNibj48dGl0bGVzPjx0aXRsZT5Cb3VuZGFyeSB3
b3JrIGZvciBzdXN0YWluYWJsZSBkZXZlbG9wbWVudDogTmF0dXJhbCByZXNvdXJjZSBtYW5hZ2Vt
ZW50IGF0IHRoZSBDb25zdWx0YXRpdmUgR3JvdXAgb24gSW50ZXJuYXRpb25hbCBBZ3JpY3VsdHVy
YWwgUmVzZWFyY2ggKENHSUFSKTwvdGl0bGU+PHNlY29uZGFyeS10aXRsZT5Qcm9jZWVkaW5ncyBv
ZiB0aGUgTmF0aW9uYWwgQWNhZGVteSBvZiBTY2llbmNlczwvc2Vjb25kYXJ5LXRpdGxlPjwvdGl0
bGVzPjxwYWdlcz40NjE1PC9wYWdlcz48bnVtYmVyPjE3PC9udW1iZXI+PGNvbnRyaWJ1dG9ycz48
YXV0aG9ycz48YXV0aG9yPkNsYXJrLCBXLiBDLjwvYXV0aG9yPjxhdXRob3I+VG9taWNoLCBULiBQ
LjwvYXV0aG9yPjxhdXRob3I+dmFuIE5vb3Jkd2lqaywgTS48L2F1dGhvcj48YXV0aG9yPkd1c3Rv
biwgRC48L2F1dGhvcj48YXV0aG9yPkNhdGFjdXRhbiwgRC48L2F1dGhvcj48YXV0aG9yPkRpY2tz
b24sIE4uIE0uPC9hdXRob3I+PGF1dGhvcj5NY25pZSwgRS48L2F1dGhvcj48L2F1dGhvcnM+PC9j
b250cmlidXRvcnM+PGFkZGVkLWRhdGUgZm9ybWF0PSJ1dGMiPjE1MzI0NTIzOTg8L2FkZGVkLWRh
dGU+PHJlZi10eXBlIG5hbWU9IkpvdXJuYWwgQXJ0aWNsZSI+MTc8L3JlZi10eXBlPjxkYXRlcz48
eWVhcj4yMDE2PC95ZWFyPjwvZGF0ZXM+PHJlYy1udW1iZXI+NzYyNDwvcmVjLW51bWJlcj48bGFz
dC11cGRhdGVkLWRhdGUgZm9ybWF0PSJ1dGMiPjE1MzI0NTI2NTg8L2xhc3QtdXBkYXRlZC1kYXRl
PjxlbGVjdHJvbmljLXJlc291cmNlLW51bT4xMC4xMDczL3BuYXMuMDkwMDIzMTEwODwvZWxlY3Ry
b25pYy1yZXNvdXJjZS1udW0+PHZvbHVtZT4xMTM8L3ZvbHVtZT48L3JlY29yZD48L0NpdGU+PENp
dGU+PEF1dGhvcj5HaWVyeW48L0F1dGhvcj48WWVhcj4xOTgzPC9ZZWFyPjxJRFRleHQ+Qm91bmRh
cnktV29yayBhbmQgdGhlIERlbWFyY2F0aW9uIG9mIFNjaWVuY2UgZnJvbSBOb24tU2NpZW5jZTog
U3RyYWlucyBhbmQgSW50ZXJlc3RzIGluIFByb2Zlc3Npb25hbCBJZGVvbG9naWVzIG9mIFNjaWVu
dGlzdHM8L0lEVGV4dD48cmVjb3JkPjxrZXl3b3Jkcz48a2V5d29yZD5QaGlsb3NvcGh54oCTQXBw
bGllZCBwaGlsb3NvcGh54oCTUGhpbG9zb3BoeSBvZiBzY2llbmNl4oCTUHNldWRvc2NpZW5jZeKA
k1BocmVub2xvZ3k8L2tleXdvcmQ+PGtleXdvcmQ+U29jaWFsIHNjaWVuY2Vz4oCTQW50aHJvcG9s
b2d54oCTRXRobm9sb2d54oCTRXRobm9ncmFwaHnigJNFdXJvcGVhbiBzdHVkaWVz4oCTRXVyb3Bl
YW4gaGlzdG9yeeKAk1ZpY3RvcmlhbiBlcmHigJNWaWN0b3JpYW5zPC9rZXl3b3JkPjxrZXl3b3Jk
PlBoaWxvc29waHnigJNBcHBsaWVkIHBoaWxvc29waHnigJNQaGlsb3NvcGh5IG9mIHNjaWVuY2Xi
gJNEZW1hcmNhdGlvbiBwcm9ibGVtPC9rZXl3b3JkPjxrZXl3b3JkPkJpb2xvZ2ljYWwgc2NpZW5j
ZXPigJNCaW9sb2d54oCTQW5hdG9teTwva2V5d29yZD48a2V5d29yZD5SZWxpZ2lvbuKAk1NwaXJp
dHVhbCBiZWxpZWYgc3lzdGVtc+KAk0NocmlzdGlhbml0eTwva2V5d29yZD48a2V5d29yZD5BcHBs
aWVkIHNjaWVuY2Vz4oCTVGVjaG5vbG9neTwva2V5d29yZD48a2V5d29yZD5Qb2xpdGljYWwgc2Np
ZW5jZeKAk1BvbGl0aWNhbCBzb2Npb2xvZ3k8L2tleXdvcmQ+PGtleXdvcmQ+RWR1Y2F0aW9u4oCT
Rm9ybWFsIGVkdWNhdGlvbuKAk0VkdWNhdGlvbmFsIGluc3RpdHV0aW9uc+KAk1NjaG9vbHPigJNV
bml2ZXJzaXRpZXPigJNSZXNlYXJjaCB1bml2ZXJzaXRpZXM8L2tleXdvcmQ+PGtleXdvcmQ+UmVs
aWdpb248L2tleXdvcmQ+PGtleXdvcmQ+QXBwbGllZCBzY2llbmNlc+KAk1RlY2hub2xvZ3nigJND
b21tdW5pY2F0aW9ucyB0ZWNobm9sb2d5PC9rZXl3b3JkPjwva2V5d29yZHM+PGlzYm4+MDAwMzEy
MjQ8L2lzYm4+PHRpdGxlcz48dGl0bGU+Qm91bmRhcnktV29yayBhbmQgdGhlIERlbWFyY2F0aW9u
IG9mIFNjaWVuY2UgZnJvbSBOb24tU2NpZW5jZTogU3RyYWlucyBhbmQgSW50ZXJlc3RzIGluIFBy
b2Zlc3Npb25hbCBJZGVvbG9naWVzIG9mIFNjaWVudGlzdHM8L3RpdGxlPjxzZWNvbmRhcnktdGl0
bGU+QW1lcmljYW4gU29jaW9sb2dpY2FsIFJldmlldzwvc2Vjb25kYXJ5LXRpdGxlPjwvdGl0bGVz
PjxwYWdlcz43ODEtNzk1PC9wYWdlcz48bnVtYmVyPjY8L251bWJlcj48Y29udHJpYnV0b3JzPjxh
dXRob3JzPjxhdXRob3I+R2llcnluLCBUaG9tYXMgRi48L2F1dGhvcj48L2F1dGhvcnM+PC9jb250
cmlidXRvcnM+PGFkZGVkLWRhdGUgZm9ybWF0PSJ1dGMiPjE1Mjc5NzcxNDY8L2FkZGVkLWRhdGU+
PHJlZi10eXBlIG5hbWU9IkpvdXJuYWwgQXJ0aWNsZSI+MTc8L3JlZi10eXBlPjxkYXRlcz48eWVh
cj4xOTgzPC95ZWFyPjwvZGF0ZXM+PHJlYy1udW1iZXI+NzU0MTwvcmVjLW51bWJlcj48bGFzdC11
cGRhdGVkLWRhdGUgZm9ybWF0PSJ1dGMiPjE1Mjc5NzcxNDY8L2xhc3QtdXBkYXRlZC1kYXRlPjxl
bGVjdHJvbmljLXJlc291cmNlLW51bT4xMC4yMzA3LzIwOTUzMjU8L2VsZWN0cm9uaWMtcmVzb3Vy
Y2UtbnVtPjx2b2x1bWU+NDg8L3ZvbHVtZT48L3JlY29yZD48L0NpdGU+PENpdGU+PEF1dGhvcj5O
aWNrb2xhaTwvQXV0aG9yPjxZZWFyPjIwMTI8L1llYXI+PElEVGV4dD5DYW4gYSBLbm93bGVkZ2Ug
U2FuY3R1YXJ5IGFsc28gYmUgYW4gRWNvbm9taWMgRW5naW5lPyBUaGUgTWFya2V0aXphdGlvbiBv
ZiBIaWdoZXIgRWR1Y2F0aW9uIGFzIEluc3RpdHV0aW9uYWwgQm91bmRhcnkgV29yazwvSURUZXh0
PjxyZWNvcmQ+PGtleXdvcmRzPjxrZXl3b3JkPkhpZ2hlciBFZHVjYXRpb248L2tleXdvcmQ+PGtl
eXdvcmQ+S25vd2xlZGdlPC9rZXl3b3JkPjxrZXl3b3JkPkNvbGxlZ2UgU3R1ZGVudHM8L2tleXdv
cmQ+PGtleXdvcmQ+TGVhcm5pbmc8L2tleXdvcmQ+PGtleXdvcmQ+U3R1ZGVudHM8L2tleXdvcmQ+
PGtleXdvcmQ+TWFya2V0czwva2V5d29yZD48a2V5d29yZD5WYWx1ZXM8L2tleXdvcmQ+PGtleXdv
cmQ+T3JnYW5pemF0aW9uYWwgU3RydWN0dXJlPC9rZXl3b3JkPjxrZXl3b3JkPkN1bHR1cmFsIEdy
b3Vwczwva2V5d29yZD48a2V5d29yZD5Db21wbGV4IE9yZ2FuaXphdGlvbjwva2V5d29yZD48a2V5
d29yZD5CdXJlYXVjcmF0aWMgU3RydWN0dXJlL09yZ2FuaXphdGlvbmFsIFNvY2lvbG9neTwva2V5
d29yZD48a2V5d29yZD5BcnRpY2xlPC9rZXl3b3JkPjwva2V5d29yZHM+PGlzYm4+MTc1MS05MDIw
PC9pc2JuPjx0aXRsZXM+PHRpdGxlPkNhbiBhIEtub3dsZWRnZSBTYW5jdHVhcnkgYWxzbyBiZSBh
biBFY29ub21pYyBFbmdpbmU/IFRoZSBNYXJrZXRpemF0aW9uIG9mIEhpZ2hlciBFZHVjYXRpb24g
YXMgSW5zdGl0dXRpb25hbCBCb3VuZGFyeSBXb3JrPC90aXRsZT48L3RpdGxlcz48cGFnZXM+MjA1
LTIxODwvcGFnZXM+PGNvbnRyaWJ1dG9ycz48YXV0aG9ycz48YXV0aG9yPk5pY2tvbGFpLCBEYW5p
ZWwgSC48L2F1dGhvcj48YXV0aG9yPkhvZmZtYW4sIFN0ZXZlIEcuPC9hdXRob3I+PGF1dGhvcj5U
cmF1dG5lciwgTWFyeSBOZWxsPC9hdXRob3I+PC9hdXRob3JzPjwvY29udHJpYnV0b3JzPjxhZGRl
ZC1kYXRlIGZvcm1hdD0idXRjIj4xNTIzMzc0MDc0PC9hZGRlZC1kYXRlPjxwdWItbG9jYXRpb24+
T3hmb3JkLCBVSzwvcHViLWxvY2F0aW9uPjxyZWYtdHlwZSBuYW1lPSJHZW5lcmljIj4xMzwvcmVm
LXR5cGU+PGRhdGVzPjx5ZWFyPjIwMTI8L3llYXI+PC9kYXRlcz48cmVjLW51bWJlcj43NDcwPC9y
ZWMtbnVtYmVyPjxsYXN0LXVwZGF0ZWQtZGF0ZSBmb3JtYXQ9InV0YyI+MTUyMzM3NDA3NDwvbGFz
dC11cGRhdGVkLWRhdGU+PGVsZWN0cm9uaWMtcmVzb3VyY2UtbnVtPjEwLjExMTEvai4xNzUxLTkw
MjAuMjAxMS4wMDQ0OS54PC9lbGVjdHJvbmljLXJlc291cmNlLW51bT48dm9sdW1lPjY8L3ZvbHVt
ZT48L3JlY29yZD48L0NpdGU+PENpdGU+PEF1dGhvcj5QYXdsZXk8L0F1dGhvcj48WWVhcj4yMDEy
PC9ZZWFyPjxJRFRleHQ+RW5naW5lZXJpbmcgZmFjdWx0eSBkcmF3aW5nIHRoZSBsaW5lOiBhIHRh
eG9ub215IG9mIGJvdW5kYXJ5IHdvcmsgaW4gYWNhZGVtaWMgZW5naW5lZXJpbmc8L0lEVGV4dD48
cmVjb3JkPjxrZXl3b3Jkcz48a2V5d29yZD5Cb3VuZGFyeSBUYXhvbm9teTwva2V5d29yZD48a2V5
d29yZD5Cb3VuZGFyeSBXb3JrPC9rZXl3b3JkPjxrZXl3b3JkPkJvdW5kYXJ5IE1hcmtlcnM8L2tl
eXdvcmQ+PGtleXdvcmQ+RW5naW5lZXJpbmcgRmFjdWx0eSBNZW1iZXJzPC9rZXl3b3JkPjwva2V5
d29yZHM+PGlzYm4+MTkzNy04NjI5PC9pc2JuPjx0aXRsZXM+PHRpdGxlPkVuZ2luZWVyaW5nIGZh
Y3VsdHkgZHJhd2luZyB0aGUgbGluZTogYSB0YXhvbm9teSBvZiBib3VuZGFyeSB3b3JrIGluIGFj
YWRlbWljIGVuZ2luZWVyaW5nPC90aXRsZT48c2Vjb25kYXJ5LXRpdGxlPkVuZ2luZWVyaW5nIFN0
dWRpZXM8L3NlY29uZGFyeS10aXRsZT48L3RpdGxlcz48cGFnZXM+MTQ1LTE2OTwvcGFnZXM+PG51
bWJlcj4yPC9udW1iZXI+PGNvbnRyaWJ1dG9ycz48YXV0aG9ycz48YXV0aG9yPlBhd2xleSwgQWxp
Y2UgTC48L2F1dGhvcj48L2F1dGhvcnM+PC9jb250cmlidXRvcnM+PGFkZGVkLWRhdGUgZm9ybWF0
PSJ1dGMiPjE1MjMzNzQzNDM8L2FkZGVkLWRhdGU+PHJlZi10eXBlIG5hbWU9IkpvdXJuYWwgQXJ0
aWNsZSI+MTc8L3JlZi10eXBlPjxkYXRlcz48eWVhcj4yMDEyPC95ZWFyPjwvZGF0ZXM+PHJlYy1u
dW1iZXI+NzQ3MTwvcmVjLW51bWJlcj48cHVibGlzaGVyPlRheWxvciAmYW1wOyBGcmFuY2lzPC9w
dWJsaXNoZXI+PGxhc3QtdXBkYXRlZC1kYXRlIGZvcm1hdD0idXRjIj4xNTIzMzc0MzQzPC9sYXN0
LXVwZGF0ZWQtZGF0ZT48ZWxlY3Ryb25pYy1yZXNvdXJjZS1udW0+MTAuMTA4MC8xOTM3ODYyOS4y
MDEyLjY4NzAwMDwvZWxlY3Ryb25pYy1yZXNvdXJjZS1udW0+PHZvbHVtZT40PC92b2x1bWU+PC9y
ZWNvcmQ+PC9DaXRlPjxDaXRlPjxBdXRob3I+UsO2ZGRlcjwvQXV0aG9yPjxZZWFyPjIwMTc8L1ll
YXI+PElEVGV4dD5UaGUgQ2xpbWF0ZSBvZiBTY2llbmNlLSBBcnQgYW5kIHRoZSBBcnQtIFNjaWVu
Y2Ugb2YgdGhlIENsaW1hdGU6IE1lZXRpbmcgUG9pbnRzLCBCb3VuZGFyeSBPYmplY3RzIGFuZCBC
b3VuZGFyeSBXb3JrPC9JRFRleHQ+PHJlY29yZD48a2V5d29yZHM+PGtleXdvcmQ+QXJ0LSBzY2ll
bmNlPC9rZXl3b3JkPjxrZXl3b3JkPkJvdW5kYXJ5IHdvcms8L2tleXdvcmQ+PGtleXdvcmQ+KElu
aGliaXRvcnkpIGJvdW5kYXJ5IG9iamVjdDwva2V5d29yZD48a2V5d29yZD5DbGltYXRlIGNoYW5n
ZTwva2V5d29yZD48a2V5d29yZD5BcnRpc3RpYyByZXNlYXJjaDwva2V5d29yZD48L2tleXdvcmRz
Pjxpc2JuPjAwMjYtNDY5NTwvaXNibj48dGl0bGVzPjx0aXRsZT5UaGUgQ2xpbWF0ZSBvZiBTY2ll
bmNlLSBBcnQgYW5kIHRoZSBBcnQtIFNjaWVuY2Ugb2YgdGhlIENsaW1hdGU6IE1lZXRpbmcgUG9p
bnRzLCBCb3VuZGFyeSBPYmplY3RzIGFuZCBCb3VuZGFyeSBXb3JrPC90aXRsZT48c2Vjb25kYXJ5
LXRpdGxlPkEgUmV2aWV3IG9mIFNjaWVuY2UsIExlYXJuaW5nIGFuZCBQb2xpY3k8L3NlY29uZGFy
eS10aXRsZT48L3RpdGxlcz48cGFnZXM+OTMtMTE2PC9wYWdlcz48bnVtYmVyPjE8L251bWJlcj48
Y29udHJpYnV0b3JzPjxhdXRob3JzPjxhdXRob3I+UsO2ZGRlciwgU2ltb25lPC9hdXRob3I+PC9h
dXRob3JzPjwvY29udHJpYnV0b3JzPjxhZGRlZC1kYXRlIGZvcm1hdD0idXRjIj4xNTE5NTY5NDQz
PC9hZGRlZC1kYXRlPjxwdWItbG9jYXRpb24+RG9yZHJlY2h0PC9wdWItbG9jYXRpb24+PHJlZi10
eXBlIG5hbWU9IkpvdXJuYWwgQXJ0aWNsZSI+MTc8L3JlZi10eXBlPjxkYXRlcz48eWVhcj4yMDE3
PC95ZWFyPjwvZGF0ZXM+PHJlYy1udW1iZXI+NzM1OTwvcmVjLW51bWJlcj48bGFzdC11cGRhdGVk
LWRhdGUgZm9ybWF0PSJ1dGMiPjE1MTk1Njk0NDM8L2xhc3QtdXBkYXRlZC1kYXRlPjxlbGVjdHJv
bmljLXJlc291cmNlLW51bT4xMC4xMDA3L3MxMTAyNC0wMTYtOTMxMi15PC9lbGVjdHJvbmljLXJl
c291cmNlLW51bT48dm9sdW1lPjU1PC92b2x1bWU+PC9yZWNvcmQ+PC9DaXRlPjwvRW5kTm90ZT4A
</w:fldData>
        </w:fldChar>
      </w:r>
      <w:r w:rsidR="0002467C">
        <w:rPr>
          <w:sz w:val="24"/>
          <w:szCs w:val="24"/>
        </w:rPr>
        <w:instrText xml:space="preserve"> ADDIN EN.CITE.DATA </w:instrText>
      </w:r>
      <w:r w:rsidR="0002467C">
        <w:rPr>
          <w:sz w:val="24"/>
          <w:szCs w:val="24"/>
        </w:rPr>
      </w:r>
      <w:r w:rsidR="0002467C">
        <w:rPr>
          <w:sz w:val="24"/>
          <w:szCs w:val="24"/>
        </w:rPr>
        <w:fldChar w:fldCharType="end"/>
      </w:r>
      <w:r w:rsidR="008573DD" w:rsidRPr="0002467C">
        <w:rPr>
          <w:sz w:val="24"/>
          <w:szCs w:val="24"/>
        </w:rPr>
      </w:r>
      <w:r w:rsidR="008573DD" w:rsidRPr="0002467C">
        <w:rPr>
          <w:sz w:val="24"/>
          <w:szCs w:val="24"/>
        </w:rPr>
        <w:fldChar w:fldCharType="separate"/>
      </w:r>
      <w:r w:rsidR="0002467C">
        <w:rPr>
          <w:noProof/>
          <w:sz w:val="24"/>
          <w:szCs w:val="24"/>
        </w:rPr>
        <w:t>(hence the concept of 'boundary work', e.g. W. C. Clark et al., 2016; Gieryn, 1983; Nickolai et al., 2012; Pawley, 2012; Rödder, 2017)</w:t>
      </w:r>
      <w:r w:rsidR="008573DD" w:rsidRPr="0002467C">
        <w:rPr>
          <w:sz w:val="24"/>
          <w:szCs w:val="24"/>
        </w:rPr>
        <w:fldChar w:fldCharType="end"/>
      </w:r>
      <w:r w:rsidR="008542CF">
        <w:rPr>
          <w:sz w:val="24"/>
          <w:szCs w:val="24"/>
        </w:rPr>
        <w:t xml:space="preserve">. </w:t>
      </w:r>
      <w:r w:rsidR="00C56385">
        <w:rPr>
          <w:sz w:val="24"/>
          <w:szCs w:val="24"/>
        </w:rPr>
        <w:t>A</w:t>
      </w:r>
      <w:r w:rsidR="00D06473">
        <w:rPr>
          <w:sz w:val="24"/>
          <w:szCs w:val="24"/>
        </w:rPr>
        <w:t xml:space="preserve"> sufficiently powerful interest group, or a sufficiently large quantity of people in wider society, must have sufficient interest in the boundary</w:t>
      </w:r>
      <w:r w:rsidR="006C0030">
        <w:rPr>
          <w:sz w:val="24"/>
          <w:szCs w:val="24"/>
        </w:rPr>
        <w:t xml:space="preserve"> if the boundary is to be maintained and reproduced</w:t>
      </w:r>
      <w:r w:rsidR="00420DA9">
        <w:rPr>
          <w:sz w:val="24"/>
          <w:szCs w:val="24"/>
        </w:rPr>
        <w:t>. The reproduction of the boundary is thus a function of the power of the group(s) with the greatest stakes in its reproduction, the amount of work these groups are ready to put into its ongoing legitimacy, and the power of other groups with an interest in potentially weakening or re-shaping these boundaries.</w:t>
      </w:r>
      <w:r w:rsidR="00D06473">
        <w:rPr>
          <w:sz w:val="24"/>
          <w:szCs w:val="24"/>
        </w:rPr>
        <w:t xml:space="preserve"> </w:t>
      </w:r>
      <w:r w:rsidR="007103CC">
        <w:rPr>
          <w:sz w:val="24"/>
          <w:szCs w:val="24"/>
        </w:rPr>
        <w:t xml:space="preserve">However, and thirdly, there is no such thing as a perfectly bounded category. There must always be some form of relation, something that the reproduction of the boundary </w:t>
      </w:r>
      <w:r w:rsidR="007103CC">
        <w:rPr>
          <w:i/>
          <w:sz w:val="24"/>
          <w:szCs w:val="24"/>
        </w:rPr>
        <w:t xml:space="preserve">gives </w:t>
      </w:r>
      <w:r w:rsidR="007103CC">
        <w:rPr>
          <w:sz w:val="24"/>
          <w:szCs w:val="24"/>
        </w:rPr>
        <w:t>to wider society. I have called this a ‘transaction’ and will take this concept up further below</w:t>
      </w:r>
      <w:r w:rsidR="001E4A9F">
        <w:rPr>
          <w:sz w:val="24"/>
          <w:szCs w:val="24"/>
        </w:rPr>
        <w:t xml:space="preserve">. What is </w:t>
      </w:r>
      <w:r w:rsidR="00DF149D">
        <w:rPr>
          <w:sz w:val="24"/>
          <w:szCs w:val="24"/>
        </w:rPr>
        <w:t>‘</w:t>
      </w:r>
      <w:r w:rsidR="001E4A9F">
        <w:rPr>
          <w:sz w:val="24"/>
          <w:szCs w:val="24"/>
        </w:rPr>
        <w:t>given</w:t>
      </w:r>
      <w:r w:rsidR="00DF149D">
        <w:rPr>
          <w:sz w:val="24"/>
          <w:szCs w:val="24"/>
        </w:rPr>
        <w:t>’</w:t>
      </w:r>
      <w:r w:rsidR="000122F9">
        <w:rPr>
          <w:sz w:val="24"/>
          <w:szCs w:val="24"/>
        </w:rPr>
        <w:t>, what is ‘transacted’,</w:t>
      </w:r>
      <w:r w:rsidR="001E4A9F">
        <w:rPr>
          <w:sz w:val="24"/>
          <w:szCs w:val="24"/>
        </w:rPr>
        <w:t xml:space="preserve"> can vary greatly. For example, the ‘sacred’ gave a moral order and solidarity to society at large; </w:t>
      </w:r>
      <w:r w:rsidR="000122F9">
        <w:rPr>
          <w:sz w:val="24"/>
          <w:szCs w:val="24"/>
        </w:rPr>
        <w:t>for academia to legitimise its boundedness, it too</w:t>
      </w:r>
      <w:r w:rsidR="001E4A9F">
        <w:rPr>
          <w:sz w:val="24"/>
          <w:szCs w:val="24"/>
        </w:rPr>
        <w:t xml:space="preserve"> must be seen to give something, say </w:t>
      </w:r>
      <w:r w:rsidR="000122F9">
        <w:rPr>
          <w:sz w:val="24"/>
          <w:szCs w:val="24"/>
        </w:rPr>
        <w:t>the preservation, transmission and generation of k</w:t>
      </w:r>
      <w:r w:rsidR="001E4A9F">
        <w:rPr>
          <w:sz w:val="24"/>
          <w:szCs w:val="24"/>
        </w:rPr>
        <w:t xml:space="preserve">nowledge perceived to be of </w:t>
      </w:r>
      <w:r w:rsidR="000122F9">
        <w:rPr>
          <w:sz w:val="24"/>
          <w:szCs w:val="24"/>
        </w:rPr>
        <w:t xml:space="preserve">cultural or economic value. </w:t>
      </w:r>
      <w:r w:rsidR="00DF149D">
        <w:rPr>
          <w:sz w:val="24"/>
          <w:szCs w:val="24"/>
        </w:rPr>
        <w:t xml:space="preserve">However, and fourthly, precisely because such </w:t>
      </w:r>
      <w:r w:rsidR="00F05590">
        <w:rPr>
          <w:sz w:val="24"/>
          <w:szCs w:val="24"/>
        </w:rPr>
        <w:t xml:space="preserve">cross-boundary transactions are </w:t>
      </w:r>
      <w:r w:rsidR="00DF149D">
        <w:rPr>
          <w:sz w:val="24"/>
          <w:szCs w:val="24"/>
        </w:rPr>
        <w:t xml:space="preserve">a </w:t>
      </w:r>
      <w:r w:rsidR="000122F9">
        <w:rPr>
          <w:sz w:val="24"/>
          <w:szCs w:val="24"/>
        </w:rPr>
        <w:t>necessary feature of boundaries</w:t>
      </w:r>
      <w:r w:rsidR="00DF149D">
        <w:rPr>
          <w:sz w:val="24"/>
          <w:szCs w:val="24"/>
        </w:rPr>
        <w:t>, this also means there is</w:t>
      </w:r>
      <w:r w:rsidR="000122F9">
        <w:rPr>
          <w:sz w:val="24"/>
          <w:szCs w:val="24"/>
        </w:rPr>
        <w:t xml:space="preserve"> always a potential opening,</w:t>
      </w:r>
      <w:r w:rsidR="00445C74">
        <w:rPr>
          <w:sz w:val="24"/>
          <w:szCs w:val="24"/>
        </w:rPr>
        <w:t xml:space="preserve"> a ‘porosity’ and</w:t>
      </w:r>
      <w:r w:rsidR="000122F9">
        <w:rPr>
          <w:sz w:val="24"/>
          <w:szCs w:val="24"/>
        </w:rPr>
        <w:t xml:space="preserve"> a potential for weakness</w:t>
      </w:r>
      <w:r w:rsidR="00445C74">
        <w:rPr>
          <w:sz w:val="24"/>
          <w:szCs w:val="24"/>
        </w:rPr>
        <w:t xml:space="preserve"> in boundaries</w:t>
      </w:r>
      <w:r w:rsidR="000122F9">
        <w:rPr>
          <w:sz w:val="24"/>
          <w:szCs w:val="24"/>
        </w:rPr>
        <w:t>. ‘Transactions’ are potential ‘weak spots’ for bounded categories or entities, including academic boundaries</w:t>
      </w:r>
      <w:r w:rsidR="0020438C">
        <w:rPr>
          <w:sz w:val="24"/>
          <w:szCs w:val="24"/>
        </w:rPr>
        <w:t>.</w:t>
      </w:r>
    </w:p>
    <w:p w14:paraId="67EE7EA5" w14:textId="15E5D1B5" w:rsidR="005C3C6A" w:rsidRDefault="005C3C6A" w:rsidP="005734FF">
      <w:pPr>
        <w:autoSpaceDE w:val="0"/>
        <w:autoSpaceDN w:val="0"/>
        <w:adjustRightInd w:val="0"/>
        <w:spacing w:after="120" w:line="360" w:lineRule="auto"/>
        <w:rPr>
          <w:sz w:val="24"/>
          <w:szCs w:val="24"/>
        </w:rPr>
      </w:pPr>
      <w:r>
        <w:rPr>
          <w:sz w:val="24"/>
          <w:szCs w:val="24"/>
        </w:rPr>
        <w:t>From this perspective then, the main site for analysing the interplay of ‘power’ and ‘control’ and the potential shifting, re</w:t>
      </w:r>
      <w:r w:rsidR="00246403">
        <w:rPr>
          <w:sz w:val="24"/>
          <w:szCs w:val="24"/>
        </w:rPr>
        <w:t>-</w:t>
      </w:r>
      <w:r>
        <w:rPr>
          <w:sz w:val="24"/>
          <w:szCs w:val="24"/>
        </w:rPr>
        <w:t>shaping or weakening of boundaries is that of ‘boundary transactions’. For the bounded category, transactions are a mechanism for regulating the relation between itself and wider society, that is, they are attempts to take control over that relationship. This is because neglecting transactions and becoming fully insular is not a viable, sustainable alternative for the reproduction of boundaries. The alternatives of not taking control over boundary transactions are either that the boundary’s legitimacy is not apparent to wider society, or that another group or groups will take control over these transactions</w:t>
      </w:r>
      <w:r w:rsidR="0067642C">
        <w:rPr>
          <w:sz w:val="24"/>
          <w:szCs w:val="24"/>
        </w:rPr>
        <w:t xml:space="preserve"> </w:t>
      </w:r>
      <w:r>
        <w:rPr>
          <w:sz w:val="24"/>
          <w:szCs w:val="24"/>
        </w:rPr>
        <w:t xml:space="preserve">and may therefore hold greater power over the bounded category. </w:t>
      </w:r>
    </w:p>
    <w:p w14:paraId="437D7AC0" w14:textId="363F3B12" w:rsidR="005C3C6A" w:rsidRDefault="005C3C6A" w:rsidP="005734FF">
      <w:pPr>
        <w:autoSpaceDE w:val="0"/>
        <w:autoSpaceDN w:val="0"/>
        <w:adjustRightInd w:val="0"/>
        <w:spacing w:after="120" w:line="360" w:lineRule="auto"/>
        <w:rPr>
          <w:sz w:val="24"/>
          <w:szCs w:val="24"/>
        </w:rPr>
      </w:pPr>
      <w:r>
        <w:rPr>
          <w:sz w:val="24"/>
          <w:szCs w:val="24"/>
        </w:rPr>
        <w:t>For example, if academia was to (re-)enter an ‘ivory tower’ mode in which it attempted to significantly strengthen its boundedness and autonomy from wider social considerations, this would not be a genuine isolation. Rather, it would represent a potentially risky strategy at maintaining power over its domain of knowledge and knowledge-related activity vis-à-vis wider society. It is risky not because academia excuses itself from the need to transact, but rather because, in the words of an insightful report by the OECD</w:t>
      </w:r>
      <w:r w:rsidRPr="00730C41">
        <w:rPr>
          <w:sz w:val="24"/>
          <w:szCs w:val="24"/>
        </w:rPr>
        <w:t xml:space="preserve"> </w:t>
      </w:r>
      <w:r>
        <w:rPr>
          <w:sz w:val="24"/>
          <w:szCs w:val="24"/>
        </w:rPr>
        <w:t xml:space="preserve">Centre for Educational Research and Innovation (CERI, 1982), “even the phenomenon of the “ivory tower” must be understood in terms of interaction, not as a symbol of an illusory independence” (p. 17). That is, the ‘ivory tower’ image is itself a transaction, but one which rests on wider society’s agreement that academia’s legitimacy is based solely on its relation to the ‘transcendental’ </w:t>
      </w:r>
      <w:r>
        <w:rPr>
          <w:sz w:val="24"/>
          <w:szCs w:val="24"/>
        </w:rPr>
        <w:fldChar w:fldCharType="begin"/>
      </w:r>
      <w:r>
        <w:rPr>
          <w:sz w:val="24"/>
          <w:szCs w:val="24"/>
        </w:rPr>
        <w:instrText xml:space="preserve"> ADDIN EN.CITE &lt;EndNote&gt;&lt;Cite&gt;&lt;Author&gt;Nickolai&lt;/Author&gt;&lt;Year&gt;2012&lt;/Year&gt;&lt;IDText&gt;Can a Knowledge Sanctuary also be an Economic Engine? The Marketization of Higher Education as Institutional Boundary Work&lt;/IDText&gt;&lt;DisplayText&gt;(Nickolai et al., 2012)&lt;/DisplayText&gt;&lt;record&gt;&lt;keywords&gt;&lt;keyword&gt;Higher Education&lt;/keyword&gt;&lt;keyword&gt;Knowledge&lt;/keyword&gt;&lt;keyword&gt;College Students&lt;/keyword&gt;&lt;keyword&gt;Learning&lt;/keyword&gt;&lt;keyword&gt;Students&lt;/keyword&gt;&lt;keyword&gt;Markets&lt;/keyword&gt;&lt;keyword&gt;Values&lt;/keyword&gt;&lt;keyword&gt;Organizational Structure&lt;/keyword&gt;&lt;keyword&gt;Cultural Groups&lt;/keyword&gt;&lt;keyword&gt;Complex Organization&lt;/keyword&gt;&lt;keyword&gt;Bureaucratic Structure/Organizational Sociology&lt;/keyword&gt;&lt;keyword&gt;Article&lt;/keyword&gt;&lt;/keywords&gt;&lt;isbn&gt;1751-9020&lt;/isbn&gt;&lt;titles&gt;&lt;title&gt;Can a Knowledge Sanctuary also be an Economic Engine? The Marketization of Higher Education as Institutional Boundary Work&lt;/title&gt;&lt;/titles&gt;&lt;pages&gt;205-218&lt;/pages&gt;&lt;contributors&gt;&lt;authors&gt;&lt;author&gt;Nickolai, Daniel H.&lt;/author&gt;&lt;author&gt;Hoffman, Steve G.&lt;/author&gt;&lt;author&gt;Trautner, Mary Nell&lt;/author&gt;&lt;/authors&gt;&lt;/contributors&gt;&lt;added-date format="utc"&gt;1523374074&lt;/added-date&gt;&lt;pub-location&gt;Oxford, UK&lt;/pub-location&gt;&lt;ref-type name="Generic"&gt;13&lt;/ref-type&gt;&lt;dates&gt;&lt;year&gt;2012&lt;/year&gt;&lt;/dates&gt;&lt;rec-number&gt;7470&lt;/rec-number&gt;&lt;last-updated-date format="utc"&gt;1523374074&lt;/last-updated-date&gt;&lt;electronic-resource-num&gt;10.1111/j.1751-9020.2011.00449.x&lt;/electronic-resource-num&gt;&lt;volume&gt;6&lt;/volume&gt;&lt;/record&gt;&lt;/Cite&gt;&lt;/EndNote&gt;</w:instrText>
      </w:r>
      <w:r>
        <w:rPr>
          <w:sz w:val="24"/>
          <w:szCs w:val="24"/>
        </w:rPr>
        <w:fldChar w:fldCharType="separate"/>
      </w:r>
      <w:r>
        <w:rPr>
          <w:noProof/>
          <w:sz w:val="24"/>
          <w:szCs w:val="24"/>
        </w:rPr>
        <w:t>(Nickolai et al., 2012)</w:t>
      </w:r>
      <w:r>
        <w:rPr>
          <w:sz w:val="24"/>
          <w:szCs w:val="24"/>
        </w:rPr>
        <w:fldChar w:fldCharType="end"/>
      </w:r>
      <w:r>
        <w:rPr>
          <w:sz w:val="24"/>
          <w:szCs w:val="24"/>
        </w:rPr>
        <w:t xml:space="preserve">. It is not predetermined that such a strategy will fail, but </w:t>
      </w:r>
      <w:r w:rsidR="003A2D60">
        <w:rPr>
          <w:sz w:val="24"/>
          <w:szCs w:val="24"/>
        </w:rPr>
        <w:t>such a strategy</w:t>
      </w:r>
      <w:r>
        <w:rPr>
          <w:sz w:val="24"/>
          <w:szCs w:val="24"/>
        </w:rPr>
        <w:t xml:space="preserve"> leaves open the possibility that other knowledge-based institutions may gain in ascendency by ‘transacting’ knowledge and knowledge-based outputs in more innovative and interventionist ways which society sees as more valuable than that transacted by an ‘ivory tower’ institution. The point of this is not to make a normative argument either against or in favour of an ‘ivory tower’ model of the university, nor against or in favour of alternative institutions challenging universities as prime knowledge-based institutions. Rather, the point is that transactions across boundaries are unavoidable, and that the reproduction of boundaries may be better achieved by taking control of these transactions </w:t>
      </w:r>
      <w:r w:rsidR="003D2470">
        <w:rPr>
          <w:sz w:val="24"/>
          <w:szCs w:val="24"/>
        </w:rPr>
        <w:t xml:space="preserve">than </w:t>
      </w:r>
      <w:r>
        <w:rPr>
          <w:sz w:val="24"/>
          <w:szCs w:val="24"/>
        </w:rPr>
        <w:t>by attempting to minimise the</w:t>
      </w:r>
      <w:r w:rsidR="0020019D">
        <w:rPr>
          <w:sz w:val="24"/>
          <w:szCs w:val="24"/>
        </w:rPr>
        <w:t>ir</w:t>
      </w:r>
      <w:r>
        <w:rPr>
          <w:sz w:val="24"/>
          <w:szCs w:val="24"/>
        </w:rPr>
        <w:t xml:space="preserve"> frequency </w:t>
      </w:r>
      <w:r w:rsidR="0020019D">
        <w:rPr>
          <w:sz w:val="24"/>
          <w:szCs w:val="24"/>
        </w:rPr>
        <w:t>or intensity</w:t>
      </w:r>
      <w:r>
        <w:rPr>
          <w:sz w:val="24"/>
          <w:szCs w:val="24"/>
        </w:rPr>
        <w:t xml:space="preserve">. </w:t>
      </w:r>
    </w:p>
    <w:p w14:paraId="3FDAE66D" w14:textId="3F8D5488" w:rsidR="005C3C6A" w:rsidRDefault="005C3C6A" w:rsidP="005734FF">
      <w:pPr>
        <w:spacing w:after="120" w:line="360" w:lineRule="auto"/>
        <w:rPr>
          <w:sz w:val="24"/>
          <w:szCs w:val="24"/>
        </w:rPr>
      </w:pPr>
      <w:r>
        <w:rPr>
          <w:sz w:val="24"/>
          <w:szCs w:val="24"/>
        </w:rPr>
        <w:t>Of course, there is also the potential for an alternative</w:t>
      </w:r>
      <w:r w:rsidR="00B06EA9">
        <w:rPr>
          <w:sz w:val="24"/>
          <w:szCs w:val="24"/>
        </w:rPr>
        <w:t xml:space="preserve"> extreme</w:t>
      </w:r>
      <w:r>
        <w:rPr>
          <w:sz w:val="24"/>
          <w:szCs w:val="24"/>
        </w:rPr>
        <w:t xml:space="preserve"> approach, whereby</w:t>
      </w:r>
      <w:r w:rsidR="00B744AC">
        <w:rPr>
          <w:sz w:val="24"/>
          <w:szCs w:val="24"/>
        </w:rPr>
        <w:t xml:space="preserve"> universities increase</w:t>
      </w:r>
      <w:r>
        <w:rPr>
          <w:sz w:val="24"/>
          <w:szCs w:val="24"/>
        </w:rPr>
        <w:t xml:space="preserve"> the frequency and intensity of boundary-crossing transactions</w:t>
      </w:r>
      <w:r w:rsidR="0085211E">
        <w:rPr>
          <w:sz w:val="24"/>
          <w:szCs w:val="24"/>
        </w:rPr>
        <w:t xml:space="preserve"> and</w:t>
      </w:r>
      <w:r>
        <w:rPr>
          <w:sz w:val="24"/>
          <w:szCs w:val="24"/>
        </w:rPr>
        <w:t xml:space="preserve"> </w:t>
      </w:r>
      <w:r w:rsidR="00945505">
        <w:rPr>
          <w:sz w:val="24"/>
          <w:szCs w:val="24"/>
        </w:rPr>
        <w:t>engage in more direct interventionist</w:t>
      </w:r>
      <w:r>
        <w:rPr>
          <w:sz w:val="24"/>
          <w:szCs w:val="24"/>
        </w:rPr>
        <w:t xml:space="preserve"> activities perceived by </w:t>
      </w:r>
      <w:r w:rsidR="002209E5">
        <w:rPr>
          <w:sz w:val="24"/>
          <w:szCs w:val="24"/>
        </w:rPr>
        <w:t xml:space="preserve">some </w:t>
      </w:r>
      <w:r>
        <w:rPr>
          <w:sz w:val="24"/>
          <w:szCs w:val="24"/>
        </w:rPr>
        <w:t xml:space="preserve">to be out of keeping </w:t>
      </w:r>
      <w:r w:rsidR="0051439D">
        <w:rPr>
          <w:sz w:val="24"/>
          <w:szCs w:val="24"/>
        </w:rPr>
        <w:t xml:space="preserve">with </w:t>
      </w:r>
      <w:r>
        <w:rPr>
          <w:sz w:val="24"/>
          <w:szCs w:val="24"/>
        </w:rPr>
        <w:t>their expectations of universities. In such cases, the university, or any bounded institution or group, is “in danger of losing its identity” (Bernstein, 2000, p. 6). The risk here is that universities may be subject to a ‘misrecognition’ (</w:t>
      </w:r>
      <w:r w:rsidR="008D32C9">
        <w:rPr>
          <w:sz w:val="24"/>
          <w:szCs w:val="24"/>
        </w:rPr>
        <w:t xml:space="preserve">Bernstein, 2000, </w:t>
      </w:r>
      <w:r>
        <w:rPr>
          <w:sz w:val="24"/>
          <w:szCs w:val="24"/>
        </w:rPr>
        <w:t xml:space="preserve">p. 53). Misrecognition is when an institution, group or actor bases their actions on a narrow “functional analysis of what is taken to be the underlying features necessary” to “perform” (Bernstein, 2000, p. 53) or achieve a certain task or objective, i.e. ‘impact’, such that the analysis fails to recognise and take account of the complex sociocultural context. In the context of the impact agenda, for example, rather than </w:t>
      </w:r>
      <w:r>
        <w:rPr>
          <w:i/>
          <w:sz w:val="24"/>
          <w:szCs w:val="24"/>
        </w:rPr>
        <w:t xml:space="preserve">recognising </w:t>
      </w:r>
      <w:r>
        <w:rPr>
          <w:sz w:val="24"/>
          <w:szCs w:val="24"/>
        </w:rPr>
        <w:t xml:space="preserve">that the ‘impact’ of academic knowledge is grounded on universities having a relatively independent, autonomous and long-term critical approach to generating and transmitting knowledge, there is a risk that universities </w:t>
      </w:r>
      <w:r>
        <w:rPr>
          <w:i/>
          <w:sz w:val="24"/>
          <w:szCs w:val="24"/>
        </w:rPr>
        <w:t xml:space="preserve">misrecognise </w:t>
      </w:r>
      <w:r>
        <w:rPr>
          <w:sz w:val="24"/>
          <w:szCs w:val="24"/>
        </w:rPr>
        <w:t xml:space="preserve">impact as grounded on pure responsiveness to the immediate knowledge demands of certain actors. Again, </w:t>
      </w:r>
      <w:r w:rsidR="00D4508E">
        <w:rPr>
          <w:sz w:val="24"/>
          <w:szCs w:val="24"/>
        </w:rPr>
        <w:t>my</w:t>
      </w:r>
      <w:r>
        <w:rPr>
          <w:sz w:val="24"/>
          <w:szCs w:val="24"/>
        </w:rPr>
        <w:t xml:space="preserve"> point is not a normative one which makes presumptions about what is and what is not legitimate or appropriate for universities. Rather, the point is merely to note the theoretical possibility that a bounded category</w:t>
      </w:r>
      <w:r w:rsidR="00945505">
        <w:rPr>
          <w:sz w:val="24"/>
          <w:szCs w:val="24"/>
        </w:rPr>
        <w:t xml:space="preserve"> can</w:t>
      </w:r>
      <w:r>
        <w:rPr>
          <w:sz w:val="24"/>
          <w:szCs w:val="24"/>
        </w:rPr>
        <w:t xml:space="preserve"> become so preoccupied with its external legitimacy, and thus so preoccupied with the perceived needs of ‘key’ external actors, that the bounded group (or the group associated with the bounded category) loses its </w:t>
      </w:r>
      <w:r w:rsidR="004D7A29">
        <w:rPr>
          <w:sz w:val="24"/>
          <w:szCs w:val="24"/>
        </w:rPr>
        <w:t>distinctiveness and</w:t>
      </w:r>
      <w:r>
        <w:rPr>
          <w:sz w:val="24"/>
          <w:szCs w:val="24"/>
        </w:rPr>
        <w:t xml:space="preserve"> ceases to be the entity that it was. </w:t>
      </w:r>
    </w:p>
    <w:p w14:paraId="4BC6B2CC" w14:textId="25CC3235" w:rsidR="005C3C6A" w:rsidRDefault="005C3C6A" w:rsidP="005734FF">
      <w:pPr>
        <w:spacing w:after="120" w:line="360" w:lineRule="auto"/>
        <w:rPr>
          <w:sz w:val="24"/>
          <w:szCs w:val="24"/>
        </w:rPr>
      </w:pPr>
      <w:r>
        <w:rPr>
          <w:sz w:val="24"/>
          <w:szCs w:val="24"/>
        </w:rPr>
        <w:t xml:space="preserve">‘Control’ over ‘boundary transactions’ is therefore a key factor in the potential reproduction of boundaries. </w:t>
      </w:r>
      <w:r w:rsidR="00751CBA">
        <w:rPr>
          <w:sz w:val="24"/>
          <w:szCs w:val="24"/>
        </w:rPr>
        <w:t>I now move on to</w:t>
      </w:r>
      <w:r>
        <w:rPr>
          <w:sz w:val="24"/>
          <w:szCs w:val="24"/>
        </w:rPr>
        <w:t xml:space="preserve"> explore the concepts of ‘control’ and ‘boundary transaction’ in more detail</w:t>
      </w:r>
      <w:r w:rsidR="00106696">
        <w:rPr>
          <w:sz w:val="24"/>
          <w:szCs w:val="24"/>
        </w:rPr>
        <w:t>.</w:t>
      </w:r>
      <w:r>
        <w:rPr>
          <w:sz w:val="24"/>
          <w:szCs w:val="24"/>
        </w:rPr>
        <w:t xml:space="preserve"> </w:t>
      </w:r>
    </w:p>
    <w:p w14:paraId="377BEAAF" w14:textId="02378AA5" w:rsidR="00A92237" w:rsidRDefault="009258DE" w:rsidP="006E30B9">
      <w:pPr>
        <w:pStyle w:val="Heading3"/>
      </w:pPr>
      <w:bookmarkStart w:id="34" w:name="_Toc31701946"/>
      <w:r>
        <w:t>‘B</w:t>
      </w:r>
      <w:r w:rsidR="00A92237">
        <w:t>oundary transactions’</w:t>
      </w:r>
      <w:r w:rsidR="007210F7">
        <w:t xml:space="preserve"> and ‘control’</w:t>
      </w:r>
      <w:bookmarkEnd w:id="34"/>
    </w:p>
    <w:p w14:paraId="33703B32" w14:textId="54CA28D3" w:rsidR="00D05856" w:rsidRDefault="00D05856" w:rsidP="00D05856">
      <w:pPr>
        <w:tabs>
          <w:tab w:val="left" w:pos="1503"/>
        </w:tabs>
        <w:spacing w:after="120" w:line="360" w:lineRule="auto"/>
        <w:rPr>
          <w:sz w:val="24"/>
          <w:szCs w:val="24"/>
        </w:rPr>
      </w:pPr>
      <w:r>
        <w:rPr>
          <w:sz w:val="24"/>
          <w:szCs w:val="24"/>
        </w:rPr>
        <w:t>Boundary transactions are interactions</w:t>
      </w:r>
      <w:r w:rsidR="00315CDE">
        <w:rPr>
          <w:sz w:val="24"/>
          <w:szCs w:val="24"/>
        </w:rPr>
        <w:t xml:space="preserve"> </w:t>
      </w:r>
      <w:r w:rsidR="00016A80">
        <w:rPr>
          <w:sz w:val="24"/>
          <w:szCs w:val="24"/>
        </w:rPr>
        <w:t>between a bounded group (or a group which identifies with some bounded category, in the way that physicists are identified with the bounded discipline of physics) and some other group beyond that boundary which may have an impact on that boundary. As discussed above, boundary transactions are unavoidable for the reproduction of boundaries.</w:t>
      </w:r>
      <w:r w:rsidR="007265FD">
        <w:rPr>
          <w:sz w:val="24"/>
          <w:szCs w:val="24"/>
        </w:rPr>
        <w:t xml:space="preserve"> They are moments where the bounded group/category displays its value to other actors and thereby contributes to its legitimacy</w:t>
      </w:r>
      <w:r w:rsidR="006E1ACD">
        <w:rPr>
          <w:sz w:val="24"/>
          <w:szCs w:val="24"/>
        </w:rPr>
        <w:t xml:space="preserve">; in other words, they </w:t>
      </w:r>
      <w:r w:rsidR="0013487A">
        <w:rPr>
          <w:sz w:val="24"/>
          <w:szCs w:val="24"/>
        </w:rPr>
        <w:t>represent</w:t>
      </w:r>
      <w:r w:rsidR="006E1ACD">
        <w:rPr>
          <w:sz w:val="24"/>
          <w:szCs w:val="24"/>
        </w:rPr>
        <w:t xml:space="preserve"> “the performances each system delivers for other system</w:t>
      </w:r>
      <w:r w:rsidR="0013487A">
        <w:rPr>
          <w:sz w:val="24"/>
          <w:szCs w:val="24"/>
        </w:rPr>
        <w:t>s</w:t>
      </w:r>
      <w:r w:rsidR="00FC1FFA">
        <w:rPr>
          <w:sz w:val="24"/>
          <w:szCs w:val="24"/>
        </w:rPr>
        <w:t>”</w:t>
      </w:r>
      <w:r w:rsidR="0013487A">
        <w:rPr>
          <w:sz w:val="24"/>
          <w:szCs w:val="24"/>
        </w:rPr>
        <w:t xml:space="preserve"> (Kantasalmi &amp; Tuunainen, 2018, p. 354)</w:t>
      </w:r>
      <w:r w:rsidR="007265FD">
        <w:rPr>
          <w:sz w:val="24"/>
          <w:szCs w:val="24"/>
        </w:rPr>
        <w:t>.</w:t>
      </w:r>
      <w:r w:rsidR="00016A80">
        <w:rPr>
          <w:sz w:val="24"/>
          <w:szCs w:val="24"/>
        </w:rPr>
        <w:t xml:space="preserve"> But they also carry risks</w:t>
      </w:r>
      <w:r w:rsidR="00876A64">
        <w:rPr>
          <w:sz w:val="24"/>
          <w:szCs w:val="24"/>
        </w:rPr>
        <w:t xml:space="preserve"> and “boundary maintenance issues” (Kantasalmi &amp; Tuunainen, 2018, p. 354)</w:t>
      </w:r>
      <w:r w:rsidR="00016A80">
        <w:rPr>
          <w:sz w:val="24"/>
          <w:szCs w:val="24"/>
        </w:rPr>
        <w:t xml:space="preserve">. </w:t>
      </w:r>
      <w:r w:rsidR="007265FD">
        <w:rPr>
          <w:sz w:val="24"/>
          <w:szCs w:val="24"/>
        </w:rPr>
        <w:t xml:space="preserve">This is because there is a trade-off between maximising the interests of </w:t>
      </w:r>
      <w:r w:rsidR="00AD6E22">
        <w:rPr>
          <w:sz w:val="24"/>
          <w:szCs w:val="24"/>
        </w:rPr>
        <w:t>certain external groups</w:t>
      </w:r>
      <w:r w:rsidR="007265FD">
        <w:rPr>
          <w:sz w:val="24"/>
          <w:szCs w:val="24"/>
        </w:rPr>
        <w:t xml:space="preserve"> actors</w:t>
      </w:r>
      <w:r w:rsidR="00DE6F8C">
        <w:rPr>
          <w:sz w:val="24"/>
          <w:szCs w:val="24"/>
        </w:rPr>
        <w:t>, in which</w:t>
      </w:r>
      <w:r w:rsidR="00D52E21">
        <w:rPr>
          <w:sz w:val="24"/>
          <w:szCs w:val="24"/>
        </w:rPr>
        <w:t xml:space="preserve"> case</w:t>
      </w:r>
      <w:r w:rsidR="00DE6F8C">
        <w:rPr>
          <w:sz w:val="24"/>
          <w:szCs w:val="24"/>
        </w:rPr>
        <w:t xml:space="preserve"> there is a risk that, over time, the b</w:t>
      </w:r>
      <w:r w:rsidR="00AD6E22">
        <w:rPr>
          <w:sz w:val="24"/>
          <w:szCs w:val="24"/>
        </w:rPr>
        <w:t xml:space="preserve">ounded category may be seen by others as synonymous with that external group, as lacking autonomy, or as no longer having a distinctive identity, and, the other possibility, </w:t>
      </w:r>
      <w:r w:rsidR="00D52E21">
        <w:rPr>
          <w:sz w:val="24"/>
          <w:szCs w:val="24"/>
        </w:rPr>
        <w:t xml:space="preserve">minimising boundary transactions, in which case there is a risk that the bounded category will appear distant and </w:t>
      </w:r>
      <w:r w:rsidR="005767F9">
        <w:rPr>
          <w:sz w:val="24"/>
          <w:szCs w:val="24"/>
        </w:rPr>
        <w:t>ir</w:t>
      </w:r>
      <w:r w:rsidR="00D52E21">
        <w:rPr>
          <w:sz w:val="24"/>
          <w:szCs w:val="24"/>
        </w:rPr>
        <w:t>relevant by the majority</w:t>
      </w:r>
      <w:r w:rsidR="006B4AE3">
        <w:rPr>
          <w:sz w:val="24"/>
          <w:szCs w:val="24"/>
        </w:rPr>
        <w:t xml:space="preserve">. </w:t>
      </w:r>
    </w:p>
    <w:p w14:paraId="3E66B97B" w14:textId="77777777" w:rsidR="001610C8" w:rsidRDefault="00404B07" w:rsidP="00D05856">
      <w:pPr>
        <w:tabs>
          <w:tab w:val="left" w:pos="1503"/>
        </w:tabs>
        <w:spacing w:after="120" w:line="360" w:lineRule="auto"/>
        <w:rPr>
          <w:sz w:val="24"/>
          <w:szCs w:val="24"/>
        </w:rPr>
      </w:pPr>
      <w:r>
        <w:rPr>
          <w:sz w:val="24"/>
          <w:szCs w:val="24"/>
        </w:rPr>
        <w:t xml:space="preserve">In most cases, </w:t>
      </w:r>
      <w:r w:rsidR="008E1E9D">
        <w:rPr>
          <w:sz w:val="24"/>
          <w:szCs w:val="24"/>
        </w:rPr>
        <w:t xml:space="preserve">it can be expected that </w:t>
      </w:r>
      <w:r>
        <w:rPr>
          <w:sz w:val="24"/>
          <w:szCs w:val="24"/>
        </w:rPr>
        <w:t xml:space="preserve">approaches to boundary transactions are unlikely to go in either direction to an extreme. </w:t>
      </w:r>
      <w:r w:rsidR="00031D5D">
        <w:rPr>
          <w:sz w:val="24"/>
          <w:szCs w:val="24"/>
        </w:rPr>
        <w:t>This is because bounded categories are normally able to exert a certain amount of ‘control’ over the boundary transactions</w:t>
      </w:r>
      <w:r w:rsidR="00F7789E">
        <w:rPr>
          <w:sz w:val="24"/>
          <w:szCs w:val="24"/>
        </w:rPr>
        <w:t>, and this control i</w:t>
      </w:r>
      <w:r w:rsidR="006A6F81">
        <w:rPr>
          <w:sz w:val="24"/>
          <w:szCs w:val="24"/>
        </w:rPr>
        <w:t>s</w:t>
      </w:r>
      <w:r w:rsidR="00F7789E">
        <w:rPr>
          <w:sz w:val="24"/>
          <w:szCs w:val="24"/>
        </w:rPr>
        <w:t xml:space="preserve"> an important part of the regulation of the relationship between the bounded category and wider society</w:t>
      </w:r>
      <w:r w:rsidR="00031D5D">
        <w:rPr>
          <w:sz w:val="24"/>
          <w:szCs w:val="24"/>
        </w:rPr>
        <w:t xml:space="preserve">. ‘Control’, in the Bernsteinian (2000) sense, refers to control over </w:t>
      </w:r>
      <w:r w:rsidR="0032493C">
        <w:rPr>
          <w:sz w:val="24"/>
          <w:szCs w:val="24"/>
        </w:rPr>
        <w:t>the “legitimate forms” (p. 5)</w:t>
      </w:r>
      <w:r w:rsidR="00031D5D">
        <w:rPr>
          <w:sz w:val="24"/>
          <w:szCs w:val="24"/>
        </w:rPr>
        <w:t xml:space="preserve"> that interactions</w:t>
      </w:r>
      <w:r w:rsidR="00DA46A4">
        <w:rPr>
          <w:sz w:val="24"/>
          <w:szCs w:val="24"/>
        </w:rPr>
        <w:t xml:space="preserve"> (or, more specifically, transactions</w:t>
      </w:r>
      <w:r w:rsidR="0041650A">
        <w:rPr>
          <w:sz w:val="24"/>
          <w:szCs w:val="24"/>
        </w:rPr>
        <w:t>)</w:t>
      </w:r>
      <w:r w:rsidR="00914075">
        <w:rPr>
          <w:sz w:val="24"/>
          <w:szCs w:val="24"/>
        </w:rPr>
        <w:t xml:space="preserve"> </w:t>
      </w:r>
      <w:r w:rsidR="007210F7">
        <w:rPr>
          <w:sz w:val="24"/>
          <w:szCs w:val="24"/>
        </w:rPr>
        <w:t>can take</w:t>
      </w:r>
      <w:r w:rsidR="0032493C">
        <w:rPr>
          <w:sz w:val="24"/>
          <w:szCs w:val="24"/>
        </w:rPr>
        <w:t xml:space="preserve">. </w:t>
      </w:r>
    </w:p>
    <w:p w14:paraId="59F3CAF3" w14:textId="7C3A2B45" w:rsidR="004A5F2B" w:rsidRDefault="0032493C" w:rsidP="00D05856">
      <w:pPr>
        <w:tabs>
          <w:tab w:val="left" w:pos="1503"/>
        </w:tabs>
        <w:spacing w:after="120" w:line="360" w:lineRule="auto"/>
        <w:rPr>
          <w:sz w:val="24"/>
          <w:szCs w:val="24"/>
        </w:rPr>
      </w:pPr>
      <w:r>
        <w:rPr>
          <w:sz w:val="24"/>
          <w:szCs w:val="24"/>
        </w:rPr>
        <w:t xml:space="preserve">For example, any academic ‘output’, such as </w:t>
      </w:r>
      <w:r w:rsidR="00050573">
        <w:rPr>
          <w:sz w:val="24"/>
          <w:szCs w:val="24"/>
        </w:rPr>
        <w:t>report of research</w:t>
      </w:r>
      <w:r w:rsidR="003D692B">
        <w:rPr>
          <w:sz w:val="24"/>
          <w:szCs w:val="24"/>
        </w:rPr>
        <w:t>,</w:t>
      </w:r>
      <w:r>
        <w:rPr>
          <w:sz w:val="24"/>
          <w:szCs w:val="24"/>
        </w:rPr>
        <w:t xml:space="preserve"> or a graduate, can be conceptualised as a transaction, since they bring something from within the academic boundary to</w:t>
      </w:r>
      <w:r w:rsidR="00FE2254">
        <w:rPr>
          <w:sz w:val="24"/>
          <w:szCs w:val="24"/>
        </w:rPr>
        <w:t xml:space="preserve"> a context</w:t>
      </w:r>
      <w:r>
        <w:rPr>
          <w:sz w:val="24"/>
          <w:szCs w:val="24"/>
        </w:rPr>
        <w:t xml:space="preserve"> beyond that boundary</w:t>
      </w:r>
      <w:r w:rsidR="00E95D82">
        <w:rPr>
          <w:sz w:val="24"/>
          <w:szCs w:val="24"/>
        </w:rPr>
        <w:t>.</w:t>
      </w:r>
      <w:r w:rsidR="00272B4E">
        <w:rPr>
          <w:sz w:val="24"/>
          <w:szCs w:val="24"/>
        </w:rPr>
        <w:t xml:space="preserve"> But there are a range of different forms that such ‘outputs’ could take, and the form is influenced by the levels of c</w:t>
      </w:r>
      <w:r w:rsidR="009B77E3">
        <w:rPr>
          <w:sz w:val="24"/>
          <w:szCs w:val="24"/>
        </w:rPr>
        <w:t xml:space="preserve">ontrol over the transaction </w:t>
      </w:r>
      <w:r w:rsidR="00272B4E">
        <w:rPr>
          <w:sz w:val="24"/>
          <w:szCs w:val="24"/>
        </w:rPr>
        <w:t>by different actors</w:t>
      </w:r>
      <w:r w:rsidR="009B77E3">
        <w:rPr>
          <w:sz w:val="24"/>
          <w:szCs w:val="24"/>
        </w:rPr>
        <w:t xml:space="preserve">. </w:t>
      </w:r>
      <w:r w:rsidR="00050573">
        <w:rPr>
          <w:sz w:val="24"/>
          <w:szCs w:val="24"/>
        </w:rPr>
        <w:t xml:space="preserve">For example, </w:t>
      </w:r>
      <w:r w:rsidR="00687E44">
        <w:rPr>
          <w:sz w:val="24"/>
          <w:szCs w:val="24"/>
        </w:rPr>
        <w:t xml:space="preserve">research outputs published in academic journals and written in a highly technical form </w:t>
      </w:r>
      <w:r w:rsidR="00EE26C1">
        <w:rPr>
          <w:sz w:val="24"/>
          <w:szCs w:val="24"/>
        </w:rPr>
        <w:t>targeted at an audience with significant prior knowledge</w:t>
      </w:r>
      <w:r w:rsidR="00503836">
        <w:rPr>
          <w:sz w:val="24"/>
          <w:szCs w:val="24"/>
        </w:rPr>
        <w:t xml:space="preserve"> </w:t>
      </w:r>
      <w:r w:rsidR="00687E44">
        <w:rPr>
          <w:sz w:val="24"/>
          <w:szCs w:val="24"/>
        </w:rPr>
        <w:t>reflect</w:t>
      </w:r>
      <w:r w:rsidR="00E97A56">
        <w:rPr>
          <w:sz w:val="24"/>
          <w:szCs w:val="24"/>
        </w:rPr>
        <w:t>s</w:t>
      </w:r>
      <w:r w:rsidR="00687E44">
        <w:rPr>
          <w:sz w:val="24"/>
          <w:szCs w:val="24"/>
        </w:rPr>
        <w:t xml:space="preserve"> that control </w:t>
      </w:r>
      <w:r w:rsidR="004A5F2B">
        <w:rPr>
          <w:sz w:val="24"/>
          <w:szCs w:val="24"/>
        </w:rPr>
        <w:t xml:space="preserve">over that output lay within the boundaries of academia. By contrast, a research output which took the form of, say, a workshop aimed at non-specialist practitioners or policymakers for whom certain aspects of the research may be useful (McNie et al., 2016) </w:t>
      </w:r>
      <w:r w:rsidR="001A6866">
        <w:rPr>
          <w:sz w:val="24"/>
          <w:szCs w:val="24"/>
        </w:rPr>
        <w:t>would imply greater control with the user</w:t>
      </w:r>
      <w:r w:rsidR="004B7F93">
        <w:rPr>
          <w:sz w:val="24"/>
          <w:szCs w:val="24"/>
        </w:rPr>
        <w:t xml:space="preserve">s of this research. </w:t>
      </w:r>
      <w:r w:rsidR="00E665E5">
        <w:rPr>
          <w:sz w:val="24"/>
          <w:szCs w:val="24"/>
        </w:rPr>
        <w:t>To continue the other example of an ‘output’, that of a university</w:t>
      </w:r>
      <w:r w:rsidR="00D42025">
        <w:rPr>
          <w:sz w:val="24"/>
          <w:szCs w:val="24"/>
        </w:rPr>
        <w:t xml:space="preserve"> graduate</w:t>
      </w:r>
      <w:r w:rsidR="004B7F93">
        <w:rPr>
          <w:sz w:val="24"/>
          <w:szCs w:val="24"/>
        </w:rPr>
        <w:t>, where a student’s higher education consisted of strongly academic, discipline-specific training</w:t>
      </w:r>
      <w:r w:rsidR="00146D1D">
        <w:rPr>
          <w:sz w:val="24"/>
          <w:szCs w:val="24"/>
        </w:rPr>
        <w:t>, this</w:t>
      </w:r>
      <w:r w:rsidR="004B7F93">
        <w:rPr>
          <w:sz w:val="24"/>
          <w:szCs w:val="24"/>
        </w:rPr>
        <w:t xml:space="preserve"> could be conceptualised as </w:t>
      </w:r>
      <w:r w:rsidR="00D206F3">
        <w:rPr>
          <w:sz w:val="24"/>
          <w:szCs w:val="24"/>
        </w:rPr>
        <w:t>a transaction over which academia held significant control. By contrast, where curricula were designed to promote more “generic” skills (Bernstein, 2000, p. 53; see also Beck &amp; Young, 2005</w:t>
      </w:r>
      <w:r w:rsidR="00FF6223">
        <w:rPr>
          <w:sz w:val="24"/>
          <w:szCs w:val="24"/>
        </w:rPr>
        <w:t>, p. 189</w:t>
      </w:r>
      <w:r w:rsidR="00D206F3">
        <w:rPr>
          <w:sz w:val="24"/>
          <w:szCs w:val="24"/>
        </w:rPr>
        <w:t>)</w:t>
      </w:r>
      <w:r w:rsidR="0059431E">
        <w:rPr>
          <w:sz w:val="24"/>
          <w:szCs w:val="24"/>
        </w:rPr>
        <w:t xml:space="preserve"> such as employability,</w:t>
      </w:r>
      <w:r w:rsidR="00C665E4">
        <w:rPr>
          <w:sz w:val="24"/>
          <w:szCs w:val="24"/>
        </w:rPr>
        <w:t xml:space="preserve"> perhaps with input over aspects over the curriculum from some perceived key industrial sectors,</w:t>
      </w:r>
      <w:r w:rsidR="0059431E">
        <w:rPr>
          <w:sz w:val="24"/>
          <w:szCs w:val="24"/>
        </w:rPr>
        <w:t xml:space="preserve"> this could be conceptualised as a transaction over which there was relative external control. </w:t>
      </w:r>
    </w:p>
    <w:p w14:paraId="1BCD1BF5" w14:textId="144E78CF" w:rsidR="00A944EC" w:rsidRDefault="00ED3BA2" w:rsidP="00C86B01">
      <w:pPr>
        <w:tabs>
          <w:tab w:val="left" w:pos="1503"/>
        </w:tabs>
        <w:spacing w:after="120" w:line="360" w:lineRule="auto"/>
        <w:rPr>
          <w:sz w:val="24"/>
          <w:szCs w:val="24"/>
        </w:rPr>
      </w:pPr>
      <w:r>
        <w:rPr>
          <w:sz w:val="24"/>
          <w:szCs w:val="24"/>
        </w:rPr>
        <w:t>Control is therefore closely related to power. As</w:t>
      </w:r>
      <w:r w:rsidR="001733CC">
        <w:rPr>
          <w:sz w:val="24"/>
          <w:szCs w:val="24"/>
        </w:rPr>
        <w:t xml:space="preserve"> Bernstein (2000) puts it, “[c]</w:t>
      </w:r>
      <w:r w:rsidR="00132DA6" w:rsidRPr="0017059A">
        <w:rPr>
          <w:sz w:val="24"/>
          <w:szCs w:val="24"/>
        </w:rPr>
        <w:t>ontrol carries the boundary relations of power</w:t>
      </w:r>
      <w:r w:rsidR="00132DA6">
        <w:rPr>
          <w:sz w:val="24"/>
          <w:szCs w:val="24"/>
        </w:rPr>
        <w:t xml:space="preserve">” </w:t>
      </w:r>
      <w:r>
        <w:rPr>
          <w:sz w:val="24"/>
          <w:szCs w:val="24"/>
        </w:rPr>
        <w:t>(p. 5).</w:t>
      </w:r>
      <w:r w:rsidR="003B046E">
        <w:rPr>
          <w:sz w:val="24"/>
          <w:szCs w:val="24"/>
        </w:rPr>
        <w:t xml:space="preserve"> </w:t>
      </w:r>
      <w:r w:rsidR="00095666">
        <w:rPr>
          <w:sz w:val="24"/>
          <w:szCs w:val="24"/>
        </w:rPr>
        <w:t>The reproduction of boundaries, that is, the reproduction of the power of bounded categories, therefore depends</w:t>
      </w:r>
      <w:r w:rsidR="00C92EF7">
        <w:rPr>
          <w:sz w:val="24"/>
          <w:szCs w:val="24"/>
        </w:rPr>
        <w:t xml:space="preserve"> in significant part</w:t>
      </w:r>
      <w:r w:rsidR="00095666">
        <w:rPr>
          <w:sz w:val="24"/>
          <w:szCs w:val="24"/>
        </w:rPr>
        <w:t xml:space="preserve"> on the relative control over boundary transactions.</w:t>
      </w:r>
      <w:r w:rsidR="006C6C4F">
        <w:rPr>
          <w:sz w:val="24"/>
          <w:szCs w:val="24"/>
        </w:rPr>
        <w:t xml:space="preserve"> Reproduction depends on the boundary’s ability to regulate and control these transactions such that </w:t>
      </w:r>
      <w:r w:rsidR="00C90B20">
        <w:rPr>
          <w:sz w:val="24"/>
          <w:szCs w:val="24"/>
        </w:rPr>
        <w:t>they reinforce the bounded category’s distinctive identity and distinctive value to wider society, or at leas</w:t>
      </w:r>
      <w:r w:rsidR="005D6BA2">
        <w:rPr>
          <w:sz w:val="24"/>
          <w:szCs w:val="24"/>
        </w:rPr>
        <w:t xml:space="preserve">t </w:t>
      </w:r>
      <w:r w:rsidR="005D6BA2">
        <w:rPr>
          <w:i/>
          <w:iCs/>
          <w:sz w:val="24"/>
          <w:szCs w:val="24"/>
        </w:rPr>
        <w:t>certain</w:t>
      </w:r>
      <w:r w:rsidR="00C90B20" w:rsidRPr="00DA7B77">
        <w:rPr>
          <w:i/>
          <w:sz w:val="24"/>
          <w:szCs w:val="24"/>
        </w:rPr>
        <w:t xml:space="preserve"> </w:t>
      </w:r>
      <w:r w:rsidR="00C90B20">
        <w:rPr>
          <w:sz w:val="24"/>
          <w:szCs w:val="24"/>
        </w:rPr>
        <w:t>social groups</w:t>
      </w:r>
      <w:r w:rsidR="005D6BA2">
        <w:rPr>
          <w:sz w:val="24"/>
          <w:szCs w:val="24"/>
        </w:rPr>
        <w:t>, i.e. groups which are considered sufficiently powerful and relevant to the legitimacy of the bounded group</w:t>
      </w:r>
      <w:r w:rsidR="00760F4F">
        <w:rPr>
          <w:sz w:val="24"/>
          <w:szCs w:val="24"/>
        </w:rPr>
        <w:t>/entity etc.</w:t>
      </w:r>
      <w:r w:rsidR="005D6BA2">
        <w:rPr>
          <w:sz w:val="24"/>
          <w:szCs w:val="24"/>
        </w:rPr>
        <w:t xml:space="preserve"> in question</w:t>
      </w:r>
      <w:r w:rsidR="00C90B20">
        <w:rPr>
          <w:sz w:val="24"/>
          <w:szCs w:val="24"/>
        </w:rPr>
        <w:t xml:space="preserve">. It is often the case that mechanisms </w:t>
      </w:r>
      <w:r w:rsidR="009B77E3">
        <w:rPr>
          <w:sz w:val="24"/>
          <w:szCs w:val="24"/>
        </w:rPr>
        <w:t>are constructed for dis</w:t>
      </w:r>
      <w:r w:rsidR="00C90B20">
        <w:rPr>
          <w:sz w:val="24"/>
          <w:szCs w:val="24"/>
        </w:rPr>
        <w:t xml:space="preserve">criminating different </w:t>
      </w:r>
      <w:r w:rsidR="00600A09">
        <w:rPr>
          <w:sz w:val="24"/>
          <w:szCs w:val="24"/>
        </w:rPr>
        <w:t>types of external actor or group</w:t>
      </w:r>
      <w:r w:rsidR="00A944EC">
        <w:rPr>
          <w:sz w:val="24"/>
          <w:szCs w:val="24"/>
        </w:rPr>
        <w:t xml:space="preserve">, depending on the relevance of the group for the boundary’s reproduction and on the risks that transactions with such a group might pose. </w:t>
      </w:r>
      <w:r w:rsidR="00CC6DF6">
        <w:rPr>
          <w:sz w:val="24"/>
          <w:szCs w:val="24"/>
        </w:rPr>
        <w:t>Below, I</w:t>
      </w:r>
      <w:r w:rsidR="00A944EC">
        <w:rPr>
          <w:sz w:val="24"/>
          <w:szCs w:val="24"/>
        </w:rPr>
        <w:t xml:space="preserve"> draw from</w:t>
      </w:r>
      <w:r w:rsidR="005D1408">
        <w:rPr>
          <w:sz w:val="24"/>
          <w:szCs w:val="24"/>
        </w:rPr>
        <w:t xml:space="preserve"> broader sociological,</w:t>
      </w:r>
      <w:r w:rsidR="00A944EC">
        <w:rPr>
          <w:sz w:val="24"/>
          <w:szCs w:val="24"/>
        </w:rPr>
        <w:t xml:space="preserve"> institutional and economic literature to elucidate some of these more nuanced features of boundary transactions.</w:t>
      </w:r>
    </w:p>
    <w:p w14:paraId="32A85E3B" w14:textId="4910F5A5" w:rsidR="0024333E" w:rsidRPr="00167BEE" w:rsidRDefault="005D1408" w:rsidP="00167BEE">
      <w:pPr>
        <w:tabs>
          <w:tab w:val="left" w:pos="1503"/>
        </w:tabs>
        <w:spacing w:after="120" w:line="360" w:lineRule="auto"/>
        <w:rPr>
          <w:sz w:val="24"/>
          <w:szCs w:val="24"/>
        </w:rPr>
      </w:pPr>
      <w:r>
        <w:rPr>
          <w:sz w:val="24"/>
          <w:szCs w:val="24"/>
        </w:rPr>
        <w:t>As noted</w:t>
      </w:r>
      <w:r w:rsidR="00DA7B77">
        <w:rPr>
          <w:sz w:val="24"/>
          <w:szCs w:val="24"/>
        </w:rPr>
        <w:t xml:space="preserve"> several times so far</w:t>
      </w:r>
      <w:r>
        <w:rPr>
          <w:sz w:val="24"/>
          <w:szCs w:val="24"/>
        </w:rPr>
        <w:t xml:space="preserve">, transactions are essential and unavoidable. But transactions are ‘costly’, </w:t>
      </w:r>
      <w:r w:rsidR="00C332CF">
        <w:rPr>
          <w:sz w:val="24"/>
          <w:szCs w:val="24"/>
        </w:rPr>
        <w:t>entailing</w:t>
      </w:r>
      <w:r>
        <w:rPr>
          <w:sz w:val="24"/>
          <w:szCs w:val="24"/>
        </w:rPr>
        <w:t xml:space="preserve"> ‘transaction costs’ </w:t>
      </w:r>
      <w:r w:rsidR="00AD1213">
        <w:rPr>
          <w:rFonts w:eastAsia="AdvTimes"/>
          <w:sz w:val="24"/>
          <w:szCs w:val="24"/>
        </w:rPr>
        <w:fldChar w:fldCharType="begin">
          <w:fldData xml:space="preserve">PEVuZE5vdGU+PENpdGU+PEF1dGhvcj5NdWVsbGVybGVpbGU8L0F1dGhvcj48WWVhcj4yMDE5PC9Z
ZWFyPjxJRFRleHQ+UmUtYXNzZW1ibGluZyBrbm93bGVkZ2UgcHJvZHVjdGlvbiB3aXRoKG91dCkg
dGhlIHVuaXZlcnNpdHk8L0lEVGV4dD48RGlzcGxheVRleHQ+KE11ZWxsZXJsZWlsZSAmYW1wOyBM
ZXdpcywgMjAxOTsgRC4gQy4gTm9ydGgsIDE5OTA7IFRpbGx5LCAxOTk4KTwvRGlzcGxheVRleHQ+
PHJlY29yZD48dXJscz48cmVsYXRlZC11cmxzPjx1cmw+aHR0cHM6Ly9kb2kub3JnLzEwLjEwODAv
MTQ3Njc3MjQuMjAxOS4xNjAyMzUyPC91cmw+PC9yZWxhdGVkLXVybHM+PC91cmxzPjxpc2JuPjE0
NzYtNzcyNDwvaXNibj48dGl0bGVzPjx0aXRsZT5SZS1hc3NlbWJsaW5nIGtub3dsZWRnZSBwcm9k
dWN0aW9uIHdpdGgob3V0KSB0aGUgdW5pdmVyc2l0eTwvdGl0bGU+PHNlY29uZGFyeS10aXRsZT5H
bG9iYWxpc2F0aW9uLCBTb2NpZXRpZXMgYW5kIEVkdWNhdGlvbjwvc2Vjb25kYXJ5LXRpdGxlPjwv
dGl0bGVzPjxwYWdlcz4xLTEwPC9wYWdlcz48Y29udHJpYnV0b3JzPjxhdXRob3JzPjxhdXRob3I+
TXVlbGxlcmxlaWxlLCBDaHJpczwvYXV0aG9yPjxhdXRob3I+TGV3aXMsIE5pY2s8L2F1dGhvcj48
L2F1dGhvcnM+PC9jb250cmlidXRvcnM+PGFkZGVkLWRhdGUgZm9ybWF0PSJ1dGMiPjE1NTY2MzE1
Njk8L2FkZGVkLWRhdGU+PHJlZi10eXBlIG5hbWU9IkpvdXJuYWwgQXJ0aWNsZSI+MTc8L3JlZi10
eXBlPjxkYXRlcz48eWVhcj4yMDE5PC95ZWFyPjwvZGF0ZXM+PHJlYy1udW1iZXI+Nzc3MDwvcmVj
LW51bWJlcj48cHVibGlzaGVyPlJvdXRsZWRnZTwvcHVibGlzaGVyPjxsYXN0LXVwZGF0ZWQtZGF0
ZSBmb3JtYXQ9InV0YyI+MTU1NjYzMTU2OTwvbGFzdC11cGRhdGVkLWRhdGU+PGVsZWN0cm9uaWMt
cmVzb3VyY2UtbnVtPjEwLjEwODAvMTQ3Njc3MjQuMjAxOS4xNjAyMzUyPC9lbGVjdHJvbmljLXJl
c291cmNlLW51bT48L3JlY29yZD48L0NpdGU+PENpdGU+PEF1dGhvcj5Ob3J0aDwvQXV0aG9yPjxZ
ZWFyPjE5OTA8L1llYXI+PElEVGV4dD5JbnN0aXR1dGlvbnMsIEluc3RpdHV0aW9uYWwgQ2hhbmdl
IGFuZCBFY29ub21pYyBQZXJmb3JtYW5jZTwvSURUZXh0PjxyZWNvcmQ+PGtleXdvcmRzPjxrZXl3
b3JkPkluc3RpdHV0aW9uYWwgZWNvbm9taWNzPC9rZXl3b3JkPjxrZXl3b3JkPk9yZ2FuaXNhdGlv
bmFsIGNoYW5nZTwva2V5d29yZD48a2V5d29yZD5FY29ub21pYyBkZXZlbG9wbWVudDwva2V5d29y
ZD48a2V5d29yZD5JbnN0aXR1dGlvbmFsIGVjb25vbWljczwva2V5d29yZD48a2V5d29yZD5Pcmdh
bml6YXRpb25hbCBjaGFuZ2U8L2tleXdvcmQ+PGtleXdvcmQ+RWNvbm9taWMgZGV2ZWxvcG1lbnQ8
L2tleXdvcmQ+PGtleXdvcmQ+RWNvbm9taWNzPC9rZXl3b3JkPjxrZXl3b3JkPkVjb25vbWljczwv
a2V5d29yZD48a2V5d29yZD5EZXZlbG9wbWVudCwgRWNvbm9taWM8L2tleXdvcmQ+PGtleXdvcmQ+
RWNvbm9taWMgZ3Jvd3RoPC9rZXl3b3JkPjxrZXl3b3JkPkdyb3d0aCwgRWNvbm9taWM8L2tleXdv
cmQ+PGtleXdvcmQ+RWNvbm9taWMgcG9saWN5PC9rZXl3b3JkPjxrZXl3b3JkPkVjb25vbWljczwv
a2V5d29yZD48a2V5d29yZD5TdGF0aWNzIGFuZCBkeW5hbWljcyAoU29jaWFsIHNjaWVuY2VzKTwv
a2V5d29yZD48a2V5d29yZD5EZXZlbG9wbWVudCBlY29ub21pY3M8L2tleXdvcmQ+PGtleXdvcmQ+
UmVzb3VyY2UgY3Vyc2U8L2tleXdvcmQ+PGtleXdvcmQ+RGV2ZWxvcG1lbnQsIEVjb25vbWljPC9r
ZXl3b3JkPjxrZXl3b3JkPkVjb25vbWljIGdyb3d0aDwva2V5d29yZD48a2V5d29yZD5Hcm93dGgs
IEVjb25vbWljPC9rZXl3b3JkPjxrZXl3b3JkPkVjb25vbWljIHBvbGljeTwva2V5d29yZD48a2V5
d29yZD5FY29ub21pY3M8L2tleXdvcmQ+PGtleXdvcmQ+U3RhdGljcyBhbmQgZHluYW1pY3MgKFNv
Y2lhbCBzY2llbmNlcyk8L2tleXdvcmQ+PGtleXdvcmQ+RGV2ZWxvcG1lbnQgZWNvbm9taWNzPC9r
ZXl3b3JkPjxrZXl3b3JkPlJlc291cmNlIGN1cnNlPC9rZXl3b3JkPjxrZXl3b3JkPkNoYW5nZSwg
T3JnYW5pemF0aW9uYWw8L2tleXdvcmQ+PGtleXdvcmQ+T3JnYW5pemF0aW9uIGRldmVsb3BtZW50
PC9rZXl3b3JkPjxrZXl3b3JkPk9yZ2FuaXphdGlvbmFsIGRldmVsb3BtZW50PC9rZXl3b3JkPjxr
ZXl3b3JkPk9yZ2FuaXphdGlvbmFsIGlubm92YXRpb248L2tleXdvcmQ+PGtleXdvcmQ+TWFuYWdl
bWVudDwva2V5d29yZD48a2V5d29yZD5Pcmdhbml6YXRpb248L2tleXdvcmQ+PGtleXdvcmQ+TWFu
cG93ZXIgcGxhbm5pbmc8L2tleXdvcmQ+PGtleXdvcmQ+RWNvbm9taWNzPC9rZXl3b3JkPjwva2V5
d29yZHM+PHRpdGxlcz48dGl0bGU+SW5zdGl0dXRpb25zLCBJbnN0aXR1dGlvbmFsIENoYW5nZSBh
bmQgRWNvbm9taWMgUGVyZm9ybWFuY2U8L3RpdGxlPjwvdGl0bGVzPjxjb250cmlidXRvcnM+PGF1
dGhvcnM+PGF1dGhvcj5Ob3J0aCwgRG91Z2xhc3MgQy48L2F1dGhvcj48L2F1dGhvcnM+PC9jb250
cmlidXRvcnM+PGFkZGVkLWRhdGUgZm9ybWF0PSJ1dGMiPjE1NDg3ODk3MTA8L2FkZGVkLWRhdGU+
PHB1Yi1sb2NhdGlvbj5DYW1icmlkZ2U8L3B1Yi1sb2NhdGlvbj48cmVmLXR5cGUgbmFtZT0iQm9v
ayI+NjwvcmVmLXR5cGU+PGRhdGVzPjx5ZWFyPjE5OTA8L3llYXI+PC9kYXRlcz48cmVjLW51bWJl
cj43NzAxPC9yZWMtbnVtYmVyPjxwdWJsaXNoZXI+Q2FtYnJpZGdlIFVuaXZlcnNpdHkgUHJlc3M8
L3B1Ymxpc2hlcj48bGFzdC11cGRhdGVkLWRhdGUgZm9ybWF0PSJ1dGMiPjE1NDg3ODk3Njc8L2xh
c3QtdXBkYXRlZC1kYXRlPjwvcmVjb3JkPjwvQ2l0ZT48Q2l0ZT48QXV0aG9yPlRpbGx5PC9BdXRo
b3I+PFllYXI+MTk5ODwvWWVhcj48SURUZXh0PkR1cmFibGUgSW5lcXVhbGl0eTwvSURUZXh0Pjxy
ZWNvcmQ+PGtleXdvcmRzPjxrZXl3b3JkPkluY29tZSBkaXN0cmlidXRpb248L2tleXdvcmQ+PGtl
eXdvcmQ+RXF1YWxpdHk8L2tleXdvcmQ+PGtleXdvcmQ+RWdhbGl0YXJpYW5pc208L2tleXdvcmQ+
PGtleXdvcmQ+SW5lcXVhbGl0eTwva2V5d29yZD48a2V5d29yZD5Tb2NpYWwgZXF1YWxpdHk8L2tl
eXdvcmQ+PGtleXdvcmQ+U29jaWFsIGluZXF1YWxpdHk8L2tleXdvcmQ+PGtleXdvcmQ+UG9saXRp
Y2FsIHNjaWVuY2U8L2tleXdvcmQ+PGtleXdvcmQ+U29jaW9sb2d5PC9rZXl3b3JkPjxrZXl3b3Jk
PkRlbW9jcmFjeTwva2V5d29yZD48a2V5d29yZD5MaWJlcnR5PC9rZXl3b3JkPjxrZXl3b3JkPkRp
c3RyaWJ1dGlvbiBvZiBpbmNvbWU8L2tleXdvcmQ+PGtleXdvcmQ+SW5jb21lIGluZXF1YWxpdHk8
L2tleXdvcmQ+PGtleXdvcmQ+SW5lcXVhbGl0eSBvZiBpbmNvbWU8L2tleXdvcmQ+PGtleXdvcmQ+
RGlzdHJpYnV0aW9uIChFY29ub21pYyB0aGVvcnkpPC9rZXl3b3JkPjxrZXl3b3JkPkRpc3Bvc2Fi
bGUgaW5jb21lPC9rZXl3b3JkPjxrZXl3b3JkPkVsZWN0cm9uaWMgYm9va3M8L2tleXdvcmQ+PC9r
ZXl3b3Jkcz48dGl0bGVzPjx0aXRsZT5EdXJhYmxlIEluZXF1YWxpdHk8L3RpdGxlPjwvdGl0bGVz
Pjxjb250cmlidXRvcnM+PGF1dGhvcnM+PGF1dGhvcj5UaWxseSwgQ2hhcmxlczwvYXV0aG9yPjwv
YXV0aG9ycz48L2NvbnRyaWJ1dG9ycz48YWRkZWQtZGF0ZSBmb3JtYXQ9InV0YyI+MTU0Mzc5OTk5
NDwvYWRkZWQtZGF0ZT48cHViLWxvY2F0aW9uPkJlcmtlbGV5PC9wdWItbG9jYXRpb24+PHJlZi10
eXBlIG5hbWU9IkJvb2siPjY8L3JlZi10eXBlPjxkYXRlcz48eWVhcj4xOTk4PC95ZWFyPjwvZGF0
ZXM+PHJlYy1udW1iZXI+NzY4NjwvcmVjLW51bWJlcj48cHVibGlzaGVyPlVuaXZlcnNpdHkgb2Yg
Q2FsaWZvcm5pYSBQcmVzczwvcHVibGlzaGVyPjxsYXN0LXVwZGF0ZWQtZGF0ZSBmb3JtYXQ9InV0
YyI+MTU0MzgwMDAzOTwvbGFzdC11cGRhdGVkLWRhdGU+PC9yZWNvcmQ+PC9DaXRlPjwvRW5kTm90
ZT4A
</w:fldData>
        </w:fldChar>
      </w:r>
      <w:r w:rsidR="00452C21">
        <w:rPr>
          <w:rFonts w:eastAsia="AdvTimes"/>
          <w:sz w:val="24"/>
          <w:szCs w:val="24"/>
        </w:rPr>
        <w:instrText xml:space="preserve"> ADDIN EN.CITE </w:instrText>
      </w:r>
      <w:r w:rsidR="00452C21">
        <w:rPr>
          <w:rFonts w:eastAsia="AdvTimes"/>
          <w:sz w:val="24"/>
          <w:szCs w:val="24"/>
        </w:rPr>
        <w:fldChar w:fldCharType="begin">
          <w:fldData xml:space="preserve">PEVuZE5vdGU+PENpdGU+PEF1dGhvcj5NdWVsbGVybGVpbGU8L0F1dGhvcj48WWVhcj4yMDE5PC9Z
ZWFyPjxJRFRleHQ+UmUtYXNzZW1ibGluZyBrbm93bGVkZ2UgcHJvZHVjdGlvbiB3aXRoKG91dCkg
dGhlIHVuaXZlcnNpdHk8L0lEVGV4dD48RGlzcGxheVRleHQ+KE11ZWxsZXJsZWlsZSAmYW1wOyBM
ZXdpcywgMjAxOTsgRC4gQy4gTm9ydGgsIDE5OTA7IFRpbGx5LCAxOTk4KTwvRGlzcGxheVRleHQ+
PHJlY29yZD48dXJscz48cmVsYXRlZC11cmxzPjx1cmw+aHR0cHM6Ly9kb2kub3JnLzEwLjEwODAv
MTQ3Njc3MjQuMjAxOS4xNjAyMzUyPC91cmw+PC9yZWxhdGVkLXVybHM+PC91cmxzPjxpc2JuPjE0
NzYtNzcyNDwvaXNibj48dGl0bGVzPjx0aXRsZT5SZS1hc3NlbWJsaW5nIGtub3dsZWRnZSBwcm9k
dWN0aW9uIHdpdGgob3V0KSB0aGUgdW5pdmVyc2l0eTwvdGl0bGU+PHNlY29uZGFyeS10aXRsZT5H
bG9iYWxpc2F0aW9uLCBTb2NpZXRpZXMgYW5kIEVkdWNhdGlvbjwvc2Vjb25kYXJ5LXRpdGxlPjwv
dGl0bGVzPjxwYWdlcz4xLTEwPC9wYWdlcz48Y29udHJpYnV0b3JzPjxhdXRob3JzPjxhdXRob3I+
TXVlbGxlcmxlaWxlLCBDaHJpczwvYXV0aG9yPjxhdXRob3I+TGV3aXMsIE5pY2s8L2F1dGhvcj48
L2F1dGhvcnM+PC9jb250cmlidXRvcnM+PGFkZGVkLWRhdGUgZm9ybWF0PSJ1dGMiPjE1NTY2MzE1
Njk8L2FkZGVkLWRhdGU+PHJlZi10eXBlIG5hbWU9IkpvdXJuYWwgQXJ0aWNsZSI+MTc8L3JlZi10
eXBlPjxkYXRlcz48eWVhcj4yMDE5PC95ZWFyPjwvZGF0ZXM+PHJlYy1udW1iZXI+Nzc3MDwvcmVj
LW51bWJlcj48cHVibGlzaGVyPlJvdXRsZWRnZTwvcHVibGlzaGVyPjxsYXN0LXVwZGF0ZWQtZGF0
ZSBmb3JtYXQ9InV0YyI+MTU1NjYzMTU2OTwvbGFzdC11cGRhdGVkLWRhdGU+PGVsZWN0cm9uaWMt
cmVzb3VyY2UtbnVtPjEwLjEwODAvMTQ3Njc3MjQuMjAxOS4xNjAyMzUyPC9lbGVjdHJvbmljLXJl
c291cmNlLW51bT48L3JlY29yZD48L0NpdGU+PENpdGU+PEF1dGhvcj5Ob3J0aDwvQXV0aG9yPjxZ
ZWFyPjE5OTA8L1llYXI+PElEVGV4dD5JbnN0aXR1dGlvbnMsIEluc3RpdHV0aW9uYWwgQ2hhbmdl
IGFuZCBFY29ub21pYyBQZXJmb3JtYW5jZTwvSURUZXh0PjxyZWNvcmQ+PGtleXdvcmRzPjxrZXl3
b3JkPkluc3RpdHV0aW9uYWwgZWNvbm9taWNzPC9rZXl3b3JkPjxrZXl3b3JkPk9yZ2FuaXNhdGlv
bmFsIGNoYW5nZTwva2V5d29yZD48a2V5d29yZD5FY29ub21pYyBkZXZlbG9wbWVudDwva2V5d29y
ZD48a2V5d29yZD5JbnN0aXR1dGlvbmFsIGVjb25vbWljczwva2V5d29yZD48a2V5d29yZD5Pcmdh
bml6YXRpb25hbCBjaGFuZ2U8L2tleXdvcmQ+PGtleXdvcmQ+RWNvbm9taWMgZGV2ZWxvcG1lbnQ8
L2tleXdvcmQ+PGtleXdvcmQ+RWNvbm9taWNzPC9rZXl3b3JkPjxrZXl3b3JkPkVjb25vbWljczwv
a2V5d29yZD48a2V5d29yZD5EZXZlbG9wbWVudCwgRWNvbm9taWM8L2tleXdvcmQ+PGtleXdvcmQ+
RWNvbm9taWMgZ3Jvd3RoPC9rZXl3b3JkPjxrZXl3b3JkPkdyb3d0aCwgRWNvbm9taWM8L2tleXdv
cmQ+PGtleXdvcmQ+RWNvbm9taWMgcG9saWN5PC9rZXl3b3JkPjxrZXl3b3JkPkVjb25vbWljczwv
a2V5d29yZD48a2V5d29yZD5TdGF0aWNzIGFuZCBkeW5hbWljcyAoU29jaWFsIHNjaWVuY2VzKTwv
a2V5d29yZD48a2V5d29yZD5EZXZlbG9wbWVudCBlY29ub21pY3M8L2tleXdvcmQ+PGtleXdvcmQ+
UmVzb3VyY2UgY3Vyc2U8L2tleXdvcmQ+PGtleXdvcmQ+RGV2ZWxvcG1lbnQsIEVjb25vbWljPC9r
ZXl3b3JkPjxrZXl3b3JkPkVjb25vbWljIGdyb3d0aDwva2V5d29yZD48a2V5d29yZD5Hcm93dGgs
IEVjb25vbWljPC9rZXl3b3JkPjxrZXl3b3JkPkVjb25vbWljIHBvbGljeTwva2V5d29yZD48a2V5
d29yZD5FY29ub21pY3M8L2tleXdvcmQ+PGtleXdvcmQ+U3RhdGljcyBhbmQgZHluYW1pY3MgKFNv
Y2lhbCBzY2llbmNlcyk8L2tleXdvcmQ+PGtleXdvcmQ+RGV2ZWxvcG1lbnQgZWNvbm9taWNzPC9r
ZXl3b3JkPjxrZXl3b3JkPlJlc291cmNlIGN1cnNlPC9rZXl3b3JkPjxrZXl3b3JkPkNoYW5nZSwg
T3JnYW5pemF0aW9uYWw8L2tleXdvcmQ+PGtleXdvcmQ+T3JnYW5pemF0aW9uIGRldmVsb3BtZW50
PC9rZXl3b3JkPjxrZXl3b3JkPk9yZ2FuaXphdGlvbmFsIGRldmVsb3BtZW50PC9rZXl3b3JkPjxr
ZXl3b3JkPk9yZ2FuaXphdGlvbmFsIGlubm92YXRpb248L2tleXdvcmQ+PGtleXdvcmQ+TWFuYWdl
bWVudDwva2V5d29yZD48a2V5d29yZD5Pcmdhbml6YXRpb248L2tleXdvcmQ+PGtleXdvcmQ+TWFu
cG93ZXIgcGxhbm5pbmc8L2tleXdvcmQ+PGtleXdvcmQ+RWNvbm9taWNzPC9rZXl3b3JkPjwva2V5
d29yZHM+PHRpdGxlcz48dGl0bGU+SW5zdGl0dXRpb25zLCBJbnN0aXR1dGlvbmFsIENoYW5nZSBh
bmQgRWNvbm9taWMgUGVyZm9ybWFuY2U8L3RpdGxlPjwvdGl0bGVzPjxjb250cmlidXRvcnM+PGF1
dGhvcnM+PGF1dGhvcj5Ob3J0aCwgRG91Z2xhc3MgQy48L2F1dGhvcj48L2F1dGhvcnM+PC9jb250
cmlidXRvcnM+PGFkZGVkLWRhdGUgZm9ybWF0PSJ1dGMiPjE1NDg3ODk3MTA8L2FkZGVkLWRhdGU+
PHB1Yi1sb2NhdGlvbj5DYW1icmlkZ2U8L3B1Yi1sb2NhdGlvbj48cmVmLXR5cGUgbmFtZT0iQm9v
ayI+NjwvcmVmLXR5cGU+PGRhdGVzPjx5ZWFyPjE5OTA8L3llYXI+PC9kYXRlcz48cmVjLW51bWJl
cj43NzAxPC9yZWMtbnVtYmVyPjxwdWJsaXNoZXI+Q2FtYnJpZGdlIFVuaXZlcnNpdHkgUHJlc3M8
L3B1Ymxpc2hlcj48bGFzdC11cGRhdGVkLWRhdGUgZm9ybWF0PSJ1dGMiPjE1NDg3ODk3Njc8L2xh
c3QtdXBkYXRlZC1kYXRlPjwvcmVjb3JkPjwvQ2l0ZT48Q2l0ZT48QXV0aG9yPlRpbGx5PC9BdXRo
b3I+PFllYXI+MTk5ODwvWWVhcj48SURUZXh0PkR1cmFibGUgSW5lcXVhbGl0eTwvSURUZXh0Pjxy
ZWNvcmQ+PGtleXdvcmRzPjxrZXl3b3JkPkluY29tZSBkaXN0cmlidXRpb248L2tleXdvcmQ+PGtl
eXdvcmQ+RXF1YWxpdHk8L2tleXdvcmQ+PGtleXdvcmQ+RWdhbGl0YXJpYW5pc208L2tleXdvcmQ+
PGtleXdvcmQ+SW5lcXVhbGl0eTwva2V5d29yZD48a2V5d29yZD5Tb2NpYWwgZXF1YWxpdHk8L2tl
eXdvcmQ+PGtleXdvcmQ+U29jaWFsIGluZXF1YWxpdHk8L2tleXdvcmQ+PGtleXdvcmQ+UG9saXRp
Y2FsIHNjaWVuY2U8L2tleXdvcmQ+PGtleXdvcmQ+U29jaW9sb2d5PC9rZXl3b3JkPjxrZXl3b3Jk
PkRlbW9jcmFjeTwva2V5d29yZD48a2V5d29yZD5MaWJlcnR5PC9rZXl3b3JkPjxrZXl3b3JkPkRp
c3RyaWJ1dGlvbiBvZiBpbmNvbWU8L2tleXdvcmQ+PGtleXdvcmQ+SW5jb21lIGluZXF1YWxpdHk8
L2tleXdvcmQ+PGtleXdvcmQ+SW5lcXVhbGl0eSBvZiBpbmNvbWU8L2tleXdvcmQ+PGtleXdvcmQ+
RGlzdHJpYnV0aW9uIChFY29ub21pYyB0aGVvcnkpPC9rZXl3b3JkPjxrZXl3b3JkPkRpc3Bvc2Fi
bGUgaW5jb21lPC9rZXl3b3JkPjxrZXl3b3JkPkVsZWN0cm9uaWMgYm9va3M8L2tleXdvcmQ+PC9r
ZXl3b3Jkcz48dGl0bGVzPjx0aXRsZT5EdXJhYmxlIEluZXF1YWxpdHk8L3RpdGxlPjwvdGl0bGVz
Pjxjb250cmlidXRvcnM+PGF1dGhvcnM+PGF1dGhvcj5UaWxseSwgQ2hhcmxlczwvYXV0aG9yPjwv
YXV0aG9ycz48L2NvbnRyaWJ1dG9ycz48YWRkZWQtZGF0ZSBmb3JtYXQ9InV0YyI+MTU0Mzc5OTk5
NDwvYWRkZWQtZGF0ZT48cHViLWxvY2F0aW9uPkJlcmtlbGV5PC9wdWItbG9jYXRpb24+PHJlZi10
eXBlIG5hbWU9IkJvb2siPjY8L3JlZi10eXBlPjxkYXRlcz48eWVhcj4xOTk4PC95ZWFyPjwvZGF0
ZXM+PHJlYy1udW1iZXI+NzY4NjwvcmVjLW51bWJlcj48cHVibGlzaGVyPlVuaXZlcnNpdHkgb2Yg
Q2FsaWZvcm5pYSBQcmVzczwvcHVibGlzaGVyPjxsYXN0LXVwZGF0ZWQtZGF0ZSBmb3JtYXQ9InV0
YyI+MTU0MzgwMDAzOTwvbGFzdC11cGRhdGVkLWRhdGU+PC9yZWNvcmQ+PC9DaXRlPjwvRW5kTm90
ZT4A
</w:fldData>
        </w:fldChar>
      </w:r>
      <w:r w:rsidR="00452C21">
        <w:rPr>
          <w:rFonts w:eastAsia="AdvTimes"/>
          <w:sz w:val="24"/>
          <w:szCs w:val="24"/>
        </w:rPr>
        <w:instrText xml:space="preserve"> ADDIN EN.CITE.DATA </w:instrText>
      </w:r>
      <w:r w:rsidR="00452C21">
        <w:rPr>
          <w:rFonts w:eastAsia="AdvTimes"/>
          <w:sz w:val="24"/>
          <w:szCs w:val="24"/>
        </w:rPr>
      </w:r>
      <w:r w:rsidR="00452C21">
        <w:rPr>
          <w:rFonts w:eastAsia="AdvTimes"/>
          <w:sz w:val="24"/>
          <w:szCs w:val="24"/>
        </w:rPr>
        <w:fldChar w:fldCharType="end"/>
      </w:r>
      <w:r w:rsidR="00AD1213">
        <w:rPr>
          <w:rFonts w:eastAsia="AdvTimes"/>
          <w:sz w:val="24"/>
          <w:szCs w:val="24"/>
        </w:rPr>
      </w:r>
      <w:r w:rsidR="00AD1213">
        <w:rPr>
          <w:rFonts w:eastAsia="AdvTimes"/>
          <w:sz w:val="24"/>
          <w:szCs w:val="24"/>
        </w:rPr>
        <w:fldChar w:fldCharType="separate"/>
      </w:r>
      <w:r w:rsidR="00452C21">
        <w:rPr>
          <w:rFonts w:eastAsia="AdvTimes"/>
          <w:noProof/>
          <w:sz w:val="24"/>
          <w:szCs w:val="24"/>
        </w:rPr>
        <w:t>(Muellerleile &amp; Lewis, 2019; D. C. North, 1990; Tilly, 1998)</w:t>
      </w:r>
      <w:r w:rsidR="00AD1213">
        <w:rPr>
          <w:rFonts w:eastAsia="AdvTimes"/>
          <w:sz w:val="24"/>
          <w:szCs w:val="24"/>
        </w:rPr>
        <w:fldChar w:fldCharType="end"/>
      </w:r>
      <w:r w:rsidR="00452C21">
        <w:rPr>
          <w:rFonts w:eastAsia="AdvTimes"/>
          <w:sz w:val="24"/>
          <w:szCs w:val="24"/>
        </w:rPr>
        <w:t xml:space="preserve"> </w:t>
      </w:r>
      <w:r>
        <w:rPr>
          <w:rFonts w:eastAsia="AdvTimes"/>
          <w:sz w:val="24"/>
          <w:szCs w:val="24"/>
        </w:rPr>
        <w:t>D.C. North, 1990; Tilly, 1998)</w:t>
      </w:r>
      <w:r w:rsidR="00E66336">
        <w:rPr>
          <w:rFonts w:eastAsia="AdvTimes"/>
          <w:sz w:val="24"/>
          <w:szCs w:val="24"/>
        </w:rPr>
        <w:t xml:space="preserve">. </w:t>
      </w:r>
      <w:r w:rsidR="004B7381">
        <w:rPr>
          <w:sz w:val="24"/>
          <w:szCs w:val="24"/>
        </w:rPr>
        <w:t>T</w:t>
      </w:r>
      <w:r w:rsidR="00AD1213">
        <w:rPr>
          <w:sz w:val="24"/>
          <w:szCs w:val="24"/>
        </w:rPr>
        <w:t>ransaction costs refer to the effort or “energy expended” in any “interchange” between actors (</w:t>
      </w:r>
      <w:r w:rsidR="004B7381">
        <w:rPr>
          <w:sz w:val="24"/>
          <w:szCs w:val="24"/>
        </w:rPr>
        <w:t xml:space="preserve">Tilly, 1998, </w:t>
      </w:r>
      <w:r w:rsidR="00AD1213">
        <w:rPr>
          <w:sz w:val="24"/>
          <w:szCs w:val="24"/>
        </w:rPr>
        <w:t>p. 53)</w:t>
      </w:r>
      <w:r w:rsidR="004B7381">
        <w:rPr>
          <w:sz w:val="24"/>
          <w:szCs w:val="24"/>
        </w:rPr>
        <w:t xml:space="preserve">. </w:t>
      </w:r>
      <w:r w:rsidR="0024333E" w:rsidRPr="00167BEE">
        <w:rPr>
          <w:rFonts w:eastAsia="AdvTimes"/>
          <w:sz w:val="24"/>
          <w:szCs w:val="24"/>
        </w:rPr>
        <w:t>Transaction costs may</w:t>
      </w:r>
      <w:r w:rsidR="00167BEE">
        <w:rPr>
          <w:rFonts w:eastAsia="AdvTimes"/>
          <w:sz w:val="24"/>
          <w:szCs w:val="24"/>
        </w:rPr>
        <w:t xml:space="preserve"> be directly financial, but </w:t>
      </w:r>
      <w:r w:rsidR="00847D5D">
        <w:rPr>
          <w:rFonts w:eastAsia="AdvTimes"/>
          <w:sz w:val="24"/>
          <w:szCs w:val="24"/>
        </w:rPr>
        <w:t>frequently</w:t>
      </w:r>
      <w:r w:rsidR="00167BEE">
        <w:rPr>
          <w:rFonts w:eastAsia="AdvTimes"/>
          <w:sz w:val="24"/>
          <w:szCs w:val="24"/>
        </w:rPr>
        <w:t xml:space="preserve"> this is not the case, with the ‘transactions’ requiring the mobilisation of emotional energy</w:t>
      </w:r>
      <w:r w:rsidR="007D4604">
        <w:rPr>
          <w:rFonts w:eastAsia="AdvTimes"/>
          <w:sz w:val="24"/>
          <w:szCs w:val="24"/>
        </w:rPr>
        <w:t xml:space="preserve">, </w:t>
      </w:r>
      <w:r w:rsidR="00167BEE">
        <w:rPr>
          <w:rFonts w:eastAsia="AdvTimes"/>
          <w:sz w:val="24"/>
          <w:szCs w:val="24"/>
        </w:rPr>
        <w:t>social capital</w:t>
      </w:r>
      <w:r w:rsidR="007D4604">
        <w:rPr>
          <w:rFonts w:eastAsia="AdvTimes"/>
          <w:sz w:val="24"/>
          <w:szCs w:val="24"/>
        </w:rPr>
        <w:t>, or just the effort of learning about the needs, practices, assumptions and language/discursive practices of different groups of actors</w:t>
      </w:r>
      <w:r w:rsidR="00167BEE">
        <w:rPr>
          <w:rStyle w:val="FootnoteReference"/>
          <w:rFonts w:eastAsia="AdvTimes"/>
          <w:sz w:val="24"/>
          <w:szCs w:val="24"/>
        </w:rPr>
        <w:footnoteReference w:id="6"/>
      </w:r>
      <w:r w:rsidR="00167BEE">
        <w:rPr>
          <w:rFonts w:eastAsia="AdvTimes"/>
          <w:sz w:val="24"/>
          <w:szCs w:val="24"/>
        </w:rPr>
        <w:t>.</w:t>
      </w:r>
    </w:p>
    <w:p w14:paraId="0B9DC501" w14:textId="758F02B9" w:rsidR="004A1C8E" w:rsidRDefault="004B7381" w:rsidP="00F556E2">
      <w:pPr>
        <w:autoSpaceDE w:val="0"/>
        <w:autoSpaceDN w:val="0"/>
        <w:adjustRightInd w:val="0"/>
        <w:spacing w:after="120" w:line="360" w:lineRule="auto"/>
        <w:rPr>
          <w:rFonts w:eastAsia="AdvTimes"/>
          <w:sz w:val="24"/>
          <w:szCs w:val="24"/>
        </w:rPr>
      </w:pPr>
      <w:r w:rsidRPr="00167BEE">
        <w:rPr>
          <w:sz w:val="24"/>
          <w:szCs w:val="24"/>
        </w:rPr>
        <w:t>In general, individuals</w:t>
      </w:r>
      <w:r w:rsidR="00ED75E4">
        <w:rPr>
          <w:sz w:val="24"/>
          <w:szCs w:val="24"/>
        </w:rPr>
        <w:t>,</w:t>
      </w:r>
      <w:r w:rsidRPr="00167BEE">
        <w:rPr>
          <w:sz w:val="24"/>
          <w:szCs w:val="24"/>
        </w:rPr>
        <w:t xml:space="preserve"> organisations</w:t>
      </w:r>
      <w:r w:rsidR="00ED75E4">
        <w:rPr>
          <w:sz w:val="24"/>
          <w:szCs w:val="24"/>
        </w:rPr>
        <w:t xml:space="preserve"> and institutions</w:t>
      </w:r>
      <w:r w:rsidRPr="00167BEE">
        <w:rPr>
          <w:sz w:val="24"/>
          <w:szCs w:val="24"/>
        </w:rPr>
        <w:t xml:space="preserve"> prefer to minimise their</w:t>
      </w:r>
      <w:r>
        <w:rPr>
          <w:sz w:val="24"/>
          <w:szCs w:val="24"/>
        </w:rPr>
        <w:t xml:space="preserve"> transaction costs</w:t>
      </w:r>
      <w:r w:rsidR="0024333E">
        <w:rPr>
          <w:sz w:val="24"/>
          <w:szCs w:val="24"/>
        </w:rPr>
        <w:t>.</w:t>
      </w:r>
      <w:r w:rsidR="004F187C">
        <w:rPr>
          <w:sz w:val="24"/>
          <w:szCs w:val="24"/>
        </w:rPr>
        <w:t xml:space="preserve"> </w:t>
      </w:r>
      <w:r w:rsidR="00354215">
        <w:rPr>
          <w:sz w:val="24"/>
          <w:szCs w:val="24"/>
        </w:rPr>
        <w:t xml:space="preserve">There can be two elements to minimising transaction costs. One is to create close relationships so that communications and ‘transactions’ between certain actors becomes normalised, simplified, and relatively uncostly. Another is to reduce the frequency of interactions, particularly interactions with whom transacting is relatively costly. </w:t>
      </w:r>
      <w:r w:rsidR="004A1C8E" w:rsidRPr="004A1C8E">
        <w:rPr>
          <w:rFonts w:eastAsia="AdvTimes"/>
          <w:sz w:val="24"/>
          <w:szCs w:val="24"/>
        </w:rPr>
        <w:t>Transaction costs</w:t>
      </w:r>
      <w:r w:rsidR="004A1C8E">
        <w:rPr>
          <w:rFonts w:eastAsia="AdvTimes"/>
          <w:sz w:val="24"/>
          <w:szCs w:val="24"/>
        </w:rPr>
        <w:t>, then,</w:t>
      </w:r>
      <w:r w:rsidR="004A1C8E" w:rsidRPr="004A1C8E">
        <w:rPr>
          <w:rFonts w:eastAsia="AdvTimes"/>
          <w:sz w:val="24"/>
          <w:szCs w:val="24"/>
        </w:rPr>
        <w:t xml:space="preserve"> are lowest under conditions of “[r]epeat dealing, cultural homogeneity (that is a common set of values), and a lack of third-party enforcement” </w:t>
      </w:r>
      <w:r w:rsidR="004A1C8E" w:rsidRPr="004A1C8E">
        <w:rPr>
          <w:rFonts w:eastAsia="AdvTimes"/>
          <w:sz w:val="24"/>
          <w:szCs w:val="24"/>
        </w:rPr>
        <w:fldChar w:fldCharType="begin"/>
      </w:r>
      <w:r w:rsidR="004A1C8E" w:rsidRPr="004A1C8E">
        <w:rPr>
          <w:rFonts w:eastAsia="AdvTimes"/>
          <w:sz w:val="24"/>
          <w:szCs w:val="24"/>
        </w:rPr>
        <w:instrText xml:space="preserve"> ADDIN EN.CITE &lt;EndNote&gt;&lt;Cite&gt;&lt;Author&gt;North&lt;/Author&gt;&lt;Year&gt;1990&lt;/Year&gt;&lt;IDText&gt;Institutions, Institutional Change and Economic Performance&lt;/IDText&gt;&lt;Pages&gt;34&lt;/Pages&gt;&lt;DisplayText&gt;(D. C. North, 1990, p. 34)&lt;/DisplayText&gt;&lt;record&gt;&lt;keywords&gt;&lt;keyword&gt;Institutional economics&lt;/keyword&gt;&lt;keyword&gt;Organisational change&lt;/keyword&gt;&lt;keyword&gt;Economic development&lt;/keyword&gt;&lt;keyword&gt;Institutional economics&lt;/keyword&gt;&lt;keyword&gt;Organizational change&lt;/keyword&gt;&lt;keyword&gt;Economic development&lt;/keyword&gt;&lt;keyword&gt;Economics&lt;/keyword&gt;&lt;keyword&gt;Economics&lt;/keyword&gt;&lt;keyword&gt;Development, Economic&lt;/keyword&gt;&lt;keyword&gt;Economic growth&lt;/keyword&gt;&lt;keyword&gt;Growth, Economic&lt;/keyword&gt;&lt;keyword&gt;Economic policy&lt;/keyword&gt;&lt;keyword&gt;Economics&lt;/keyword&gt;&lt;keyword&gt;Statics and dynamics (Social sciences)&lt;/keyword&gt;&lt;keyword&gt;Development economics&lt;/keyword&gt;&lt;keyword&gt;Resource curse&lt;/keyword&gt;&lt;keyword&gt;Development, Economic&lt;/keyword&gt;&lt;keyword&gt;Economic growth&lt;/keyword&gt;&lt;keyword&gt;Growth, Economic&lt;/keyword&gt;&lt;keyword&gt;Economic policy&lt;/keyword&gt;&lt;keyword&gt;Economics&lt;/keyword&gt;&lt;keyword&gt;Statics and dynamics (Social sciences)&lt;/keyword&gt;&lt;keyword&gt;Development economics&lt;/keyword&gt;&lt;keyword&gt;Resource curse&lt;/keyword&gt;&lt;keyword&gt;Change, Organizational&lt;/keyword&gt;&lt;keyword&gt;Organization development&lt;/keyword&gt;&lt;keyword&gt;Organizational development&lt;/keyword&gt;&lt;keyword&gt;Organizational innovation&lt;/keyword&gt;&lt;keyword&gt;Management&lt;/keyword&gt;&lt;keyword&gt;Organization&lt;/keyword&gt;&lt;keyword&gt;Manpower planning&lt;/keyword&gt;&lt;keyword&gt;Economics&lt;/keyword&gt;&lt;/keywords&gt;&lt;titles&gt;&lt;title&gt;Institutions, Institutional Change and Economic Performance&lt;/title&gt;&lt;/titles&gt;&lt;contributors&gt;&lt;authors&gt;&lt;author&gt;North, Douglass C.&lt;/author&gt;&lt;/authors&gt;&lt;/contributors&gt;&lt;added-date format="utc"&gt;1548789710&lt;/added-date&gt;&lt;pub-location&gt;Cambridge&lt;/pub-location&gt;&lt;ref-type name="Book"&gt;6&lt;/ref-type&gt;&lt;dates&gt;&lt;year&gt;1990&lt;/year&gt;&lt;/dates&gt;&lt;rec-number&gt;7701&lt;/rec-number&gt;&lt;publisher&gt;Cambridge University Press&lt;/publisher&gt;&lt;last-updated-date format="utc"&gt;1548789767&lt;/last-updated-date&gt;&lt;/record&gt;&lt;/Cite&gt;&lt;/EndNote&gt;</w:instrText>
      </w:r>
      <w:r w:rsidR="004A1C8E" w:rsidRPr="004A1C8E">
        <w:rPr>
          <w:rFonts w:eastAsia="AdvTimes"/>
          <w:sz w:val="24"/>
          <w:szCs w:val="24"/>
        </w:rPr>
        <w:fldChar w:fldCharType="separate"/>
      </w:r>
      <w:r w:rsidR="004A1C8E" w:rsidRPr="004A1C8E">
        <w:rPr>
          <w:rFonts w:eastAsia="AdvTimes"/>
          <w:noProof/>
          <w:sz w:val="24"/>
          <w:szCs w:val="24"/>
        </w:rPr>
        <w:t>(D. C. North, 1990, p. 34)</w:t>
      </w:r>
      <w:r w:rsidR="004A1C8E" w:rsidRPr="004A1C8E">
        <w:rPr>
          <w:rFonts w:eastAsia="AdvTimes"/>
          <w:sz w:val="24"/>
          <w:szCs w:val="24"/>
        </w:rPr>
        <w:fldChar w:fldCharType="end"/>
      </w:r>
      <w:r w:rsidR="004A1C8E" w:rsidRPr="004A1C8E">
        <w:rPr>
          <w:rFonts w:eastAsia="AdvTimes"/>
          <w:sz w:val="24"/>
          <w:szCs w:val="24"/>
        </w:rPr>
        <w:t>. Where these features are not met,</w:t>
      </w:r>
      <w:r w:rsidR="00F556E2">
        <w:rPr>
          <w:rFonts w:eastAsia="AdvTimes"/>
          <w:sz w:val="24"/>
          <w:szCs w:val="24"/>
        </w:rPr>
        <w:t xml:space="preserve"> </w:t>
      </w:r>
      <w:r w:rsidR="00F556E2">
        <w:rPr>
          <w:sz w:val="24"/>
          <w:szCs w:val="24"/>
        </w:rPr>
        <w:t>actors are likely to have to “improvise” (Tilly, 1998, p. 56) this social interaction, which brings with it uncertainty and increased need for effort,</w:t>
      </w:r>
      <w:r w:rsidR="004A1C8E" w:rsidRPr="004A1C8E">
        <w:rPr>
          <w:rFonts w:eastAsia="AdvTimes"/>
          <w:sz w:val="24"/>
          <w:szCs w:val="24"/>
        </w:rPr>
        <w:t xml:space="preserve"> monitoring and resources</w:t>
      </w:r>
      <w:r w:rsidR="00F556E2">
        <w:rPr>
          <w:rFonts w:eastAsia="AdvTimes"/>
          <w:sz w:val="24"/>
          <w:szCs w:val="24"/>
        </w:rPr>
        <w:t>, in short, greater ‘costs’ (D. C. North, 1990; Tilly, 1998)</w:t>
      </w:r>
      <w:r w:rsidR="004A1C8E" w:rsidRPr="004A1C8E">
        <w:rPr>
          <w:rFonts w:eastAsia="AdvTimes"/>
          <w:sz w:val="24"/>
          <w:szCs w:val="24"/>
        </w:rPr>
        <w:t>. The greater the demand and reward for certain transaction</w:t>
      </w:r>
      <w:r w:rsidR="00F556E2">
        <w:rPr>
          <w:rFonts w:eastAsia="AdvTimes"/>
          <w:sz w:val="24"/>
          <w:szCs w:val="24"/>
        </w:rPr>
        <w:t>s</w:t>
      </w:r>
      <w:r w:rsidR="004A1C8E" w:rsidRPr="004A1C8E">
        <w:rPr>
          <w:rFonts w:eastAsia="AdvTimes"/>
          <w:sz w:val="24"/>
          <w:szCs w:val="24"/>
        </w:rPr>
        <w:t xml:space="preserve">, the greater the incentive for universities to seek new ways to simplify and improve communications with, align values with, and formalise relationships with key transaction partners. </w:t>
      </w:r>
    </w:p>
    <w:p w14:paraId="4ED8A815" w14:textId="5F6A5CDE" w:rsidR="000C1D47" w:rsidRDefault="003C16D6" w:rsidP="000C1D47">
      <w:pPr>
        <w:autoSpaceDE w:val="0"/>
        <w:autoSpaceDN w:val="0"/>
        <w:adjustRightInd w:val="0"/>
        <w:spacing w:after="120" w:line="360" w:lineRule="auto"/>
        <w:rPr>
          <w:rFonts w:eastAsia="Times New Roman"/>
          <w:sz w:val="24"/>
          <w:szCs w:val="24"/>
        </w:rPr>
      </w:pPr>
      <w:r>
        <w:rPr>
          <w:rFonts w:eastAsia="AdvTimes"/>
          <w:sz w:val="24"/>
          <w:szCs w:val="24"/>
        </w:rPr>
        <w:t>This perspective also sheds light on the importance of the construction of bounded entities in general. A bounded group institutionalises those features associated with low-cost transactions</w:t>
      </w:r>
      <w:r w:rsidR="00FE146D">
        <w:rPr>
          <w:rFonts w:eastAsia="AdvTimes"/>
          <w:sz w:val="24"/>
          <w:szCs w:val="24"/>
        </w:rPr>
        <w:t xml:space="preserve">: </w:t>
      </w:r>
      <w:r>
        <w:rPr>
          <w:rFonts w:eastAsia="AdvTimes"/>
          <w:sz w:val="24"/>
          <w:szCs w:val="24"/>
        </w:rPr>
        <w:t xml:space="preserve">repeat dealing, relatively shared values and culture, and relative autonomy mutually sustained by each individual’s collective belief in and contribution to the bounded group’s distinctive enterprise, i.e. the preservation, pursuits and transmission of academic knowledge. </w:t>
      </w:r>
      <w:r w:rsidR="003B6BD4">
        <w:rPr>
          <w:rFonts w:eastAsia="AdvTimes"/>
          <w:sz w:val="24"/>
          <w:szCs w:val="24"/>
        </w:rPr>
        <w:t>Under these low-co</w:t>
      </w:r>
      <w:r w:rsidR="00EE562F">
        <w:rPr>
          <w:rFonts w:eastAsia="AdvTimes"/>
          <w:sz w:val="24"/>
          <w:szCs w:val="24"/>
        </w:rPr>
        <w:t xml:space="preserve">st interaction conditions, </w:t>
      </w:r>
      <w:r w:rsidR="00550D70">
        <w:rPr>
          <w:rFonts w:eastAsia="AdvTimes"/>
          <w:sz w:val="24"/>
          <w:szCs w:val="24"/>
        </w:rPr>
        <w:t>significant communicative efficiencies c</w:t>
      </w:r>
      <w:r w:rsidR="00EB360E">
        <w:rPr>
          <w:rFonts w:eastAsia="AdvTimes"/>
          <w:sz w:val="24"/>
          <w:szCs w:val="24"/>
        </w:rPr>
        <w:t>o-develop with a shared culture and identity through what</w:t>
      </w:r>
      <w:r w:rsidR="00550D70">
        <w:rPr>
          <w:rFonts w:eastAsia="AdvTimes"/>
          <w:sz w:val="24"/>
          <w:szCs w:val="24"/>
        </w:rPr>
        <w:t xml:space="preserve"> Bernstein (2000) </w:t>
      </w:r>
      <w:r w:rsidR="00EB360E">
        <w:rPr>
          <w:rFonts w:eastAsia="AdvTimes"/>
          <w:sz w:val="24"/>
          <w:szCs w:val="24"/>
        </w:rPr>
        <w:t>term</w:t>
      </w:r>
      <w:r w:rsidR="00550D70">
        <w:rPr>
          <w:rFonts w:eastAsia="AdvTimes"/>
          <w:sz w:val="24"/>
          <w:szCs w:val="24"/>
        </w:rPr>
        <w:t xml:space="preserve">s </w:t>
      </w:r>
      <w:r w:rsidR="00EB360E">
        <w:rPr>
          <w:rFonts w:eastAsia="AdvTimes"/>
          <w:sz w:val="24"/>
          <w:szCs w:val="24"/>
        </w:rPr>
        <w:t>‘restricted</w:t>
      </w:r>
      <w:r w:rsidR="00196516">
        <w:rPr>
          <w:rFonts w:eastAsia="AdvTimes"/>
          <w:sz w:val="24"/>
          <w:szCs w:val="24"/>
        </w:rPr>
        <w:t>’ code</w:t>
      </w:r>
      <w:r w:rsidR="00EB360E">
        <w:rPr>
          <w:rFonts w:eastAsia="AdvTimes"/>
          <w:sz w:val="24"/>
          <w:szCs w:val="24"/>
        </w:rPr>
        <w:t xml:space="preserve">. </w:t>
      </w:r>
      <w:r w:rsidR="006025B5">
        <w:rPr>
          <w:rFonts w:eastAsia="AdvTimes"/>
          <w:sz w:val="24"/>
          <w:szCs w:val="24"/>
        </w:rPr>
        <w:t xml:space="preserve">In his framework, </w:t>
      </w:r>
      <w:r w:rsidR="00550D70">
        <w:rPr>
          <w:rFonts w:eastAsia="Times New Roman"/>
          <w:sz w:val="24"/>
          <w:szCs w:val="24"/>
        </w:rPr>
        <w:t xml:space="preserve">‘restricted code’ denotes the shortened forms of communication exhibited within a group of people who can take for granted a significant amount of shared prior knowledge and understanding. Examples could include communication between family members, or a religious ritual, or the communication in a specialist chemistry paper in which terminology and formulae can be used without further explanation, given the author’s assumptions about the expected readership. In all these cases, “the principle remains the same: meanings are symbolically condensed and conveyed through shared, tacit understandings. And </w:t>
      </w:r>
      <w:r w:rsidR="00550D70">
        <w:rPr>
          <w:rFonts w:eastAsia="Times New Roman"/>
          <w:i/>
          <w:sz w:val="24"/>
          <w:szCs w:val="24"/>
        </w:rPr>
        <w:t xml:space="preserve">restricted </w:t>
      </w:r>
      <w:r w:rsidR="00550D70">
        <w:rPr>
          <w:rFonts w:eastAsia="Times New Roman"/>
          <w:sz w:val="24"/>
          <w:szCs w:val="24"/>
        </w:rPr>
        <w:t>to those that know” (Moore, 2013, p. 66, original emphasis). By contrast,</w:t>
      </w:r>
      <w:r w:rsidR="00196516">
        <w:rPr>
          <w:rFonts w:eastAsia="Times New Roman"/>
          <w:sz w:val="24"/>
          <w:szCs w:val="24"/>
        </w:rPr>
        <w:t xml:space="preserve"> boundary-crossing often requires the use of</w:t>
      </w:r>
      <w:r w:rsidR="00550D70">
        <w:rPr>
          <w:rFonts w:eastAsia="Times New Roman"/>
          <w:sz w:val="24"/>
          <w:szCs w:val="24"/>
        </w:rPr>
        <w:t xml:space="preserve"> ‘elaborating</w:t>
      </w:r>
      <w:r w:rsidR="00196516">
        <w:rPr>
          <w:rFonts w:eastAsia="Times New Roman"/>
          <w:sz w:val="24"/>
          <w:szCs w:val="24"/>
        </w:rPr>
        <w:t xml:space="preserve">’ code (Bernstein, 2000). </w:t>
      </w:r>
      <w:r w:rsidR="00C37E10">
        <w:rPr>
          <w:rFonts w:eastAsia="Times New Roman"/>
          <w:sz w:val="24"/>
          <w:szCs w:val="24"/>
        </w:rPr>
        <w:t xml:space="preserve">Elaborating code </w:t>
      </w:r>
      <w:r w:rsidR="00550D70">
        <w:rPr>
          <w:rFonts w:eastAsia="Times New Roman"/>
          <w:sz w:val="24"/>
          <w:szCs w:val="24"/>
        </w:rPr>
        <w:t xml:space="preserve">can best be understood as the extended and/or simplified terminology which characterises “the process of making the meaning available” </w:t>
      </w:r>
      <w:r w:rsidR="00550D70">
        <w:rPr>
          <w:rFonts w:eastAsia="Times New Roman"/>
          <w:sz w:val="24"/>
          <w:szCs w:val="24"/>
        </w:rPr>
        <w:fldChar w:fldCharType="begin"/>
      </w:r>
      <w:r w:rsidR="00550D70">
        <w:rPr>
          <w:rFonts w:eastAsia="Times New Roman"/>
          <w:sz w:val="24"/>
          <w:szCs w:val="24"/>
        </w:rPr>
        <w:instrText xml:space="preserve"> ADDIN EN.CITE &lt;EndNote&gt;&lt;Cite&gt;&lt;Author&gt;Moore&lt;/Author&gt;&lt;Year&gt;2013&lt;/Year&gt;&lt;IDText&gt;Basil Bernstein: the thinker and the field&lt;/IDText&gt;&lt;Pages&gt;67&lt;/Pages&gt;&lt;DisplayText&gt;(Moore, 2013, p. 67)&lt;/DisplayText&gt;&lt;record&gt;&lt;keywords&gt;&lt;keyword&gt;Bernstein, Basil B.&lt;/keyword&gt;&lt;keyword&gt;Educational sociology.&lt;/keyword&gt;&lt;keyword&gt;Education Philosophy.&lt;/keyword&gt;&lt;/keywords&gt;&lt;isbn&gt;9780415577038 (hbk.) : ¹75.00&amp;#xD;0415577039 (hbk.) : ¹75.00&amp;#xD;9780203818251 (ebk) : No price&lt;/isbn&gt;&lt;titles&gt;&lt;title&gt;Basil Bernstein: the thinker and the field&lt;/title&gt;&lt;/titles&gt;&lt;call-num&gt;306.43 23&amp;#xD;British Library DSC m13/.10419&lt;/call-num&gt;&lt;contributors&gt;&lt;authors&gt;&lt;author&gt;Moore, Rob&lt;/author&gt;&lt;/authors&gt;&lt;/contributors&gt;&lt;added-date format="utc"&gt;1452819687&lt;/added-date&gt;&lt;pub-location&gt;London&lt;/pub-location&gt;&lt;ref-type name="Book"&gt;6&lt;/ref-type&gt;&lt;dates&gt;&lt;year&gt;2013&lt;/year&gt;&lt;/dates&gt;&lt;rec-number&gt;213&lt;/rec-number&gt;&lt;publisher&gt;Routledge&lt;/publisher&gt;&lt;last-updated-date format="utc"&gt;1469215468&lt;/last-updated-date&gt;&lt;/record&gt;&lt;/Cite&gt;&lt;/EndNote&gt;</w:instrText>
      </w:r>
      <w:r w:rsidR="00550D70">
        <w:rPr>
          <w:rFonts w:eastAsia="Times New Roman"/>
          <w:sz w:val="24"/>
          <w:szCs w:val="24"/>
        </w:rPr>
        <w:fldChar w:fldCharType="separate"/>
      </w:r>
      <w:r w:rsidR="00550D70">
        <w:rPr>
          <w:rFonts w:eastAsia="Times New Roman"/>
          <w:noProof/>
          <w:sz w:val="24"/>
          <w:szCs w:val="24"/>
        </w:rPr>
        <w:t>(Moore, 2013, p. 67)</w:t>
      </w:r>
      <w:r w:rsidR="00550D70">
        <w:rPr>
          <w:rFonts w:eastAsia="Times New Roman"/>
          <w:sz w:val="24"/>
          <w:szCs w:val="24"/>
        </w:rPr>
        <w:fldChar w:fldCharType="end"/>
      </w:r>
      <w:r w:rsidR="00550D70">
        <w:rPr>
          <w:rFonts w:eastAsia="Times New Roman"/>
          <w:sz w:val="24"/>
          <w:szCs w:val="24"/>
        </w:rPr>
        <w:t xml:space="preserve"> to others not currently “in the know” </w:t>
      </w:r>
      <w:r w:rsidR="00550D70">
        <w:rPr>
          <w:rFonts w:eastAsia="Times New Roman"/>
          <w:sz w:val="24"/>
          <w:szCs w:val="24"/>
        </w:rPr>
        <w:fldChar w:fldCharType="begin"/>
      </w:r>
      <w:r w:rsidR="00550D70">
        <w:rPr>
          <w:rFonts w:eastAsia="Times New Roman"/>
          <w:sz w:val="24"/>
          <w:szCs w:val="24"/>
        </w:rPr>
        <w:instrText xml:space="preserve"> ADDIN EN.CITE &lt;EndNote&gt;&lt;Cite&gt;&lt;Author&gt;Moore&lt;/Author&gt;&lt;Year&gt;2013&lt;/Year&gt;&lt;IDText&gt;Basil Bernstein: the thinker and the field&lt;/IDText&gt;&lt;Pages&gt;68&lt;/Pages&gt;&lt;DisplayText&gt;(Moore, 2013, p. 68)&lt;/DisplayText&gt;&lt;record&gt;&lt;keywords&gt;&lt;keyword&gt;Bernstein, Basil B.&lt;/keyword&gt;&lt;keyword&gt;Educational sociology.&lt;/keyword&gt;&lt;keyword&gt;Education Philosophy.&lt;/keyword&gt;&lt;/keywords&gt;&lt;isbn&gt;9780415577038 (hbk.) : ¹75.00&amp;#xD;0415577039 (hbk.) : ¹75.00&amp;#xD;9780203818251 (ebk) : No price&lt;/isbn&gt;&lt;titles&gt;&lt;title&gt;Basil Bernstein: the thinker and the field&lt;/title&gt;&lt;/titles&gt;&lt;call-num&gt;306.43 23&amp;#xD;British Library DSC m13/.10419&lt;/call-num&gt;&lt;contributors&gt;&lt;authors&gt;&lt;author&gt;Moore, Rob&lt;/author&gt;&lt;/authors&gt;&lt;/contributors&gt;&lt;added-date format="utc"&gt;1452819687&lt;/added-date&gt;&lt;pub-location&gt;London&lt;/pub-location&gt;&lt;ref-type name="Book"&gt;6&lt;/ref-type&gt;&lt;dates&gt;&lt;year&gt;2013&lt;/year&gt;&lt;/dates&gt;&lt;rec-number&gt;213&lt;/rec-number&gt;&lt;publisher&gt;Routledge&lt;/publisher&gt;&lt;last-updated-date format="utc"&gt;1469215468&lt;/last-updated-date&gt;&lt;/record&gt;&lt;/Cite&gt;&lt;/EndNote&gt;</w:instrText>
      </w:r>
      <w:r w:rsidR="00550D70">
        <w:rPr>
          <w:rFonts w:eastAsia="Times New Roman"/>
          <w:sz w:val="24"/>
          <w:szCs w:val="24"/>
        </w:rPr>
        <w:fldChar w:fldCharType="separate"/>
      </w:r>
      <w:r w:rsidR="00550D70">
        <w:rPr>
          <w:rFonts w:eastAsia="Times New Roman"/>
          <w:noProof/>
          <w:sz w:val="24"/>
          <w:szCs w:val="24"/>
        </w:rPr>
        <w:t>(Moore, 2013, p. 68)</w:t>
      </w:r>
      <w:r w:rsidR="00550D70">
        <w:rPr>
          <w:rFonts w:eastAsia="Times New Roman"/>
          <w:sz w:val="24"/>
          <w:szCs w:val="24"/>
        </w:rPr>
        <w:fldChar w:fldCharType="end"/>
      </w:r>
      <w:r w:rsidR="00550D70">
        <w:rPr>
          <w:rFonts w:eastAsia="Times New Roman"/>
          <w:sz w:val="24"/>
          <w:szCs w:val="24"/>
        </w:rPr>
        <w:t xml:space="preserve">. Examples might include the explanation of concepts in a textbook or a classroom, or perhaps in reports of academic research to lay users. Any context where shared meaning is necessary to achieve a desired goal but where shared meaning does not yet exist might involve some instances of elaborating code. </w:t>
      </w:r>
      <w:r w:rsidR="00041E2E">
        <w:rPr>
          <w:rFonts w:eastAsia="Times New Roman"/>
          <w:sz w:val="24"/>
          <w:szCs w:val="24"/>
        </w:rPr>
        <w:t xml:space="preserve">This would also include cases where </w:t>
      </w:r>
      <w:r w:rsidR="00550D70">
        <w:rPr>
          <w:rFonts w:eastAsia="Times New Roman"/>
          <w:sz w:val="24"/>
          <w:szCs w:val="24"/>
        </w:rPr>
        <w:t xml:space="preserve">shared meaning must be established for collaborative purposes, for example an interdisciplinary or academic-industry research collaboration, where either one or both parties may need to elaborate meaning to the other. In such cases, meaning “is elaborated in the absence of shared understandings: but </w:t>
      </w:r>
      <w:r w:rsidR="00550D70">
        <w:rPr>
          <w:rFonts w:eastAsia="Times New Roman"/>
          <w:i/>
          <w:sz w:val="24"/>
          <w:szCs w:val="24"/>
        </w:rPr>
        <w:t>so that those understandings can become shared</w:t>
      </w:r>
      <w:r w:rsidR="00550D70">
        <w:rPr>
          <w:rFonts w:eastAsia="Times New Roman"/>
          <w:sz w:val="24"/>
          <w:szCs w:val="24"/>
        </w:rPr>
        <w:t xml:space="preserve">. ...[W]e expand meanings (elaborating codes) in order for them to become condensed meanings ... (restricted codes)” (Moore, 2013, pp. 62-63, original emphasis). </w:t>
      </w:r>
    </w:p>
    <w:p w14:paraId="4F435F02" w14:textId="5974C4DB" w:rsidR="00E02294" w:rsidRDefault="00B510AB" w:rsidP="00586084">
      <w:pPr>
        <w:pStyle w:val="NormalWeb"/>
        <w:spacing w:before="120" w:beforeAutospacing="0" w:after="120" w:afterAutospacing="0" w:line="360" w:lineRule="auto"/>
      </w:pPr>
      <w:r>
        <w:t xml:space="preserve">The crucial issue of boundary transactions </w:t>
      </w:r>
      <w:r w:rsidR="00AE3270">
        <w:t>can be thought of in terms of a</w:t>
      </w:r>
      <w:r>
        <w:t xml:space="preserve"> complex of trade-offs. </w:t>
      </w:r>
      <w:r w:rsidR="006F3243">
        <w:t>A</w:t>
      </w:r>
      <w:r w:rsidR="002341C6">
        <w:t xml:space="preserve">cademics can attempt to restrict their transactions with those actors and groups which entail relatively </w:t>
      </w:r>
      <w:r w:rsidR="00972E70">
        <w:t>fewer challenges</w:t>
      </w:r>
      <w:r w:rsidR="002341C6">
        <w:t xml:space="preserve">, </w:t>
      </w:r>
      <w:r w:rsidR="006F3243">
        <w:t xml:space="preserve">less contrast with academia’s values and objectives, </w:t>
      </w:r>
      <w:r w:rsidR="00573E76">
        <w:t>in short, fewer costs and</w:t>
      </w:r>
      <w:r w:rsidR="006F3243">
        <w:t xml:space="preserve"> less risk to the legitimacy and reproduction of academic boundaries. But transactions are not entirely avoidable</w:t>
      </w:r>
      <w:r w:rsidR="004D7A29">
        <w:t>; a</w:t>
      </w:r>
      <w:r w:rsidR="006F3243">
        <w:t>ttempts to minimise</w:t>
      </w:r>
      <w:r w:rsidR="00FE146D">
        <w:t xml:space="preserve"> or</w:t>
      </w:r>
      <w:r w:rsidR="006F3243">
        <w:t xml:space="preserve"> restrict transactions and transaction costs in the above ways may, in the </w:t>
      </w:r>
      <w:r w:rsidR="00A022A5">
        <w:t>long run</w:t>
      </w:r>
      <w:r w:rsidR="006F3243">
        <w:t>, result in academia failing to justify their boundaries. By contrast</w:t>
      </w:r>
      <w:r w:rsidR="00DC55FB">
        <w:t>, though,</w:t>
      </w:r>
      <w:r w:rsidR="006F3243">
        <w:t xml:space="preserve"> being overly influenced by </w:t>
      </w:r>
      <w:r w:rsidR="00573E76">
        <w:t xml:space="preserve">external interests and objectives may mean </w:t>
      </w:r>
      <w:r w:rsidR="00E02294">
        <w:t>a reduction in distinctive identity and autonomy</w:t>
      </w:r>
      <w:r w:rsidR="00A47FA8">
        <w:t>, and</w:t>
      </w:r>
      <w:r w:rsidR="00E02294">
        <w:t xml:space="preserve"> a weakening of boundaries.</w:t>
      </w:r>
      <w:r w:rsidR="002F7C63">
        <w:t xml:space="preserve"> </w:t>
      </w:r>
      <w:r w:rsidR="00BE177B">
        <w:t>P</w:t>
      </w:r>
      <w:r w:rsidR="005318EB">
        <w:t>reoccupation with ‘autonomy’ may lead to passivity when face</w:t>
      </w:r>
      <w:r w:rsidR="00DB70A4">
        <w:t xml:space="preserve">d with </w:t>
      </w:r>
      <w:r w:rsidR="005318EB">
        <w:t>external shifts and pressures, as opposed to a more engaged and proactive attempt to</w:t>
      </w:r>
      <w:r w:rsidR="00B10640">
        <w:t xml:space="preserve"> shape society and universities’ role within it</w:t>
      </w:r>
      <w:r w:rsidR="00BE177B">
        <w:t xml:space="preserve"> (B. R. Clark, 1998)</w:t>
      </w:r>
      <w:r w:rsidR="00B10640">
        <w:t>.</w:t>
      </w:r>
      <w:r w:rsidR="00E02294">
        <w:t xml:space="preserve"> In Bernsteinian terms, whether ownership over the relevant category, say of academic science or a specific academic discipline, remains in the hands of the bounded group </w:t>
      </w:r>
      <w:r w:rsidR="00F87EE9">
        <w:t xml:space="preserve">(those </w:t>
      </w:r>
      <w:r w:rsidR="00E02294">
        <w:t xml:space="preserve">who </w:t>
      </w:r>
      <w:r w:rsidR="00F87EE9">
        <w:t>are called</w:t>
      </w:r>
      <w:r w:rsidR="00E02294">
        <w:t xml:space="preserve"> </w:t>
      </w:r>
      <w:r w:rsidR="00F87EE9">
        <w:t>‘</w:t>
      </w:r>
      <w:r w:rsidR="00E02294">
        <w:t>academic scientists</w:t>
      </w:r>
      <w:r w:rsidR="00F87EE9">
        <w:t>’)</w:t>
      </w:r>
      <w:r w:rsidR="00E02294">
        <w:t xml:space="preserve">, or whether it comes to be ‘reshaped’ and ‘repurposed’ (Wright, 2016) by external groups, is ultimately a question of ‘power’, and this power is both reflected in, but also shaped by, the ‘control’ over boundary transactions. </w:t>
      </w:r>
    </w:p>
    <w:p w14:paraId="61478AFF" w14:textId="2AC5C757" w:rsidR="00357CC6" w:rsidRDefault="00357CC6" w:rsidP="00E02294">
      <w:pPr>
        <w:autoSpaceDE w:val="0"/>
        <w:autoSpaceDN w:val="0"/>
        <w:adjustRightInd w:val="0"/>
        <w:spacing w:after="120" w:line="360" w:lineRule="auto"/>
        <w:rPr>
          <w:sz w:val="24"/>
          <w:szCs w:val="24"/>
        </w:rPr>
      </w:pPr>
      <w:r w:rsidRPr="00AC2B42">
        <w:rPr>
          <w:sz w:val="24"/>
          <w:szCs w:val="24"/>
        </w:rPr>
        <w:t>From the perspective of the boundary lens adopted</w:t>
      </w:r>
      <w:r w:rsidR="00E02294">
        <w:rPr>
          <w:sz w:val="24"/>
          <w:szCs w:val="24"/>
        </w:rPr>
        <w:t xml:space="preserve"> then,</w:t>
      </w:r>
      <w:r w:rsidRPr="00AC2B42">
        <w:rPr>
          <w:sz w:val="24"/>
          <w:szCs w:val="24"/>
        </w:rPr>
        <w:t xml:space="preserve"> academia’s interest in transactions</w:t>
      </w:r>
      <w:r w:rsidR="00E02294">
        <w:rPr>
          <w:sz w:val="24"/>
          <w:szCs w:val="24"/>
        </w:rPr>
        <w:t xml:space="preserve"> is to strike the balance between exercising and relinquishing control over transactions and power over the direction of its activities so that the result is</w:t>
      </w:r>
      <w:r w:rsidRPr="00AC2B42">
        <w:rPr>
          <w:sz w:val="24"/>
          <w:szCs w:val="24"/>
        </w:rPr>
        <w:t xml:space="preserve"> the reproduction of its boundaries</w:t>
      </w:r>
      <w:r w:rsidR="00E02294">
        <w:rPr>
          <w:sz w:val="24"/>
          <w:szCs w:val="24"/>
        </w:rPr>
        <w:t>; b</w:t>
      </w:r>
      <w:r w:rsidRPr="00AC2B42">
        <w:rPr>
          <w:sz w:val="24"/>
          <w:szCs w:val="24"/>
        </w:rPr>
        <w:t xml:space="preserve">y contrast, non-academic actors’ interest in transactions is the extraction of value from the bounded group. Although there is </w:t>
      </w:r>
      <w:r w:rsidR="007C7322">
        <w:rPr>
          <w:sz w:val="24"/>
          <w:szCs w:val="24"/>
        </w:rPr>
        <w:t>sometimes</w:t>
      </w:r>
      <w:r w:rsidRPr="00AC2B42">
        <w:rPr>
          <w:sz w:val="24"/>
          <w:szCs w:val="24"/>
        </w:rPr>
        <w:t xml:space="preserve"> a reciprocity between these two goals, they are not necessarily equivalent. As such, boundary transactions </w:t>
      </w:r>
      <w:r w:rsidRPr="00AC2B42">
        <w:rPr>
          <w:i/>
          <w:sz w:val="24"/>
          <w:szCs w:val="24"/>
        </w:rPr>
        <w:t xml:space="preserve">may </w:t>
      </w:r>
      <w:r w:rsidRPr="00AC2B42">
        <w:rPr>
          <w:sz w:val="24"/>
          <w:szCs w:val="24"/>
        </w:rPr>
        <w:t>serve to reproduce a given boundary, but they may also, over time, act as mechanisms for the “weakening” (Henkel, 2004, p. 168) of boundaries.</w:t>
      </w:r>
      <w:r w:rsidR="00360351">
        <w:rPr>
          <w:sz w:val="24"/>
          <w:szCs w:val="24"/>
        </w:rPr>
        <w:t xml:space="preserve"> In Bernstein’s (2000) words: “control is double faced for it carries both the power of reproduction and the potential for its change” (p. 5).</w:t>
      </w:r>
      <w:r w:rsidRPr="00AC2B42">
        <w:rPr>
          <w:sz w:val="24"/>
          <w:szCs w:val="24"/>
        </w:rPr>
        <w:t xml:space="preserve"> My</w:t>
      </w:r>
      <w:r w:rsidR="00AC24D6">
        <w:rPr>
          <w:sz w:val="24"/>
          <w:szCs w:val="24"/>
        </w:rPr>
        <w:t xml:space="preserve"> study</w:t>
      </w:r>
      <w:r w:rsidRPr="00AC2B42">
        <w:rPr>
          <w:sz w:val="24"/>
          <w:szCs w:val="24"/>
        </w:rPr>
        <w:t xml:space="preserve"> </w:t>
      </w:r>
      <w:r w:rsidR="00685DCD">
        <w:rPr>
          <w:sz w:val="24"/>
          <w:szCs w:val="24"/>
        </w:rPr>
        <w:t>analyses</w:t>
      </w:r>
      <w:r w:rsidRPr="00AC2B42">
        <w:rPr>
          <w:sz w:val="24"/>
          <w:szCs w:val="24"/>
        </w:rPr>
        <w:t xml:space="preserve"> this interpl</w:t>
      </w:r>
      <w:r w:rsidR="000E6C5B">
        <w:rPr>
          <w:sz w:val="24"/>
          <w:szCs w:val="24"/>
        </w:rPr>
        <w:t>ay</w:t>
      </w:r>
      <w:r w:rsidR="0044663F">
        <w:rPr>
          <w:sz w:val="24"/>
          <w:szCs w:val="24"/>
        </w:rPr>
        <w:t>.</w:t>
      </w:r>
    </w:p>
    <w:p w14:paraId="551B4A7C" w14:textId="77777777" w:rsidR="00ED1F5A" w:rsidRDefault="00ED1F5A" w:rsidP="006E30B9">
      <w:pPr>
        <w:pStyle w:val="Heading3"/>
      </w:pPr>
      <w:bookmarkStart w:id="35" w:name="_Toc31701947"/>
      <w:r>
        <w:t>Differential power and control: institutional and disciplinary characteristics</w:t>
      </w:r>
      <w:bookmarkEnd w:id="35"/>
    </w:p>
    <w:p w14:paraId="130562B9" w14:textId="5384C30C" w:rsidR="00ED1F5A" w:rsidRDefault="00ED1F5A" w:rsidP="00ED1F5A">
      <w:pPr>
        <w:autoSpaceDE w:val="0"/>
        <w:autoSpaceDN w:val="0"/>
        <w:adjustRightInd w:val="0"/>
        <w:spacing w:after="120" w:line="360" w:lineRule="auto"/>
        <w:rPr>
          <w:sz w:val="24"/>
          <w:szCs w:val="24"/>
        </w:rPr>
      </w:pPr>
      <w:r>
        <w:rPr>
          <w:sz w:val="24"/>
          <w:szCs w:val="24"/>
        </w:rPr>
        <w:t xml:space="preserve">So far, I have not </w:t>
      </w:r>
      <w:r w:rsidR="004918A7">
        <w:rPr>
          <w:sz w:val="24"/>
          <w:szCs w:val="24"/>
        </w:rPr>
        <w:t>discussed</w:t>
      </w:r>
      <w:r>
        <w:rPr>
          <w:sz w:val="24"/>
          <w:szCs w:val="24"/>
        </w:rPr>
        <w:t xml:space="preserve"> the heterogeneity of academia and the implications this can have for power and control, or for </w:t>
      </w:r>
      <w:r w:rsidR="004918A7">
        <w:rPr>
          <w:sz w:val="24"/>
          <w:szCs w:val="24"/>
        </w:rPr>
        <w:t xml:space="preserve">academic </w:t>
      </w:r>
      <w:r>
        <w:rPr>
          <w:sz w:val="24"/>
          <w:szCs w:val="24"/>
        </w:rPr>
        <w:t xml:space="preserve">boundaries and the ways in which they are confronted and crossed in the course of academic research. </w:t>
      </w:r>
      <w:r w:rsidR="004918A7">
        <w:rPr>
          <w:sz w:val="24"/>
          <w:szCs w:val="24"/>
        </w:rPr>
        <w:t>Important</w:t>
      </w:r>
      <w:r>
        <w:rPr>
          <w:sz w:val="24"/>
          <w:szCs w:val="24"/>
        </w:rPr>
        <w:t xml:space="preserve"> dimensions</w:t>
      </w:r>
      <w:r w:rsidR="004918A7">
        <w:rPr>
          <w:sz w:val="24"/>
          <w:szCs w:val="24"/>
        </w:rPr>
        <w:t xml:space="preserve"> of the heterogeneity of academia include</w:t>
      </w:r>
      <w:r>
        <w:rPr>
          <w:sz w:val="24"/>
          <w:szCs w:val="24"/>
        </w:rPr>
        <w:t xml:space="preserve"> the mission and prestige of institution and academic discipline. </w:t>
      </w:r>
      <w:r w:rsidR="005043E2">
        <w:rPr>
          <w:sz w:val="24"/>
          <w:szCs w:val="24"/>
        </w:rPr>
        <w:t>I will discuss these below.</w:t>
      </w:r>
    </w:p>
    <w:p w14:paraId="50A9075B" w14:textId="65476179" w:rsidR="00ED1F5A" w:rsidRDefault="00ED1F5A" w:rsidP="00ED1F5A">
      <w:pPr>
        <w:pStyle w:val="NormalWeb"/>
        <w:spacing w:before="120" w:beforeAutospacing="0" w:after="120" w:afterAutospacing="0" w:line="360" w:lineRule="auto"/>
      </w:pPr>
      <w:r>
        <w:t>Bernstein</w:t>
      </w:r>
      <w:r>
        <w:rPr>
          <w:rFonts w:eastAsia="MalgunNew Roman"/>
        </w:rPr>
        <w:t xml:space="preserve"> (2000) perceived many of the recent developments in academic knowledge and its production since the twentieth century in Europe, up to and including the impact agenda (albeit that Bernstein admittedly wrote before the RAE fully evolved into the impact-assessing REF, and before the term ‘impact agenda’ was in widespread use), in terms of a weakening of boundaries at the general level of academia as a system. From his perspective, academic </w:t>
      </w:r>
      <w:r>
        <w:t xml:space="preserve">disciplines, the universities which housed them, and the academic “field of production of knowledge” more generally, exhibited “strong insulation” in the nineteenth and early twentieth centuries; that is, they could exhibit a “unique identity” which was grounded on widely-accepted and socially legitimate authority over domains of knowledge, and which operated according to “its own specialised rules of internal relations” over which it had significant autonomy and insulation from external interference </w:t>
      </w:r>
      <w:r>
        <w:fldChar w:fldCharType="begin"/>
      </w:r>
      <w:r>
        <w:instrText xml:space="preserve"> ADDIN EN.CITE &lt;EndNote&gt;&lt;Cite&gt;&lt;Author&gt;Bernstein&lt;/Author&gt;&lt;Year&gt;2000&lt;/Year&gt;&lt;IDText&gt;Pedagogy, symbolic control, and identity: Theory, research, critique&lt;/IDText&gt;&lt;Pages&gt;5`, 7`, 9&lt;/Pages&gt;&lt;DisplayText&gt;(Bernstein, 2000, pp. 5, 7, 9)&lt;/DisplayText&gt;&lt;record&gt;&lt;isbn&gt;084769576X&lt;/isbn&gt;&lt;titles&gt;&lt;title&gt;Pedagogy,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format="utc"&gt;1452707855&lt;/added-date&gt;&lt;pub-location&gt;Oxford&lt;/pub-location&gt;&lt;ref-type name="Book"&gt;6&lt;/ref-type&gt;&lt;dates&gt;&lt;year&gt;2000&lt;/year&gt;&lt;/dates&gt;&lt;rec-number&gt;185&lt;/rec-number&gt;&lt;publisher&gt;Rowman &amp;amp; Littlefield&lt;/publisher&gt;&lt;last-updated-date format="utc"&gt;1477766808&lt;/last-updated-date&gt;&lt;/record&gt;&lt;/Cite&gt;&lt;/EndNote&gt;</w:instrText>
      </w:r>
      <w:r>
        <w:fldChar w:fldCharType="separate"/>
      </w:r>
      <w:r>
        <w:rPr>
          <w:noProof/>
        </w:rPr>
        <w:t>(Bernstein, 2000, pp. 5, 7, 9)</w:t>
      </w:r>
      <w:r>
        <w:fldChar w:fldCharType="end"/>
      </w:r>
      <w:r>
        <w:t>. At this time, academic knowledge producers had</w:t>
      </w:r>
      <w:r>
        <w:rPr>
          <w:rFonts w:eastAsia="MalgunNew Roman"/>
        </w:rPr>
        <w:t xml:space="preserve"> successfully “appropriated a space..., a specialised discrete discourse with its own intellectual field of texts, practices, rules of entry, examinations, licenses to practice, distribution of rewards and punishments...</w:t>
      </w:r>
      <w:r>
        <w:t xml:space="preserve"> Organisationally and politically, ...[universities, and individual disciplines] construct[ed] strong boundary maintenance” </w:t>
      </w:r>
      <w:r>
        <w:rPr>
          <w:rFonts w:eastAsia="MalgunNew Roman"/>
        </w:rPr>
        <w:fldChar w:fldCharType="begin"/>
      </w:r>
      <w:r>
        <w:rPr>
          <w:rFonts w:eastAsia="MalgunNew Roman"/>
        </w:rPr>
        <w:instrText xml:space="preserve"> ADDIN EN.CITE &lt;EndNote&gt;&lt;Cite&gt;&lt;Author&gt;Bernstein&lt;/Author&gt;&lt;Year&gt;2000&lt;/Year&gt;&lt;IDText&gt;Pedagogy, symbolic control, and identity: Theory, research, critique&lt;/IDText&gt;&lt;Pages&gt;52`, 54&lt;/Pages&gt;&lt;DisplayText&gt;(Bernstein, 2000, pp. 52, 54)&lt;/DisplayText&gt;&lt;record&gt;&lt;isbn&gt;084769576X&lt;/isbn&gt;&lt;titles&gt;&lt;title&gt;Pedagogy,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format="utc"&gt;1452707855&lt;/added-date&gt;&lt;pub-location&gt;Oxford&lt;/pub-location&gt;&lt;ref-type name="Book"&gt;6&lt;/ref-type&gt;&lt;dates&gt;&lt;year&gt;2000&lt;/year&gt;&lt;/dates&gt;&lt;rec-number&gt;185&lt;/rec-number&gt;&lt;publisher&gt;Rowman &amp;amp; Littlefield&lt;/publisher&gt;&lt;last-updated-date format="utc"&gt;1477766808&lt;/last-updated-date&gt;&lt;/record&gt;&lt;/Cite&gt;&lt;/EndNote&gt;</w:instrText>
      </w:r>
      <w:r>
        <w:rPr>
          <w:rFonts w:eastAsia="MalgunNew Roman"/>
        </w:rPr>
        <w:fldChar w:fldCharType="separate"/>
      </w:r>
      <w:r>
        <w:rPr>
          <w:rFonts w:eastAsia="MalgunNew Roman"/>
          <w:noProof/>
        </w:rPr>
        <w:t>(Bernstein, 2000, pp. 52, 54)</w:t>
      </w:r>
      <w:r>
        <w:rPr>
          <w:rFonts w:eastAsia="MalgunNew Roman"/>
        </w:rPr>
        <w:fldChar w:fldCharType="end"/>
      </w:r>
      <w:r>
        <w:rPr>
          <w:rFonts w:eastAsia="MalgunNew Roman"/>
        </w:rPr>
        <w:t xml:space="preserve">. </w:t>
      </w:r>
      <w:r>
        <w:t>Over time, however, the insulation of academic disciplines, both from each other and from wider society, weakened, at least in certain respects. In particular, increasing presence and power came to be afforded to more application-oriented research disciplines and inter-/multi-disciplinary fields, such as medicine, information science, architecture, business studies and engineering. These are more likely to be relatively “weakly bounded” and weakly insulated in that they “operate [at] ... the interface between the field of the production of knowledge and the field of practice”, indicating that the academic boundary in general “has become weaker”</w:t>
      </w:r>
      <w:r w:rsidR="009F5A7C">
        <w:t xml:space="preserve"> </w:t>
      </w:r>
      <w:r w:rsidR="00682075">
        <w:t>(Bernstein, 2000, pp. 9, 52, 99)</w:t>
      </w:r>
      <w:r>
        <w:t xml:space="preserve">. </w:t>
      </w:r>
    </w:p>
    <w:p w14:paraId="7F8C1814" w14:textId="50478A7C" w:rsidR="00ED1F5A" w:rsidRDefault="00ED1F5A" w:rsidP="00ED1F5A">
      <w:pPr>
        <w:pStyle w:val="NormalWeb"/>
        <w:spacing w:before="120" w:beforeAutospacing="0" w:after="120" w:afterAutospacing="0" w:line="360" w:lineRule="auto"/>
      </w:pPr>
      <w:r>
        <w:t xml:space="preserve">The emergence and growth of more application-oriented disciplines therefore have two lines of potential analytical implication. First, ‘applied’ disciplines can be compared empirically with ‘basic’ disciplines in terms of their experiences of confronting and crossing academic boundaries. There is evidence that differences do exist, for example, researchers in </w:t>
      </w:r>
      <w:r w:rsidR="00151EB8">
        <w:t>f</w:t>
      </w:r>
      <w:r>
        <w:t>ormal</w:t>
      </w:r>
      <w:r w:rsidR="00151EB8">
        <w:t xml:space="preserve"> applied disciplines</w:t>
      </w:r>
      <w:r>
        <w:t xml:space="preserve"> (i.e. engineering and materials science and metallurgy) spend on average approximately 1.5 times more time on external knowledge exchange than researchers in other STEMM disciplines (Hughes et al., 2016, p. 104). Second, the proliferation of applied fields and applied researchers may reflect a weakening of academic boundaries at a more fundamental level of academia-society relations. Again, there appears to be some evidence at least that institutional missions are genuinely shifting and impacting upon individual academics, as research has revealed a large increase in the proportion of academics who perceive “outreach” to be a key mission for their institutions (Hughes et al., 2016, p. 73). However, it is difficult to disentangle whether the rise of universities’ outreach mission (‘third’ mission) is predominantly a cause or effect of proliferation of applied researchers and applied disciplines – there are likely to be complex causal and reinforcing mechanisms operating in both ways. Although my research will not</w:t>
      </w:r>
      <w:r w:rsidR="00C83ACD">
        <w:t xml:space="preserve"> be</w:t>
      </w:r>
      <w:r>
        <w:t xml:space="preserve"> able to offer statistical generalisations, it will address both of these lines of analysis, using disciplinary variation as a </w:t>
      </w:r>
      <w:r w:rsidR="00BA0417">
        <w:t>sampling criterion</w:t>
      </w:r>
      <w:r>
        <w:t xml:space="preserve">, and exploring the role of all sampled research, applied and basic, in terms of their implications for academic boundaries. </w:t>
      </w:r>
    </w:p>
    <w:p w14:paraId="3C84B84B" w14:textId="6F5D3EE3" w:rsidR="00ED1F5A" w:rsidRDefault="00ED1F5A" w:rsidP="00ED1F5A">
      <w:pPr>
        <w:pStyle w:val="NormalWeb"/>
        <w:spacing w:before="120" w:beforeAutospacing="0" w:after="120" w:afterAutospacing="0" w:line="360" w:lineRule="auto"/>
      </w:pPr>
      <w:r>
        <w:t xml:space="preserve">It is also important to consider another major dimension of academia, that is, differentiation across institutions. University league tables highlight differentiation of the sector at both global and national scales, with evidence that the UK has particularly </w:t>
      </w:r>
      <w:r w:rsidR="00A022A5">
        <w:t>strongly entrenched</w:t>
      </w:r>
      <w:r>
        <w:t xml:space="preserve"> status hierarchies (Boliver, 2015). At the most research-intensive UK universities, academics spend on average over half of their work-time on research and less than a quarter on teaching; by contrast, ‘New’ universities established post-1992 spend only around a quarter of their time on research and over 40% on teaching (Hughes et al., 2016, p. 78). There is also a difference in the “research orientation” across UK universities, with Older universities conducting the greatest share of Basic research and Newer universities a greater share of Applied research (Hughes et al., 2016, p. 79). From Bernstein’s (2000) perspective, these data can be interpreted as indicating the power that ‘prestigious’ universities have to insulate themselves from “the </w:t>
      </w:r>
      <w:r>
        <w:rPr>
          <w:i/>
        </w:rPr>
        <w:t>exigencies of the market</w:t>
      </w:r>
      <w:r>
        <w:t xml:space="preserve">” (Bernstein, 2000, p. 60, original emphasis) and to define themselves by their close and bounded relation to transcendental knowledge – that is, through dominating the production of fundamental knowledge.   </w:t>
      </w:r>
    </w:p>
    <w:p w14:paraId="4A9EE6FE" w14:textId="77777777" w:rsidR="00ED1F5A" w:rsidRDefault="00ED1F5A" w:rsidP="00ED1F5A">
      <w:pPr>
        <w:pStyle w:val="NormalWeb"/>
        <w:spacing w:before="120" w:beforeAutospacing="0" w:after="120" w:afterAutospacing="0" w:line="360" w:lineRule="auto"/>
      </w:pPr>
      <w:r>
        <w:t xml:space="preserve">Another recent survey </w:t>
      </w:r>
      <w:r>
        <w:fldChar w:fldCharType="begin"/>
      </w:r>
      <w:r>
        <w:instrText xml:space="preserve"> ADDIN EN.CITE &lt;EndNote&gt;&lt;Cite&gt;&lt;Author&gt;Shields&lt;/Author&gt;&lt;Year&gt;2018&lt;/Year&gt;&lt;IDText&gt;Competing institutional logics in universities in the United Kingdom: schism in the church of reason&lt;/IDText&gt;&lt;DisplayText&gt;(Shields &amp;amp; Watermeyer, 2018)&lt;/DisplayText&gt;&lt;record&gt;&lt;keywords&gt;&lt;keyword&gt;Article&lt;/keyword&gt;&lt;keyword&gt;Higher Education&lt;/keyword&gt;&lt;keyword&gt;Academics&lt;/keyword&gt;&lt;keyword&gt;Institutional And Neo-Institutional Theories&lt;/keyword&gt;&lt;keyword&gt;Factor Analysis&lt;/keyword&gt;&lt;keyword&gt;Survey&lt;/keyword&gt;&lt;/keywords&gt;&lt;isbn&gt;0307-5079&lt;/isbn&gt;&lt;titles&gt;&lt;title&gt;Competing institutional logics in universities in the United Kingdom: schism in the church of reason&lt;/title&gt;&lt;secondary-title&gt;Studies in Higher Education&lt;/secondary-title&gt;&lt;/titles&gt;&lt;pages&gt;1-15&lt;/pages&gt;&lt;contributors&gt;&lt;authors&gt;&lt;author&gt;Shields, Robin&lt;/author&gt;&lt;author&gt;Watermeyer, Richard&lt;/author&gt;&lt;/authors&gt;&lt;/contributors&gt;&lt;added-date format="utc"&gt;1556863026&lt;/added-date&gt;&lt;ref-type name="Journal Article"&gt;17&lt;/ref-type&gt;&lt;dates&gt;&lt;year&gt;2018&lt;/year&gt;&lt;/dates&gt;&lt;rec-number&gt;7772&lt;/rec-number&gt;&lt;publisher&gt;Routledge&lt;/publisher&gt;&lt;last-updated-date format="utc"&gt;1556863026&lt;/last-updated-date&gt;&lt;electronic-resource-num&gt;10.1080/03075079.2018.1504910&lt;/electronic-resource-num&gt;&lt;/record&gt;&lt;/Cite&gt;&lt;/EndNote&gt;</w:instrText>
      </w:r>
      <w:r>
        <w:fldChar w:fldCharType="separate"/>
      </w:r>
      <w:r>
        <w:rPr>
          <w:noProof/>
        </w:rPr>
        <w:t>(Shields &amp; Watermeyer, 2018)</w:t>
      </w:r>
      <w:r>
        <w:fldChar w:fldCharType="end"/>
      </w:r>
      <w:r>
        <w:t xml:space="preserve"> has found that academics’ perceptions of the underpinning “logics” or “shared rationalizations” (p. 2) vary quite significantly by type of university, predominantly by the level of research-intensity (having, incidentally, found little variation by discipline). While academics at research-intensive universities with significant research income perceived the underpinning logic of universities to be grounded on academic autonomy, those in less research-intensive universities perceived their own institutional logic to be beyond their immediate control, defined either in terms of “utilitarian” objectives derived from wider society, or else by a superior “managerial” authority, both of which counter the autonomy experienced at more research-intensive universities (Shields &amp; Watermeyer, 2018, p. 8).  </w:t>
      </w:r>
    </w:p>
    <w:p w14:paraId="4D107EA1" w14:textId="73B1321F" w:rsidR="00ED1F5A" w:rsidRDefault="00ED1F5A" w:rsidP="00ED1F5A">
      <w:pPr>
        <w:spacing w:after="120" w:line="360" w:lineRule="auto"/>
        <w:rPr>
          <w:sz w:val="24"/>
          <w:szCs w:val="24"/>
        </w:rPr>
      </w:pPr>
      <w:r>
        <w:rPr>
          <w:rFonts w:eastAsia="MalgunNew Roman"/>
          <w:sz w:val="24"/>
          <w:szCs w:val="24"/>
        </w:rPr>
        <w:t xml:space="preserve">There is also likely to be some impact of these differences in terms of boundary transactions, although it is not simple to interpret this from available quantitative data. This shows that a </w:t>
      </w:r>
      <w:r>
        <w:rPr>
          <w:sz w:val="24"/>
          <w:szCs w:val="24"/>
        </w:rPr>
        <w:t>greater proportion of academics at Newer universities than at Older universities are engaged in knowledge exchange with external organisations and</w:t>
      </w:r>
      <w:r>
        <w:rPr>
          <w:rFonts w:eastAsia="MalgunNew Roman"/>
          <w:sz w:val="24"/>
          <w:szCs w:val="24"/>
        </w:rPr>
        <w:t xml:space="preserve"> believe that engagement </w:t>
      </w:r>
      <w:r>
        <w:rPr>
          <w:sz w:val="24"/>
          <w:szCs w:val="24"/>
        </w:rPr>
        <w:t>with industry, business and the local community are important to career advancement and promotion, and they are proportionately more likely than academics at Older universities to be the initiators of their external interactions (Hughes et al., 2016, pp. 79, 123, 133). But it is academics at Older universities who appear better able to capitalise on the external value of their academic research, with greater percentages of patents, licensing of research outputs, spin-out companies, and research-based consultancies at Older universities than Newer, despite the apparently lower need for academics at Older universities to do these kinds of activities (Hughes et al., 2016, p. 80). A greater proportion of academics at Newer universities reported lacking the time, resources and skills to effectively interact with external organisations, and, in particular, they reported greater internal bureaucratic constraints (Hughes et al, 2016, p. 138). So, researchers at Newer universities spend more time on knowledge exchange and have greater apparent internal incentives to make interventions into the economy, and yet appear less successful than academics at Older universities on these measures – and this is also despite Newer universities being relatively more focused on ‘applied’ research than Older universities (Hughes et al., 2016, p. 124). Again, the causal links are difficult to disentangle, but these data fit a picture of a distinction between less prestigious institutions undergoing relatively greater struggles to contribute to objectives and interests beyond academic boundaries, and more prestigious institutions able to focus relatively more on internally-generated objectives</w:t>
      </w:r>
      <w:r w:rsidR="009122FD">
        <w:rPr>
          <w:sz w:val="24"/>
          <w:szCs w:val="24"/>
        </w:rPr>
        <w:t xml:space="preserve"> (i.e. the ‘transcendental’)</w:t>
      </w:r>
      <w:r>
        <w:rPr>
          <w:sz w:val="24"/>
          <w:szCs w:val="24"/>
        </w:rPr>
        <w:t xml:space="preserve"> </w:t>
      </w:r>
      <w:r w:rsidR="00EB6301">
        <w:rPr>
          <w:sz w:val="24"/>
          <w:szCs w:val="24"/>
        </w:rPr>
        <w:t>while</w:t>
      </w:r>
      <w:r>
        <w:rPr>
          <w:sz w:val="24"/>
          <w:szCs w:val="24"/>
        </w:rPr>
        <w:t xml:space="preserve">, somewhat paradoxically, facing relatively fewer difficulties with external engagement and revenue-generating activities. </w:t>
      </w:r>
    </w:p>
    <w:p w14:paraId="75ABABB8" w14:textId="6DCE8F16" w:rsidR="00ED1F5A" w:rsidRPr="00ED1F5A" w:rsidRDefault="00ED1F5A" w:rsidP="00ED1F5A">
      <w:pPr>
        <w:spacing w:after="120" w:line="360" w:lineRule="auto"/>
        <w:rPr>
          <w:sz w:val="24"/>
          <w:szCs w:val="24"/>
          <w:lang w:eastAsia="ko-KR"/>
        </w:rPr>
      </w:pPr>
      <w:r>
        <w:rPr>
          <w:sz w:val="24"/>
          <w:szCs w:val="24"/>
        </w:rPr>
        <w:t xml:space="preserve">My working interpretation of these data, when considered through the ‘boundary’ lens, is that: (i) they reflect a hierarchy whereby more prestigious institutions are relatively more insulated, such that its staff can afford relatively greater focus on those core internal objectives and criteria that make academia distinctive and which give meaning to its boundaries; (ii) </w:t>
      </w:r>
      <w:r w:rsidR="00B15D0D">
        <w:rPr>
          <w:sz w:val="24"/>
          <w:szCs w:val="24"/>
        </w:rPr>
        <w:t>prestige appears to be linked to</w:t>
      </w:r>
      <w:r w:rsidR="00424420">
        <w:rPr>
          <w:sz w:val="24"/>
          <w:szCs w:val="24"/>
        </w:rPr>
        <w:t xml:space="preserve"> the</w:t>
      </w:r>
      <w:r>
        <w:rPr>
          <w:sz w:val="24"/>
          <w:szCs w:val="24"/>
        </w:rPr>
        <w:t xml:space="preserve"> strength of relation to the transcendental; (iii) relatively less prestigious institutions appear relatively less well insulated, </w:t>
      </w:r>
      <w:r>
        <w:rPr>
          <w:sz w:val="24"/>
          <w:szCs w:val="24"/>
          <w:lang w:eastAsia="ko-KR"/>
        </w:rPr>
        <w:t xml:space="preserve">and, to borrow a phrase from one of Bernstein’s intellectual collaborators, are relatively more “exposed to the need to communicate with outsiders” </w:t>
      </w:r>
      <w:r w:rsidRPr="00D06473">
        <w:rPr>
          <w:sz w:val="24"/>
          <w:szCs w:val="24"/>
        </w:rPr>
        <w:fldChar w:fldCharType="begin"/>
      </w:r>
      <w:r w:rsidRPr="00D06473">
        <w:rPr>
          <w:sz w:val="24"/>
          <w:szCs w:val="24"/>
          <w:lang w:eastAsia="ko-KR"/>
        </w:rPr>
        <w:instrText xml:space="preserve"> ADDIN EN.CITE &lt;EndNote&gt;&lt;Cite&gt;&lt;Author&gt;Douglas&lt;/Author&gt;&lt;Year&gt;1996&lt;/Year&gt;&lt;IDText&gt;Natural Symbols: Explorations in Cosmology&lt;/IDText&gt;&lt;Pages&gt;55&lt;/Pages&gt;&lt;DisplayText&gt;(Douglas, 1996, p. 55)&lt;/DisplayText&gt;&lt;record&gt;&lt;keywords&gt;&lt;keyword&gt;Human body -- Religious aspects&lt;/keyword&gt;&lt;keyword&gt;Human body -- Mythology&lt;/keyword&gt;&lt;keyword&gt;Symbolism&lt;/keyword&gt;&lt;keyword&gt;Ritual&lt;/keyword&gt;&lt;keyword&gt;Cult&lt;/keyword&gt;&lt;keyword&gt;Cultus&lt;/keyword&gt;&lt;keyword&gt;Liturgies&lt;/keyword&gt;&lt;keyword&gt;Public worship&lt;/keyword&gt;&lt;keyword&gt;Symbolism&lt;/keyword&gt;&lt;keyword&gt;Worship&lt;/keyword&gt;&lt;keyword&gt;Rites and ceremonies&lt;/keyword&gt;&lt;keyword&gt;Ritualism&lt;/keyword&gt;&lt;keyword&gt;Representation, Symbolic&lt;/keyword&gt;&lt;keyword&gt;Symbolic representation&lt;/keyword&gt;&lt;keyword&gt;Mythology&lt;/keyword&gt;&lt;keyword&gt;Emblems&lt;/keyword&gt;&lt;keyword&gt;Signs and symbols&lt;/keyword&gt;&lt;keyword&gt;Body, Human (in religion, folk-lore, etc.)&lt;/keyword&gt;&lt;keyword&gt;Body, Human (in religion, folk-lore, etc.)&lt;/keyword&gt;&lt;/keywords&gt;&lt;titles&gt;&lt;title&gt;Natural Symbols: Explorations in Cosmology&lt;/title&gt;&lt;/titles&gt;&lt;contributors&gt;&lt;authors&gt;&lt;author&gt;Douglas, Mary&lt;/author&gt;&lt;/authors&gt;&lt;/contributors&gt;&lt;added-date format="utc"&gt;1531832707&lt;/added-date&gt;&lt;pub-location&gt;London&lt;/pub-location&gt;&lt;ref-type name="Book"&gt;6&lt;/ref-type&gt;&lt;dates&gt;&lt;year&gt;1996&lt;/year&gt;&lt;/dates&gt;&lt;rec-number&gt;7611&lt;/rec-number&gt;&lt;publisher&gt;Routledge&lt;/publisher&gt;&lt;last-updated-date format="utc"&gt;1531832758&lt;/last-updated-date&gt;&lt;/record&gt;&lt;/Cite&gt;&lt;/EndNote&gt;</w:instrText>
      </w:r>
      <w:r w:rsidRPr="00D06473">
        <w:rPr>
          <w:sz w:val="24"/>
          <w:szCs w:val="24"/>
        </w:rPr>
        <w:fldChar w:fldCharType="separate"/>
      </w:r>
      <w:r w:rsidRPr="00D06473">
        <w:rPr>
          <w:noProof/>
          <w:sz w:val="24"/>
          <w:szCs w:val="24"/>
          <w:lang w:eastAsia="ko-KR"/>
        </w:rPr>
        <w:t>(Douglas, 1996, p. 55)</w:t>
      </w:r>
      <w:r w:rsidRPr="00D06473">
        <w:rPr>
          <w:sz w:val="24"/>
          <w:szCs w:val="24"/>
        </w:rPr>
        <w:fldChar w:fldCharType="end"/>
      </w:r>
      <w:r>
        <w:rPr>
          <w:sz w:val="24"/>
          <w:szCs w:val="24"/>
          <w:lang w:eastAsia="ko-KR"/>
        </w:rPr>
        <w:t xml:space="preserve"> and therefore more oriented towards external outreach and engagement; (iv) but, conversely, despite the efforts of researchers at less prestigious institutions, they seem to face a greater level and range of challenges in crossing these boundaries. My own research will be able to take a more </w:t>
      </w:r>
      <w:r w:rsidR="00AF3A1D">
        <w:rPr>
          <w:sz w:val="24"/>
          <w:szCs w:val="24"/>
          <w:lang w:eastAsia="ko-KR"/>
        </w:rPr>
        <w:t>qualitative</w:t>
      </w:r>
      <w:r>
        <w:rPr>
          <w:sz w:val="24"/>
          <w:szCs w:val="24"/>
          <w:lang w:eastAsia="ko-KR"/>
        </w:rPr>
        <w:t xml:space="preserve"> look at the</w:t>
      </w:r>
      <w:r w:rsidR="00AF3A1D">
        <w:rPr>
          <w:sz w:val="24"/>
          <w:szCs w:val="24"/>
          <w:lang w:eastAsia="ko-KR"/>
        </w:rPr>
        <w:t>se</w:t>
      </w:r>
      <w:r>
        <w:rPr>
          <w:sz w:val="24"/>
          <w:szCs w:val="24"/>
          <w:lang w:eastAsia="ko-KR"/>
        </w:rPr>
        <w:t xml:space="preserve"> issues.</w:t>
      </w:r>
    </w:p>
    <w:p w14:paraId="2062EFA7" w14:textId="62CEA8F2" w:rsidR="00DC7B41" w:rsidRDefault="00DC7B41" w:rsidP="00742B79">
      <w:pPr>
        <w:pStyle w:val="Heading2"/>
      </w:pPr>
      <w:bookmarkStart w:id="36" w:name="_Toc31701948"/>
      <w:r>
        <w:t>Forms of boundary transaction</w:t>
      </w:r>
      <w:r w:rsidR="00782A2C">
        <w:t>: a literature review</w:t>
      </w:r>
      <w:bookmarkEnd w:id="36"/>
    </w:p>
    <w:p w14:paraId="0E90ADAA" w14:textId="5367747F" w:rsidR="00DC7B41" w:rsidRPr="00742B79" w:rsidRDefault="00426D55" w:rsidP="00426D55">
      <w:pPr>
        <w:spacing w:after="120" w:line="360" w:lineRule="auto"/>
        <w:rPr>
          <w:sz w:val="24"/>
          <w:szCs w:val="24"/>
        </w:rPr>
      </w:pPr>
      <w:r>
        <w:rPr>
          <w:sz w:val="24"/>
          <w:szCs w:val="24"/>
        </w:rPr>
        <w:t xml:space="preserve">In this section I draw out five main forms of boundary transaction that I have identified from social science literature on academic research. </w:t>
      </w:r>
      <w:r w:rsidR="0006688F">
        <w:rPr>
          <w:sz w:val="24"/>
          <w:szCs w:val="24"/>
        </w:rPr>
        <w:t xml:space="preserve">These are ‘outreach’, ‘collaboration’, ‘use-focused outputs’, ‘boundary structures’ and ‘boundary-spanning’. </w:t>
      </w:r>
      <w:r w:rsidR="002F139D">
        <w:rPr>
          <w:sz w:val="24"/>
          <w:szCs w:val="24"/>
        </w:rPr>
        <w:t>Each</w:t>
      </w:r>
      <w:r w:rsidR="006A6AAA">
        <w:rPr>
          <w:sz w:val="24"/>
          <w:szCs w:val="24"/>
        </w:rPr>
        <w:t xml:space="preserve"> form of</w:t>
      </w:r>
      <w:r w:rsidR="002F139D">
        <w:rPr>
          <w:sz w:val="24"/>
          <w:szCs w:val="24"/>
        </w:rPr>
        <w:t xml:space="preserve"> transaction brings something of the academic into a non-academic context</w:t>
      </w:r>
      <w:r w:rsidR="00D564CA">
        <w:rPr>
          <w:sz w:val="24"/>
          <w:szCs w:val="24"/>
        </w:rPr>
        <w:t xml:space="preserve"> (and/</w:t>
      </w:r>
      <w:r w:rsidR="00DC2C67">
        <w:rPr>
          <w:sz w:val="24"/>
          <w:szCs w:val="24"/>
        </w:rPr>
        <w:t>or vice versa</w:t>
      </w:r>
      <w:r w:rsidR="00D564CA">
        <w:rPr>
          <w:sz w:val="24"/>
          <w:szCs w:val="24"/>
        </w:rPr>
        <w:t>)</w:t>
      </w:r>
      <w:r w:rsidR="00F615DE">
        <w:rPr>
          <w:sz w:val="24"/>
          <w:szCs w:val="24"/>
        </w:rPr>
        <w:t>.</w:t>
      </w:r>
      <w:r w:rsidR="00BE2FF2">
        <w:rPr>
          <w:sz w:val="24"/>
          <w:szCs w:val="24"/>
        </w:rPr>
        <w:t xml:space="preserve"> </w:t>
      </w:r>
      <w:r w:rsidR="00CA52C5">
        <w:rPr>
          <w:sz w:val="24"/>
          <w:szCs w:val="24"/>
        </w:rPr>
        <w:t>For each form of transaction, I highlight links between the</w:t>
      </w:r>
      <w:r w:rsidR="009F50A1">
        <w:rPr>
          <w:sz w:val="24"/>
          <w:szCs w:val="24"/>
        </w:rPr>
        <w:t xml:space="preserve"> relevant</w:t>
      </w:r>
      <w:r w:rsidR="00CA52C5">
        <w:rPr>
          <w:sz w:val="24"/>
          <w:szCs w:val="24"/>
        </w:rPr>
        <w:t xml:space="preserve"> literature and </w:t>
      </w:r>
      <w:r w:rsidR="009F50A1">
        <w:rPr>
          <w:sz w:val="24"/>
          <w:szCs w:val="24"/>
        </w:rPr>
        <w:t xml:space="preserve">the ‘boundary lens’ I have adopted. I also </w:t>
      </w:r>
      <w:r w:rsidR="00453E2A">
        <w:rPr>
          <w:sz w:val="24"/>
          <w:szCs w:val="24"/>
        </w:rPr>
        <w:t xml:space="preserve">discuss </w:t>
      </w:r>
      <w:r w:rsidR="00BE2FF2">
        <w:rPr>
          <w:sz w:val="24"/>
          <w:szCs w:val="24"/>
        </w:rPr>
        <w:t>how each form of transaction involves both challenges to, but also the potential for, the reproduction of academic boundaries.</w:t>
      </w:r>
      <w:r w:rsidR="00C64A38">
        <w:rPr>
          <w:sz w:val="24"/>
          <w:szCs w:val="24"/>
        </w:rPr>
        <w:t xml:space="preserve"> </w:t>
      </w:r>
    </w:p>
    <w:p w14:paraId="5F631DFC" w14:textId="77777777" w:rsidR="00DC7B41" w:rsidRDefault="00DC7B41" w:rsidP="00DC7B41">
      <w:pPr>
        <w:pStyle w:val="Heading3"/>
      </w:pPr>
      <w:bookmarkStart w:id="37" w:name="_Toc31701949"/>
      <w:r>
        <w:t>Outreach: new networks and activities for the university’s ‘third mission’</w:t>
      </w:r>
      <w:bookmarkEnd w:id="37"/>
    </w:p>
    <w:p w14:paraId="2595FC32" w14:textId="01B4F1F7" w:rsidR="004F0424" w:rsidRDefault="000A34D1" w:rsidP="004F0424">
      <w:pPr>
        <w:spacing w:before="120" w:after="120" w:line="360" w:lineRule="auto"/>
        <w:rPr>
          <w:iCs/>
          <w:sz w:val="24"/>
          <w:szCs w:val="24"/>
        </w:rPr>
      </w:pPr>
      <w:r>
        <w:rPr>
          <w:iCs/>
          <w:sz w:val="24"/>
          <w:szCs w:val="24"/>
        </w:rPr>
        <w:t>O</w:t>
      </w:r>
      <w:r w:rsidR="004F0424">
        <w:rPr>
          <w:iCs/>
          <w:sz w:val="24"/>
          <w:szCs w:val="24"/>
        </w:rPr>
        <w:t>utreach</w:t>
      </w:r>
      <w:r>
        <w:rPr>
          <w:iCs/>
          <w:sz w:val="24"/>
          <w:szCs w:val="24"/>
        </w:rPr>
        <w:t xml:space="preserve"> refers to </w:t>
      </w:r>
      <w:r w:rsidR="004F0424">
        <w:rPr>
          <w:iCs/>
          <w:sz w:val="24"/>
          <w:szCs w:val="24"/>
        </w:rPr>
        <w:t>participation in and generation of networks with potential users, beneficiaries and stakeholders.</w:t>
      </w:r>
      <w:r w:rsidR="00D85158">
        <w:rPr>
          <w:iCs/>
          <w:sz w:val="24"/>
          <w:szCs w:val="24"/>
        </w:rPr>
        <w:t xml:space="preserve"> </w:t>
      </w:r>
      <w:r w:rsidR="005D0571">
        <w:rPr>
          <w:iCs/>
          <w:sz w:val="24"/>
          <w:szCs w:val="24"/>
        </w:rPr>
        <w:t xml:space="preserve">Although outreach can be understood as </w:t>
      </w:r>
      <w:r w:rsidR="00D85158">
        <w:rPr>
          <w:iCs/>
          <w:sz w:val="24"/>
          <w:szCs w:val="24"/>
        </w:rPr>
        <w:t>a key form of boundary transaction in itself</w:t>
      </w:r>
      <w:r w:rsidR="00050445">
        <w:rPr>
          <w:iCs/>
          <w:sz w:val="24"/>
          <w:szCs w:val="24"/>
        </w:rPr>
        <w:t xml:space="preserve">, a major motivation for outreach is to develop opportunities for other forms of transaction. </w:t>
      </w:r>
      <w:r w:rsidR="004F0424">
        <w:rPr>
          <w:iCs/>
          <w:sz w:val="24"/>
          <w:szCs w:val="24"/>
        </w:rPr>
        <w:t xml:space="preserve"> </w:t>
      </w:r>
    </w:p>
    <w:p w14:paraId="11678250" w14:textId="6094D3DB" w:rsidR="00E12C54" w:rsidRDefault="0095712C" w:rsidP="00DC7B41">
      <w:pPr>
        <w:spacing w:before="120" w:after="120" w:line="360" w:lineRule="auto"/>
        <w:rPr>
          <w:iCs/>
          <w:sz w:val="24"/>
          <w:szCs w:val="24"/>
        </w:rPr>
      </w:pPr>
      <w:r>
        <w:rPr>
          <w:sz w:val="24"/>
          <w:szCs w:val="24"/>
        </w:rPr>
        <w:t xml:space="preserve">Outreach came to the fore as </w:t>
      </w:r>
      <w:r w:rsidR="00DC7B41">
        <w:rPr>
          <w:sz w:val="24"/>
          <w:szCs w:val="24"/>
        </w:rPr>
        <w:t xml:space="preserve">the core element </w:t>
      </w:r>
      <w:r>
        <w:rPr>
          <w:sz w:val="24"/>
          <w:szCs w:val="24"/>
        </w:rPr>
        <w:t>of</w:t>
      </w:r>
      <w:r w:rsidR="00DC7B41">
        <w:rPr>
          <w:sz w:val="24"/>
          <w:szCs w:val="24"/>
        </w:rPr>
        <w:t xml:space="preserve"> the</w:t>
      </w:r>
      <w:r w:rsidR="00791D95">
        <w:rPr>
          <w:sz w:val="24"/>
          <w:szCs w:val="24"/>
        </w:rPr>
        <w:t xml:space="preserve"> imperative towards a</w:t>
      </w:r>
      <w:r w:rsidR="00DC7B41">
        <w:rPr>
          <w:sz w:val="24"/>
          <w:szCs w:val="24"/>
        </w:rPr>
        <w:t xml:space="preserve"> ‘third mission’ for universities (Vakkuri, 2004). According to several </w:t>
      </w:r>
      <w:r w:rsidR="00736B4D">
        <w:rPr>
          <w:sz w:val="24"/>
          <w:szCs w:val="24"/>
        </w:rPr>
        <w:t>commentators</w:t>
      </w:r>
      <w:r w:rsidR="00DC7B41">
        <w:rPr>
          <w:sz w:val="24"/>
          <w:szCs w:val="24"/>
        </w:rPr>
        <w:t xml:space="preserve"> </w:t>
      </w:r>
      <w:r w:rsidR="00DC7B41">
        <w:rPr>
          <w:sz w:val="24"/>
          <w:szCs w:val="24"/>
        </w:rPr>
        <w:fldChar w:fldCharType="begin">
          <w:fldData xml:space="preserve">PEVuZE5vdGU+PENpdGU+PEF1dGhvcj5CZW5uZXdvcnRoPC9BdXRob3I+PFllYXI+MjAxMzwvWWVh
cj48SURUZXh0PlVuaXZlcnNpdHktQ29tbXVuaXR5IEVuZ2FnZW1lbnQgaW4gdGhlIFdpZGVyIFBv
bGljeSBFbnZpcm9ubWVudDwvSURUZXh0PjxEaXNwbGF5VGV4dD4oQmVubmV3b3J0aCAmYW1wOyBD
aGFybGVzLCAyMDEzOyBKb25nYmxvZWQsIEVuZGVycywgJmFtcDsgU2FsZXJubywgMjAwODsgU8Oh
bmNoZXotQmFycmlvbHVlbmdvLCAyMDE1OyBab21lciAmYW1wOyBCZW5uZXdvcnRoLCAyMDExKTwv
RGlzcGxheVRleHQ+PHJlY29yZD48a2V5d29yZHM+PGtleXdvcmQ+Q29tbXVuaXR5IGFuZCBjb2xs
ZWdlPC9rZXl3b3JkPjxrZXl3b3JkPkVkdWNhdGlvbiwgSGlnaGVyIC0tIFNvY2lhbCBhc3BlY3Rz
PC9rZXl3b3JkPjxrZXl3b3JkPk1hcmdpbmFsaXR5LCBTb2NpYWw8L2tleXdvcmQ+PGtleXdvcmQ+
QXNzaW1pbGF0aW9uIChTb2Npb2xvZ3kpPC9rZXl3b3JkPjxrZXl3b3JkPkN1bHR1cmUgY29uZmxp
Y3Q8L2tleXdvcmQ+PGtleXdvcmQ+U29jaWFsIGlzb2xhdGlvbjwva2V5d29yZD48a2V5d29yZD5T
b2Npb2xvZ3k8L2tleXdvcmQ+PGtleXdvcmQ+UGVvcGxlIHdpdGggc29jaWFsIGRpc2FiaWxpdGll
czwva2V5d29yZD48a2V5d29yZD5Vbml2ZXJzaXRpZXMgYW5kIGNvbGxlZ2VzPC9rZXl3b3JkPjxr
ZXl3b3JkPlVuaXZlcnNpdHkgdG93bnM8L2tleXdvcmQ+PC9rZXl3b3Jkcz48dGl0bGVzPjx0aXRs
ZT5Vbml2ZXJzaXR5LUNvbW11bml0eSBFbmdhZ2VtZW50IGluIHRoZSBXaWRlciBQb2xpY3kgRW52
aXJvbm1lbnQ8L3RpdGxlPjxzZWNvbmRhcnktdGl0bGU+VW5pdmVyc2l0eSBlbmdhZ2VtZW50IHdp
dGggc29jaWFsbHkgZXhjbHVkZWQgY29tbXVuaXRpZXM8L3NlY29uZGFyeS10aXRsZT48L3RpdGxl
cz48Y29udHJpYnV0b3JzPjxhdXRob3JzPjxhdXRob3I+QmVubmV3b3J0aCwgUGF1bDwvYXV0aG9y
PjxhdXRob3I+Q2hhcmxlcywgRC48L2F1dGhvcj48L2F1dGhvcnM+PC9jb250cmlidXRvcnM+PGFk
ZGVkLWRhdGUgZm9ybWF0PSJ1dGMiPjE1NDkwMjA3MTI8L2FkZGVkLWRhdGU+PHB1Yi1sb2NhdGlv
bj5Eb3JkcmVjaHQ8L3B1Yi1sb2NhdGlvbj48cmVmLXR5cGUgbmFtZT0iQm9vayBTZWN0aW9uIj41
PC9yZWYtdHlwZT48ZGF0ZXM+PHllYXI+MjAxMzwveWVhcj48L2RhdGVzPjxyZWMtbnVtYmVyPjc3
MTE8L3JlYy1udW1iZXI+PHB1Ymxpc2hlcj5TcHJpbmdlcjwvcHVibGlzaGVyPjxsYXN0LXVwZGF0
ZWQtZGF0ZSBmb3JtYXQ9InV0YyI+MTU0OTAyMTk4NTwvbGFzdC11cGRhdGVkLWRhdGU+PGNvbnRy
aWJ1dG9ycz48c2Vjb25kYXJ5LWF1dGhvcnM+PGF1dGhvcj5CZW5uZXdvcnRoLCBQLjwvYXV0aG9y
Pjwvc2Vjb25kYXJ5LWF1dGhvcnM+PC9jb250cmlidXRvcnM+PC9yZWNvcmQ+PC9DaXRlPjxDaXRl
PjxBdXRob3I+U8OhbmNoZXotQmFycmlvbHVlbmdvPC9BdXRob3I+PFllYXI+MjAxNTwvWWVhcj48
SURUZXh0PkJyaWRnaW5nIGdhcHMgaW4gaGlnaGVyIGVkdWNhdGlvbiBzdHVkaWVzOiBpbnRlcm5h
bCBzdHJ1Y3R1cmUgYW5kIGRlbWFuZCBjb25kaXRpb25zIG1lZGlhdGluZyB1bml2ZXJzaXR5IHRo
aXJkIG1pc3Npb24gcGVyZm9ybWFuY2U8L0lEVGV4dD48cmVjb3JkPjxkYXRlcz48cHViLWRhdGVz
PjxkYXRlPjIwMTUtMDgtMDc8L2RhdGU+PC9wdWItZGF0ZXM+PHllYXI+MjAxNTwveWVhcj48L2Rh
dGVzPjx1cmxzPjxyZWxhdGVkLXVybHM+PHVybD5odHRwczovL2Jsb2djaGVwcy53b3JkcHJlc3Mu
Y29tLzIwMTUvMDgvMDcvYnJpZGdpbmctZ2Fwcy1pbi1oaWdoZXItZWR1Y2F0aW9uLXN0dWRpZXMt
aW50ZXJuYWwtc3RydWN0dXJlLWFuZC1kZW1hbmQtY29uZGl0aW9ucy1tZWRpYXRpbmctdW5pdmVy
c2l0eS10aGlyZC1taXNzaW9uLXBlcmZvcm1hbmNlLzwvdXJsPjwvcmVsYXRlZC11cmxzPjwvdXJs
cz48dGl0bGVzPjx0aXRsZT5CcmlkZ2luZyBnYXBzIGluIGhpZ2hlciBlZHVjYXRpb24gc3R1ZGll
czogaW50ZXJuYWwgc3RydWN0dXJlIGFuZCBkZW1hbmQgY29uZGl0aW9ucyBtZWRpYXRpbmcgdW5p
dmVyc2l0eSB0aGlyZCBtaXNzaW9uIHBlcmZvcm1hbmNlPC90aXRsZT48c2Vjb25kYXJ5LXRpdGxl
PlRoZSBDSEVQUyBCbG9nPC9zZWNvbmRhcnktdGl0bGU+PC90aXRsZXM+PGFjY2Vzcy1kYXRlPjEg
RmVicnVhcnkgMjAxOTwvYWNjZXNzLWRhdGU+PGNvbnRyaWJ1dG9ycz48YXV0aG9ycz48YXV0aG9y
PlPDoW5jaGV6LUJhcnJpb2x1ZW5nbywgTWFiZWw8L2F1dGhvcj48L2F1dGhvcnM+PC9jb250cmli
dXRvcnM+PGFkZGVkLWRhdGUgZm9ybWF0PSJ1dGMiPjE1NDkwMjE2NTk8L2FkZGVkLWRhdGU+PHJl
Zi10eXBlIG5hbWU9IkJsb2ciPjU2PC9yZWYtdHlwZT48cmVjLW51bWJlcj43NzEzPC9yZWMtbnVt
YmVyPjxwdWJsaXNoZXI+Q2VudGVyIGZvciBIaWdoZXIgRWR1Y2F0aW9uIFBvbGljeSBTdHVkaWVz
LCBVbml2ZXJzaXR5IG9mIFR3ZW50ZTwvcHVibGlzaGVyPjxsYXN0LXVwZGF0ZWQtZGF0ZSBmb3Jt
YXQ9InV0YyI+MTU0OTAyMTkyODwvbGFzdC11cGRhdGVkLWRhdGU+PHZvbHVtZT4yMDE5PC92b2x1
bWU+PC9yZWNvcmQ+PC9DaXRlPjxDaXRlPjxBdXRob3I+Wm9tZXI8L0F1dGhvcj48WWVhcj4yMDEx
PC9ZZWFyPjxJRFRleHQ+VGhlIHJpc2Ugb2YgdGhlIHVuaXZlcnNpdHnigJlzIHRoaXJkIG1pc3Np
b248L0lEVGV4dD48cmVjb3JkPjx0aXRsZXM+PHRpdGxlPlRoZSByaXNlIG9mIHRoZSB1bml2ZXJz
aXR54oCZcyB0aGlyZCBtaXNzaW9uPC90aXRsZT48c2Vjb25kYXJ5LXRpdGxlPlJlZm9ybSBvZiBI
aWdoZXIgRWR1Y2F0aW9uIGluIEV1cm9wZTwvc2Vjb25kYXJ5LXRpdGxlPjwvdGl0bGVzPjxwYWdl
cz44MS0xMDE8L3BhZ2VzPjxjb250cmlidXRvcnM+PGF1dGhvcnM+PGF1dGhvcj5ab21lciwgQXJl
bmQ8L2F1dGhvcj48YXV0aG9yPkJlbm5ld29ydGgsIFBhdWw8L2F1dGhvcj48L2F1dGhvcnM+PC9j
b250cmlidXRvcnM+PGFkZGVkLWRhdGUgZm9ybWF0PSJ1dGMiPjE1NDkwMjQ3NDI8L2FkZGVkLWRh
dGU+PHJlZi10eXBlIG5hbWU9IkJvb2sgU2VjdGlvbiI+NTwvcmVmLXR5cGU+PGRhdGVzPjx5ZWFy
PjIwMTE8L3llYXI+PC9kYXRlcz48cmVjLW51bWJlcj43NzE0PC9yZWMtbnVtYmVyPjxwdWJsaXNo
ZXI+U3ByaW5nZXI8L3B1Ymxpc2hlcj48bGFzdC11cGRhdGVkLWRhdGUgZm9ybWF0PSJ1dGMiPjE1
NDkwMjUwNTY8L2xhc3QtdXBkYXRlZC1kYXRlPjxjb250cmlidXRvcnM+PHNlY29uZGFyeS1hdXRo
b3JzPjxhdXRob3I+RW5kZXJzLCBKLjwvYXV0aG9yPjxhdXRob3I+ZGUgQm9lciwgSC4gRi48L2F1
dGhvcj48YXV0aG9yPldlc3RlcmhlaWpkZW4sIEQuIEYuPC9hdXRob3I+PC9zZWNvbmRhcnktYXV0
aG9ycz48L2NvbnRyaWJ1dG9ycz48L3JlY29yZD48L0NpdGU+PENpdGU+PEF1dGhvcj5Kb25nYmxv
ZWQ8L0F1dGhvcj48WWVhcj4yMDA4PC9ZZWFyPjxJRFRleHQ+SGlnaGVyIGVkdWNhdGlvbiBhbmQg
aXRzIGNvbW11bml0aWVzOiBJbnRlcmNvbm5lY3Rpb25zLCBpbnRlcmRlcGVuZGVuY2llcyBhbmQg
YSByZXNlYXJjaCBhZ2VuZGE8L0lEVGV4dD48cmVjb3JkPjxrZXl3b3Jkcz48a2V5d29yZD5TdGFr
ZWhvbGRlciBhbmFseXNpczwva2V5d29yZD48a2V5d29yZD5UaGlyZCBtaXNzaW9uPC9rZXl3b3Jk
PjxrZXl3b3JkPkdvdmVybmFuY2U8L2tleXdvcmQ+PGtleXdvcmQ+Q29tbXVuaXR5IGVuZ2FnZW1l
bnQ8L2tleXdvcmQ+PC9rZXl3b3Jkcz48aXNibj4wMDE4LTE1NjA8L2lzYm4+PHRpdGxlcz48dGl0
bGU+SGlnaGVyIGVkdWNhdGlvbiBhbmQgaXRzIGNvbW11bml0aWVzOiBJbnRlcmNvbm5lY3Rpb25z
LCBpbnRlcmRlcGVuZGVuY2llcyBhbmQgYSByZXNlYXJjaCBhZ2VuZGE8L3RpdGxlPjxzZWNvbmRh
cnktdGl0bGU+VGhlIEludGVybmF0aW9uYWwgSm91cm5hbCBvZiBIaWdoZXIgRWR1Y2F0aW9uIGFu
ZCBFZHVjYXRpb25hbCBQbGFubmluZzwvc2Vjb25kYXJ5LXRpdGxlPjwvdGl0bGVzPjxwYWdlcz4z
MDMtMzI0PC9wYWdlcz48bnVtYmVyPjM8L251bWJlcj48Y29udHJpYnV0b3JzPjxhdXRob3JzPjxh
dXRob3I+Sm9uZ2Jsb2VkLCBCZW48L2F1dGhvcj48YXV0aG9yPkVuZGVycywgSsO8cmdlbjwvYXV0
aG9yPjxhdXRob3I+U2FsZXJubywgQ2FybG88L2F1dGhvcj48L2F1dGhvcnM+PC9jb250cmlidXRv
cnM+PGFkZGVkLWRhdGUgZm9ybWF0PSJ1dGMiPjE1NDkxMzI3Mzc8L2FkZGVkLWRhdGU+PHB1Yi1s
b2NhdGlvbj5Eb3JkcmVjaHQ8L3B1Yi1sb2NhdGlvbj48cmVmLXR5cGUgbmFtZT0iSm91cm5hbCBB
cnRpY2xlIj4xNzwvcmVmLXR5cGU+PGRhdGVzPjx5ZWFyPjIwMDg8L3llYXI+PC9kYXRlcz48cmVj
LW51bWJlcj43NzE4PC9yZWMtbnVtYmVyPjxsYXN0LXVwZGF0ZWQtZGF0ZSBmb3JtYXQ9InV0YyI+
MTU0OTEzMjczNzwvbGFzdC11cGRhdGVkLWRhdGU+PGVsZWN0cm9uaWMtcmVzb3VyY2UtbnVtPjEw
LjEwMDcvczEwNzM0LTAwOC05MTI4LTI8L2VsZWN0cm9uaWMtcmVzb3VyY2UtbnVtPjx2b2x1bWU+
NTY8L3ZvbHVtZT48L3JlY29yZD48L0NpdGU+PC9FbmROb3RlPn==
</w:fldData>
        </w:fldChar>
      </w:r>
      <w:r w:rsidR="00DC7B41">
        <w:rPr>
          <w:sz w:val="24"/>
          <w:szCs w:val="24"/>
        </w:rPr>
        <w:instrText xml:space="preserve"> ADDIN EN.CITE </w:instrText>
      </w:r>
      <w:r w:rsidR="00DC7B41">
        <w:rPr>
          <w:sz w:val="24"/>
          <w:szCs w:val="24"/>
        </w:rPr>
        <w:fldChar w:fldCharType="begin">
          <w:fldData xml:space="preserve">PEVuZE5vdGU+PENpdGU+PEF1dGhvcj5CZW5uZXdvcnRoPC9BdXRob3I+PFllYXI+MjAxMzwvWWVh
cj48SURUZXh0PlVuaXZlcnNpdHktQ29tbXVuaXR5IEVuZ2FnZW1lbnQgaW4gdGhlIFdpZGVyIFBv
bGljeSBFbnZpcm9ubWVudDwvSURUZXh0PjxEaXNwbGF5VGV4dD4oQmVubmV3b3J0aCAmYW1wOyBD
aGFybGVzLCAyMDEzOyBKb25nYmxvZWQsIEVuZGVycywgJmFtcDsgU2FsZXJubywgMjAwODsgU8Oh
bmNoZXotQmFycmlvbHVlbmdvLCAyMDE1OyBab21lciAmYW1wOyBCZW5uZXdvcnRoLCAyMDExKTwv
RGlzcGxheVRleHQ+PHJlY29yZD48a2V5d29yZHM+PGtleXdvcmQ+Q29tbXVuaXR5IGFuZCBjb2xs
ZWdlPC9rZXl3b3JkPjxrZXl3b3JkPkVkdWNhdGlvbiwgSGlnaGVyIC0tIFNvY2lhbCBhc3BlY3Rz
PC9rZXl3b3JkPjxrZXl3b3JkPk1hcmdpbmFsaXR5LCBTb2NpYWw8L2tleXdvcmQ+PGtleXdvcmQ+
QXNzaW1pbGF0aW9uIChTb2Npb2xvZ3kpPC9rZXl3b3JkPjxrZXl3b3JkPkN1bHR1cmUgY29uZmxp
Y3Q8L2tleXdvcmQ+PGtleXdvcmQ+U29jaWFsIGlzb2xhdGlvbjwva2V5d29yZD48a2V5d29yZD5T
b2Npb2xvZ3k8L2tleXdvcmQ+PGtleXdvcmQ+UGVvcGxlIHdpdGggc29jaWFsIGRpc2FiaWxpdGll
czwva2V5d29yZD48a2V5d29yZD5Vbml2ZXJzaXRpZXMgYW5kIGNvbGxlZ2VzPC9rZXl3b3JkPjxr
ZXl3b3JkPlVuaXZlcnNpdHkgdG93bnM8L2tleXdvcmQ+PC9rZXl3b3Jkcz48dGl0bGVzPjx0aXRs
ZT5Vbml2ZXJzaXR5LUNvbW11bml0eSBFbmdhZ2VtZW50IGluIHRoZSBXaWRlciBQb2xpY3kgRW52
aXJvbm1lbnQ8L3RpdGxlPjxzZWNvbmRhcnktdGl0bGU+VW5pdmVyc2l0eSBlbmdhZ2VtZW50IHdp
dGggc29jaWFsbHkgZXhjbHVkZWQgY29tbXVuaXRpZXM8L3NlY29uZGFyeS10aXRsZT48L3RpdGxl
cz48Y29udHJpYnV0b3JzPjxhdXRob3JzPjxhdXRob3I+QmVubmV3b3J0aCwgUGF1bDwvYXV0aG9y
PjxhdXRob3I+Q2hhcmxlcywgRC48L2F1dGhvcj48L2F1dGhvcnM+PC9jb250cmlidXRvcnM+PGFk
ZGVkLWRhdGUgZm9ybWF0PSJ1dGMiPjE1NDkwMjA3MTI8L2FkZGVkLWRhdGU+PHB1Yi1sb2NhdGlv
bj5Eb3JkcmVjaHQ8L3B1Yi1sb2NhdGlvbj48cmVmLXR5cGUgbmFtZT0iQm9vayBTZWN0aW9uIj41
PC9yZWYtdHlwZT48ZGF0ZXM+PHllYXI+MjAxMzwveWVhcj48L2RhdGVzPjxyZWMtbnVtYmVyPjc3
MTE8L3JlYy1udW1iZXI+PHB1Ymxpc2hlcj5TcHJpbmdlcjwvcHVibGlzaGVyPjxsYXN0LXVwZGF0
ZWQtZGF0ZSBmb3JtYXQ9InV0YyI+MTU0OTAyMTk4NTwvbGFzdC11cGRhdGVkLWRhdGU+PGNvbnRy
aWJ1dG9ycz48c2Vjb25kYXJ5LWF1dGhvcnM+PGF1dGhvcj5CZW5uZXdvcnRoLCBQLjwvYXV0aG9y
Pjwvc2Vjb25kYXJ5LWF1dGhvcnM+PC9jb250cmlidXRvcnM+PC9yZWNvcmQ+PC9DaXRlPjxDaXRl
PjxBdXRob3I+U8OhbmNoZXotQmFycmlvbHVlbmdvPC9BdXRob3I+PFllYXI+MjAxNTwvWWVhcj48
SURUZXh0PkJyaWRnaW5nIGdhcHMgaW4gaGlnaGVyIGVkdWNhdGlvbiBzdHVkaWVzOiBpbnRlcm5h
bCBzdHJ1Y3R1cmUgYW5kIGRlbWFuZCBjb25kaXRpb25zIG1lZGlhdGluZyB1bml2ZXJzaXR5IHRo
aXJkIG1pc3Npb24gcGVyZm9ybWFuY2U8L0lEVGV4dD48cmVjb3JkPjxkYXRlcz48cHViLWRhdGVz
PjxkYXRlPjIwMTUtMDgtMDc8L2RhdGU+PC9wdWItZGF0ZXM+PHllYXI+MjAxNTwveWVhcj48L2Rh
dGVzPjx1cmxzPjxyZWxhdGVkLXVybHM+PHVybD5odHRwczovL2Jsb2djaGVwcy53b3JkcHJlc3Mu
Y29tLzIwMTUvMDgvMDcvYnJpZGdpbmctZ2Fwcy1pbi1oaWdoZXItZWR1Y2F0aW9uLXN0dWRpZXMt
aW50ZXJuYWwtc3RydWN0dXJlLWFuZC1kZW1hbmQtY29uZGl0aW9ucy1tZWRpYXRpbmctdW5pdmVy
c2l0eS10aGlyZC1taXNzaW9uLXBlcmZvcm1hbmNlLzwvdXJsPjwvcmVsYXRlZC11cmxzPjwvdXJs
cz48dGl0bGVzPjx0aXRsZT5CcmlkZ2luZyBnYXBzIGluIGhpZ2hlciBlZHVjYXRpb24gc3R1ZGll
czogaW50ZXJuYWwgc3RydWN0dXJlIGFuZCBkZW1hbmQgY29uZGl0aW9ucyBtZWRpYXRpbmcgdW5p
dmVyc2l0eSB0aGlyZCBtaXNzaW9uIHBlcmZvcm1hbmNlPC90aXRsZT48c2Vjb25kYXJ5LXRpdGxl
PlRoZSBDSEVQUyBCbG9nPC9zZWNvbmRhcnktdGl0bGU+PC90aXRsZXM+PGFjY2Vzcy1kYXRlPjEg
RmVicnVhcnkgMjAxOTwvYWNjZXNzLWRhdGU+PGNvbnRyaWJ1dG9ycz48YXV0aG9ycz48YXV0aG9y
PlPDoW5jaGV6LUJhcnJpb2x1ZW5nbywgTWFiZWw8L2F1dGhvcj48L2F1dGhvcnM+PC9jb250cmli
dXRvcnM+PGFkZGVkLWRhdGUgZm9ybWF0PSJ1dGMiPjE1NDkwMjE2NTk8L2FkZGVkLWRhdGU+PHJl
Zi10eXBlIG5hbWU9IkJsb2ciPjU2PC9yZWYtdHlwZT48cmVjLW51bWJlcj43NzEzPC9yZWMtbnVt
YmVyPjxwdWJsaXNoZXI+Q2VudGVyIGZvciBIaWdoZXIgRWR1Y2F0aW9uIFBvbGljeSBTdHVkaWVz
LCBVbml2ZXJzaXR5IG9mIFR3ZW50ZTwvcHVibGlzaGVyPjxsYXN0LXVwZGF0ZWQtZGF0ZSBmb3Jt
YXQ9InV0YyI+MTU0OTAyMTkyODwvbGFzdC11cGRhdGVkLWRhdGU+PHZvbHVtZT4yMDE5PC92b2x1
bWU+PC9yZWNvcmQ+PC9DaXRlPjxDaXRlPjxBdXRob3I+Wm9tZXI8L0F1dGhvcj48WWVhcj4yMDEx
PC9ZZWFyPjxJRFRleHQ+VGhlIHJpc2Ugb2YgdGhlIHVuaXZlcnNpdHnigJlzIHRoaXJkIG1pc3Np
b248L0lEVGV4dD48cmVjb3JkPjx0aXRsZXM+PHRpdGxlPlRoZSByaXNlIG9mIHRoZSB1bml2ZXJz
aXR54oCZcyB0aGlyZCBtaXNzaW9uPC90aXRsZT48c2Vjb25kYXJ5LXRpdGxlPlJlZm9ybSBvZiBI
aWdoZXIgRWR1Y2F0aW9uIGluIEV1cm9wZTwvc2Vjb25kYXJ5LXRpdGxlPjwvdGl0bGVzPjxwYWdl
cz44MS0xMDE8L3BhZ2VzPjxjb250cmlidXRvcnM+PGF1dGhvcnM+PGF1dGhvcj5ab21lciwgQXJl
bmQ8L2F1dGhvcj48YXV0aG9yPkJlbm5ld29ydGgsIFBhdWw8L2F1dGhvcj48L2F1dGhvcnM+PC9j
b250cmlidXRvcnM+PGFkZGVkLWRhdGUgZm9ybWF0PSJ1dGMiPjE1NDkwMjQ3NDI8L2FkZGVkLWRh
dGU+PHJlZi10eXBlIG5hbWU9IkJvb2sgU2VjdGlvbiI+NTwvcmVmLXR5cGU+PGRhdGVzPjx5ZWFy
PjIwMTE8L3llYXI+PC9kYXRlcz48cmVjLW51bWJlcj43NzE0PC9yZWMtbnVtYmVyPjxwdWJsaXNo
ZXI+U3ByaW5nZXI8L3B1Ymxpc2hlcj48bGFzdC11cGRhdGVkLWRhdGUgZm9ybWF0PSJ1dGMiPjE1
NDkwMjUwNTY8L2xhc3QtdXBkYXRlZC1kYXRlPjxjb250cmlidXRvcnM+PHNlY29uZGFyeS1hdXRo
b3JzPjxhdXRob3I+RW5kZXJzLCBKLjwvYXV0aG9yPjxhdXRob3I+ZGUgQm9lciwgSC4gRi48L2F1
dGhvcj48YXV0aG9yPldlc3RlcmhlaWpkZW4sIEQuIEYuPC9hdXRob3I+PC9zZWNvbmRhcnktYXV0
aG9ycz48L2NvbnRyaWJ1dG9ycz48L3JlY29yZD48L0NpdGU+PENpdGU+PEF1dGhvcj5Kb25nYmxv
ZWQ8L0F1dGhvcj48WWVhcj4yMDA4PC9ZZWFyPjxJRFRleHQ+SGlnaGVyIGVkdWNhdGlvbiBhbmQg
aXRzIGNvbW11bml0aWVzOiBJbnRlcmNvbm5lY3Rpb25zLCBpbnRlcmRlcGVuZGVuY2llcyBhbmQg
YSByZXNlYXJjaCBhZ2VuZGE8L0lEVGV4dD48cmVjb3JkPjxrZXl3b3Jkcz48a2V5d29yZD5TdGFr
ZWhvbGRlciBhbmFseXNpczwva2V5d29yZD48a2V5d29yZD5UaGlyZCBtaXNzaW9uPC9rZXl3b3Jk
PjxrZXl3b3JkPkdvdmVybmFuY2U8L2tleXdvcmQ+PGtleXdvcmQ+Q29tbXVuaXR5IGVuZ2FnZW1l
bnQ8L2tleXdvcmQ+PC9rZXl3b3Jkcz48aXNibj4wMDE4LTE1NjA8L2lzYm4+PHRpdGxlcz48dGl0
bGU+SGlnaGVyIGVkdWNhdGlvbiBhbmQgaXRzIGNvbW11bml0aWVzOiBJbnRlcmNvbm5lY3Rpb25z
LCBpbnRlcmRlcGVuZGVuY2llcyBhbmQgYSByZXNlYXJjaCBhZ2VuZGE8L3RpdGxlPjxzZWNvbmRh
cnktdGl0bGU+VGhlIEludGVybmF0aW9uYWwgSm91cm5hbCBvZiBIaWdoZXIgRWR1Y2F0aW9uIGFu
ZCBFZHVjYXRpb25hbCBQbGFubmluZzwvc2Vjb25kYXJ5LXRpdGxlPjwvdGl0bGVzPjxwYWdlcz4z
MDMtMzI0PC9wYWdlcz48bnVtYmVyPjM8L251bWJlcj48Y29udHJpYnV0b3JzPjxhdXRob3JzPjxh
dXRob3I+Sm9uZ2Jsb2VkLCBCZW48L2F1dGhvcj48YXV0aG9yPkVuZGVycywgSsO8cmdlbjwvYXV0
aG9yPjxhdXRob3I+U2FsZXJubywgQ2FybG88L2F1dGhvcj48L2F1dGhvcnM+PC9jb250cmlidXRv
cnM+PGFkZGVkLWRhdGUgZm9ybWF0PSJ1dGMiPjE1NDkxMzI3Mzc8L2FkZGVkLWRhdGU+PHB1Yi1s
b2NhdGlvbj5Eb3JkcmVjaHQ8L3B1Yi1sb2NhdGlvbj48cmVmLXR5cGUgbmFtZT0iSm91cm5hbCBB
cnRpY2xlIj4xNzwvcmVmLXR5cGU+PGRhdGVzPjx5ZWFyPjIwMDg8L3llYXI+PC9kYXRlcz48cmVj
LW51bWJlcj43NzE4PC9yZWMtbnVtYmVyPjxsYXN0LXVwZGF0ZWQtZGF0ZSBmb3JtYXQ9InV0YyI+
MTU0OTEzMjczNzwvbGFzdC11cGRhdGVkLWRhdGU+PGVsZWN0cm9uaWMtcmVzb3VyY2UtbnVtPjEw
LjEwMDcvczEwNzM0LTAwOC05MTI4LTI8L2VsZWN0cm9uaWMtcmVzb3VyY2UtbnVtPjx2b2x1bWU+
NTY8L3ZvbHVtZT48L3JlY29yZD48L0NpdGU+PC9FbmROb3RlPn==
</w:fldData>
        </w:fldChar>
      </w:r>
      <w:r w:rsidR="00DC7B41">
        <w:rPr>
          <w:sz w:val="24"/>
          <w:szCs w:val="24"/>
        </w:rPr>
        <w:instrText xml:space="preserve"> ADDIN EN.CITE.DATA </w:instrText>
      </w:r>
      <w:r w:rsidR="00DC7B41">
        <w:rPr>
          <w:sz w:val="24"/>
          <w:szCs w:val="24"/>
        </w:rPr>
      </w:r>
      <w:r w:rsidR="00DC7B41">
        <w:rPr>
          <w:sz w:val="24"/>
          <w:szCs w:val="24"/>
        </w:rPr>
        <w:fldChar w:fldCharType="end"/>
      </w:r>
      <w:r w:rsidR="00DC7B41">
        <w:rPr>
          <w:sz w:val="24"/>
          <w:szCs w:val="24"/>
        </w:rPr>
      </w:r>
      <w:r w:rsidR="00DC7B41">
        <w:rPr>
          <w:sz w:val="24"/>
          <w:szCs w:val="24"/>
        </w:rPr>
        <w:fldChar w:fldCharType="separate"/>
      </w:r>
      <w:r w:rsidR="00DC7B41">
        <w:rPr>
          <w:noProof/>
          <w:sz w:val="24"/>
          <w:szCs w:val="24"/>
        </w:rPr>
        <w:t>(Benneworth &amp; Charles, 2013; Jongbloed, Enders, &amp; Salerno, 2008; Sánchez-Barrioluengo, 2015; Zomer &amp; Benneworth, 2011)</w:t>
      </w:r>
      <w:r w:rsidR="00DC7B41">
        <w:rPr>
          <w:sz w:val="24"/>
          <w:szCs w:val="24"/>
        </w:rPr>
        <w:fldChar w:fldCharType="end"/>
      </w:r>
      <w:r w:rsidR="00DC7B41">
        <w:rPr>
          <w:sz w:val="24"/>
          <w:szCs w:val="24"/>
        </w:rPr>
        <w:t xml:space="preserve">, the origin of the articulation of a ‘third mission’ for universities lies in the work of the Organisation for Economic Co-operation and Development (OECD), </w:t>
      </w:r>
      <w:r w:rsidR="00DC7B41" w:rsidRPr="00634E6D">
        <w:rPr>
          <w:sz w:val="24"/>
          <w:szCs w:val="24"/>
        </w:rPr>
        <w:t>Centre for Educational Research and Innovation</w:t>
      </w:r>
      <w:r w:rsidR="00DC7B41">
        <w:rPr>
          <w:sz w:val="24"/>
          <w:szCs w:val="24"/>
        </w:rPr>
        <w:t xml:space="preserve"> (CERI), in particular a CERI </w:t>
      </w:r>
      <w:r w:rsidR="00DC7B41">
        <w:rPr>
          <w:sz w:val="24"/>
          <w:szCs w:val="24"/>
        </w:rPr>
        <w:fldChar w:fldCharType="begin"/>
      </w:r>
      <w:r w:rsidR="00DC7B41">
        <w:rPr>
          <w:sz w:val="24"/>
          <w:szCs w:val="24"/>
        </w:rPr>
        <w:instrText xml:space="preserve"> ADDIN EN.CITE &lt;EndNote&gt;&lt;Cite ExcludeAuth="1"&gt;&lt;Author&gt;Centre for Educational Research and Innovation&lt;/Author&gt;&lt;Year&gt;1982&lt;/Year&gt;&lt;IDText&gt;The University and the Community: The Problems of Changing Relationships&lt;/IDText&gt;&lt;DisplayText&gt;(1982)&lt;/DisplayText&gt;&lt;record&gt;&lt;keywords&gt;&lt;keyword&gt;Community and college&lt;/keyword&gt;&lt;keyword&gt;Universities and colleges&lt;/keyword&gt;&lt;keyword&gt;Colleges&lt;/keyword&gt;&lt;keyword&gt;Degree-granting institutions&lt;/keyword&gt;&lt;keyword&gt;Higher education institutions&lt;/keyword&gt;&lt;keyword&gt;Higher education providers&lt;/keyword&gt;&lt;keyword&gt;Institutions of higher education&lt;/keyword&gt;&lt;keyword&gt;Postsecondary institutions&lt;/keyword&gt;&lt;keyword&gt;Public institutions&lt;/keyword&gt;&lt;keyword&gt;Schools&lt;/keyword&gt;&lt;keyword&gt;Education, Higher&lt;/keyword&gt;&lt;keyword&gt;College and community&lt;/keyword&gt;&lt;keyword&gt;Town and gown&lt;/keyword&gt;&lt;keyword&gt;University and community&lt;/keyword&gt;&lt;keyword&gt;Universities and colleges&lt;/keyword&gt;&lt;keyword&gt;University towns&lt;/keyword&gt;&lt;/keywords&gt;&lt;titles&gt;&lt;title&gt;The University and the Community: The Problems of Changing Relationships&lt;/title&gt;&lt;secondary-title&gt;Centre for Educational Research and Innovation&lt;/secondary-title&gt;&lt;/titles&gt;&lt;contributors&gt;&lt;authors&gt;&lt;author&gt;Centre for Educational Research and Innovation,&lt;/author&gt;&lt;/authors&gt;&lt;/contributors&gt;&lt;added-date format="utc"&gt;1523233063&lt;/added-date&gt;&lt;pub-location&gt;Paris&lt;/pub-location&gt;&lt;ref-type name="Book"&gt;6&lt;/ref-type&gt;&lt;dates&gt;&lt;year&gt;1982&lt;/year&gt;&lt;/dates&gt;&lt;rec-number&gt;7464&lt;/rec-number&gt;&lt;publisher&gt;Organisation for Economic Co-operation and Development&lt;/publisher&gt;&lt;last-updated-date format="utc"&gt;1528988532&lt;/last-updated-date&gt;&lt;contributors&gt;&lt;secondary-authors&gt;&lt;author&gt;Berger, Guy&lt;/author&gt;&lt;author&gt;Duguet, Pierre&lt;/author&gt;&lt;/secondary-authors&gt;&lt;/contributors&gt;&lt;/record&gt;&lt;/Cite&gt;&lt;/EndNote&gt;</w:instrText>
      </w:r>
      <w:r w:rsidR="00DC7B41">
        <w:rPr>
          <w:sz w:val="24"/>
          <w:szCs w:val="24"/>
        </w:rPr>
        <w:fldChar w:fldCharType="separate"/>
      </w:r>
      <w:r w:rsidR="00DC7B41">
        <w:rPr>
          <w:noProof/>
          <w:sz w:val="24"/>
          <w:szCs w:val="24"/>
        </w:rPr>
        <w:t>(1982)</w:t>
      </w:r>
      <w:r w:rsidR="00DC7B41">
        <w:rPr>
          <w:sz w:val="24"/>
          <w:szCs w:val="24"/>
        </w:rPr>
        <w:fldChar w:fldCharType="end"/>
      </w:r>
      <w:r w:rsidR="00DC7B41">
        <w:rPr>
          <w:sz w:val="24"/>
          <w:szCs w:val="24"/>
        </w:rPr>
        <w:t xml:space="preserve"> report on the role of universities in supporting their ‘community’ and ‘environment’, broadly defined (see pp. 65-66). Starting with increased attention to outreach and network-building, universities were to extend their</w:t>
      </w:r>
      <w:r w:rsidR="00DC7B41">
        <w:rPr>
          <w:iCs/>
          <w:sz w:val="24"/>
          <w:szCs w:val="24"/>
        </w:rPr>
        <w:t xml:space="preserve"> “public service function” (CERI, 1982, p. 10). Outreach would allow universities to ‘tap into’ the needs and demands of potential users, and to generate the networks and relationships necessary for enabling effective dissemination and application of academic research. The ‘third mission’ eventually came to include a wide range of </w:t>
      </w:r>
      <w:r w:rsidR="00DC7B41" w:rsidRPr="006B2FC0">
        <w:rPr>
          <w:iCs/>
          <w:sz w:val="24"/>
          <w:szCs w:val="24"/>
        </w:rPr>
        <w:t>“</w:t>
      </w:r>
      <w:r w:rsidR="00DC7B41" w:rsidRPr="006B2FC0">
        <w:rPr>
          <w:sz w:val="24"/>
          <w:szCs w:val="24"/>
        </w:rPr>
        <w:t xml:space="preserve">activities involving the generation, use, application and exploitation of knowledge and other university capabilities outside academic environments” </w:t>
      </w:r>
      <w:r w:rsidR="00DC7B41" w:rsidRPr="006B2FC0">
        <w:rPr>
          <w:iCs/>
          <w:sz w:val="24"/>
          <w:szCs w:val="24"/>
        </w:rPr>
        <w:fldChar w:fldCharType="begin">
          <w:fldData xml:space="preserve">PEVuZE5vdGU+PENpdGU+PEF1dGhvcj5Lb3J5YWtpbmE8L0F1dGhvcj48WWVhcj4yMDE1PC9ZZWFy
PjxJRFRleHQ+VW5pdmVyc2l0aWVzJmFwb3M7IFRoaXJkIE1pc3Npb24gQWN0aXZpdGl0ZXM6IENo
YWxsZW5nZXMgdG8gRXh0ZW5kaW5nIEJvdW5kYXJpZXM8L0lEVGV4dD48U3VmZml4PmA7IHNlZSBh
bHNvIENlcnZhbnRlc2AsIDIwMTdgOyBNYXkgJmFtcDsgUGVycnlgLCAyMDEzYTwvU3VmZml4PjxQ
YWdlcz42MzwvUGFnZXM+PERpc3BsYXlUZXh0PihLb3J5YWtpbmEgZXQgYWwuLCAyMDE1LCBwLiA2
Mzsgc2VlIGFsc28gQ2VydmFudGVzLCAyMDE3OyBNYXkgJmFtcDsgUGVycnksIDIwMTNhKTwvRGlz
cGxheVRleHQ+PHJlY29yZD48aXNibj45NDYzMDAxNzg2PC9pc2JuPjx0aXRsZXM+PHRpdGxlPlVu
aXZlcnNpdGllcyZhcG9zOyBUaGlyZCBNaXNzaW9uIEFjdGl2aXRpdGVzOiBDaGFsbGVuZ2VzIHRv
IEV4dGVuZGluZyBCb3VuZGFyaWVzPC90aXRsZT48c2Vjb25kYXJ5LXRpdGxlPlRoZSBUcmFuc2Zv
cm1hdGlvbiBvZiBVbml2ZXJzaXR5IEluc3RpdHV0aW9uYWwgYW5kIE9yZ2FuaXphdGlvbmFsIEJv
dW5kYXJpZXM6IE9yZ2FuaXphdGlvbmFsIEJvdW5kYXJpZXM8L3NlY29uZGFyeS10aXRsZT48L3Rp
dGxlcz48Y29udHJpYnV0b3JzPjxhdXRob3JzPjxhdXRob3I+S29yeWFraW5hLCBUYXR5YW5hPC9h
dXRob3I+PGF1dGhvcj5TYXJyaWNvLCBDbGF1ZGlhPC9hdXRob3I+PGF1dGhvcj5UZWl4ZWlyYSwg
UGVkcm88L2F1dGhvcj48L2F1dGhvcnM+PC9jb250cmlidXRvcnM+PGFkZGVkLWRhdGUgZm9ybWF0
PSJ1dGMiPjE1MjI0ODUyODY8L2FkZGVkLWRhdGU+PHB1Yi1sb2NhdGlvbj5Sb3R0ZXJkYW08L3B1
Yi1sb2NhdGlvbj48cmVmLXR5cGUgbmFtZT0iQm9vayBTZWN0aW9uIj41PC9yZWYtdHlwZT48ZGF0
ZXM+PHllYXI+MjAxNTwveWVhcj48L2RhdGVzPjxyZWMtbnVtYmVyPjc0Mzg8L3JlYy1udW1iZXI+
PHB1Ymxpc2hlcj5TZW5zZTwvcHVibGlzaGVyPjxsYXN0LXVwZGF0ZWQtZGF0ZSBmb3JtYXQ9InV0
YyI+MTUyMjQ4NTY1NDwvbGFzdC11cGRhdGVkLWRhdGU+PGNvbnRyaWJ1dG9ycz48c2Vjb25kYXJ5
LWF1dGhvcnM+PGF1dGhvcj5QcmltZXJpLCBFbWlsaWE8L2F1dGhvcj48YXV0aG9yPlJlYWxlLCBF
bWFudWVsYTwvYXV0aG9yPjwvc2Vjb25kYXJ5LWF1dGhvcnM+PC9jb250cmlidXRvcnM+PC9yZWNv
cmQ+PC9DaXRlPjxDaXRlIEV4Y2x1ZGVBdXRoPSIxIiBFeGNsdWRlWWVhcj0iMSI+PEF1dGhvcj5D
ZXJ2YW50ZXM8L0F1dGhvcj48WWVhcj4yMDE3PC9ZZWFyPjxJRFRleHQ+SGlnaGVyIEVkdWNhdGlv
biBJbnN0aXR1dGlvbnMgaW4gdGhlIEtub3dsZWRnZSBUcmlhbmdsZTwvSURUZXh0PjxyZWNvcmQ+
PHRpdGxlcz48dGl0bGU+SGlnaGVyIEVkdWNhdGlvbiBJbnN0aXR1dGlvbnMgaW4gdGhlIEtub3ds
ZWRnZSBUcmlhbmdsZTwvdGl0bGU+PHNlY29uZGFyeS10aXRsZT5Gb3Jlc2lnaHQgYW5kIFNUSSBH
b3Zlcm5hbmNlPC9zZWNvbmRhcnktdGl0bGU+PC90aXRsZXM+PHBhZ2VzPjI3LTQyPC9wYWdlcz48
bnVtYmVyPjI8L251bWJlcj48Y29udHJpYnV0b3JzPjxhdXRob3JzPjxhdXRob3I+Q2VydmFudGVz
LCBNYXJpbzwvYXV0aG9yPjwvYXV0aG9ycz48L2NvbnRyaWJ1dG9ycz48YWRkZWQtZGF0ZSBmb3Jt
YXQ9InV0YyI+MTU0ODgxMjI3MTwvYWRkZWQtZGF0ZT48cmVmLXR5cGUgbmFtZT0iRWxlY3Ryb25p
YyBBcnRpY2xlIj40MzwvcmVmLXR5cGU+PGRhdGVzPjx5ZWFyPjIwMTc8L3llYXI+PC9kYXRlcz48
cmVjLW51bWJlcj43NzA2PC9yZWMtbnVtYmVyPjxsYXN0LXVwZGF0ZWQtZGF0ZSBmb3JtYXQ9InV0
YyI+MTU0ODgxMjM2ODwvbGFzdC11cGRhdGVkLWRhdGU+PGVsZWN0cm9uaWMtcmVzb3VyY2UtbnVt
PjEwLjE3MzIzLzI1MDAtMjU5Ny4yMDE3LjIuMjcuNDI8L2VsZWN0cm9uaWMtcmVzb3VyY2UtbnVt
Pjx2b2x1bWU+MTE8L3ZvbHVtZT48L3JlY29yZD48L0NpdGU+PENpdGUgRXhjbHVkZUF1dGg9IjEi
IEV4Y2x1ZGVZZWFyPSIxIj48QXV0aG9yPk1heTwvQXV0aG9yPjxZZWFyPjIwMTM8L1llYXI+PElE
VGV4dD5UcmFuc2xhdGlvbiwgSW5zdWxhdGlvbiBhbmQgTWVkaWF0aW9uPC9JRFRleHQ+PHJlY29y
ZD48a2V5d29yZHM+PGtleXdvcmQ+Q29tbXVuaXR5IGFuZCBjb2xsZWdlPC9rZXl3b3JkPjxrZXl3
b3JkPkVkdWNhdGlvbiwgSGlnaGVyIC0tIFNvY2lhbCBhc3BlY3RzPC9rZXl3b3JkPjxrZXl3b3Jk
Pk1hcmdpbmFsaXR5LCBTb2NpYWw8L2tleXdvcmQ+PGtleXdvcmQ+QXNzaW1pbGF0aW9uIChTb2Np
b2xvZ3kpPC9rZXl3b3JkPjxrZXl3b3JkPkN1bHR1cmUgY29uZmxpY3Q8L2tleXdvcmQ+PGtleXdv
cmQ+U29jaWFsIGlzb2xhdGlvbjwva2V5d29yZD48a2V5d29yZD5Tb2Npb2xvZ3k8L2tleXdvcmQ+
PGtleXdvcmQ+UGVvcGxlIHdpdGggc29jaWFsIGRpc2FiaWxpdGllczwva2V5d29yZD48a2V5d29y
ZD5Vbml2ZXJzaXRpZXMgYW5kIGNvbGxlZ2VzPC9rZXl3b3JkPjxrZXl3b3JkPlVuaXZlcnNpdHkg
dG93bnM8L2tleXdvcmQ+PC9rZXl3b3Jkcz48dGl0bGVzPjx0aXRsZT5UcmFuc2xhdGlvbiwgSW5z
dWxhdGlvbiBhbmQgTWVkaWF0aW9uPC90aXRsZT48c2Vjb25kYXJ5LXRpdGxlPlVuaXZlcnNpdHkg
ZW5nYWdlbWVudCB3aXRoIHNvY2lhbGx5IGV4Y2x1ZGVkIGNvbW11bml0aWVzPC9zZWNvbmRhcnkt
dGl0bGU+PC90aXRsZXM+PGNvbnRyaWJ1dG9ycz48YXV0aG9ycz48YXV0aG9yPk1heSwgVGltPC9h
dXRob3I+PGF1dGhvcj5QZXJyeSwgQmV0aDwvYXV0aG9yPjwvYXV0aG9ycz48L2NvbnRyaWJ1dG9y
cz48YWRkZWQtZGF0ZSBmb3JtYXQ9InV0YyI+MTU0OTAyMDk3MDwvYWRkZWQtZGF0ZT48cHViLWxv
Y2F0aW9uPkRvcmRyZWNodDwvcHViLWxvY2F0aW9uPjxyZWYtdHlwZSBuYW1lPSJCb29rIFNlY3Rp
b24iPjU8L3JlZi10eXBlPjxkYXRlcz48eWVhcj4yMDEzPC95ZWFyPjwvZGF0ZXM+PHJlYy1udW1i
ZXI+NzcxMjwvcmVjLW51bWJlcj48cHVibGlzaGVyPlNwcmluZ2VyPC9wdWJsaXNoZXI+PGxhc3Qt
dXBkYXRlZC1kYXRlIGZvcm1hdD0idXRjIj4xNTQ5MDIyMDY4PC9sYXN0LXVwZGF0ZWQtZGF0ZT48
Y29udHJpYnV0b3JzPjxzZWNvbmRhcnktYXV0aG9ycz48YXV0aG9yPkJlbm5ld29ydGgsIFBhdWw8
L2F1dGhvcj48L3NlY29uZGFyeS1hdXRob3JzPjwvY29udHJpYnV0b3JzPjwvcmVjb3JkPjwvQ2l0
ZT48L0VuZE5vdGU+
</w:fldData>
        </w:fldChar>
      </w:r>
      <w:r w:rsidR="00AF7243">
        <w:rPr>
          <w:iCs/>
          <w:sz w:val="24"/>
          <w:szCs w:val="24"/>
        </w:rPr>
        <w:instrText xml:space="preserve"> ADDIN EN.CITE </w:instrText>
      </w:r>
      <w:r w:rsidR="00AF7243">
        <w:rPr>
          <w:iCs/>
          <w:sz w:val="24"/>
          <w:szCs w:val="24"/>
        </w:rPr>
        <w:fldChar w:fldCharType="begin">
          <w:fldData xml:space="preserve">PEVuZE5vdGU+PENpdGU+PEF1dGhvcj5Lb3J5YWtpbmE8L0F1dGhvcj48WWVhcj4yMDE1PC9ZZWFy
PjxJRFRleHQ+VW5pdmVyc2l0aWVzJmFwb3M7IFRoaXJkIE1pc3Npb24gQWN0aXZpdGl0ZXM6IENo
YWxsZW5nZXMgdG8gRXh0ZW5kaW5nIEJvdW5kYXJpZXM8L0lEVGV4dD48U3VmZml4PmA7IHNlZSBh
bHNvIENlcnZhbnRlc2AsIDIwMTdgOyBNYXkgJmFtcDsgUGVycnlgLCAyMDEzYTwvU3VmZml4PjxQ
YWdlcz42MzwvUGFnZXM+PERpc3BsYXlUZXh0PihLb3J5YWtpbmEgZXQgYWwuLCAyMDE1LCBwLiA2
Mzsgc2VlIGFsc28gQ2VydmFudGVzLCAyMDE3OyBNYXkgJmFtcDsgUGVycnksIDIwMTNhKTwvRGlz
cGxheVRleHQ+PHJlY29yZD48aXNibj45NDYzMDAxNzg2PC9pc2JuPjx0aXRsZXM+PHRpdGxlPlVu
aXZlcnNpdGllcyZhcG9zOyBUaGlyZCBNaXNzaW9uIEFjdGl2aXRpdGVzOiBDaGFsbGVuZ2VzIHRv
IEV4dGVuZGluZyBCb3VuZGFyaWVzPC90aXRsZT48c2Vjb25kYXJ5LXRpdGxlPlRoZSBUcmFuc2Zv
cm1hdGlvbiBvZiBVbml2ZXJzaXR5IEluc3RpdHV0aW9uYWwgYW5kIE9yZ2FuaXphdGlvbmFsIEJv
dW5kYXJpZXM6IE9yZ2FuaXphdGlvbmFsIEJvdW5kYXJpZXM8L3NlY29uZGFyeS10aXRsZT48L3Rp
dGxlcz48Y29udHJpYnV0b3JzPjxhdXRob3JzPjxhdXRob3I+S29yeWFraW5hLCBUYXR5YW5hPC9h
dXRob3I+PGF1dGhvcj5TYXJyaWNvLCBDbGF1ZGlhPC9hdXRob3I+PGF1dGhvcj5UZWl4ZWlyYSwg
UGVkcm88L2F1dGhvcj48L2F1dGhvcnM+PC9jb250cmlidXRvcnM+PGFkZGVkLWRhdGUgZm9ybWF0
PSJ1dGMiPjE1MjI0ODUyODY8L2FkZGVkLWRhdGU+PHB1Yi1sb2NhdGlvbj5Sb3R0ZXJkYW08L3B1
Yi1sb2NhdGlvbj48cmVmLXR5cGUgbmFtZT0iQm9vayBTZWN0aW9uIj41PC9yZWYtdHlwZT48ZGF0
ZXM+PHllYXI+MjAxNTwveWVhcj48L2RhdGVzPjxyZWMtbnVtYmVyPjc0Mzg8L3JlYy1udW1iZXI+
PHB1Ymxpc2hlcj5TZW5zZTwvcHVibGlzaGVyPjxsYXN0LXVwZGF0ZWQtZGF0ZSBmb3JtYXQ9InV0
YyI+MTUyMjQ4NTY1NDwvbGFzdC11cGRhdGVkLWRhdGU+PGNvbnRyaWJ1dG9ycz48c2Vjb25kYXJ5
LWF1dGhvcnM+PGF1dGhvcj5QcmltZXJpLCBFbWlsaWE8L2F1dGhvcj48YXV0aG9yPlJlYWxlLCBF
bWFudWVsYTwvYXV0aG9yPjwvc2Vjb25kYXJ5LWF1dGhvcnM+PC9jb250cmlidXRvcnM+PC9yZWNv
cmQ+PC9DaXRlPjxDaXRlIEV4Y2x1ZGVBdXRoPSIxIiBFeGNsdWRlWWVhcj0iMSI+PEF1dGhvcj5D
ZXJ2YW50ZXM8L0F1dGhvcj48WWVhcj4yMDE3PC9ZZWFyPjxJRFRleHQ+SGlnaGVyIEVkdWNhdGlv
biBJbnN0aXR1dGlvbnMgaW4gdGhlIEtub3dsZWRnZSBUcmlhbmdsZTwvSURUZXh0PjxyZWNvcmQ+
PHRpdGxlcz48dGl0bGU+SGlnaGVyIEVkdWNhdGlvbiBJbnN0aXR1dGlvbnMgaW4gdGhlIEtub3ds
ZWRnZSBUcmlhbmdsZTwvdGl0bGU+PHNlY29uZGFyeS10aXRsZT5Gb3Jlc2lnaHQgYW5kIFNUSSBH
b3Zlcm5hbmNlPC9zZWNvbmRhcnktdGl0bGU+PC90aXRsZXM+PHBhZ2VzPjI3LTQyPC9wYWdlcz48
bnVtYmVyPjI8L251bWJlcj48Y29udHJpYnV0b3JzPjxhdXRob3JzPjxhdXRob3I+Q2VydmFudGVz
LCBNYXJpbzwvYXV0aG9yPjwvYXV0aG9ycz48L2NvbnRyaWJ1dG9ycz48YWRkZWQtZGF0ZSBmb3Jt
YXQ9InV0YyI+MTU0ODgxMjI3MTwvYWRkZWQtZGF0ZT48cmVmLXR5cGUgbmFtZT0iRWxlY3Ryb25p
YyBBcnRpY2xlIj40MzwvcmVmLXR5cGU+PGRhdGVzPjx5ZWFyPjIwMTc8L3llYXI+PC9kYXRlcz48
cmVjLW51bWJlcj43NzA2PC9yZWMtbnVtYmVyPjxsYXN0LXVwZGF0ZWQtZGF0ZSBmb3JtYXQ9InV0
YyI+MTU0ODgxMjM2ODwvbGFzdC11cGRhdGVkLWRhdGU+PGVsZWN0cm9uaWMtcmVzb3VyY2UtbnVt
PjEwLjE3MzIzLzI1MDAtMjU5Ny4yMDE3LjIuMjcuNDI8L2VsZWN0cm9uaWMtcmVzb3VyY2UtbnVt
Pjx2b2x1bWU+MTE8L3ZvbHVtZT48L3JlY29yZD48L0NpdGU+PENpdGUgRXhjbHVkZUF1dGg9IjEi
IEV4Y2x1ZGVZZWFyPSIxIj48QXV0aG9yPk1heTwvQXV0aG9yPjxZZWFyPjIwMTM8L1llYXI+PElE
VGV4dD5UcmFuc2xhdGlvbiwgSW5zdWxhdGlvbiBhbmQgTWVkaWF0aW9uPC9JRFRleHQ+PHJlY29y
ZD48a2V5d29yZHM+PGtleXdvcmQ+Q29tbXVuaXR5IGFuZCBjb2xsZWdlPC9rZXl3b3JkPjxrZXl3
b3JkPkVkdWNhdGlvbiwgSGlnaGVyIC0tIFNvY2lhbCBhc3BlY3RzPC9rZXl3b3JkPjxrZXl3b3Jk
Pk1hcmdpbmFsaXR5LCBTb2NpYWw8L2tleXdvcmQ+PGtleXdvcmQ+QXNzaW1pbGF0aW9uIChTb2Np
b2xvZ3kpPC9rZXl3b3JkPjxrZXl3b3JkPkN1bHR1cmUgY29uZmxpY3Q8L2tleXdvcmQ+PGtleXdv
cmQ+U29jaWFsIGlzb2xhdGlvbjwva2V5d29yZD48a2V5d29yZD5Tb2Npb2xvZ3k8L2tleXdvcmQ+
PGtleXdvcmQ+UGVvcGxlIHdpdGggc29jaWFsIGRpc2FiaWxpdGllczwva2V5d29yZD48a2V5d29y
ZD5Vbml2ZXJzaXRpZXMgYW5kIGNvbGxlZ2VzPC9rZXl3b3JkPjxrZXl3b3JkPlVuaXZlcnNpdHkg
dG93bnM8L2tleXdvcmQ+PC9rZXl3b3Jkcz48dGl0bGVzPjx0aXRsZT5UcmFuc2xhdGlvbiwgSW5z
dWxhdGlvbiBhbmQgTWVkaWF0aW9uPC90aXRsZT48c2Vjb25kYXJ5LXRpdGxlPlVuaXZlcnNpdHkg
ZW5nYWdlbWVudCB3aXRoIHNvY2lhbGx5IGV4Y2x1ZGVkIGNvbW11bml0aWVzPC9zZWNvbmRhcnkt
dGl0bGU+PC90aXRsZXM+PGNvbnRyaWJ1dG9ycz48YXV0aG9ycz48YXV0aG9yPk1heSwgVGltPC9h
dXRob3I+PGF1dGhvcj5QZXJyeSwgQmV0aDwvYXV0aG9yPjwvYXV0aG9ycz48L2NvbnRyaWJ1dG9y
cz48YWRkZWQtZGF0ZSBmb3JtYXQ9InV0YyI+MTU0OTAyMDk3MDwvYWRkZWQtZGF0ZT48cHViLWxv
Y2F0aW9uPkRvcmRyZWNodDwvcHViLWxvY2F0aW9uPjxyZWYtdHlwZSBuYW1lPSJCb29rIFNlY3Rp
b24iPjU8L3JlZi10eXBlPjxkYXRlcz48eWVhcj4yMDEzPC95ZWFyPjwvZGF0ZXM+PHJlYy1udW1i
ZXI+NzcxMjwvcmVjLW51bWJlcj48cHVibGlzaGVyPlNwcmluZ2VyPC9wdWJsaXNoZXI+PGxhc3Qt
dXBkYXRlZC1kYXRlIGZvcm1hdD0idXRjIj4xNTQ5MDIyMDY4PC9sYXN0LXVwZGF0ZWQtZGF0ZT48
Y29udHJpYnV0b3JzPjxzZWNvbmRhcnktYXV0aG9ycz48YXV0aG9yPkJlbm5ld29ydGgsIFBhdWw8
L2F1dGhvcj48L3NlY29uZGFyeS1hdXRob3JzPjwvY29udHJpYnV0b3JzPjwvcmVjb3JkPjwvQ2l0
ZT48L0VuZE5vdGU+
</w:fldData>
        </w:fldChar>
      </w:r>
      <w:r w:rsidR="00AF7243">
        <w:rPr>
          <w:iCs/>
          <w:sz w:val="24"/>
          <w:szCs w:val="24"/>
        </w:rPr>
        <w:instrText xml:space="preserve"> ADDIN EN.CITE.DATA </w:instrText>
      </w:r>
      <w:r w:rsidR="00AF7243">
        <w:rPr>
          <w:iCs/>
          <w:sz w:val="24"/>
          <w:szCs w:val="24"/>
        </w:rPr>
      </w:r>
      <w:r w:rsidR="00AF7243">
        <w:rPr>
          <w:iCs/>
          <w:sz w:val="24"/>
          <w:szCs w:val="24"/>
        </w:rPr>
        <w:fldChar w:fldCharType="end"/>
      </w:r>
      <w:r w:rsidR="00DC7B41" w:rsidRPr="006B2FC0">
        <w:rPr>
          <w:iCs/>
          <w:sz w:val="24"/>
          <w:szCs w:val="24"/>
        </w:rPr>
      </w:r>
      <w:r w:rsidR="00DC7B41" w:rsidRPr="006B2FC0">
        <w:rPr>
          <w:iCs/>
          <w:sz w:val="24"/>
          <w:szCs w:val="24"/>
        </w:rPr>
        <w:fldChar w:fldCharType="separate"/>
      </w:r>
      <w:r w:rsidR="00AF7243">
        <w:rPr>
          <w:iCs/>
          <w:noProof/>
          <w:sz w:val="24"/>
          <w:szCs w:val="24"/>
        </w:rPr>
        <w:t>(Koryakina et al., 2015, p. 63; see also Cervantes, 2017; May &amp; Perry, 2013a)</w:t>
      </w:r>
      <w:r w:rsidR="00DC7B41" w:rsidRPr="006B2FC0">
        <w:rPr>
          <w:iCs/>
          <w:sz w:val="24"/>
          <w:szCs w:val="24"/>
        </w:rPr>
        <w:fldChar w:fldCharType="end"/>
      </w:r>
      <w:r w:rsidR="00DC7B41">
        <w:rPr>
          <w:iCs/>
          <w:sz w:val="24"/>
          <w:szCs w:val="24"/>
        </w:rPr>
        <w:t xml:space="preserve">. </w:t>
      </w:r>
      <w:r w:rsidR="004F0424">
        <w:rPr>
          <w:iCs/>
          <w:sz w:val="24"/>
          <w:szCs w:val="24"/>
        </w:rPr>
        <w:t>But in its simplest and most essential form, the core objective of the third mission from the perspective of universities’ research function was outreach</w:t>
      </w:r>
      <w:r w:rsidR="000475C3">
        <w:rPr>
          <w:iCs/>
          <w:sz w:val="24"/>
          <w:szCs w:val="24"/>
        </w:rPr>
        <w:t xml:space="preserve"> </w:t>
      </w:r>
      <w:r w:rsidR="004F0424">
        <w:rPr>
          <w:iCs/>
          <w:sz w:val="24"/>
          <w:szCs w:val="24"/>
        </w:rPr>
        <w:fldChar w:fldCharType="begin">
          <w:fldData xml:space="preserve">PEVuZE5vdGU+PENpdGU+PEF1dGhvcj5FdHprb3dpdHo8L0F1dGhvcj48WWVhcj4yMDA4PC9ZZWFy
PjxJRFRleHQ+UGF0aHdheXMgdG8gdGhlIGVudHJlcHJlbmV1cmlhbCB1bml2ZXJzaXR5OiB0b3dh
cmRzIGEgZ2xvYmFsIGNvbnZlcmdlbmNlPC9JRFRleHQ+PERpc3BsYXlUZXh0PihFdHprb3dpdHog
ZXQgYWwuLCAyMDA4OyBTYXRhw7hlbiwgMjAxODsgVmFra3VyaSwgMjAwNCk8L0Rpc3BsYXlUZXh0
PjxyZWNvcmQ+PGlzYm4+MDMwMi0zNDI3PC9pc2JuPjx0aXRsZXM+PHRpdGxlPlBhdGh3YXlzIHRv
IHRoZSBlbnRyZXByZW5ldXJpYWwgdW5pdmVyc2l0eTogdG93YXJkcyBhIGdsb2JhbCBjb252ZXJn
ZW5jZTwvdGl0bGU+PHNlY29uZGFyeS10aXRsZT5TY2llbmNlIGFuZCBQdWJsaWMgUG9saWN5PC9z
ZWNvbmRhcnktdGl0bGU+PC90aXRsZXM+PHBhZ2VzPjY4MS02OTU8L3BhZ2VzPjxudW1iZXI+OTwv
bnVtYmVyPjxjb250cmlidXRvcnM+PGF1dGhvcnM+PGF1dGhvcj5FdHprb3dpdHosIEhlbnJ5PC9h
dXRob3I+PGF1dGhvcj5SYW5nYSwgTWFyaW5hPC9hdXRob3I+PGF1dGhvcj5CZW5uZXIsIE1hdHM8
L2F1dGhvcj48YXV0aG9yPkd1YXJhbnlzLCBMdWNpYTwvYXV0aG9yPjxhdXRob3I+TWFjdWxhbiwg
QW5uZSBNYXJpZTwvYXV0aG9yPjxhdXRob3I+S25lbGxlciwgUm9iZXJ0PC9hdXRob3I+PC9hdXRo
b3JzPjwvY29udHJpYnV0b3JzPjxhZGRlZC1kYXRlIGZvcm1hdD0idXRjIj4xNTU0NDc5Mzg3PC9h
ZGRlZC1kYXRlPjxyZWYtdHlwZSBuYW1lPSJKb3VybmFsIEFydGljbGUiPjE3PC9yZWYtdHlwZT48
ZGF0ZXM+PHllYXI+MjAwODwveWVhcj48L2RhdGVzPjxyZWMtbnVtYmVyPjc3NTc8L3JlYy1udW1i
ZXI+PGxhc3QtdXBkYXRlZC1kYXRlIGZvcm1hdD0idXRjIj4xNTU0NDc5Mzg3PC9sYXN0LXVwZGF0
ZWQtZGF0ZT48ZWxlY3Ryb25pYy1yZXNvdXJjZS1udW0+MTAuMzE1Mi8wMzAyMzQyMDhYMzg5NzAx
PC9lbGVjdHJvbmljLXJlc291cmNlLW51bT48dm9sdW1lPjM1PC92b2x1bWU+PC9yZWNvcmQ+PC9D
aXRlPjxDaXRlPjxBdXRob3I+VmFra3VyaTwvQXV0aG9yPjxZZWFyPjIwMDQ8L1llYXI+PElEVGV4
dD5JbnN0aXR1dGlvbmFsIENoYW5nZSBvZiBVbml2ZXJzaXRpZXMgYXMgYSBQcm9ibGVtIG9mIEV2
b2x2aW5nIEJvdW5kYXJpZXM8L0lEVGV4dD48cmVjb3JkPjxpc2JuPjA5NTItODczMzwvaXNibj48
dGl0bGVzPjx0aXRsZT5JbnN0aXR1dGlvbmFsIENoYW5nZSBvZiBVbml2ZXJzaXRpZXMgYXMgYSBQ
cm9ibGVtIG9mIEV2b2x2aW5nIEJvdW5kYXJpZXM8L3RpdGxlPjxzZWNvbmRhcnktdGl0bGU+SGln
aGVyIGVkdWNhdGlvbiBwb2xpY3kuPC9zZWNvbmRhcnktdGl0bGU+PC90aXRsZXM+PHBhZ2VzPjI4
Ny0zMDk8L3BhZ2VzPjxudW1iZXI+MzwvbnVtYmVyPjxjb250cmlidXRvcnM+PGF1dGhvcnM+PGF1
dGhvcj5WYWtrdXJpLCBKYXJtbzwvYXV0aG9yPjwvYXV0aG9ycz48L2NvbnRyaWJ1dG9ycz48YWRk
ZWQtZGF0ZSBmb3JtYXQ9InV0YyI+MTU0ODY4MzI4MjwvYWRkZWQtZGF0ZT48cHViLWxvY2F0aW9u
Pk94Zm9yZCA7PC9wdWItbG9jYXRpb24+PHJlZi10eXBlIG5hbWU9IkpvdXJuYWwgQXJ0aWNsZSI+
MTc8L3JlZi10eXBlPjxkYXRlcz48eWVhcj4yMDA0PC95ZWFyPjwvZGF0ZXM+PHJlYy1udW1iZXI+
NzY5OTwvcmVjLW51bWJlcj48bGFzdC11cGRhdGVkLWRhdGUgZm9ybWF0PSJ1dGMiPjE1NDg2ODMy
ODI8L2xhc3QtdXBkYXRlZC1kYXRlPjxlbGVjdHJvbmljLXJlc291cmNlLW51bT4xMC4xMDU3L3Bh
bGdyYXZlLmhlcC44MzAwMDU2PC9lbGVjdHJvbmljLXJlc291cmNlLW51bT48dm9sdW1lPjE3PC92
b2x1bWU+PC9yZWNvcmQ+PC9DaXRlPjxDaXRlPjxBdXRob3I+U2F0YcO4ZW48L0F1dGhvcj48WWVh
cj4yMDE4PC9ZZWFyPjxJRFRleHQ+VHJhbnNmb3JtaW5nIHRoZSDigJwgVGhpcmQgTWlzc2lvbuKA
nSBpbiBOb3J3ZWdpYW4gSGlnaGVyIEVkdWNhdGlvbiBJbnN0aXR1dGlvbnM6IEEgQm91bmRhcnkg
T2JqZWN0IFRoZW9yeSBBcHByb2FjaDwvSURUZXh0PjxyZWNvcmQ+PGtleXdvcmRzPjxrZXl3b3Jk
PkFydGljbGU8L2tleXdvcmQ+PGtleXdvcmQ+SGlnaGVyIEVkdWNhdGlvbjwva2V5d29yZD48a2V5
d29yZD5Cb3VuZGFyeSBPYmplY3RzPC9rZXl3b3JkPjxrZXl3b3JkPlRoaXJkIE1pc3Npb248L2tl
eXdvcmQ+PGtleXdvcmQ+U3RyYXRlZ2ljIFBsYW5uaW5nPC9rZXl3b3JkPjwva2V5d29yZHM+PGlz
Ym4+MDAzMS0zODMxPC9pc2JuPjx0aXRsZXM+PHRpdGxlPlRyYW5zZm9ybWluZyB0aGUg4oCcIFRo
aXJkIE1pc3Npb27igJ0gaW4gTm9yd2VnaWFuIEhpZ2hlciBFZHVjYXRpb24gSW5zdGl0dXRpb25z
OiBBIEJvdW5kYXJ5IE9iamVjdCBUaGVvcnkgQXBwcm9hY2g8L3RpdGxlPjxzZWNvbmRhcnktdGl0
bGU+U2NhbmRpbmF2aWFuIEpvdXJuYWwgb2YgRWR1Y2F0aW9uYWwgUmVzZWFyY2g8L3NlY29uZGFy
eS10aXRsZT48L3RpdGxlcz48cGFnZXM+NTItNjc8L3BhZ2VzPjxudW1iZXI+MTwvbnVtYmVyPjxj
b250cmlidXRvcnM+PGF1dGhvcnM+PGF1dGhvcj5TYXRhw7hlbiwgSG9nbmUgTGVyw7h5PC9hdXRo
b3I+PC9hdXRob3JzPjwvY29udHJpYnV0b3JzPjxhZGRlZC1kYXRlIGZvcm1hdD0idXRjIj4xNTQ4
OTY0NTc3PC9hZGRlZC1kYXRlPjxyZWYtdHlwZSBuYW1lPSJKb3VybmFsIEFydGljbGUiPjE3PC9y
ZWYtdHlwZT48ZGF0ZXM+PHllYXI+MjAxODwveWVhcj48L2RhdGVzPjxyZWMtbnVtYmVyPjc3MDk8
L3JlYy1udW1iZXI+PHB1Ymxpc2hlcj5Sb3V0bGVkZ2U8L3B1Ymxpc2hlcj48bGFzdC11cGRhdGVk
LWRhdGUgZm9ybWF0PSJ1dGMiPjE1NDg5NjQ1Nzc8L2xhc3QtdXBkYXRlZC1kYXRlPjxlbGVjdHJv
bmljLXJlc291cmNlLW51bT4xMC4xMDgwLzAwMzEzODMxLjIwMTYuMTIxMjI1MzwvZWxlY3Ryb25p
Yy1yZXNvdXJjZS1udW0+PHZvbHVtZT42Mjwvdm9sdW1lPjwvcmVjb3JkPjwvQ2l0ZT48L0VuZE5v
dGU+AG==
</w:fldData>
        </w:fldChar>
      </w:r>
      <w:r w:rsidR="004F0424">
        <w:rPr>
          <w:iCs/>
          <w:sz w:val="24"/>
          <w:szCs w:val="24"/>
        </w:rPr>
        <w:instrText xml:space="preserve"> ADDIN EN.CITE </w:instrText>
      </w:r>
      <w:r w:rsidR="004F0424">
        <w:rPr>
          <w:iCs/>
          <w:sz w:val="24"/>
          <w:szCs w:val="24"/>
        </w:rPr>
        <w:fldChar w:fldCharType="begin">
          <w:fldData xml:space="preserve">PEVuZE5vdGU+PENpdGU+PEF1dGhvcj5FdHprb3dpdHo8L0F1dGhvcj48WWVhcj4yMDA4PC9ZZWFy
PjxJRFRleHQ+UGF0aHdheXMgdG8gdGhlIGVudHJlcHJlbmV1cmlhbCB1bml2ZXJzaXR5OiB0b3dh
cmRzIGEgZ2xvYmFsIGNvbnZlcmdlbmNlPC9JRFRleHQ+PERpc3BsYXlUZXh0PihFdHprb3dpdHog
ZXQgYWwuLCAyMDA4OyBTYXRhw7hlbiwgMjAxODsgVmFra3VyaSwgMjAwNCk8L0Rpc3BsYXlUZXh0
PjxyZWNvcmQ+PGlzYm4+MDMwMi0zNDI3PC9pc2JuPjx0aXRsZXM+PHRpdGxlPlBhdGh3YXlzIHRv
IHRoZSBlbnRyZXByZW5ldXJpYWwgdW5pdmVyc2l0eTogdG93YXJkcyBhIGdsb2JhbCBjb252ZXJn
ZW5jZTwvdGl0bGU+PHNlY29uZGFyeS10aXRsZT5TY2llbmNlIGFuZCBQdWJsaWMgUG9saWN5PC9z
ZWNvbmRhcnktdGl0bGU+PC90aXRsZXM+PHBhZ2VzPjY4MS02OTU8L3BhZ2VzPjxudW1iZXI+OTwv
bnVtYmVyPjxjb250cmlidXRvcnM+PGF1dGhvcnM+PGF1dGhvcj5FdHprb3dpdHosIEhlbnJ5PC9h
dXRob3I+PGF1dGhvcj5SYW5nYSwgTWFyaW5hPC9hdXRob3I+PGF1dGhvcj5CZW5uZXIsIE1hdHM8
L2F1dGhvcj48YXV0aG9yPkd1YXJhbnlzLCBMdWNpYTwvYXV0aG9yPjxhdXRob3I+TWFjdWxhbiwg
QW5uZSBNYXJpZTwvYXV0aG9yPjxhdXRob3I+S25lbGxlciwgUm9iZXJ0PC9hdXRob3I+PC9hdXRo
b3JzPjwvY29udHJpYnV0b3JzPjxhZGRlZC1kYXRlIGZvcm1hdD0idXRjIj4xNTU0NDc5Mzg3PC9h
ZGRlZC1kYXRlPjxyZWYtdHlwZSBuYW1lPSJKb3VybmFsIEFydGljbGUiPjE3PC9yZWYtdHlwZT48
ZGF0ZXM+PHllYXI+MjAwODwveWVhcj48L2RhdGVzPjxyZWMtbnVtYmVyPjc3NTc8L3JlYy1udW1i
ZXI+PGxhc3QtdXBkYXRlZC1kYXRlIGZvcm1hdD0idXRjIj4xNTU0NDc5Mzg3PC9sYXN0LXVwZGF0
ZWQtZGF0ZT48ZWxlY3Ryb25pYy1yZXNvdXJjZS1udW0+MTAuMzE1Mi8wMzAyMzQyMDhYMzg5NzAx
PC9lbGVjdHJvbmljLXJlc291cmNlLW51bT48dm9sdW1lPjM1PC92b2x1bWU+PC9yZWNvcmQ+PC9D
aXRlPjxDaXRlPjxBdXRob3I+VmFra3VyaTwvQXV0aG9yPjxZZWFyPjIwMDQ8L1llYXI+PElEVGV4
dD5JbnN0aXR1dGlvbmFsIENoYW5nZSBvZiBVbml2ZXJzaXRpZXMgYXMgYSBQcm9ibGVtIG9mIEV2
b2x2aW5nIEJvdW5kYXJpZXM8L0lEVGV4dD48cmVjb3JkPjxpc2JuPjA5NTItODczMzwvaXNibj48
dGl0bGVzPjx0aXRsZT5JbnN0aXR1dGlvbmFsIENoYW5nZSBvZiBVbml2ZXJzaXRpZXMgYXMgYSBQ
cm9ibGVtIG9mIEV2b2x2aW5nIEJvdW5kYXJpZXM8L3RpdGxlPjxzZWNvbmRhcnktdGl0bGU+SGln
aGVyIGVkdWNhdGlvbiBwb2xpY3kuPC9zZWNvbmRhcnktdGl0bGU+PC90aXRsZXM+PHBhZ2VzPjI4
Ny0zMDk8L3BhZ2VzPjxudW1iZXI+MzwvbnVtYmVyPjxjb250cmlidXRvcnM+PGF1dGhvcnM+PGF1
dGhvcj5WYWtrdXJpLCBKYXJtbzwvYXV0aG9yPjwvYXV0aG9ycz48L2NvbnRyaWJ1dG9ycz48YWRk
ZWQtZGF0ZSBmb3JtYXQ9InV0YyI+MTU0ODY4MzI4MjwvYWRkZWQtZGF0ZT48cHViLWxvY2F0aW9u
Pk94Zm9yZCA7PC9wdWItbG9jYXRpb24+PHJlZi10eXBlIG5hbWU9IkpvdXJuYWwgQXJ0aWNsZSI+
MTc8L3JlZi10eXBlPjxkYXRlcz48eWVhcj4yMDA0PC95ZWFyPjwvZGF0ZXM+PHJlYy1udW1iZXI+
NzY5OTwvcmVjLW51bWJlcj48bGFzdC11cGRhdGVkLWRhdGUgZm9ybWF0PSJ1dGMiPjE1NDg2ODMy
ODI8L2xhc3QtdXBkYXRlZC1kYXRlPjxlbGVjdHJvbmljLXJlc291cmNlLW51bT4xMC4xMDU3L3Bh
bGdyYXZlLmhlcC44MzAwMDU2PC9lbGVjdHJvbmljLXJlc291cmNlLW51bT48dm9sdW1lPjE3PC92
b2x1bWU+PC9yZWNvcmQ+PC9DaXRlPjxDaXRlPjxBdXRob3I+U2F0YcO4ZW48L0F1dGhvcj48WWVh
cj4yMDE4PC9ZZWFyPjxJRFRleHQ+VHJhbnNmb3JtaW5nIHRoZSDigJwgVGhpcmQgTWlzc2lvbuKA
nSBpbiBOb3J3ZWdpYW4gSGlnaGVyIEVkdWNhdGlvbiBJbnN0aXR1dGlvbnM6IEEgQm91bmRhcnkg
T2JqZWN0IFRoZW9yeSBBcHByb2FjaDwvSURUZXh0PjxyZWNvcmQ+PGtleXdvcmRzPjxrZXl3b3Jk
PkFydGljbGU8L2tleXdvcmQ+PGtleXdvcmQ+SGlnaGVyIEVkdWNhdGlvbjwva2V5d29yZD48a2V5
d29yZD5Cb3VuZGFyeSBPYmplY3RzPC9rZXl3b3JkPjxrZXl3b3JkPlRoaXJkIE1pc3Npb248L2tl
eXdvcmQ+PGtleXdvcmQ+U3RyYXRlZ2ljIFBsYW5uaW5nPC9rZXl3b3JkPjwva2V5d29yZHM+PGlz
Ym4+MDAzMS0zODMxPC9pc2JuPjx0aXRsZXM+PHRpdGxlPlRyYW5zZm9ybWluZyB0aGUg4oCcIFRo
aXJkIE1pc3Npb27igJ0gaW4gTm9yd2VnaWFuIEhpZ2hlciBFZHVjYXRpb24gSW5zdGl0dXRpb25z
OiBBIEJvdW5kYXJ5IE9iamVjdCBUaGVvcnkgQXBwcm9hY2g8L3RpdGxlPjxzZWNvbmRhcnktdGl0
bGU+U2NhbmRpbmF2aWFuIEpvdXJuYWwgb2YgRWR1Y2F0aW9uYWwgUmVzZWFyY2g8L3NlY29uZGFy
eS10aXRsZT48L3RpdGxlcz48cGFnZXM+NTItNjc8L3BhZ2VzPjxudW1iZXI+MTwvbnVtYmVyPjxj
b250cmlidXRvcnM+PGF1dGhvcnM+PGF1dGhvcj5TYXRhw7hlbiwgSG9nbmUgTGVyw7h5PC9hdXRo
b3I+PC9hdXRob3JzPjwvY29udHJpYnV0b3JzPjxhZGRlZC1kYXRlIGZvcm1hdD0idXRjIj4xNTQ4
OTY0NTc3PC9hZGRlZC1kYXRlPjxyZWYtdHlwZSBuYW1lPSJKb3VybmFsIEFydGljbGUiPjE3PC9y
ZWYtdHlwZT48ZGF0ZXM+PHllYXI+MjAxODwveWVhcj48L2RhdGVzPjxyZWMtbnVtYmVyPjc3MDk8
L3JlYy1udW1iZXI+PHB1Ymxpc2hlcj5Sb3V0bGVkZ2U8L3B1Ymxpc2hlcj48bGFzdC11cGRhdGVk
LWRhdGUgZm9ybWF0PSJ1dGMiPjE1NDg5NjQ1Nzc8L2xhc3QtdXBkYXRlZC1kYXRlPjxlbGVjdHJv
bmljLXJlc291cmNlLW51bT4xMC4xMDgwLzAwMzEzODMxLjIwMTYuMTIxMjI1MzwvZWxlY3Ryb25p
Yy1yZXNvdXJjZS1udW0+PHZvbHVtZT42Mjwvdm9sdW1lPjwvcmVjb3JkPjwvQ2l0ZT48L0VuZE5v
dGU+AG==
</w:fldData>
        </w:fldChar>
      </w:r>
      <w:r w:rsidR="004F0424">
        <w:rPr>
          <w:iCs/>
          <w:sz w:val="24"/>
          <w:szCs w:val="24"/>
        </w:rPr>
        <w:instrText xml:space="preserve"> ADDIN EN.CITE.DATA </w:instrText>
      </w:r>
      <w:r w:rsidR="004F0424">
        <w:rPr>
          <w:iCs/>
          <w:sz w:val="24"/>
          <w:szCs w:val="24"/>
        </w:rPr>
      </w:r>
      <w:r w:rsidR="004F0424">
        <w:rPr>
          <w:iCs/>
          <w:sz w:val="24"/>
          <w:szCs w:val="24"/>
        </w:rPr>
        <w:fldChar w:fldCharType="end"/>
      </w:r>
      <w:r w:rsidR="004F0424">
        <w:rPr>
          <w:iCs/>
          <w:sz w:val="24"/>
          <w:szCs w:val="24"/>
        </w:rPr>
      </w:r>
      <w:r w:rsidR="004F0424">
        <w:rPr>
          <w:iCs/>
          <w:sz w:val="24"/>
          <w:szCs w:val="24"/>
        </w:rPr>
        <w:fldChar w:fldCharType="separate"/>
      </w:r>
      <w:r w:rsidR="004F0424">
        <w:rPr>
          <w:iCs/>
          <w:noProof/>
          <w:sz w:val="24"/>
          <w:szCs w:val="24"/>
        </w:rPr>
        <w:t>(Etzkowitz et al., 2008; Sataøen, 2018; Vakkuri, 2004)</w:t>
      </w:r>
      <w:r w:rsidR="004F0424">
        <w:rPr>
          <w:iCs/>
          <w:sz w:val="24"/>
          <w:szCs w:val="24"/>
        </w:rPr>
        <w:fldChar w:fldCharType="end"/>
      </w:r>
      <w:r w:rsidR="004F0424">
        <w:rPr>
          <w:iCs/>
          <w:sz w:val="24"/>
          <w:szCs w:val="24"/>
        </w:rPr>
        <w:t xml:space="preserve">. </w:t>
      </w:r>
    </w:p>
    <w:p w14:paraId="3623DD53" w14:textId="1ACFBBF0" w:rsidR="00DC7B41" w:rsidRPr="00E12C54" w:rsidRDefault="00E12C54" w:rsidP="00DC7B41">
      <w:pPr>
        <w:spacing w:before="120" w:after="120" w:line="360" w:lineRule="auto"/>
        <w:rPr>
          <w:iCs/>
          <w:sz w:val="24"/>
          <w:szCs w:val="24"/>
        </w:rPr>
      </w:pPr>
      <w:r>
        <w:rPr>
          <w:iCs/>
          <w:sz w:val="24"/>
          <w:szCs w:val="24"/>
        </w:rPr>
        <w:t>As</w:t>
      </w:r>
      <w:r w:rsidR="00DC7B41">
        <w:rPr>
          <w:iCs/>
          <w:sz w:val="24"/>
          <w:szCs w:val="24"/>
        </w:rPr>
        <w:t xml:space="preserve"> Vakkuri’s (2004) research showed, this</w:t>
      </w:r>
      <w:r w:rsidR="00DC7B41">
        <w:rPr>
          <w:sz w:val="24"/>
          <w:szCs w:val="24"/>
        </w:rPr>
        <w:t xml:space="preserve"> “outreach” imperative was not only something “imposed on universities” externally, but also something which was generated by universities themselves, what he calls a “</w:t>
      </w:r>
      <w:r w:rsidR="00DC7B41" w:rsidRPr="00FA2D7B">
        <w:rPr>
          <w:rFonts w:eastAsia="AdvTimes"/>
          <w:i/>
          <w:sz w:val="24"/>
          <w:szCs w:val="24"/>
        </w:rPr>
        <w:t>boundary enactment transaction</w:t>
      </w:r>
      <w:r w:rsidR="00DC7B41" w:rsidRPr="000958A7">
        <w:rPr>
          <w:rFonts w:eastAsia="AdvTimes"/>
          <w:sz w:val="24"/>
          <w:szCs w:val="24"/>
        </w:rPr>
        <w:t>”</w:t>
      </w:r>
      <w:r w:rsidR="00DC7B41">
        <w:rPr>
          <w:rFonts w:eastAsia="AdvTimes"/>
          <w:sz w:val="24"/>
          <w:szCs w:val="24"/>
        </w:rPr>
        <w:t xml:space="preserve"> </w:t>
      </w:r>
      <w:r w:rsidR="00DC7B41" w:rsidRPr="00B57993">
        <w:rPr>
          <w:rFonts w:eastAsia="AdvTimes"/>
          <w:sz w:val="24"/>
          <w:szCs w:val="24"/>
        </w:rPr>
        <w:t>(p. 294</w:t>
      </w:r>
      <w:r w:rsidR="00DC7B41">
        <w:rPr>
          <w:rFonts w:eastAsia="AdvTimes"/>
          <w:sz w:val="24"/>
          <w:szCs w:val="24"/>
        </w:rPr>
        <w:t xml:space="preserve">, emphasis added). This concept of ‘enactment’ through boundary transactions comes from institutional theory </w:t>
      </w:r>
      <w:r w:rsidR="00DC7B41">
        <w:rPr>
          <w:rFonts w:eastAsia="AdvTimes"/>
          <w:sz w:val="24"/>
          <w:szCs w:val="24"/>
        </w:rPr>
        <w:fldChar w:fldCharType="begin">
          <w:fldData xml:space="preserve">PEVuZE5vdGU+PENpdGU+PEF1dGhvcj5EaW1hZ2dpbzwvQXV0aG9yPjxZZWFyPjE5ODM8L1llYXI+
PElEVGV4dD5UaGUgaXJvbiBjYWdlIHJldmlzaXRlZDogaW5zdGl0dXRpb25hbCBpc29tb3JwaGlz
bSBhbmQgY29sbGVjdGl2ZSByYXRpb25hbGl0eSBpbiBvcmdhbml6YXRpb25hbCBmaWVsZHM8L0lE
VGV4dD48RGlzcGxheVRleHQ+KERpbWFnZ2lvICZhbXA7IFBvd2VsbCwgMTk4MzsgSi4gVy4gTWV5
ZXIsIDE5Nzc7IEouIFcuIE1leWVyICZhbXA7IFJvd2FuLCAxOTc3OyBELiBDLiBOb3J0aCwgMTk5
MCk8L0Rpc3BsYXlUZXh0PjxyZWNvcmQ+PGtleXdvcmRzPjxrZXl3b3JkPkFkbWluaXN0cmF0aXZl
IENvbnRyb2w8L2tleXdvcmQ+PGtleXdvcmQ+U29jaW9sb2d5PC9rZXl3b3JkPjwva2V5d29yZHM+
PHRpdGxlcz48dGl0bGU+VGhlIGlyb24gY2FnZSByZXZpc2l0ZWQ6IGluc3RpdHV0aW9uYWwgaXNv
bW9ycGhpc20gYW5kIGNvbGxlY3RpdmUgcmF0aW9uYWxpdHkgaW4gb3JnYW5pemF0aW9uYWwgZmll
bGRzPC90aXRsZT48c2Vjb25kYXJ5LXRpdGxlPkFtZXJpY2FuIFNvY2lvbG9naWNhbCBSZXZpZXc8
L3NlY29uZGFyeS10aXRsZT48L3RpdGxlcz48cGFnZXM+MTQ3LTE2MDwvcGFnZXM+PG51bWJlcj4y
PC9udW1iZXI+PGNvbnRyaWJ1dG9ycz48YXV0aG9ycz48YXV0aG9yPkRpbWFnZ2lvLCBQYXVsPC9h
dXRob3I+PGF1dGhvcj5Qb3dlbGwsIFdhbHRlcjwvYXV0aG9yPjwvYXV0aG9ycz48L2NvbnRyaWJ1
dG9ycz48YWRkZWQtZGF0ZSBmb3JtYXQ9InV0YyI+MTUwNDUzMjM2NzwvYWRkZWQtZGF0ZT48cmVm
LXR5cGUgbmFtZT0iSm91cm5hbCBBcnRpY2xlIj4xNzwvcmVmLXR5cGU+PGRhdGVzPjx5ZWFyPjE5
ODM8L3llYXI+PC9kYXRlcz48cmVjLW51bWJlcj43MTI5PC9yZWMtbnVtYmVyPjxsYXN0LXVwZGF0
ZWQtZGF0ZSBmb3JtYXQ9InV0YyI+MTUwNTM1MjM1NzwvbGFzdC11cGRhdGVkLWRhdGU+PHZvbHVt
ZT40ODwvdm9sdW1lPjwvcmVjb3JkPjwvQ2l0ZT48Q2l0ZT48QXV0aG9yPk1leWVyPC9BdXRob3I+
PFllYXI+MTk3NzwvWWVhcj48SURUZXh0Pkluc3RpdHV0aW9uYWxpemVkIE9yZ2FuaXphdGlvbnM6
IEZvcm1hbCBTdHJ1Y3R1cmUgYXMgTXl0aCBhbmQgQ2VyZW1vbnk8L0lEVGV4dD48cmVjb3JkPjxp
c2JuPjAwMDI5NjAyPC9pc2JuPjx0aXRsZXM+PHRpdGxlPkluc3RpdHV0aW9uYWxpemVkIE9yZ2Fu
aXphdGlvbnM6IEZvcm1hbCBTdHJ1Y3R1cmUgYXMgTXl0aCBhbmQgQ2VyZW1vbnk8L3RpdGxlPjxz
ZWNvbmRhcnktdGl0bGU+QW1lcmljYW4gSm91cm5hbCBvZiBTb2Npb2xvZ3k8L3NlY29uZGFyeS10
aXRsZT48L3RpdGxlcz48cGFnZXM+MzQwLTM2MzwvcGFnZXM+PG51bWJlcj4yPC9udW1iZXI+PGNv
bnRyaWJ1dG9ycz48YXV0aG9ycz48YXV0aG9yPk1leWVyLCBKb2huIFcuPC9hdXRob3I+PGF1dGhv
cj5Sb3dhbiwgQnJpYW48L2F1dGhvcj48L2F1dGhvcnM+PC9jb250cmlidXRvcnM+PGFkZGVkLWRh
dGUgZm9ybWF0PSJ1dGMiPjE0OTIxNzM3OTI8L2FkZGVkLWRhdGU+PHJlZi10eXBlIG5hbWU9Ikpv
dXJuYWwgQXJ0aWNsZSI+MTc8L3JlZi10eXBlPjxkYXRlcz48eWVhcj4xOTc3PC95ZWFyPjwvZGF0
ZXM+PHJlYy1udW1iZXI+NjcxMzwvcmVjLW51bWJlcj48bGFzdC11cGRhdGVkLWRhdGUgZm9ybWF0
PSJ1dGMiPjE1MDUzOTQwMTY8L2xhc3QtdXBkYXRlZC1kYXRlPjxlbGVjdHJvbmljLXJlc291cmNl
LW51bT4xMC4xMDg2LzIyNjU1MDwvZWxlY3Ryb25pYy1yZXNvdXJjZS1udW0+PHZvbHVtZT44Mzwv
dm9sdW1lPjwvcmVjb3JkPjwvQ2l0ZT48Q2l0ZT48QXV0aG9yPk1leWVyPC9BdXRob3I+PFllYXI+
MTk3NzwvWWVhcj48SURUZXh0PlRoZSBFZmZlY3RzIG9mIEVkdWNhdGlvbiBhcyBhbiBJbnN0aXR1
dGlvbjwvSURUZXh0PjxyZWNvcmQ+PGlzYm4+MDAwMjk2MDI8L2lzYm4+PHRpdGxlcz48dGl0bGU+
VGhlIEVmZmVjdHMgb2YgRWR1Y2F0aW9uIGFzIGFuIEluc3RpdHV0aW9uPC90aXRsZT48c2Vjb25k
YXJ5LXRpdGxlPkFtZXJpY2FuIEpvdXJuYWwgb2YgU29jaW9sb2d5PC9zZWNvbmRhcnktdGl0bGU+
PC90aXRsZXM+PHBhZ2VzPjU1LTc3PC9wYWdlcz48bnVtYmVyPjE8L251bWJlcj48Y29udHJpYnV0
b3JzPjxhdXRob3JzPjxhdXRob3I+TWV5ZXIsIEpvaG4gVy48L2F1dGhvcj48L2F1dGhvcnM+PC9j
b250cmlidXRvcnM+PGFkZGVkLWRhdGUgZm9ybWF0PSJ1dGMiPjE0OTIxNzM4NDI8L2FkZGVkLWRh
dGU+PHJlZi10eXBlIG5hbWU9IkpvdXJuYWwgQXJ0aWNsZSI+MTc8L3JlZi10eXBlPjxkYXRlcz48
eWVhcj4xOTc3PC95ZWFyPjwvZGF0ZXM+PHJlYy1udW1iZXI+NjcxNDwvcmVjLW51bWJlcj48bGFz
dC11cGRhdGVkLWRhdGUgZm9ybWF0PSJ1dGMiPjE1MDUzOTQwMTY8L2xhc3QtdXBkYXRlZC1kYXRl
PjxlbGVjdHJvbmljLXJlc291cmNlLW51bT4xMC4xMDg2LzIyNjUwNjwvZWxlY3Ryb25pYy1yZXNv
dXJjZS1udW0+PHZvbHVtZT44Mzwvdm9sdW1lPjwvcmVjb3JkPjwvQ2l0ZT48Q2l0ZT48QXV0aG9y
Pk5vcnRoPC9BdXRob3I+PFllYXI+MTk5MDwvWWVhcj48SURUZXh0Pkluc3RpdHV0aW9ucywgSW5z
dGl0dXRpb25hbCBDaGFuZ2UgYW5kIEVjb25vbWljIFBlcmZvcm1hbmNlPC9JRFRleHQ+PHJlY29y
ZD48a2V5d29yZHM+PGtleXdvcmQ+SW5zdGl0dXRpb25hbCBlY29ub21pY3M8L2tleXdvcmQ+PGtl
eXdvcmQ+T3JnYW5pc2F0aW9uYWwgY2hhbmdlPC9rZXl3b3JkPjxrZXl3b3JkPkVjb25vbWljIGRl
dmVsb3BtZW50PC9rZXl3b3JkPjxrZXl3b3JkPkluc3RpdHV0aW9uYWwgZWNvbm9taWNzPC9rZXl3
b3JkPjxrZXl3b3JkPk9yZ2FuaXphdGlvbmFsIGNoYW5nZTwva2V5d29yZD48a2V5d29yZD5FY29u
b21pYyBkZXZlbG9wbWVudDwva2V5d29yZD48a2V5d29yZD5FY29ub21pY3M8L2tleXdvcmQ+PGtl
eXdvcmQ+RWNvbm9taWNzPC9rZXl3b3JkPjxrZXl3b3JkPkRldmVsb3BtZW50LCBFY29ub21pYzwv
a2V5d29yZD48a2V5d29yZD5FY29ub21pYyBncm93dGg8L2tleXdvcmQ+PGtleXdvcmQ+R3Jvd3Ro
LCBFY29ub21pYzwva2V5d29yZD48a2V5d29yZD5FY29ub21pYyBwb2xpY3k8L2tleXdvcmQ+PGtl
eXdvcmQ+RWNvbm9taWNzPC9rZXl3b3JkPjxrZXl3b3JkPlN0YXRpY3MgYW5kIGR5bmFtaWNzIChT
b2NpYWwgc2NpZW5jZXMpPC9rZXl3b3JkPjxrZXl3b3JkPkRldmVsb3BtZW50IGVjb25vbWljczwv
a2V5d29yZD48a2V5d29yZD5SZXNvdXJjZSBjdXJzZTwva2V5d29yZD48a2V5d29yZD5EZXZlbG9w
bWVudCwgRWNvbm9taWM8L2tleXdvcmQ+PGtleXdvcmQ+RWNvbm9taWMgZ3Jvd3RoPC9rZXl3b3Jk
PjxrZXl3b3JkPkdyb3d0aCwgRWNvbm9taWM8L2tleXdvcmQ+PGtleXdvcmQ+RWNvbm9taWMgcG9s
aWN5PC9rZXl3b3JkPjxrZXl3b3JkPkVjb25vbWljczwva2V5d29yZD48a2V5d29yZD5TdGF0aWNz
IGFuZCBkeW5hbWljcyAoU29jaWFsIHNjaWVuY2VzKTwva2V5d29yZD48a2V5d29yZD5EZXZlbG9w
bWVudCBlY29ub21pY3M8L2tleXdvcmQ+PGtleXdvcmQ+UmVzb3VyY2UgY3Vyc2U8L2tleXdvcmQ+
PGtleXdvcmQ+Q2hhbmdlLCBPcmdhbml6YXRpb25hbDwva2V5d29yZD48a2V5d29yZD5Pcmdhbml6
YXRpb24gZGV2ZWxvcG1lbnQ8L2tleXdvcmQ+PGtleXdvcmQ+T3JnYW5pemF0aW9uYWwgZGV2ZWxv
cG1lbnQ8L2tleXdvcmQ+PGtleXdvcmQ+T3JnYW5pemF0aW9uYWwgaW5ub3ZhdGlvbjwva2V5d29y
ZD48a2V5d29yZD5NYW5hZ2VtZW50PC9rZXl3b3JkPjxrZXl3b3JkPk9yZ2FuaXphdGlvbjwva2V5
d29yZD48a2V5d29yZD5NYW5wb3dlciBwbGFubmluZzwva2V5d29yZD48a2V5d29yZD5FY29ub21p
Y3M8L2tleXdvcmQ+PC9rZXl3b3Jkcz48dGl0bGVzPjx0aXRsZT5JbnN0aXR1dGlvbnMsIEluc3Rp
dHV0aW9uYWwgQ2hhbmdlIGFuZCBFY29ub21pYyBQZXJmb3JtYW5jZTwvdGl0bGU+PC90aXRsZXM+
PGNvbnRyaWJ1dG9ycz48YXV0aG9ycz48YXV0aG9yPk5vcnRoLCBEb3VnbGFzcyBDLjwvYXV0aG9y
PjwvYXV0aG9ycz48L2NvbnRyaWJ1dG9ycz48YWRkZWQtZGF0ZSBmb3JtYXQ9InV0YyI+MTU0ODc4
OTcxMDwvYWRkZWQtZGF0ZT48cHViLWxvY2F0aW9uPkNhbWJyaWRnZTwvcHViLWxvY2F0aW9uPjxy
ZWYtdHlwZSBuYW1lPSJCb29rIj42PC9yZWYtdHlwZT48ZGF0ZXM+PHllYXI+MTk5MDwveWVhcj48
L2RhdGVzPjxyZWMtbnVtYmVyPjc3MDE8L3JlYy1udW1iZXI+PHB1Ymxpc2hlcj5DYW1icmlkZ2Ug
VW5pdmVyc2l0eSBQcmVzczwvcHVibGlzaGVyPjxsYXN0LXVwZGF0ZWQtZGF0ZSBmb3JtYXQ9InV0
YyI+MTU0ODc4OTc2NzwvbGFzdC11cGRhdGVkLWRhdGU+PC9yZWNvcmQ+PC9DaXRlPjwvRW5kTm90
ZT5=
</w:fldData>
        </w:fldChar>
      </w:r>
      <w:r w:rsidR="00DC7B41">
        <w:rPr>
          <w:rFonts w:eastAsia="AdvTimes"/>
          <w:sz w:val="24"/>
          <w:szCs w:val="24"/>
        </w:rPr>
        <w:instrText xml:space="preserve"> ADDIN EN.CITE </w:instrText>
      </w:r>
      <w:r w:rsidR="00DC7B41">
        <w:rPr>
          <w:rFonts w:eastAsia="AdvTimes"/>
          <w:sz w:val="24"/>
          <w:szCs w:val="24"/>
        </w:rPr>
        <w:fldChar w:fldCharType="begin">
          <w:fldData xml:space="preserve">PEVuZE5vdGU+PENpdGU+PEF1dGhvcj5EaW1hZ2dpbzwvQXV0aG9yPjxZZWFyPjE5ODM8L1llYXI+
PElEVGV4dD5UaGUgaXJvbiBjYWdlIHJldmlzaXRlZDogaW5zdGl0dXRpb25hbCBpc29tb3JwaGlz
bSBhbmQgY29sbGVjdGl2ZSByYXRpb25hbGl0eSBpbiBvcmdhbml6YXRpb25hbCBmaWVsZHM8L0lE
VGV4dD48RGlzcGxheVRleHQ+KERpbWFnZ2lvICZhbXA7IFBvd2VsbCwgMTk4MzsgSi4gVy4gTWV5
ZXIsIDE5Nzc7IEouIFcuIE1leWVyICZhbXA7IFJvd2FuLCAxOTc3OyBELiBDLiBOb3J0aCwgMTk5
MCk8L0Rpc3BsYXlUZXh0PjxyZWNvcmQ+PGtleXdvcmRzPjxrZXl3b3JkPkFkbWluaXN0cmF0aXZl
IENvbnRyb2w8L2tleXdvcmQ+PGtleXdvcmQ+U29jaW9sb2d5PC9rZXl3b3JkPjwva2V5d29yZHM+
PHRpdGxlcz48dGl0bGU+VGhlIGlyb24gY2FnZSByZXZpc2l0ZWQ6IGluc3RpdHV0aW9uYWwgaXNv
bW9ycGhpc20gYW5kIGNvbGxlY3RpdmUgcmF0aW9uYWxpdHkgaW4gb3JnYW5pemF0aW9uYWwgZmll
bGRzPC90aXRsZT48c2Vjb25kYXJ5LXRpdGxlPkFtZXJpY2FuIFNvY2lvbG9naWNhbCBSZXZpZXc8
L3NlY29uZGFyeS10aXRsZT48L3RpdGxlcz48cGFnZXM+MTQ3LTE2MDwvcGFnZXM+PG51bWJlcj4y
PC9udW1iZXI+PGNvbnRyaWJ1dG9ycz48YXV0aG9ycz48YXV0aG9yPkRpbWFnZ2lvLCBQYXVsPC9h
dXRob3I+PGF1dGhvcj5Qb3dlbGwsIFdhbHRlcjwvYXV0aG9yPjwvYXV0aG9ycz48L2NvbnRyaWJ1
dG9ycz48YWRkZWQtZGF0ZSBmb3JtYXQ9InV0YyI+MTUwNDUzMjM2NzwvYWRkZWQtZGF0ZT48cmVm
LXR5cGUgbmFtZT0iSm91cm5hbCBBcnRpY2xlIj4xNzwvcmVmLXR5cGU+PGRhdGVzPjx5ZWFyPjE5
ODM8L3llYXI+PC9kYXRlcz48cmVjLW51bWJlcj43MTI5PC9yZWMtbnVtYmVyPjxsYXN0LXVwZGF0
ZWQtZGF0ZSBmb3JtYXQ9InV0YyI+MTUwNTM1MjM1NzwvbGFzdC11cGRhdGVkLWRhdGU+PHZvbHVt
ZT40ODwvdm9sdW1lPjwvcmVjb3JkPjwvQ2l0ZT48Q2l0ZT48QXV0aG9yPk1leWVyPC9BdXRob3I+
PFllYXI+MTk3NzwvWWVhcj48SURUZXh0Pkluc3RpdHV0aW9uYWxpemVkIE9yZ2FuaXphdGlvbnM6
IEZvcm1hbCBTdHJ1Y3R1cmUgYXMgTXl0aCBhbmQgQ2VyZW1vbnk8L0lEVGV4dD48cmVjb3JkPjxp
c2JuPjAwMDI5NjAyPC9pc2JuPjx0aXRsZXM+PHRpdGxlPkluc3RpdHV0aW9uYWxpemVkIE9yZ2Fu
aXphdGlvbnM6IEZvcm1hbCBTdHJ1Y3R1cmUgYXMgTXl0aCBhbmQgQ2VyZW1vbnk8L3RpdGxlPjxz
ZWNvbmRhcnktdGl0bGU+QW1lcmljYW4gSm91cm5hbCBvZiBTb2Npb2xvZ3k8L3NlY29uZGFyeS10
aXRsZT48L3RpdGxlcz48cGFnZXM+MzQwLTM2MzwvcGFnZXM+PG51bWJlcj4yPC9udW1iZXI+PGNv
bnRyaWJ1dG9ycz48YXV0aG9ycz48YXV0aG9yPk1leWVyLCBKb2huIFcuPC9hdXRob3I+PGF1dGhv
cj5Sb3dhbiwgQnJpYW48L2F1dGhvcj48L2F1dGhvcnM+PC9jb250cmlidXRvcnM+PGFkZGVkLWRh
dGUgZm9ybWF0PSJ1dGMiPjE0OTIxNzM3OTI8L2FkZGVkLWRhdGU+PHJlZi10eXBlIG5hbWU9Ikpv
dXJuYWwgQXJ0aWNsZSI+MTc8L3JlZi10eXBlPjxkYXRlcz48eWVhcj4xOTc3PC95ZWFyPjwvZGF0
ZXM+PHJlYy1udW1iZXI+NjcxMzwvcmVjLW51bWJlcj48bGFzdC11cGRhdGVkLWRhdGUgZm9ybWF0
PSJ1dGMiPjE1MDUzOTQwMTY8L2xhc3QtdXBkYXRlZC1kYXRlPjxlbGVjdHJvbmljLXJlc291cmNl
LW51bT4xMC4xMDg2LzIyNjU1MDwvZWxlY3Ryb25pYy1yZXNvdXJjZS1udW0+PHZvbHVtZT44Mzwv
dm9sdW1lPjwvcmVjb3JkPjwvQ2l0ZT48Q2l0ZT48QXV0aG9yPk1leWVyPC9BdXRob3I+PFllYXI+
MTk3NzwvWWVhcj48SURUZXh0PlRoZSBFZmZlY3RzIG9mIEVkdWNhdGlvbiBhcyBhbiBJbnN0aXR1
dGlvbjwvSURUZXh0PjxyZWNvcmQ+PGlzYm4+MDAwMjk2MDI8L2lzYm4+PHRpdGxlcz48dGl0bGU+
VGhlIEVmZmVjdHMgb2YgRWR1Y2F0aW9uIGFzIGFuIEluc3RpdHV0aW9uPC90aXRsZT48c2Vjb25k
YXJ5LXRpdGxlPkFtZXJpY2FuIEpvdXJuYWwgb2YgU29jaW9sb2d5PC9zZWNvbmRhcnktdGl0bGU+
PC90aXRsZXM+PHBhZ2VzPjU1LTc3PC9wYWdlcz48bnVtYmVyPjE8L251bWJlcj48Y29udHJpYnV0
b3JzPjxhdXRob3JzPjxhdXRob3I+TWV5ZXIsIEpvaG4gVy48L2F1dGhvcj48L2F1dGhvcnM+PC9j
b250cmlidXRvcnM+PGFkZGVkLWRhdGUgZm9ybWF0PSJ1dGMiPjE0OTIxNzM4NDI8L2FkZGVkLWRh
dGU+PHJlZi10eXBlIG5hbWU9IkpvdXJuYWwgQXJ0aWNsZSI+MTc8L3JlZi10eXBlPjxkYXRlcz48
eWVhcj4xOTc3PC95ZWFyPjwvZGF0ZXM+PHJlYy1udW1iZXI+NjcxNDwvcmVjLW51bWJlcj48bGFz
dC11cGRhdGVkLWRhdGUgZm9ybWF0PSJ1dGMiPjE1MDUzOTQwMTY8L2xhc3QtdXBkYXRlZC1kYXRl
PjxlbGVjdHJvbmljLXJlc291cmNlLW51bT4xMC4xMDg2LzIyNjUwNjwvZWxlY3Ryb25pYy1yZXNv
dXJjZS1udW0+PHZvbHVtZT44Mzwvdm9sdW1lPjwvcmVjb3JkPjwvQ2l0ZT48Q2l0ZT48QXV0aG9y
Pk5vcnRoPC9BdXRob3I+PFllYXI+MTk5MDwvWWVhcj48SURUZXh0Pkluc3RpdHV0aW9ucywgSW5z
dGl0dXRpb25hbCBDaGFuZ2UgYW5kIEVjb25vbWljIFBlcmZvcm1hbmNlPC9JRFRleHQ+PHJlY29y
ZD48a2V5d29yZHM+PGtleXdvcmQ+SW5zdGl0dXRpb25hbCBlY29ub21pY3M8L2tleXdvcmQ+PGtl
eXdvcmQ+T3JnYW5pc2F0aW9uYWwgY2hhbmdlPC9rZXl3b3JkPjxrZXl3b3JkPkVjb25vbWljIGRl
dmVsb3BtZW50PC9rZXl3b3JkPjxrZXl3b3JkPkluc3RpdHV0aW9uYWwgZWNvbm9taWNzPC9rZXl3
b3JkPjxrZXl3b3JkPk9yZ2FuaXphdGlvbmFsIGNoYW5nZTwva2V5d29yZD48a2V5d29yZD5FY29u
b21pYyBkZXZlbG9wbWVudDwva2V5d29yZD48a2V5d29yZD5FY29ub21pY3M8L2tleXdvcmQ+PGtl
eXdvcmQ+RWNvbm9taWNzPC9rZXl3b3JkPjxrZXl3b3JkPkRldmVsb3BtZW50LCBFY29ub21pYzwv
a2V5d29yZD48a2V5d29yZD5FY29ub21pYyBncm93dGg8L2tleXdvcmQ+PGtleXdvcmQ+R3Jvd3Ro
LCBFY29ub21pYzwva2V5d29yZD48a2V5d29yZD5FY29ub21pYyBwb2xpY3k8L2tleXdvcmQ+PGtl
eXdvcmQ+RWNvbm9taWNzPC9rZXl3b3JkPjxrZXl3b3JkPlN0YXRpY3MgYW5kIGR5bmFtaWNzIChT
b2NpYWwgc2NpZW5jZXMpPC9rZXl3b3JkPjxrZXl3b3JkPkRldmVsb3BtZW50IGVjb25vbWljczwv
a2V5d29yZD48a2V5d29yZD5SZXNvdXJjZSBjdXJzZTwva2V5d29yZD48a2V5d29yZD5EZXZlbG9w
bWVudCwgRWNvbm9taWM8L2tleXdvcmQ+PGtleXdvcmQ+RWNvbm9taWMgZ3Jvd3RoPC9rZXl3b3Jk
PjxrZXl3b3JkPkdyb3d0aCwgRWNvbm9taWM8L2tleXdvcmQ+PGtleXdvcmQ+RWNvbm9taWMgcG9s
aWN5PC9rZXl3b3JkPjxrZXl3b3JkPkVjb25vbWljczwva2V5d29yZD48a2V5d29yZD5TdGF0aWNz
IGFuZCBkeW5hbWljcyAoU29jaWFsIHNjaWVuY2VzKTwva2V5d29yZD48a2V5d29yZD5EZXZlbG9w
bWVudCBlY29ub21pY3M8L2tleXdvcmQ+PGtleXdvcmQ+UmVzb3VyY2UgY3Vyc2U8L2tleXdvcmQ+
PGtleXdvcmQ+Q2hhbmdlLCBPcmdhbml6YXRpb25hbDwva2V5d29yZD48a2V5d29yZD5Pcmdhbml6
YXRpb24gZGV2ZWxvcG1lbnQ8L2tleXdvcmQ+PGtleXdvcmQ+T3JnYW5pemF0aW9uYWwgZGV2ZWxv
cG1lbnQ8L2tleXdvcmQ+PGtleXdvcmQ+T3JnYW5pemF0aW9uYWwgaW5ub3ZhdGlvbjwva2V5d29y
ZD48a2V5d29yZD5NYW5hZ2VtZW50PC9rZXl3b3JkPjxrZXl3b3JkPk9yZ2FuaXphdGlvbjwva2V5
d29yZD48a2V5d29yZD5NYW5wb3dlciBwbGFubmluZzwva2V5d29yZD48a2V5d29yZD5FY29ub21p
Y3M8L2tleXdvcmQ+PC9rZXl3b3Jkcz48dGl0bGVzPjx0aXRsZT5JbnN0aXR1dGlvbnMsIEluc3Rp
dHV0aW9uYWwgQ2hhbmdlIGFuZCBFY29ub21pYyBQZXJmb3JtYW5jZTwvdGl0bGU+PC90aXRsZXM+
PGNvbnRyaWJ1dG9ycz48YXV0aG9ycz48YXV0aG9yPk5vcnRoLCBEb3VnbGFzcyBDLjwvYXV0aG9y
PjwvYXV0aG9ycz48L2NvbnRyaWJ1dG9ycz48YWRkZWQtZGF0ZSBmb3JtYXQ9InV0YyI+MTU0ODc4
OTcxMDwvYWRkZWQtZGF0ZT48cHViLWxvY2F0aW9uPkNhbWJyaWRnZTwvcHViLWxvY2F0aW9uPjxy
ZWYtdHlwZSBuYW1lPSJCb29rIj42PC9yZWYtdHlwZT48ZGF0ZXM+PHllYXI+MTk5MDwveWVhcj48
L2RhdGVzPjxyZWMtbnVtYmVyPjc3MDE8L3JlYy1udW1iZXI+PHB1Ymxpc2hlcj5DYW1icmlkZ2Ug
VW5pdmVyc2l0eSBQcmVzczwvcHVibGlzaGVyPjxsYXN0LXVwZGF0ZWQtZGF0ZSBmb3JtYXQ9InV0
YyI+MTU0ODc4OTc2NzwvbGFzdC11cGRhdGVkLWRhdGU+PC9yZWNvcmQ+PC9DaXRlPjwvRW5kTm90
ZT5=
</w:fldData>
        </w:fldChar>
      </w:r>
      <w:r w:rsidR="00DC7B41">
        <w:rPr>
          <w:rFonts w:eastAsia="AdvTimes"/>
          <w:sz w:val="24"/>
          <w:szCs w:val="24"/>
        </w:rPr>
        <w:instrText xml:space="preserve"> ADDIN EN.CITE.DATA </w:instrText>
      </w:r>
      <w:r w:rsidR="00DC7B41">
        <w:rPr>
          <w:rFonts w:eastAsia="AdvTimes"/>
          <w:sz w:val="24"/>
          <w:szCs w:val="24"/>
        </w:rPr>
      </w:r>
      <w:r w:rsidR="00DC7B41">
        <w:rPr>
          <w:rFonts w:eastAsia="AdvTimes"/>
          <w:sz w:val="24"/>
          <w:szCs w:val="24"/>
        </w:rPr>
        <w:fldChar w:fldCharType="end"/>
      </w:r>
      <w:r w:rsidR="00DC7B41">
        <w:rPr>
          <w:rFonts w:eastAsia="AdvTimes"/>
          <w:sz w:val="24"/>
          <w:szCs w:val="24"/>
        </w:rPr>
      </w:r>
      <w:r w:rsidR="00DC7B41">
        <w:rPr>
          <w:rFonts w:eastAsia="AdvTimes"/>
          <w:sz w:val="24"/>
          <w:szCs w:val="24"/>
        </w:rPr>
        <w:fldChar w:fldCharType="separate"/>
      </w:r>
      <w:r w:rsidR="00DC7B41">
        <w:rPr>
          <w:rFonts w:eastAsia="AdvTimes"/>
          <w:noProof/>
          <w:sz w:val="24"/>
          <w:szCs w:val="24"/>
        </w:rPr>
        <w:t>(Dimaggio &amp; Powell, 1983; J. W. Meyer, 1977; J. W. Meyer &amp; Rowan, 1977; D. C. North, 1990)</w:t>
      </w:r>
      <w:r w:rsidR="00DC7B41">
        <w:rPr>
          <w:rFonts w:eastAsia="AdvTimes"/>
          <w:sz w:val="24"/>
          <w:szCs w:val="24"/>
        </w:rPr>
        <w:fldChar w:fldCharType="end"/>
      </w:r>
      <w:r w:rsidR="00DC7B41">
        <w:rPr>
          <w:rFonts w:eastAsia="AdvTimes"/>
          <w:sz w:val="24"/>
          <w:szCs w:val="24"/>
        </w:rPr>
        <w:t>. From this perspective, outreach</w:t>
      </w:r>
      <w:r w:rsidR="00DC7B41">
        <w:rPr>
          <w:sz w:val="24"/>
          <w:szCs w:val="24"/>
        </w:rPr>
        <w:t xml:space="preserve"> activities and initiatives can be understood as not only responses to their environment but also ‘enactments’ which impact upon and change that environment (whether deliberately or not) (Vakkuri, 2004). In other words, universities’ boundary transactions </w:t>
      </w:r>
      <w:r w:rsidR="00DC7B41">
        <w:rPr>
          <w:i/>
          <w:sz w:val="24"/>
          <w:szCs w:val="24"/>
        </w:rPr>
        <w:t xml:space="preserve">enact </w:t>
      </w:r>
      <w:r w:rsidR="00DC7B41">
        <w:rPr>
          <w:sz w:val="24"/>
          <w:szCs w:val="24"/>
        </w:rPr>
        <w:t xml:space="preserve">the environment in which universities operate. Indeed, the CERI (1982) report is </w:t>
      </w:r>
      <w:r w:rsidR="00666E1C">
        <w:rPr>
          <w:sz w:val="24"/>
          <w:szCs w:val="24"/>
        </w:rPr>
        <w:t>itself</w:t>
      </w:r>
      <w:r w:rsidR="00DC7B41">
        <w:rPr>
          <w:sz w:val="24"/>
          <w:szCs w:val="24"/>
        </w:rPr>
        <w:t xml:space="preserve"> </w:t>
      </w:r>
      <w:r w:rsidR="003F1597">
        <w:rPr>
          <w:sz w:val="24"/>
          <w:szCs w:val="24"/>
        </w:rPr>
        <w:t>the result</w:t>
      </w:r>
      <w:r w:rsidR="00DC7B41">
        <w:rPr>
          <w:sz w:val="24"/>
          <w:szCs w:val="24"/>
        </w:rPr>
        <w:t xml:space="preserve"> of boundary enactment – the new imperatives proposed in this report did not emerge independently of universities’ activities and strategies, but rather was itself inspired by the ‘outreach’ activities that a few European universities were already experimenting with in the hope of generating local economic benefits and attracting financial support from new potential sponsors. From this perspective, the demand for increased ‘outreach’ and, ultimately, ‘impact’, is partly the result of the successful ‘enactment’ efforts on the part of (some) universities seeking to raise their esteem, valuation and legitimacy in the eyes of wider society. </w:t>
      </w:r>
    </w:p>
    <w:p w14:paraId="18EE8B34" w14:textId="3561F030" w:rsidR="00DC7B41" w:rsidRPr="00616E58" w:rsidRDefault="00DC7B41" w:rsidP="00DC7B41">
      <w:pPr>
        <w:spacing w:after="120" w:line="360" w:lineRule="auto"/>
        <w:rPr>
          <w:sz w:val="24"/>
          <w:szCs w:val="24"/>
        </w:rPr>
      </w:pPr>
      <w:r>
        <w:rPr>
          <w:sz w:val="24"/>
          <w:szCs w:val="24"/>
        </w:rPr>
        <w:t xml:space="preserve">Research has shown how ‘boundary enactment’ is not merely an accidental outcome or by-product of </w:t>
      </w:r>
      <w:r w:rsidR="00BA0417">
        <w:rPr>
          <w:sz w:val="24"/>
          <w:szCs w:val="24"/>
        </w:rPr>
        <w:t>outreach but</w:t>
      </w:r>
      <w:r>
        <w:rPr>
          <w:sz w:val="24"/>
          <w:szCs w:val="24"/>
        </w:rPr>
        <w:t xml:space="preserve"> can also be a deliberate goal. For example, in a case study of one university, it was found that academics’ outreach activities aim to</w:t>
      </w:r>
      <w:r w:rsidRPr="001F129F">
        <w:rPr>
          <w:sz w:val="24"/>
          <w:szCs w:val="24"/>
        </w:rPr>
        <w:t xml:space="preserve"> “mobilize ... interest in their research” </w:t>
      </w:r>
      <w:r w:rsidRPr="001F129F">
        <w:rPr>
          <w:color w:val="000000"/>
          <w:sz w:val="24"/>
          <w:szCs w:val="24"/>
        </w:rPr>
        <w:fldChar w:fldCharType="begin"/>
      </w:r>
      <w:r>
        <w:rPr>
          <w:color w:val="000000"/>
          <w:sz w:val="24"/>
          <w:szCs w:val="24"/>
        </w:rPr>
        <w:instrText xml:space="preserve"> ADDIN EN.CITE &lt;EndNote&gt;&lt;Cite&gt;&lt;Author&gt;Benneworth&lt;/Author&gt;&lt;Year&gt;2015&lt;/Year&gt;&lt;IDText&gt;Between good intentions and urgent stakeholder pressures: institutionalizing the universities&amp;apos; third mission in the Swedish context&lt;/IDText&gt;&lt;Pages&gt;288&lt;/Pages&gt;&lt;DisplayText&gt;(Benneworth, De Boer, &amp;amp; Jongbloed, 2015, p. 288)&lt;/DisplayText&gt;&lt;record&gt;&lt;keywords&gt;&lt;keyword&gt;University Missions&lt;/keyword&gt;&lt;keyword&gt;University Strategic Mission&lt;/keyword&gt;&lt;keyword&gt;University Third Mission&lt;/keyword&gt;&lt;keyword&gt;Engaged Teaching And Research&lt;/keyword&gt;&lt;keyword&gt;University Structure&lt;/keyword&gt;&lt;/keywords&gt;&lt;isbn&gt;2156-8235&lt;/isbn&gt;&lt;titles&gt;&lt;title&gt;Between good intentions and urgent stakeholder pressures: institutionalizing the universities&amp;apos; third mission in the Swedish context&lt;/title&gt;&lt;secondary-title&gt;European Journal of Higher Education&lt;/secondary-title&gt;&lt;/titles&gt;&lt;pages&gt;1-17&lt;/pages&gt;&lt;number&gt;3&lt;/number&gt;&lt;contributors&gt;&lt;authors&gt;&lt;author&gt;Benneworth, Paul&lt;/author&gt;&lt;author&gt;De Boer, Harry&lt;/author&gt;&lt;author&gt;Jongbloed, Ben&lt;/author&gt;&lt;/authors&gt;&lt;/contributors&gt;&lt;added-date format="utc"&gt;1548841273&lt;/added-date&gt;&lt;ref-type name="Journal Article"&gt;17&lt;/ref-type&gt;&lt;dates&gt;&lt;year&gt;2015&lt;/year&gt;&lt;/dates&gt;&lt;rec-number&gt;7707&lt;/rec-number&gt;&lt;publisher&gt;Routledge&lt;/publisher&gt;&lt;last-updated-date format="utc"&gt;1548841273&lt;/last-updated-date&gt;&lt;electronic-resource-num&gt;10.1080/21568235.2015.1044549&lt;/electronic-resource-num&gt;&lt;volume&gt;5&lt;/volume&gt;&lt;/record&gt;&lt;/Cite&gt;&lt;/EndNote&gt;</w:instrText>
      </w:r>
      <w:r w:rsidRPr="001F129F">
        <w:rPr>
          <w:color w:val="000000"/>
          <w:sz w:val="24"/>
          <w:szCs w:val="24"/>
        </w:rPr>
        <w:fldChar w:fldCharType="separate"/>
      </w:r>
      <w:r>
        <w:rPr>
          <w:noProof/>
          <w:color w:val="000000"/>
          <w:sz w:val="24"/>
          <w:szCs w:val="24"/>
        </w:rPr>
        <w:t>(Benneworth, De Boer, &amp; Jongbloed, 2015, p. 288)</w:t>
      </w:r>
      <w:r w:rsidRPr="001F129F">
        <w:rPr>
          <w:color w:val="000000"/>
          <w:sz w:val="24"/>
          <w:szCs w:val="24"/>
        </w:rPr>
        <w:fldChar w:fldCharType="end"/>
      </w:r>
      <w:r>
        <w:rPr>
          <w:color w:val="000000"/>
          <w:sz w:val="24"/>
          <w:szCs w:val="24"/>
        </w:rPr>
        <w:t xml:space="preserve"> and </w:t>
      </w:r>
      <w:r w:rsidRPr="001F129F">
        <w:rPr>
          <w:sz w:val="24"/>
          <w:szCs w:val="24"/>
        </w:rPr>
        <w:t>improve their opportunities of winning funding bids</w:t>
      </w:r>
      <w:r>
        <w:rPr>
          <w:sz w:val="24"/>
          <w:szCs w:val="24"/>
        </w:rPr>
        <w:t xml:space="preserve">. Similarly, when given the opportunity to contribute to government information-gathering and policymaking, academics saw this not only as an </w:t>
      </w:r>
      <w:r w:rsidRPr="001F129F">
        <w:rPr>
          <w:sz w:val="24"/>
          <w:szCs w:val="24"/>
        </w:rPr>
        <w:t>opportunity to disinterestedly pass on</w:t>
      </w:r>
      <w:r>
        <w:rPr>
          <w:sz w:val="24"/>
          <w:szCs w:val="24"/>
        </w:rPr>
        <w:t xml:space="preserve"> their</w:t>
      </w:r>
      <w:r w:rsidRPr="001F129F">
        <w:rPr>
          <w:sz w:val="24"/>
          <w:szCs w:val="24"/>
        </w:rPr>
        <w:t xml:space="preserve"> </w:t>
      </w:r>
      <w:r>
        <w:rPr>
          <w:sz w:val="24"/>
          <w:szCs w:val="24"/>
        </w:rPr>
        <w:t>expert insights</w:t>
      </w:r>
      <w:r w:rsidRPr="001F129F">
        <w:rPr>
          <w:sz w:val="24"/>
          <w:szCs w:val="24"/>
        </w:rPr>
        <w:t xml:space="preserve">, but to “leverage ... their own specific knowledge </w:t>
      </w:r>
      <w:r>
        <w:rPr>
          <w:sz w:val="24"/>
          <w:szCs w:val="24"/>
        </w:rPr>
        <w:t>…</w:t>
      </w:r>
      <w:r w:rsidRPr="001F129F">
        <w:rPr>
          <w:sz w:val="24"/>
          <w:szCs w:val="24"/>
        </w:rPr>
        <w:t xml:space="preserve"> into a political arena” </w:t>
      </w:r>
      <w:r w:rsidRPr="001F129F">
        <w:rPr>
          <w:color w:val="000000"/>
          <w:sz w:val="24"/>
          <w:szCs w:val="24"/>
        </w:rPr>
        <w:fldChar w:fldCharType="begin"/>
      </w:r>
      <w:r w:rsidRPr="001F129F">
        <w:rPr>
          <w:color w:val="000000"/>
          <w:sz w:val="24"/>
          <w:szCs w:val="24"/>
        </w:rPr>
        <w:instrText xml:space="preserve"> ADDIN EN.CITE &lt;EndNote&gt;&lt;Cite&gt;&lt;Author&gt;Benneworth&lt;/Author&gt;&lt;Year&gt;2015&lt;/Year&gt;&lt;IDText&gt;Between good intentions and urgent stakeholder pressures: institutionalizing the universities&amp;apos; third mission in the Swedish context&lt;/IDText&gt;&lt;Pages&gt;288&lt;/Pages&gt;&lt;DisplayText&gt;(Benneworth et al., 2015, p. 288)&lt;/DisplayText&gt;&lt;record&gt;&lt;keywords&gt;&lt;keyword&gt;University Missions&lt;/keyword&gt;&lt;keyword&gt;University Strategic Mission&lt;/keyword&gt;&lt;keyword&gt;University Third Mission&lt;/keyword&gt;&lt;keyword&gt;Engaged Teaching And Research&lt;/keyword&gt;&lt;keyword&gt;University Structure&lt;/keyword&gt;&lt;/keywords&gt;&lt;isbn&gt;2156-8235&lt;/isbn&gt;&lt;titles&gt;&lt;title&gt;Between good intentions and urgent stakeholder pressures: institutionalizing the universities&amp;apos; third mission in the Swedish context&lt;/title&gt;&lt;secondary-title&gt;European Journal of Higher Education&lt;/secondary-title&gt;&lt;/titles&gt;&lt;pages&gt;1-17&lt;/pages&gt;&lt;number&gt;3&lt;/number&gt;&lt;contributors&gt;&lt;authors&gt;&lt;author&gt;Benneworth, Paul&lt;/author&gt;&lt;author&gt;De Boer, Harry&lt;/author&gt;&lt;author&gt;Jongbloed, Ben&lt;/author&gt;&lt;/authors&gt;&lt;/contributors&gt;&lt;added-date format="utc"&gt;1548841273&lt;/added-date&gt;&lt;ref-type name="Journal Article"&gt;17&lt;/ref-type&gt;&lt;dates&gt;&lt;year&gt;2015&lt;/year&gt;&lt;/dates&gt;&lt;rec-number&gt;7707&lt;/rec-number&gt;&lt;publisher&gt;Routledge&lt;/publisher&gt;&lt;last-updated-date format="utc"&gt;1548841273&lt;/last-updated-date&gt;&lt;electronic-resource-num&gt;10.1080/21568235.2015.1044549&lt;/electronic-resource-num&gt;&lt;volume&gt;5&lt;/volume&gt;&lt;/record&gt;&lt;/Cite&gt;&lt;/EndNote&gt;</w:instrText>
      </w:r>
      <w:r w:rsidRPr="001F129F">
        <w:rPr>
          <w:color w:val="000000"/>
          <w:sz w:val="24"/>
          <w:szCs w:val="24"/>
        </w:rPr>
        <w:fldChar w:fldCharType="separate"/>
      </w:r>
      <w:r w:rsidRPr="001F129F">
        <w:rPr>
          <w:noProof/>
          <w:color w:val="000000"/>
          <w:sz w:val="24"/>
          <w:szCs w:val="24"/>
        </w:rPr>
        <w:t>(Benneworth et al., 2015, p. 288)</w:t>
      </w:r>
      <w:r w:rsidRPr="001F129F">
        <w:rPr>
          <w:color w:val="000000"/>
          <w:sz w:val="24"/>
          <w:szCs w:val="24"/>
        </w:rPr>
        <w:fldChar w:fldCharType="end"/>
      </w:r>
      <w:r w:rsidRPr="001F129F">
        <w:rPr>
          <w:sz w:val="24"/>
          <w:szCs w:val="24"/>
        </w:rPr>
        <w:t>.</w:t>
      </w:r>
      <w:r>
        <w:rPr>
          <w:sz w:val="24"/>
          <w:szCs w:val="24"/>
        </w:rPr>
        <w:t xml:space="preserve"> This</w:t>
      </w:r>
      <w:r w:rsidRPr="006D506C">
        <w:rPr>
          <w:sz w:val="24"/>
          <w:szCs w:val="24"/>
        </w:rPr>
        <w:t xml:space="preserve"> chime</w:t>
      </w:r>
      <w:r>
        <w:rPr>
          <w:sz w:val="24"/>
          <w:szCs w:val="24"/>
        </w:rPr>
        <w:t xml:space="preserve">s </w:t>
      </w:r>
      <w:r w:rsidRPr="006D506C">
        <w:rPr>
          <w:sz w:val="24"/>
          <w:szCs w:val="24"/>
        </w:rPr>
        <w:t xml:space="preserve">with </w:t>
      </w:r>
      <w:r>
        <w:rPr>
          <w:sz w:val="24"/>
          <w:szCs w:val="24"/>
        </w:rPr>
        <w:t xml:space="preserve">findings from </w:t>
      </w:r>
      <w:r w:rsidRPr="006D506C">
        <w:rPr>
          <w:sz w:val="24"/>
          <w:szCs w:val="24"/>
        </w:rPr>
        <w:t xml:space="preserve">Knorr-Cetina’s </w:t>
      </w:r>
      <w:r w:rsidRPr="006D506C">
        <w:rPr>
          <w:sz w:val="24"/>
          <w:szCs w:val="24"/>
        </w:rPr>
        <w:fldChar w:fldCharType="begin"/>
      </w:r>
      <w:r w:rsidRPr="006D506C">
        <w:rPr>
          <w:sz w:val="24"/>
          <w:szCs w:val="24"/>
        </w:rPr>
        <w:instrText xml:space="preserve"> ADDIN EN.CITE &lt;EndNote&gt;&lt;Cite ExcludeAuth="1"&gt;&lt;Author&gt;Knorr-Cetina&lt;/Author&gt;&lt;Year&gt;1983&lt;/Year&gt;&lt;IDText&gt;The Ethnographic Study of Scientific Work: Towards a Constructivist Interpretation of Science&lt;/IDText&gt;&lt;DisplayText&gt;(1983)&lt;/DisplayText&gt;&lt;record&gt;&lt;keywords&gt;&lt;keyword&gt;Science -- Social aspects&lt;/keyword&gt;&lt;keyword&gt;Science -- Social aspects&lt;/keyword&gt;&lt;keyword&gt;Science and society&lt;/keyword&gt;&lt;keyword&gt;Sociology of science&lt;/keyword&gt;&lt;keyword&gt;Science Sociological perspectives&lt;/keyword&gt;&lt;/keywords&gt;&lt;titles&gt;&lt;title&gt;The Ethnographic Study of Scientific Work: Towards a Constructivist Interpretation of Science&lt;/title&gt;&lt;secondary-title&gt;Science observed : perspectives on the social study of science&lt;/secondary-title&gt;&lt;/titles&gt;&lt;contributors&gt;&lt;authors&gt;&lt;author&gt;Knorr-Cetina, K. D.&lt;/author&gt;&lt;/authors&gt;&lt;/contributors&gt;&lt;added-date format="utc"&gt;1523284360&lt;/added-date&gt;&lt;pub-location&gt;London&lt;/pub-location&gt;&lt;ref-type name="Book Section"&gt;5&lt;/ref-type&gt;&lt;dates&gt;&lt;year&gt;1983&lt;/year&gt;&lt;/dates&gt;&lt;rec-number&gt;7466&lt;/rec-number&gt;&lt;publisher&gt;Sage&lt;/publisher&gt;&lt;last-updated-date format="utc"&gt;1523284506&lt;/last-updated-date&gt;&lt;contributors&gt;&lt;secondary-authors&gt;&lt;author&gt;Knorr-Cetina, K. D.&lt;/author&gt;&lt;author&gt;Mulkay, M. J.&lt;/author&gt;&lt;/secondary-authors&gt;&lt;/contributors&gt;&lt;/record&gt;&lt;/Cite&gt;&lt;/EndNote&gt;</w:instrText>
      </w:r>
      <w:r w:rsidRPr="006D506C">
        <w:rPr>
          <w:sz w:val="24"/>
          <w:szCs w:val="24"/>
        </w:rPr>
        <w:fldChar w:fldCharType="separate"/>
      </w:r>
      <w:r w:rsidRPr="006D506C">
        <w:rPr>
          <w:noProof/>
          <w:sz w:val="24"/>
          <w:szCs w:val="24"/>
        </w:rPr>
        <w:t>(1983)</w:t>
      </w:r>
      <w:r w:rsidRPr="006D506C">
        <w:rPr>
          <w:sz w:val="24"/>
          <w:szCs w:val="24"/>
        </w:rPr>
        <w:fldChar w:fldCharType="end"/>
      </w:r>
      <w:r w:rsidRPr="006D506C">
        <w:rPr>
          <w:sz w:val="24"/>
          <w:szCs w:val="24"/>
        </w:rPr>
        <w:t xml:space="preserve"> studies</w:t>
      </w:r>
      <w:r>
        <w:rPr>
          <w:sz w:val="24"/>
          <w:szCs w:val="24"/>
        </w:rPr>
        <w:t>, which</w:t>
      </w:r>
      <w:r w:rsidRPr="006D506C">
        <w:rPr>
          <w:sz w:val="24"/>
          <w:szCs w:val="24"/>
        </w:rPr>
        <w:t xml:space="preserve"> </w:t>
      </w:r>
      <w:r>
        <w:rPr>
          <w:sz w:val="24"/>
          <w:szCs w:val="24"/>
        </w:rPr>
        <w:t xml:space="preserve">show how scientists attempt to influence and to account for the interests of a broad range of actors, including </w:t>
      </w:r>
      <w:r w:rsidRPr="006D506C">
        <w:rPr>
          <w:sz w:val="24"/>
          <w:szCs w:val="24"/>
        </w:rPr>
        <w:t>grant agencies, industry representatives</w:t>
      </w:r>
      <w:r>
        <w:rPr>
          <w:sz w:val="24"/>
          <w:szCs w:val="24"/>
        </w:rPr>
        <w:t>, and</w:t>
      </w:r>
      <w:r w:rsidRPr="006D506C">
        <w:rPr>
          <w:sz w:val="24"/>
          <w:szCs w:val="24"/>
        </w:rPr>
        <w:t xml:space="preserve"> </w:t>
      </w:r>
      <w:r>
        <w:rPr>
          <w:sz w:val="24"/>
          <w:szCs w:val="24"/>
        </w:rPr>
        <w:t xml:space="preserve">other potential users and stakeholders, in order to advance their own research. Such </w:t>
      </w:r>
      <w:r w:rsidRPr="006D506C">
        <w:rPr>
          <w:sz w:val="24"/>
          <w:szCs w:val="24"/>
        </w:rPr>
        <w:t xml:space="preserve">“transepistemic relations” </w:t>
      </w:r>
      <w:r w:rsidRPr="006D506C">
        <w:rPr>
          <w:sz w:val="24"/>
          <w:szCs w:val="24"/>
        </w:rPr>
        <w:fldChar w:fldCharType="begin"/>
      </w:r>
      <w:r>
        <w:rPr>
          <w:sz w:val="24"/>
          <w:szCs w:val="24"/>
        </w:rPr>
        <w:instrText xml:space="preserve"> ADDIN EN.CITE &lt;EndNote&gt;&lt;Cite&gt;&lt;Author&gt;Knorr-Cetina&lt;/Author&gt;&lt;Year&gt;1983&lt;/Year&gt;&lt;IDText&gt;The Ethnographic Study of Scientific Work: Towards a Constructivist Interpretation of Science&lt;/IDText&gt;&lt;Pages&gt;132&lt;/Pages&gt;&lt;DisplayText&gt;(Knorr-Cetina, 1983, p. 132)&lt;/DisplayText&gt;&lt;record&gt;&lt;keywords&gt;&lt;keyword&gt;Science -- Social aspects&lt;/keyword&gt;&lt;keyword&gt;Science -- Social aspects&lt;/keyword&gt;&lt;keyword&gt;Science and society&lt;/keyword&gt;&lt;keyword&gt;Sociology of science&lt;/keyword&gt;&lt;keyword&gt;Science Sociological perspectives&lt;/keyword&gt;&lt;/keywords&gt;&lt;titles&gt;&lt;title&gt;The Ethnographic Study of Scientific Work: Towards a Constructivist Interpretation of Science&lt;/title&gt;&lt;secondary-title&gt;Science observed : perspectives on the social study of science&lt;/secondary-title&gt;&lt;/titles&gt;&lt;contributors&gt;&lt;authors&gt;&lt;author&gt;Knorr-Cetina, K. D.&lt;/author&gt;&lt;/authors&gt;&lt;/contributors&gt;&lt;added-date format="utc"&gt;1523284360&lt;/added-date&gt;&lt;pub-location&gt;London&lt;/pub-location&gt;&lt;ref-type name="Book Section"&gt;5&lt;/ref-type&gt;&lt;dates&gt;&lt;year&gt;1983&lt;/year&gt;&lt;/dates&gt;&lt;rec-number&gt;7466&lt;/rec-number&gt;&lt;publisher&gt;Sage&lt;/publisher&gt;&lt;last-updated-date format="utc"&gt;1523284506&lt;/last-updated-date&gt;&lt;contributors&gt;&lt;secondary-authors&gt;&lt;author&gt;Knorr-Cetina, K. D.&lt;/author&gt;&lt;author&gt;Mulkay, M. J.&lt;/author&gt;&lt;/secondary-authors&gt;&lt;/contributors&gt;&lt;/record&gt;&lt;/Cite&gt;&lt;/EndNote&gt;</w:instrText>
      </w:r>
      <w:r w:rsidRPr="006D506C">
        <w:rPr>
          <w:sz w:val="24"/>
          <w:szCs w:val="24"/>
        </w:rPr>
        <w:fldChar w:fldCharType="separate"/>
      </w:r>
      <w:r>
        <w:rPr>
          <w:noProof/>
          <w:sz w:val="24"/>
          <w:szCs w:val="24"/>
        </w:rPr>
        <w:t>(Knorr-Cetina, 1983, p. 132)</w:t>
      </w:r>
      <w:r w:rsidRPr="006D506C">
        <w:rPr>
          <w:sz w:val="24"/>
          <w:szCs w:val="24"/>
        </w:rPr>
        <w:fldChar w:fldCharType="end"/>
      </w:r>
      <w:r w:rsidRPr="006D506C">
        <w:rPr>
          <w:sz w:val="24"/>
          <w:szCs w:val="24"/>
        </w:rPr>
        <w:t xml:space="preserve"> </w:t>
      </w:r>
      <w:r>
        <w:rPr>
          <w:sz w:val="24"/>
          <w:szCs w:val="24"/>
        </w:rPr>
        <w:t xml:space="preserve">lead researchers to reach out beyond the </w:t>
      </w:r>
      <w:r w:rsidRPr="006D506C">
        <w:rPr>
          <w:sz w:val="24"/>
          <w:szCs w:val="24"/>
        </w:rPr>
        <w:t>“boundaries of a scientific community”</w:t>
      </w:r>
      <w:r>
        <w:rPr>
          <w:sz w:val="24"/>
          <w:szCs w:val="24"/>
        </w:rPr>
        <w:t xml:space="preserve"> (Knorr-Cetina, pp. 132-133)</w:t>
      </w:r>
      <w:r w:rsidRPr="006D506C">
        <w:rPr>
          <w:sz w:val="24"/>
          <w:szCs w:val="24"/>
        </w:rPr>
        <w:t>.</w:t>
      </w:r>
      <w:r>
        <w:rPr>
          <w:sz w:val="24"/>
          <w:szCs w:val="24"/>
        </w:rPr>
        <w:t xml:space="preserve"> Outreach is therefore not only about transmitting knowledge to potential users, but about bringing academics into </w:t>
      </w:r>
      <w:r w:rsidRPr="006D506C">
        <w:rPr>
          <w:sz w:val="24"/>
          <w:szCs w:val="24"/>
        </w:rPr>
        <w:t xml:space="preserve">a </w:t>
      </w:r>
      <w:r>
        <w:rPr>
          <w:sz w:val="24"/>
          <w:szCs w:val="24"/>
        </w:rPr>
        <w:t xml:space="preserve">boundary-crossing </w:t>
      </w:r>
      <w:r w:rsidRPr="006D506C">
        <w:rPr>
          <w:sz w:val="24"/>
          <w:szCs w:val="24"/>
        </w:rPr>
        <w:t>“dialogical space”</w:t>
      </w:r>
      <w:r>
        <w:rPr>
          <w:sz w:val="24"/>
          <w:szCs w:val="24"/>
        </w:rPr>
        <w:t xml:space="preserve"> </w:t>
      </w:r>
      <w:r w:rsidRPr="006D506C">
        <w:rPr>
          <w:sz w:val="24"/>
          <w:szCs w:val="24"/>
        </w:rPr>
        <w:fldChar w:fldCharType="begin"/>
      </w:r>
      <w:r w:rsidRPr="006D506C">
        <w:rPr>
          <w:sz w:val="24"/>
          <w:szCs w:val="24"/>
        </w:rPr>
        <w:instrText xml:space="preserve"> ADDIN EN.CITE &lt;EndNote&gt;&lt;Cite ExcludeAuth="1"&gt;&lt;Author&gt;Smith&lt;/Author&gt;&lt;Year&gt;2011&lt;/Year&gt;&lt;IDText&gt;&amp;apos;Impact&amp;apos; in the proposals for the UK&amp;apos;s Research Excellence Framework: Shifting the boundaries of academic autonomy&lt;/IDText&gt;&lt;DisplayText&gt;(2011)&lt;/DisplayText&gt;&lt;record&gt;&lt;urls&gt;&lt;related-urls&gt;&lt;url&gt;https://www.scopus.com/inward/record.uri?eid=2-s2.0-80053612045&amp;amp;partnerID=40&amp;amp;md5=5feb4e75c22a84f1166223c45557d3cd&lt;/url&gt;&lt;/related-urls&gt;&lt;/urls&gt;&lt;work-type&gt;Article&lt;/work-type&gt;&lt;titles&gt;&lt;title&gt;&amp;apos;Impact&amp;apos; in the proposals for the UK&amp;apos;s Research Excellence Framework: Shifting the boundaries of academic autonomy&lt;/title&gt;&lt;secondary-title&gt;Research Policy&lt;/secondary-title&gt;&lt;/titles&gt;&lt;pages&gt;1369-1379&lt;/pages&gt;&lt;number&gt;10&lt;/number&gt;&lt;contributors&gt;&lt;authors&gt;&lt;author&gt;Smith, S.&lt;/author&gt;&lt;author&gt;Ward, V.&lt;/author&gt;&lt;author&gt;House, A.&lt;/author&gt;&lt;/authors&gt;&lt;/contributors&gt;&lt;added-date format="utc"&gt;1473704837&lt;/added-date&gt;&lt;ref-type name="Journal Article"&gt;17&lt;/ref-type&gt;&lt;dates&gt;&lt;year&gt;2011&lt;/year&gt;&lt;/dates&gt;&lt;rec-number&gt;3526&lt;/rec-number&gt;&lt;last-updated-date format="utc"&gt;1473704837&lt;/last-updated-date&gt;&lt;electronic-resource-num&gt;10.1016/j.respol.2011.05.026&lt;/electronic-resource-num&gt;&lt;volume&gt;40&lt;/volume&gt;&lt;remote-database-name&gt;Scopus&lt;/remote-database-name&gt;&lt;/record&gt;&lt;/Cite&gt;&lt;/EndNote&gt;</w:instrText>
      </w:r>
      <w:r w:rsidRPr="006D506C">
        <w:rPr>
          <w:sz w:val="24"/>
          <w:szCs w:val="24"/>
        </w:rPr>
        <w:fldChar w:fldCharType="separate"/>
      </w:r>
      <w:r w:rsidRPr="006D506C">
        <w:rPr>
          <w:noProof/>
          <w:sz w:val="24"/>
          <w:szCs w:val="24"/>
        </w:rPr>
        <w:t>(2011)</w:t>
      </w:r>
      <w:r w:rsidRPr="006D506C">
        <w:rPr>
          <w:sz w:val="24"/>
          <w:szCs w:val="24"/>
        </w:rPr>
        <w:fldChar w:fldCharType="end"/>
      </w:r>
      <w:r w:rsidRPr="006D506C">
        <w:rPr>
          <w:sz w:val="24"/>
          <w:szCs w:val="24"/>
        </w:rPr>
        <w:t xml:space="preserve"> </w:t>
      </w:r>
      <w:r>
        <w:rPr>
          <w:sz w:val="24"/>
          <w:szCs w:val="24"/>
        </w:rPr>
        <w:t>where they “</w:t>
      </w:r>
      <w:r w:rsidRPr="006D506C">
        <w:rPr>
          <w:sz w:val="24"/>
          <w:szCs w:val="24"/>
        </w:rPr>
        <w:t xml:space="preserve">negotiate the social demand for particular types of scientific knowledge, contest political and economic constraints on their research agenda or challenge illegitimate uses of their research” </w:t>
      </w:r>
      <w:r w:rsidRPr="006D506C">
        <w:rPr>
          <w:sz w:val="24"/>
          <w:szCs w:val="24"/>
        </w:rPr>
        <w:fldChar w:fldCharType="begin"/>
      </w:r>
      <w:r>
        <w:rPr>
          <w:sz w:val="24"/>
          <w:szCs w:val="24"/>
        </w:rPr>
        <w:instrText xml:space="preserve"> ADDIN EN.CITE &lt;EndNote&gt;&lt;Cite&gt;&lt;Author&gt;Smith&lt;/Author&gt;&lt;Year&gt;2011&lt;/Year&gt;&lt;IDText&gt;&amp;apos;Impact&amp;apos; in the proposals for the UK&amp;apos;s Research Excellence Framework: Shifting the boundaries of academic autonomy&lt;/IDText&gt;&lt;Pages&gt;1377&lt;/Pages&gt;&lt;DisplayText&gt;(S. Smith et al., 2011, p. 1377)&lt;/DisplayText&gt;&lt;record&gt;&lt;urls&gt;&lt;related-urls&gt;&lt;url&gt;https://www.scopus.com/inward/record.uri?eid=2-s2.0-80053612045&amp;amp;partnerID=40&amp;amp;md5=5feb4e75c22a84f1166223c45557d3cd&lt;/url&gt;&lt;/related-urls&gt;&lt;/urls&gt;&lt;work-type&gt;Article&lt;/work-type&gt;&lt;titles&gt;&lt;title&gt;&amp;apos;Impact&amp;apos; in the proposals for the UK&amp;apos;s Research Excellence Framework: Shifting the boundaries of academic autonomy&lt;/title&gt;&lt;secondary-title&gt;Research Policy&lt;/secondary-title&gt;&lt;/titles&gt;&lt;pages&gt;1369-1379&lt;/pages&gt;&lt;number&gt;10&lt;/number&gt;&lt;contributors&gt;&lt;authors&gt;&lt;author&gt;Smith, S.&lt;/author&gt;&lt;author&gt;Ward, V.&lt;/author&gt;&lt;author&gt;House, A.&lt;/author&gt;&lt;/authors&gt;&lt;/contributors&gt;&lt;added-date format="utc"&gt;1473704837&lt;/added-date&gt;&lt;ref-type name="Journal Article"&gt;17&lt;/ref-type&gt;&lt;dates&gt;&lt;year&gt;2011&lt;/year&gt;&lt;/dates&gt;&lt;rec-number&gt;3526&lt;/rec-number&gt;&lt;last-updated-date format="utc"&gt;1473704837&lt;/last-updated-date&gt;&lt;electronic-resource-num&gt;10.1016/j.respol.2011.05.026&lt;/electronic-resource-num&gt;&lt;volume&gt;40&lt;/volume&gt;&lt;remote-database-name&gt;Scopus&lt;/remote-database-name&gt;&lt;/record&gt;&lt;/Cite&gt;&lt;/EndNote&gt;</w:instrText>
      </w:r>
      <w:r w:rsidRPr="006D506C">
        <w:rPr>
          <w:sz w:val="24"/>
          <w:szCs w:val="24"/>
        </w:rPr>
        <w:fldChar w:fldCharType="separate"/>
      </w:r>
      <w:r>
        <w:rPr>
          <w:noProof/>
          <w:sz w:val="24"/>
          <w:szCs w:val="24"/>
        </w:rPr>
        <w:t>(S. Smith et al., 2011, p. 1377)</w:t>
      </w:r>
      <w:r w:rsidRPr="006D506C">
        <w:rPr>
          <w:sz w:val="24"/>
          <w:szCs w:val="24"/>
        </w:rPr>
        <w:fldChar w:fldCharType="end"/>
      </w:r>
      <w:r w:rsidRPr="006D506C">
        <w:rPr>
          <w:sz w:val="24"/>
          <w:szCs w:val="24"/>
        </w:rPr>
        <w:t>.</w:t>
      </w:r>
    </w:p>
    <w:p w14:paraId="125EF966" w14:textId="4E4575B6" w:rsidR="00DC7B41" w:rsidRDefault="00DC7B41" w:rsidP="00DC7B41">
      <w:pPr>
        <w:autoSpaceDE w:val="0"/>
        <w:autoSpaceDN w:val="0"/>
        <w:adjustRightInd w:val="0"/>
        <w:spacing w:after="120" w:line="360" w:lineRule="auto"/>
        <w:rPr>
          <w:rFonts w:eastAsia="Times New Roman"/>
          <w:sz w:val="24"/>
          <w:szCs w:val="24"/>
        </w:rPr>
      </w:pPr>
      <w:r>
        <w:rPr>
          <w:rFonts w:eastAsia="AdvTimes"/>
          <w:sz w:val="24"/>
          <w:szCs w:val="24"/>
        </w:rPr>
        <w:t>However, this does not mean that all academics are necessarily entirely comfortable or sanguine about the demands and opportunities of outreach, particularly given the way outreach and engagement are framed in the context of the impact agenda. For example, re</w:t>
      </w:r>
      <w:r>
        <w:rPr>
          <w:iCs/>
          <w:sz w:val="24"/>
          <w:szCs w:val="24"/>
        </w:rPr>
        <w:t xml:space="preserve">cent research at the level of individual academics has revealed tensions between the </w:t>
      </w:r>
      <w:r w:rsidRPr="002B1D01">
        <w:rPr>
          <w:iCs/>
          <w:sz w:val="24"/>
          <w:szCs w:val="24"/>
        </w:rPr>
        <w:t>system-level</w:t>
      </w:r>
      <w:r>
        <w:rPr>
          <w:iCs/>
          <w:sz w:val="24"/>
          <w:szCs w:val="24"/>
        </w:rPr>
        <w:t xml:space="preserve"> impact agenda on the one hand, with its basis in the third mission and ‘academic capitalism’, and the </w:t>
      </w:r>
      <w:r w:rsidRPr="002B1D01">
        <w:rPr>
          <w:iCs/>
          <w:sz w:val="24"/>
          <w:szCs w:val="24"/>
        </w:rPr>
        <w:t>individual-level</w:t>
      </w:r>
      <w:r>
        <w:rPr>
          <w:iCs/>
          <w:sz w:val="24"/>
          <w:szCs w:val="24"/>
        </w:rPr>
        <w:t xml:space="preserve"> motivation for engagement and outreach on the other, often grounded in a sense of “epistemic responsibility” </w:t>
      </w:r>
      <w:r>
        <w:rPr>
          <w:iCs/>
          <w:sz w:val="24"/>
          <w:szCs w:val="24"/>
        </w:rPr>
        <w:fldChar w:fldCharType="begin"/>
      </w:r>
      <w:r>
        <w:rPr>
          <w:iCs/>
          <w:sz w:val="24"/>
          <w:szCs w:val="24"/>
        </w:rPr>
        <w:instrText xml:space="preserve"> ADDIN EN.CITE &lt;EndNote&gt;&lt;Cite&gt;&lt;Author&gt;Chubb&lt;/Author&gt;&lt;Year&gt;2017&lt;/Year&gt;&lt;IDText&gt;Instrumentalism and Epistemic Responsibility: Researchers and the Impact Agenda in the UK and Australia&lt;/IDText&gt;&lt;Pages&gt;2&lt;/Pages&gt;&lt;DisplayText&gt;(Chubb, 2017, p. 2)&lt;/DisplayText&gt;&lt;record&gt;&lt;titles&gt;&lt;title&gt;Instrumentalism and Epistemic Responsibility: Researchers and the Impact Agenda in the UK and Australia&lt;/title&gt;&lt;secondary-title&gt;Department of Education&lt;/secondary-title&gt;&lt;/titles&gt;&lt;contributors&gt;&lt;authors&gt;&lt;author&gt;Chubb, Jennifer&lt;/author&gt;&lt;/authors&gt;&lt;/contributors&gt;&lt;added-date format="utc"&gt;1530703402&lt;/added-date&gt;&lt;pub-location&gt;York&lt;/pub-location&gt;&lt;ref-type name="Thesis"&gt;32&lt;/ref-type&gt;&lt;dates&gt;&lt;year&gt;2017&lt;/year&gt;&lt;/dates&gt;&lt;rec-number&gt;7584&lt;/rec-number&gt;&lt;publisher&gt;University of York&lt;/publisher&gt;&lt;last-updated-date format="utc"&gt;1530704525&lt;/last-updated-date&gt;&lt;volume&gt;PhD thesis&lt;/volume&gt;&lt;/record&gt;&lt;/Cite&gt;&lt;/EndNote&gt;</w:instrText>
      </w:r>
      <w:r>
        <w:rPr>
          <w:iCs/>
          <w:sz w:val="24"/>
          <w:szCs w:val="24"/>
        </w:rPr>
        <w:fldChar w:fldCharType="separate"/>
      </w:r>
      <w:r>
        <w:rPr>
          <w:iCs/>
          <w:noProof/>
          <w:sz w:val="24"/>
          <w:szCs w:val="24"/>
        </w:rPr>
        <w:t>(Chubb, 2017, p. 2)</w:t>
      </w:r>
      <w:r>
        <w:rPr>
          <w:iCs/>
          <w:sz w:val="24"/>
          <w:szCs w:val="24"/>
        </w:rPr>
        <w:fldChar w:fldCharType="end"/>
      </w:r>
      <w:r>
        <w:rPr>
          <w:iCs/>
          <w:sz w:val="24"/>
          <w:szCs w:val="24"/>
        </w:rPr>
        <w:t xml:space="preserve">. Moreover, there are multiple instances of academics reflecting on what the impact agenda means for their own field of research </w:t>
      </w:r>
      <w:r w:rsidRPr="00F900FC">
        <w:rPr>
          <w:rFonts w:eastAsia="Times New Roman"/>
          <w:sz w:val="24"/>
          <w:szCs w:val="24"/>
        </w:rPr>
        <w:fldChar w:fldCharType="begin">
          <w:fldData xml:space="preserve">PEVuZE5vdGU+PENpdGU+PEF1dGhvcj5MYWluZzwvQXV0aG9yPjxZZWFyPjIwMTg8L1llYXI+PElE
VGV4dD5UaGUgaW1wYWN0IGFnZW5kYSBhbmQgY3JpdGljYWwgc29jaWFsIHJlc2VhcmNoIGluIGVk
dWNhdGlvbjogSGl0dGluZyB0aGUgdGFyZ2V0IGJ1dCBtaXNzaW5nIHRoZSBzcG90PzwvSURUZXh0
PjxEaXNwbGF5VGV4dD4oZm9yIGV4YW1wbGUsIEV2YW5zLCAyMDE2OyBIb2xsYW5kLCAyMDE1OyBL
ZWxsYXJkICZhbXA7IMWabGl3YSwgMjAxNjsgTGFpbmcgZXQgYWwuLCAyMDE4OyBNYWNJbnRvc2gg
ZXQgYWwuLCAyMDE3OyBNYXJjZWxsYSwgTG9ja2VyYmllLCAmYW1wOyBCbG9pY2UsIDIwMTY7IE1v
cmVuby1DYXNiYXMsIDIwMTY7IE/igJlDb25uZWxsLCAyMDE4OyBLLiBFLiBTbWl0aCAmYW1wOyBT
dGV3YXJ0LCAyMDE3OyBXaW1tZXIsIFJldGhsZWZzZW4sIEphcnZpcywgJmFtcDsgU2hpcG1hbiwg
MjAxNik8L0Rpc3BsYXlUZXh0PjxyZWNvcmQ+PGtleXdvcmRzPjxrZXl3b3JkPkltcGFjdDwva2V5
d29yZD48a2V5d29yZD5Dcml0aWNhbCBFZHVjYXRpb25hbCBSZXNlYXJjaDwva2V5d29yZD48a2V5
d29yZD5Tb2NpYWwgSnVzdGljZTwva2V5d29yZD48a2V5d29yZD5Cb3VyZGlldTwva2V5d29yZD48
a2V5d29yZD5WYWxvcml6YXRpb248L2tleXdvcmQ+PC9rZXl3b3Jkcz48aXNibj4xNDc4LTIxMDM8
L2lzYm4+PHRpdGxlcz48dGl0bGU+VGhlIGltcGFjdCBhZ2VuZGEgYW5kIGNyaXRpY2FsIHNvY2lh
bCByZXNlYXJjaCBpbiBlZHVjYXRpb246IEhpdHRpbmcgdGhlIHRhcmdldCBidXQgbWlzc2luZyB0
aGUgc3BvdD88L3RpdGxlPjxzZWNvbmRhcnktdGl0bGU+UG9saWN5IEZ1dHVyZXMgaW4gRWR1Y2F0
aW9uPC9zZWNvbmRhcnktdGl0bGU+PC90aXRsZXM+PHBhZ2VzPjE2OS0xODQ8L3BhZ2VzPjxudW1i
ZXI+MjwvbnVtYmVyPjxjb250cmlidXRvcnM+PGF1dGhvcnM+PGF1dGhvcj5MYWluZywgS2FyZW48
L2F1dGhvcj48YXV0aG9yPk1henpvbGkgU21pdGgsIExhdXJhPC9hdXRob3I+PGF1dGhvcj5Ub2Rk
LCBMaXo8L2F1dGhvcj48L2F1dGhvcnM+PC9jb250cmlidXRvcnM+PGFkZGVkLWRhdGUgZm9ybWF0
PSJ1dGMiPjE1MjA4NjYwMTM8L2FkZGVkLWRhdGU+PHJlZi10eXBlIG5hbWU9IkpvdXJuYWwgQXJ0
aWNsZSI+MTc8L3JlZi10eXBlPjxkYXRlcz48eWVhcj4yMDE4PC95ZWFyPjwvZGF0ZXM+PHJlYy1u
dW1iZXI+NzM5MzwvcmVjLW51bWJlcj48bGFzdC11cGRhdGVkLWRhdGUgZm9ybWF0PSJ1dGMiPjE1
MjA4NjYwMTM8L2xhc3QtdXBkYXRlZC1kYXRlPjxlbGVjdHJvbmljLXJlc291cmNlLW51bT4xMC4x
MTc3LzE0NzgyMTAzMTc3NDIyMTQ8L2VsZWN0cm9uaWMtcmVzb3VyY2UtbnVtPjx2b2x1bWU+MTY8
L3ZvbHVtZT48L3JlY29yZD48L0NpdGU+PENpdGU+PEF1dGhvcj5P4oCZQ29ubmVsbDwvQXV0aG9y
PjxZZWFyPjIwMTg8L1llYXI+PElEVGV4dD5FeGFtaW5pbmcgZGlmZmVyZW50aWF0aW9uIGluIGFj
YWRlbWljIHJlc3BvbnNlcyB0byByZXNlYXJjaCBpbXBhY3QgcG9saWN5OiBtZWRpYXRpbmcgZmFj
dG9ycyBpbiB0aGUgY29udGV4dCBvZiBlZHVjYXRpb25hbCByZXNlYXJjaDwvSURUZXh0PjxyZWNv
cmQ+PGtleXdvcmRzPjxrZXl3b3JkPkFydGljbGU8L2tleXdvcmQ+PGtleXdvcmQ+UG9saWN5IEFu
YWx5c2lzPC9rZXl3b3JkPjxrZXl3b3JkPlJlbGF0aW9uYWwgUGVyc3BlY3RpdmU8L2tleXdvcmQ+
PGtleXdvcmQ+UmVzZWFyY2ggUG9saWN5PC9rZXl3b3JkPjxrZXl3b3JkPlRlcnRpYXJ5IEVkdWNh
dGlvbjwva2V5d29yZD48a2V5d29yZD5JbnN0aXR1dGlvbmFsIFJlc2VhcmNoPC9rZXl3b3JkPjwv
a2V5d29yZHM+PGlzYm4+MDMwNy01MDc5PC9pc2JuPjx0aXRsZXM+PHRpdGxlPkV4YW1pbmluZyBk
aWZmZXJlbnRpYXRpb24gaW4gYWNhZGVtaWMgcmVzcG9uc2VzIHRvIHJlc2VhcmNoIGltcGFjdCBw
b2xpY3k6IG1lZGlhdGluZyBmYWN0b3JzIGluIHRoZSBjb250ZXh0IG9mIGVkdWNhdGlvbmFsIHJl
c2VhcmNoPC90aXRsZT48c2Vjb25kYXJ5LXRpdGxlPlN0dWRpZXMgaW4gSGlnaGVyIEVkdWNhdGlv
bjwvc2Vjb25kYXJ5LXRpdGxlPjwvdGl0bGVzPjxwYWdlcz4xLTE2PC9wYWdlcz48Y29udHJpYnV0
b3JzPjxhdXRob3JzPjxhdXRob3I+T+KAmUNvbm5lbGwsIENhdGhlcmluZTwvYXV0aG9yPjwvYXV0
aG9ycz48L2NvbnRyaWJ1dG9ycz48YWRkZWQtZGF0ZSBmb3JtYXQ9InV0YyI+MTUyMTY0NDE1MTwv
YWRkZWQtZGF0ZT48cmVmLXR5cGUgbmFtZT0iSm91cm5hbCBBcnRpY2xlIj4xNzwvcmVmLXR5cGU+
PGRhdGVzPjx5ZWFyPjIwMTg8L3llYXI+PC9kYXRlcz48cmVjLW51bWJlcj43NDAzPC9yZWMtbnVt
YmVyPjxwdWJsaXNoZXI+Um91dGxlZGdlPC9wdWJsaXNoZXI+PGxhc3QtdXBkYXRlZC1kYXRlIGZv
cm1hdD0idXRjIj4xNTIxODAyNjg5PC9sYXN0LXVwZGF0ZWQtZGF0ZT48ZWxlY3Ryb25pYy1yZXNv
dXJjZS1udW0+MTAuMTA4MC8wMzA3NTA3OS4yMDE4LjE0NDc1NTY8L2VsZWN0cm9uaWMtcmVzb3Vy
Y2UtbnVtPjwvcmVjb3JkPjwvQ2l0ZT48Q2l0ZT48QXV0aG9yPk1hY0ludG9zaDwvQXV0aG9yPjxZ
ZWFyPjIwMTc8L1llYXI+PElEVGV4dD5JbXBhY3QgYW5kIE1hbmFnZW1lbnQgUmVzZWFyY2g6IEV4
cGxvcmluZyBSZWxhdGlvbnNoaXBzIGJldHdlZW4gVGVtcG9yYWxpdHksIERpYWxvZ3VlLCBSZWZs
ZXhpdml0eSBhbmQgUHJheGlzPC9JRFRleHQ+PHJlY29yZD48dXJscz48cmVsYXRlZC11cmxzPjx1
cmw+aHR0cHM6Ly93d3cuc2NvcHVzLmNvbS9pbndhcmQvcmVjb3JkLnVyaT9laWQ9Mi1zMi4wLTg1
MDA5ODE0Njg0JmFtcDtkb2k9MTAuMTExMSUyZjE0NjctODU1MS4xMjIwNyZhbXA7cGFydG5lcklE
PTQwJmFtcDttZDU9YTRlOGM1N2M5ZTcxN2VhMTEzNmYzN2Q0ZmVlMWQ4MGI8L3VybD48L3JlbGF0
ZWQtdXJscz48L3VybHM+PHdvcmstdHlwZT5Db25mZXJlbmNlIFBhcGVyPC93b3JrLXR5cGU+PHRp
dGxlcz48dGl0bGU+SW1wYWN0IGFuZCBNYW5hZ2VtZW50IFJlc2VhcmNoOiBFeHBsb3JpbmcgUmVs
YXRpb25zaGlwcyBiZXR3ZWVuIFRlbXBvcmFsaXR5LCBEaWFsb2d1ZSwgUmVmbGV4aXZpdHkgYW5k
IFByYXhpczwvdGl0bGU+PHNlY29uZGFyeS10aXRsZT5Ccml0aXNoIEpvdXJuYWwgb2YgTWFuYWdl
bWVudDwvc2Vjb25kYXJ5LXRpdGxlPjwvdGl0bGVzPjxwYWdlcz4zLTEzPC9wYWdlcz48bnVtYmVy
PjE8L251bWJlcj48Y29udHJpYnV0b3JzPjxhdXRob3JzPjxhdXRob3I+TWFjSW50b3NoLCBSLjwv
YXV0aG9yPjxhdXRob3I+QmVlY2gsIE4uPC9hdXRob3I+PGF1dGhvcj5CYXJ0dW5laywgSi48L2F1
dGhvcj48YXV0aG9yPk1hc29uLCBLLjwvYXV0aG9yPjxhdXRob3I+Q29va2UsIEIuPC9hdXRob3I+
PGF1dGhvcj5EZW55ZXIsIEQuPC9hdXRob3I+PC9hdXRob3JzPjwvY29udHJpYnV0b3JzPjxsYW5n
dWFnZT5FbmdsaXNoPC9sYW5ndWFnZT48YWRkZWQtZGF0ZSBmb3JtYXQ9InV0YyI+MTQ5Mjc2NDA3
NDwvYWRkZWQtZGF0ZT48cmVmLXR5cGUgbmFtZT0iSm91cm5hbCBBcnRpY2xlIj4xNzwvcmVmLXR5
cGU+PGF1dGgtYWRkcmVzcz5TY2hvb2wgb2YgU29jaWFsIFNjaWVuY2VzLCBIZXJpb3QtV2F0dCBV
bml2ZXJzaXR5LCBFZGluYnVyZ2gsIFVuaXRlZCBLaW5nZG9tJiN4RDtVbml2ZXJzaXR5IG9mIER1
bmRlZSwgTmV0aGVyZ2F0ZSwgRHVuZGVlLCBVbml0ZWQgS2luZ2RvbSYjeEQ7Qm9zdG9uIENvbGxl
Z2UsIDE0MCBDb21tb253ZWFsdGggQXZlbnVlLCBDaGVzdG51dCBIaWxsLCBVbml0ZWQgU3RhdGVz
JiN4RDtVbml2ZXJzaXR5IG9mIExhbmNhc3RlciwgQmFpbHJpZ2csIExhbmNhc3RlciwgVW5pdGVk
IEtpbmdkb20mI3hEO1VuaXZlcnNpdHkgb2YgWW9yaywgSGVzbGluZ3RvbiwgWW9yaywgVW5pdGVk
IEtpbmdkb20mI3hEO0NyYW5maWVsZCBVbml2ZXJzaXR5LCBDb2xsZWdlIFJkLCBDcmFuZmllbGQs
IEJlZGZvcmQsIFVuaXRlZCBLaW5nZG9tPC9hdXRoLWFkZHJlc3M+PGRhdGVzPjx5ZWFyPjIwMTc8
L3llYXI+PC9kYXRlcz48cmVjLW51bWJlcj42NzMzPC9yZWMtbnVtYmVyPjxwdWJsaXNoZXI+Qmxh
Y2t3ZWxsIFB1Ymxpc2hpbmcgTHRkPC9wdWJsaXNoZXI+PGxhc3QtdXBkYXRlZC1kYXRlIGZvcm1h
dD0idXRjIj4xNDkyNzY0MDc0PC9sYXN0LXVwZGF0ZWQtZGF0ZT48ZWxlY3Ryb25pYy1yZXNvdXJj
ZS1udW0+MTAuMTExMS8xNDY3LTg1NTEuMTIyMDc8L2VsZWN0cm9uaWMtcmVzb3VyY2UtbnVtPjx2
b2x1bWU+Mjg8L3ZvbHVtZT48cmVtb3RlLWRhdGFiYXNlLW5hbWU+U2NvcHVzPC9yZW1vdGUtZGF0
YWJhc2UtbmFtZT48L3JlY29yZD48L0NpdGU+PENpdGU+PEF1dGhvcj5TbWl0aDwvQXV0aG9yPjxZ
ZWFyPjIwMTc8L1llYXI+PElEVGV4dD5XZSBOZWVkIHRvIFRhbGsgYWJvdXQgSW1wYWN0OiBXaHkg
U29jaWFsIFBvbGljeSBBY2FkZW1pY3MgbmVlZCB0byBFbmdhZ2Ugd2l0aCB0aGUgVUsmYXBvcztz
IFJlc2VhcmNoIEltcGFjdCBBZ2VuZGE8L0lEVGV4dD48cmVjb3JkPjxrZXl3b3Jkcz48a2V5d29y
ZD5BcnRpY2xlczwva2V5d29yZD48L2tleXdvcmRzPjxpc2JuPjAwNDctMjc5NDwvaXNibj48dGl0
bGVzPjx0aXRsZT5XZSBOZWVkIHRvIFRhbGsgYWJvdXQgSW1wYWN0OiBXaHkgU29jaWFsIFBvbGlj
eSBBY2FkZW1pY3MgbmVlZCB0byBFbmdhZ2Ugd2l0aCB0aGUgVUsmYXBvcztzIFJlc2VhcmNoIElt
cGFjdCBBZ2VuZGE8L3RpdGxlPjwvdGl0bGVzPjxwYWdlcz4xMDktMTI3PC9wYWdlcz48bnVtYmVy
PjE8L251bWJlcj48Y29udHJpYnV0b3JzPjxhdXRob3JzPjxhdXRob3I+U21pdGgsIEthdGhlcmlu
ZSBFLjwvYXV0aG9yPjxhdXRob3I+U3Rld2FydCwgRWxsZW48L2F1dGhvcj48L2F1dGhvcnM+PC9j
b250cmlidXRvcnM+PGFkZGVkLWRhdGUgZm9ybWF0PSJ1dGMiPjE1MjQwNDcyNjU8L2FkZGVkLWRh
dGU+PHJlZi10eXBlIG5hbWU9IkpvdXJuYWwgQXJ0aWNsZSI+MTc8L3JlZi10eXBlPjxkYXRlcz48
eWVhcj4yMDE3PC95ZWFyPjwvZGF0ZXM+PHJlYy1udW1iZXI+NzQ5MjwvcmVjLW51bWJlcj48bGFz
dC11cGRhdGVkLWRhdGUgZm9ybWF0PSJ1dGMiPjE1MjQwNDcyNjU8L2xhc3QtdXBkYXRlZC1kYXRl
PjxlbGVjdHJvbmljLXJlc291cmNlLW51bT4xMC4xMDE3L1MwMDQ3Mjc5NDE2MDAwMjgzPC9lbGVj
dHJvbmljLXJlc291cmNlLW51bT48dm9sdW1lPjQ2PC92b2x1bWU+PC9yZWNvcmQ+PC9DaXRlPjxD
aXRlPjxBdXRob3I+TWFyY2VsbGE8L0F1dGhvcj48WWVhcj4yMDE2PC9ZZWFyPjxJRFRleHQ+QmV5
b25kIFJFRiAyMDE0OiBUaGUgaW1wYWN0IG9mIGltcGFjdCBhc3Nlc3NtZW50IG9uIHRoZSBmdXR1
cmUgb2YgaW5mb3JtYXRpb24gcmVzZWFyY2g8L0lEVGV4dD48cmVjb3JkPjxkYXRlcz48cHViLWRh
dGVzPjxkYXRlPkp1bjwvZGF0ZT48L3B1Yi1kYXRlcz48eWVhcj4yMDE2PC95ZWFyPjwvZGF0ZXM+
PHVybHM+PHJlbGF0ZWQtdXJscz48dXJsPiZsdDtHbyB0byBJU0kmZ3Q7Oi8vV09TOjAwMDM3NjY2
MjcwMDAwOTwvdXJsPjwvcmVsYXRlZC11cmxzPjwvdXJscz48aXNibj4wMTY1LTU1MTU8L2lzYm4+
PHRpdGxlcz48dGl0bGU+QmV5b25kIFJFRiAyMDE0OiBUaGUgaW1wYWN0IG9mIGltcGFjdCBhc3Nl
c3NtZW50IG9uIHRoZSBmdXR1cmUgb2YgaW5mb3JtYXRpb24gcmVzZWFyY2g8L3RpdGxlPjxzZWNv
bmRhcnktdGl0bGU+Sm91cm5hbCBvZiBJbmZvcm1hdGlvbiBTY2llbmNlPC9zZWNvbmRhcnktdGl0
bGU+PC90aXRsZXM+PHBhZ2VzPjM2OS0zODU8L3BhZ2VzPjxudW1iZXI+MzwvbnVtYmVyPjxjb250
cmlidXRvcnM+PGF1dGhvcnM+PGF1dGhvcj5NYXJjZWxsYSwgUml0YTwvYXV0aG9yPjxhdXRob3I+
TG9ja2VyYmllLCBIYXlsZXk8L2F1dGhvcj48YXV0aG9yPkJsb2ljZSwgTHluZHNheTwvYXV0aG9y
PjwvYXV0aG9ycz48L2NvbnRyaWJ1dG9ycz48YWRkZWQtZGF0ZSBmb3JtYXQ9InV0YyI+MTQ3MDg0
ODY0NTwvYWRkZWQtZGF0ZT48cmVmLXR5cGUgbmFtZT0iSm91cm5hbCBBcnRpY2xlIj4xNzwvcmVm
LXR5cGU+PHJlYy1udW1iZXI+MjA1NjwvcmVjLW51bWJlcj48bGFzdC11cGRhdGVkLWRhdGUgZm9y
bWF0PSJ1dGMiPjE0NzA4NDg2NjY8L2xhc3QtdXBkYXRlZC1kYXRlPjxhY2Nlc3Npb24tbnVtPldP
UzowMDAzNzY2NjI3MDAwMDk8L2FjY2Vzc2lvbi1udW0+PGVsZWN0cm9uaWMtcmVzb3VyY2UtbnVt
PjEwLjExNzcvMDE2NTU1MTUxNjYzNjI5MTwvZWxlY3Ryb25pYy1yZXNvdXJjZS1udW0+PHZvbHVt
ZT40Mjwvdm9sdW1lPjwvcmVjb3JkPjwvQ2l0ZT48Q2l0ZT48QXV0aG9yPkV2YW5zPC9BdXRob3I+
PFllYXI+MjAxNjwvWWVhcj48SURUZXh0PkFjaGlldmluZyBhbmQgZXZpZGVuY2luZyByZXNlYXJj
aCAmYXBvcztpbXBhY3QmYXBvczs/IFRlbnNpb25zIGFuZCBkaWxlbW1hcyBmcm9tIGFuIGV0aGlj
IG9mIGNhcmUgcGVyc3BlY3RpdmU8L0lEVGV4dD48UHJlZml4PmZvciBleGFtcGxlYCwgPC9QcmVm
aXg+PHJlY29yZD48dXJscz48cmVsYXRlZC11cmxzPjx1cmw+aHR0cHM6Ly93d3cuc2NvcHVzLmNv
bS9pbndhcmQvcmVjb3JkLnVyaT9laWQ9Mi1zMi4wLTg0OTU5MDgzNTMyJmFtcDtwYXJ0bmVySUQ9
NDAmYW1wO21kNT1iNjk2YzcwY2E0YzVmNzE1ZDAwZDQxYjg2YTM4YTdiMzwvdXJsPjwvcmVsYXRl
ZC11cmxzPjwvdXJscz48d29yay10eXBlPkFydGljbGU8L3dvcmstdHlwZT48dGl0bGVzPjx0aXRs
ZT5BY2hpZXZpbmcgYW5kIGV2aWRlbmNpbmcgcmVzZWFyY2ggJmFwb3M7aW1wYWN0JmFwb3M7PyBU
ZW5zaW9ucyBhbmQgZGlsZW1tYXMgZnJvbSBhbiBldGhpYyBvZiBjYXJlIHBlcnNwZWN0aXZlPC90
aXRsZT48c2Vjb25kYXJ5LXRpdGxlPkFyZWE8L3NlY29uZGFyeS10aXRsZT48L3RpdGxlcz48cGFn
ZXM+MjEzLTIyMTwvcGFnZXM+PG51bWJlcj4yPC9udW1iZXI+PGNvbnRyaWJ1dG9ycz48YXV0aG9y
cz48YXV0aG9yPkV2YW5zLCBSLjwvYXV0aG9yPjwvYXV0aG9ycz48L2NvbnRyaWJ1dG9ycz48YWRk
ZWQtZGF0ZSBmb3JtYXQ9InV0YyI+MTQ3MDg0OTIwNjwvYWRkZWQtZGF0ZT48cmVmLXR5cGUgbmFt
ZT0iSm91cm5hbCBBcnRpY2xlIj4xNzwvcmVmLXR5cGU+PGRhdGVzPjx5ZWFyPjIwMTY8L3llYXI+
PC9kYXRlcz48cmVjLW51bWJlcj4yMDY4PC9yZWMtbnVtYmVyPjxsYXN0LXVwZGF0ZWQtZGF0ZSBm
b3JtYXQ9InV0YyI+MTQ3MDg0OTIwNjwvbGFzdC11cGRhdGVkLWRhdGU+PGVsZWN0cm9uaWMtcmVz
b3VyY2UtbnVtPjEwLjExMTEvYXJlYS4xMjI1NjwvZWxlY3Ryb25pYy1yZXNvdXJjZS1udW0+PHZv
bHVtZT40ODwvdm9sdW1lPjxyZW1vdGUtZGF0YWJhc2UtbmFtZT5TY29wdXM8L3JlbW90ZS1kYXRh
YmFzZS1uYW1lPjwvcmVjb3JkPjwvQ2l0ZT48Q2l0ZT48QXV0aG9yPldpbW1lcjwvQXV0aG9yPjxZ
ZWFyPjIwMTY8L1llYXI+PElEVGV4dD5VbmRlcnN0YW5kaW5nIFJlc2VhcmNoIEltcGFjdDogQSBS
ZXZpZXcgb2YgRXhpc3RpbmcgYW5kIEVtZXJnaW5nIFRvb2xzIGZvciBOdXJzaW5nPC9JRFRleHQ+
PHJlY29yZD48dXJscz48cmVsYXRlZC11cmxzPjx1cmw+aHR0cHM6Ly93d3cuc2NvcHVzLmNvbS9p
bndhcmQvcmVjb3JkLnVyaT9laWQ9Mi1zMi4wLTg0OTczNTIwMTg1JmFtcDtwYXJ0bmVySUQ9NDAm
YW1wO21kNT0xYTBkZTkwMjFmNGQ3NjUwZDFiZjY5Y2IzYmRkZGU3MDwvdXJsPjwvcmVsYXRlZC11
cmxzPjwvdXJscz48d29yay10eXBlPkFydGljbGUgaW4gUHJlc3M8L3dvcmstdHlwZT48dGl0bGVz
Pjx0aXRsZT5VbmRlcnN0YW5kaW5nIFJlc2VhcmNoIEltcGFjdDogQSBSZXZpZXcgb2YgRXhpc3Rp
bmcgYW5kIEVtZXJnaW5nIFRvb2xzIGZvciBOdXJzaW5nPC90aXRsZT48c2Vjb25kYXJ5LXRpdGxl
PkpvdXJuYWwgb2YgUHJvZmVzc2lvbmFsIE51cnNpbmc8L3NlY29uZGFyeS10aXRsZT48L3RpdGxl
cz48Y29udHJpYnV0b3JzPjxhdXRob3JzPjxhdXRob3I+V2ltbWVyLCBFLiBOLjwvYXV0aG9yPjxh
dXRob3I+UmV0aGxlZnNlbiwgTS4gTC48L2F1dGhvcj48YXV0aG9yPkphcnZpcywgQy48L2F1dGhv
cj48YXV0aG9yPlNoaXBtYW4sIEouIFAuPC9hdXRob3I+PC9hdXRob3JzPjwvY29udHJpYnV0b3Jz
PjxhZGRlZC1kYXRlIGZvcm1hdD0idXRjIj4xNDcwODQ5MjA3PC9hZGRlZC1kYXRlPjxyZWYtdHlw
ZSBuYW1lPSJKb3VybmFsIEFydGljbGUiPjE3PC9yZWYtdHlwZT48ZGF0ZXM+PHllYXI+MjAxNjwv
eWVhcj48L2RhdGVzPjxyZWMtbnVtYmVyPjIwODQ8L3JlYy1udW1iZXI+PGxhc3QtdXBkYXRlZC1k
YXRlIGZvcm1hdD0idXRjIj4xNDcwODQ5MjA3PC9sYXN0LXVwZGF0ZWQtZGF0ZT48ZWxlY3Ryb25p
Yy1yZXNvdXJjZS1udW0+MTAuMTAxNi9qLnByb2ZudXJzLjIwMTYuMDUuMDA1PC9lbGVjdHJvbmlj
LXJlc291cmNlLW51bT48cmVtb3RlLWRhdGFiYXNlLW5hbWU+U2NvcHVzPC9yZW1vdGUtZGF0YWJh
c2UtbmFtZT48L3JlY29yZD48L0NpdGU+PENpdGU+PEF1dGhvcj5LZWxsYXJkPC9BdXRob3I+PFll
YXI+MjAxNjwvWWVhcj48SURUZXh0PkJ1c2luZXNzIGFuZCBNYW5hZ2VtZW50IEltcGFjdCBBc3Nl
c3NtZW50IGluIFJlc2VhcmNoIEV4Y2VsbGVuY2UgRnJhbWV3b3JrIDIwMTQ6IEFuYWx5c2lzIGFu
ZCBSZWZsZWN0aW9uPC9JRFRleHQ+PHJlY29yZD48aXNibj4xMDQ1LTMxNzI8L2lzYm4+PHRpdGxl
cz48dGl0bGU+QnVzaW5lc3MgYW5kIE1hbmFnZW1lbnQgSW1wYWN0IEFzc2Vzc21lbnQgaW4gUmVz
ZWFyY2ggRXhjZWxsZW5jZSBGcmFtZXdvcmsgMjAxNDogQW5hbHlzaXMgYW5kIFJlZmxlY3Rpb248
L3RpdGxlPjxzZWNvbmRhcnktdGl0bGU+QnJpdGlzaCBKb3VybmFsIG9mIE1hbmFnZW1lbnQ8L3Nl
Y29uZGFyeS10aXRsZT48L3RpdGxlcz48cGFnZXM+NjkzLTcxMTwvcGFnZXM+PG51bWJlcj40PC9u
dW1iZXI+PGNvbnRyaWJ1dG9ycz48YXV0aG9ycz48YXV0aG9yPktlbGxhcmQsIE5laWwgTS48L2F1
dGhvcj48YXV0aG9yPsWabGl3YSwgTWFydHluYTwvYXV0aG9yPjwvYXV0aG9ycz48L2NvbnRyaWJ1
dG9ycz48YWRkZWQtZGF0ZSBmb3JtYXQ9InV0YyI+MTQ5MDEwOTEzNzwvYWRkZWQtZGF0ZT48cmVm
LXR5cGUgbmFtZT0iSm91cm5hbCBBcnRpY2xlIj4xNzwvcmVmLXR5cGU+PGRhdGVzPjx5ZWFyPjIw
MTY8L3llYXI+PC9kYXRlcz48cmVjLW51bWJlcj42NjY1PC9yZWMtbnVtYmVyPjxsYXN0LXVwZGF0
ZWQtZGF0ZSBmb3JtYXQ9InV0YyI+MTQ5MDExMTkzMjwvbGFzdC11cGRhdGVkLWRhdGU+PGVsZWN0
cm9uaWMtcmVzb3VyY2UtbnVtPjEwLjExMTEvMTQ2Ny04NTUxLjEyMTg2PC9lbGVjdHJvbmljLXJl
c291cmNlLW51bT48dm9sdW1lPjI3PC92b2x1bWU+PC9yZWNvcmQ+PC9DaXRlPjxDaXRlPjxBdXRo
b3I+TW9yZW5vLUNhc2JhczwvQXV0aG9yPjxZZWFyPjIwMTY8L1llYXI+PElEVGV4dD5SZXZpZXc6
IEltcGFjdCBjYXNlIHN0dWRpZXMgc3VibWl0dGVkIHRvIFJFRiAyMDE0OiBUaGUgaGlkZGVuIGlt
cGFjdCBvZiBudXJzaW5nIHJlc2VhcmNoPC9JRFRleHQ+PHJlY29yZD48ZGF0ZXM+PHB1Yi1kYXRl
cz48ZGF0ZT5KdW48L2RhdGU+PC9wdWItZGF0ZXM+PHllYXI+MjAxNjwveWVhcj48L2RhdGVzPjx1
cmxzPjxyZWxhdGVkLXVybHM+PHVybD4mbHQ7R28gdG8gSVNJJmd0OzovL1dPUzowMDAzNzgyMjQ1
MDAwMDQ8L3VybD48L3JlbGF0ZWQtdXJscz48L3VybHM+PGlzYm4+MTc0NC05ODcxPC9pc2JuPjx0
aXRsZXM+PHRpdGxlPlJldmlldzogSW1wYWN0IGNhc2Ugc3R1ZGllcyBzdWJtaXR0ZWQgdG8gUkVG
IDIwMTQ6IFRoZSBoaWRkZW4gaW1wYWN0IG9mIG51cnNpbmcgcmVzZWFyY2g8L3RpdGxlPjxzZWNv
bmRhcnktdGl0bGU+Sm91cm5hbCBvZiBSZXNlYXJjaCBpbiBOdXJzaW5nPC9zZWNvbmRhcnktdGl0
bGU+PC90aXRsZXM+PHBhZ2VzPjI2OS0yNzA8L3BhZ2VzPjxudW1iZXI+NDwvbnVtYmVyPjxjb250
cmlidXRvcnM+PGF1dGhvcnM+PGF1dGhvcj5Nb3Jlbm8tQ2FzYmFzLCBUZXJlc2E8L2F1dGhvcj48
L2F1dGhvcnM+PC9jb250cmlidXRvcnM+PGFkZGVkLWRhdGUgZm9ybWF0PSJ1dGMiPjE0NjkyMTYy
ODA8L2FkZGVkLWRhdGU+PHJlZi10eXBlIG5hbWU9IkpvdXJuYWwgQXJ0aWNsZSI+MTc8L3JlZi10
eXBlPjxyZWMtbnVtYmVyPjg0MjwvcmVjLW51bWJlcj48bGFzdC11cGRhdGVkLWRhdGUgZm9ybWF0
PSJ1dGMiPjE0NjkyMTY0NDg8L2xhc3QtdXBkYXRlZC1kYXRlPjxhY2Nlc3Npb24tbnVtPldPUzow
MDAzNzgyMjQ1MDAwMDQ8L2FjY2Vzc2lvbi1udW0+PGVsZWN0cm9uaWMtcmVzb3VyY2UtbnVtPjEw
LjExNzcvMTc0NDk4NzExNjY0NjI0ODwvZWxlY3Ryb25pYy1yZXNvdXJjZS1udW0+PHZvbHVtZT4y
MTwvdm9sdW1lPjwvcmVjb3JkPjwvQ2l0ZT48Q2l0ZT48QXV0aG9yPkhvbGxhbmQ8L0F1dGhvcj48
WWVhcj4yMDE1PC9ZZWFyPjxJRFRleHQ+UG9saXRpY2FsIFRoZW9yeSBhbmQgdGhlIEltcGFjdCBB
Z2VuZGE8L0lEVGV4dD48cmVjb3JkPjx1cmxzPjxyZWxhdGVkLXVybHM+PHVybD5odHRwczovL3d3
dy5zY29wdXMuY29tL2lud2FyZC9yZWNvcmQudXJpP2VpZD0yLXMyLjAtODQ5NDM2MjEyODcmYW1w
O3BhcnRuZXJJRD00MCZhbXA7bWQ1PTk1MGQ5NzI0OGE4MWIxMjRlZGQ3M2IxYjhhYmI1NDE2PC91
cmw+PC9yZWxhdGVkLXVybHM+PC91cmxzPjx3b3JrLXR5cGU+QXJ0aWNsZTwvd29yay10eXBlPjx0
aXRsZXM+PHRpdGxlPlBvbGl0aWNhbCBUaGVvcnkgYW5kIHRoZSBJbXBhY3QgQWdlbmRhPC90aXRs
ZT48c2Vjb25kYXJ5LXRpdGxlPlBvbGl0aWNhbCBTdHVkaWVzIFJldmlldzwvc2Vjb25kYXJ5LXRp
dGxlPjwvdGl0bGVzPjxwYWdlcz40NzEtNDczPC9wYWdlcz48bnVtYmVyPjQ8L251bWJlcj48Y29u
dHJpYnV0b3JzPjxhdXRob3JzPjxhdXRob3I+SG9sbGFuZCwgQi48L2F1dGhvcj48L2F1dGhvcnM+
PC9jb250cmlidXRvcnM+PGFkZGVkLWRhdGUgZm9ybWF0PSJ1dGMiPjE0NzI2NTc0MTQ8L2FkZGVk
LWRhdGU+PHJlZi10eXBlIG5hbWU9IkpvdXJuYWwgQXJ0aWNsZSI+MTc8L3JlZi10eXBlPjxkYXRl
cz48eWVhcj4yMDE1PC95ZWFyPjwvZGF0ZXM+PHJlYy1udW1iZXI+MjYyMjwvcmVjLW51bWJlcj48
bGFzdC11cGRhdGVkLWRhdGUgZm9ybWF0PSJ1dGMiPjE0NzI2NTc0MTQ8L2xhc3QtdXBkYXRlZC1k
YXRlPjxlbGVjdHJvbmljLXJlc291cmNlLW51bT4xMC4xMTExLzE0NzgtOTMwMi4xMjA5NzwvZWxl
Y3Ryb25pYy1yZXNvdXJjZS1udW0+PHZvbHVtZT4xMzwvdm9sdW1lPjxyZW1vdGUtZGF0YWJhc2Ut
bmFtZT5TY29wdXM8L3JlbW90ZS1kYXRhYmFzZS1uYW1lPjwvcmVjb3JkPjwvQ2l0ZT48L0VuZE5v
dGU+
</w:fldData>
        </w:fldChar>
      </w:r>
      <w:r w:rsidR="00C12E4D">
        <w:rPr>
          <w:rFonts w:eastAsia="Times New Roman"/>
          <w:sz w:val="24"/>
          <w:szCs w:val="24"/>
        </w:rPr>
        <w:instrText xml:space="preserve"> ADDIN EN.CITE </w:instrText>
      </w:r>
      <w:r w:rsidR="00C12E4D">
        <w:rPr>
          <w:rFonts w:eastAsia="Times New Roman"/>
          <w:sz w:val="24"/>
          <w:szCs w:val="24"/>
        </w:rPr>
        <w:fldChar w:fldCharType="begin">
          <w:fldData xml:space="preserve">PEVuZE5vdGU+PENpdGU+PEF1dGhvcj5MYWluZzwvQXV0aG9yPjxZZWFyPjIwMTg8L1llYXI+PElE
VGV4dD5UaGUgaW1wYWN0IGFnZW5kYSBhbmQgY3JpdGljYWwgc29jaWFsIHJlc2VhcmNoIGluIGVk
dWNhdGlvbjogSGl0dGluZyB0aGUgdGFyZ2V0IGJ1dCBtaXNzaW5nIHRoZSBzcG90PzwvSURUZXh0
PjxEaXNwbGF5VGV4dD4oZm9yIGV4YW1wbGUsIEV2YW5zLCAyMDE2OyBIb2xsYW5kLCAyMDE1OyBL
ZWxsYXJkICZhbXA7IMWabGl3YSwgMjAxNjsgTGFpbmcgZXQgYWwuLCAyMDE4OyBNYWNJbnRvc2gg
ZXQgYWwuLCAyMDE3OyBNYXJjZWxsYSwgTG9ja2VyYmllLCAmYW1wOyBCbG9pY2UsIDIwMTY7IE1v
cmVuby1DYXNiYXMsIDIwMTY7IE/igJlDb25uZWxsLCAyMDE4OyBLLiBFLiBTbWl0aCAmYW1wOyBT
dGV3YXJ0LCAyMDE3OyBXaW1tZXIsIFJldGhsZWZzZW4sIEphcnZpcywgJmFtcDsgU2hpcG1hbiwg
MjAxNik8L0Rpc3BsYXlUZXh0PjxyZWNvcmQ+PGtleXdvcmRzPjxrZXl3b3JkPkltcGFjdDwva2V5
d29yZD48a2V5d29yZD5Dcml0aWNhbCBFZHVjYXRpb25hbCBSZXNlYXJjaDwva2V5d29yZD48a2V5
d29yZD5Tb2NpYWwgSnVzdGljZTwva2V5d29yZD48a2V5d29yZD5Cb3VyZGlldTwva2V5d29yZD48
a2V5d29yZD5WYWxvcml6YXRpb248L2tleXdvcmQ+PC9rZXl3b3Jkcz48aXNibj4xNDc4LTIxMDM8
L2lzYm4+PHRpdGxlcz48dGl0bGU+VGhlIGltcGFjdCBhZ2VuZGEgYW5kIGNyaXRpY2FsIHNvY2lh
bCByZXNlYXJjaCBpbiBlZHVjYXRpb246IEhpdHRpbmcgdGhlIHRhcmdldCBidXQgbWlzc2luZyB0
aGUgc3BvdD88L3RpdGxlPjxzZWNvbmRhcnktdGl0bGU+UG9saWN5IEZ1dHVyZXMgaW4gRWR1Y2F0
aW9uPC9zZWNvbmRhcnktdGl0bGU+PC90aXRsZXM+PHBhZ2VzPjE2OS0xODQ8L3BhZ2VzPjxudW1i
ZXI+MjwvbnVtYmVyPjxjb250cmlidXRvcnM+PGF1dGhvcnM+PGF1dGhvcj5MYWluZywgS2FyZW48
L2F1dGhvcj48YXV0aG9yPk1henpvbGkgU21pdGgsIExhdXJhPC9hdXRob3I+PGF1dGhvcj5Ub2Rk
LCBMaXo8L2F1dGhvcj48L2F1dGhvcnM+PC9jb250cmlidXRvcnM+PGFkZGVkLWRhdGUgZm9ybWF0
PSJ1dGMiPjE1MjA4NjYwMTM8L2FkZGVkLWRhdGU+PHJlZi10eXBlIG5hbWU9IkpvdXJuYWwgQXJ0
aWNsZSI+MTc8L3JlZi10eXBlPjxkYXRlcz48eWVhcj4yMDE4PC95ZWFyPjwvZGF0ZXM+PHJlYy1u
dW1iZXI+NzM5MzwvcmVjLW51bWJlcj48bGFzdC11cGRhdGVkLWRhdGUgZm9ybWF0PSJ1dGMiPjE1
MjA4NjYwMTM8L2xhc3QtdXBkYXRlZC1kYXRlPjxlbGVjdHJvbmljLXJlc291cmNlLW51bT4xMC4x
MTc3LzE0NzgyMTAzMTc3NDIyMTQ8L2VsZWN0cm9uaWMtcmVzb3VyY2UtbnVtPjx2b2x1bWU+MTY8
L3ZvbHVtZT48L3JlY29yZD48L0NpdGU+PENpdGU+PEF1dGhvcj5P4oCZQ29ubmVsbDwvQXV0aG9y
PjxZZWFyPjIwMTg8L1llYXI+PElEVGV4dD5FeGFtaW5pbmcgZGlmZmVyZW50aWF0aW9uIGluIGFj
YWRlbWljIHJlc3BvbnNlcyB0byByZXNlYXJjaCBpbXBhY3QgcG9saWN5OiBtZWRpYXRpbmcgZmFj
dG9ycyBpbiB0aGUgY29udGV4dCBvZiBlZHVjYXRpb25hbCByZXNlYXJjaDwvSURUZXh0PjxyZWNv
cmQ+PGtleXdvcmRzPjxrZXl3b3JkPkFydGljbGU8L2tleXdvcmQ+PGtleXdvcmQ+UG9saWN5IEFu
YWx5c2lzPC9rZXl3b3JkPjxrZXl3b3JkPlJlbGF0aW9uYWwgUGVyc3BlY3RpdmU8L2tleXdvcmQ+
PGtleXdvcmQ+UmVzZWFyY2ggUG9saWN5PC9rZXl3b3JkPjxrZXl3b3JkPlRlcnRpYXJ5IEVkdWNh
dGlvbjwva2V5d29yZD48a2V5d29yZD5JbnN0aXR1dGlvbmFsIFJlc2VhcmNoPC9rZXl3b3JkPjwv
a2V5d29yZHM+PGlzYm4+MDMwNy01MDc5PC9pc2JuPjx0aXRsZXM+PHRpdGxlPkV4YW1pbmluZyBk
aWZmZXJlbnRpYXRpb24gaW4gYWNhZGVtaWMgcmVzcG9uc2VzIHRvIHJlc2VhcmNoIGltcGFjdCBw
b2xpY3k6IG1lZGlhdGluZyBmYWN0b3JzIGluIHRoZSBjb250ZXh0IG9mIGVkdWNhdGlvbmFsIHJl
c2VhcmNoPC90aXRsZT48c2Vjb25kYXJ5LXRpdGxlPlN0dWRpZXMgaW4gSGlnaGVyIEVkdWNhdGlv
bjwvc2Vjb25kYXJ5LXRpdGxlPjwvdGl0bGVzPjxwYWdlcz4xLTE2PC9wYWdlcz48Y29udHJpYnV0
b3JzPjxhdXRob3JzPjxhdXRob3I+T+KAmUNvbm5lbGwsIENhdGhlcmluZTwvYXV0aG9yPjwvYXV0
aG9ycz48L2NvbnRyaWJ1dG9ycz48YWRkZWQtZGF0ZSBmb3JtYXQ9InV0YyI+MTUyMTY0NDE1MTwv
YWRkZWQtZGF0ZT48cmVmLXR5cGUgbmFtZT0iSm91cm5hbCBBcnRpY2xlIj4xNzwvcmVmLXR5cGU+
PGRhdGVzPjx5ZWFyPjIwMTg8L3llYXI+PC9kYXRlcz48cmVjLW51bWJlcj43NDAzPC9yZWMtbnVt
YmVyPjxwdWJsaXNoZXI+Um91dGxlZGdlPC9wdWJsaXNoZXI+PGxhc3QtdXBkYXRlZC1kYXRlIGZv
cm1hdD0idXRjIj4xNTIxODAyNjg5PC9sYXN0LXVwZGF0ZWQtZGF0ZT48ZWxlY3Ryb25pYy1yZXNv
dXJjZS1udW0+MTAuMTA4MC8wMzA3NTA3OS4yMDE4LjE0NDc1NTY8L2VsZWN0cm9uaWMtcmVzb3Vy
Y2UtbnVtPjwvcmVjb3JkPjwvQ2l0ZT48Q2l0ZT48QXV0aG9yPk1hY0ludG9zaDwvQXV0aG9yPjxZ
ZWFyPjIwMTc8L1llYXI+PElEVGV4dD5JbXBhY3QgYW5kIE1hbmFnZW1lbnQgUmVzZWFyY2g6IEV4
cGxvcmluZyBSZWxhdGlvbnNoaXBzIGJldHdlZW4gVGVtcG9yYWxpdHksIERpYWxvZ3VlLCBSZWZs
ZXhpdml0eSBhbmQgUHJheGlzPC9JRFRleHQ+PHJlY29yZD48dXJscz48cmVsYXRlZC11cmxzPjx1
cmw+aHR0cHM6Ly93d3cuc2NvcHVzLmNvbS9pbndhcmQvcmVjb3JkLnVyaT9laWQ9Mi1zMi4wLTg1
MDA5ODE0Njg0JmFtcDtkb2k9MTAuMTExMSUyZjE0NjctODU1MS4xMjIwNyZhbXA7cGFydG5lcklE
PTQwJmFtcDttZDU9YTRlOGM1N2M5ZTcxN2VhMTEzNmYzN2Q0ZmVlMWQ4MGI8L3VybD48L3JlbGF0
ZWQtdXJscz48L3VybHM+PHdvcmstdHlwZT5Db25mZXJlbmNlIFBhcGVyPC93b3JrLXR5cGU+PHRp
dGxlcz48dGl0bGU+SW1wYWN0IGFuZCBNYW5hZ2VtZW50IFJlc2VhcmNoOiBFeHBsb3JpbmcgUmVs
YXRpb25zaGlwcyBiZXR3ZWVuIFRlbXBvcmFsaXR5LCBEaWFsb2d1ZSwgUmVmbGV4aXZpdHkgYW5k
IFByYXhpczwvdGl0bGU+PHNlY29uZGFyeS10aXRsZT5Ccml0aXNoIEpvdXJuYWwgb2YgTWFuYWdl
bWVudDwvc2Vjb25kYXJ5LXRpdGxlPjwvdGl0bGVzPjxwYWdlcz4zLTEzPC9wYWdlcz48bnVtYmVy
PjE8L251bWJlcj48Y29udHJpYnV0b3JzPjxhdXRob3JzPjxhdXRob3I+TWFjSW50b3NoLCBSLjwv
YXV0aG9yPjxhdXRob3I+QmVlY2gsIE4uPC9hdXRob3I+PGF1dGhvcj5CYXJ0dW5laywgSi48L2F1
dGhvcj48YXV0aG9yPk1hc29uLCBLLjwvYXV0aG9yPjxhdXRob3I+Q29va2UsIEIuPC9hdXRob3I+
PGF1dGhvcj5EZW55ZXIsIEQuPC9hdXRob3I+PC9hdXRob3JzPjwvY29udHJpYnV0b3JzPjxsYW5n
dWFnZT5FbmdsaXNoPC9sYW5ndWFnZT48YWRkZWQtZGF0ZSBmb3JtYXQ9InV0YyI+MTQ5Mjc2NDA3
NDwvYWRkZWQtZGF0ZT48cmVmLXR5cGUgbmFtZT0iSm91cm5hbCBBcnRpY2xlIj4xNzwvcmVmLXR5
cGU+PGF1dGgtYWRkcmVzcz5TY2hvb2wgb2YgU29jaWFsIFNjaWVuY2VzLCBIZXJpb3QtV2F0dCBV
bml2ZXJzaXR5LCBFZGluYnVyZ2gsIFVuaXRlZCBLaW5nZG9tJiN4RDtVbml2ZXJzaXR5IG9mIER1
bmRlZSwgTmV0aGVyZ2F0ZSwgRHVuZGVlLCBVbml0ZWQgS2luZ2RvbSYjeEQ7Qm9zdG9uIENvbGxl
Z2UsIDE0MCBDb21tb253ZWFsdGggQXZlbnVlLCBDaGVzdG51dCBIaWxsLCBVbml0ZWQgU3RhdGVz
JiN4RDtVbml2ZXJzaXR5IG9mIExhbmNhc3RlciwgQmFpbHJpZ2csIExhbmNhc3RlciwgVW5pdGVk
IEtpbmdkb20mI3hEO1VuaXZlcnNpdHkgb2YgWW9yaywgSGVzbGluZ3RvbiwgWW9yaywgVW5pdGVk
IEtpbmdkb20mI3hEO0NyYW5maWVsZCBVbml2ZXJzaXR5LCBDb2xsZWdlIFJkLCBDcmFuZmllbGQs
IEJlZGZvcmQsIFVuaXRlZCBLaW5nZG9tPC9hdXRoLWFkZHJlc3M+PGRhdGVzPjx5ZWFyPjIwMTc8
L3llYXI+PC9kYXRlcz48cmVjLW51bWJlcj42NzMzPC9yZWMtbnVtYmVyPjxwdWJsaXNoZXI+Qmxh
Y2t3ZWxsIFB1Ymxpc2hpbmcgTHRkPC9wdWJsaXNoZXI+PGxhc3QtdXBkYXRlZC1kYXRlIGZvcm1h
dD0idXRjIj4xNDkyNzY0MDc0PC9sYXN0LXVwZGF0ZWQtZGF0ZT48ZWxlY3Ryb25pYy1yZXNvdXJj
ZS1udW0+MTAuMTExMS8xNDY3LTg1NTEuMTIyMDc8L2VsZWN0cm9uaWMtcmVzb3VyY2UtbnVtPjx2
b2x1bWU+Mjg8L3ZvbHVtZT48cmVtb3RlLWRhdGFiYXNlLW5hbWU+U2NvcHVzPC9yZW1vdGUtZGF0
YWJhc2UtbmFtZT48L3JlY29yZD48L0NpdGU+PENpdGU+PEF1dGhvcj5TbWl0aDwvQXV0aG9yPjxZ
ZWFyPjIwMTc8L1llYXI+PElEVGV4dD5XZSBOZWVkIHRvIFRhbGsgYWJvdXQgSW1wYWN0OiBXaHkg
U29jaWFsIFBvbGljeSBBY2FkZW1pY3MgbmVlZCB0byBFbmdhZ2Ugd2l0aCB0aGUgVUsmYXBvcztz
IFJlc2VhcmNoIEltcGFjdCBBZ2VuZGE8L0lEVGV4dD48cmVjb3JkPjxrZXl3b3Jkcz48a2V5d29y
ZD5BcnRpY2xlczwva2V5d29yZD48L2tleXdvcmRzPjxpc2JuPjAwNDctMjc5NDwvaXNibj48dGl0
bGVzPjx0aXRsZT5XZSBOZWVkIHRvIFRhbGsgYWJvdXQgSW1wYWN0OiBXaHkgU29jaWFsIFBvbGlj
eSBBY2FkZW1pY3MgbmVlZCB0byBFbmdhZ2Ugd2l0aCB0aGUgVUsmYXBvcztzIFJlc2VhcmNoIElt
cGFjdCBBZ2VuZGE8L3RpdGxlPjwvdGl0bGVzPjxwYWdlcz4xMDktMTI3PC9wYWdlcz48bnVtYmVy
PjE8L251bWJlcj48Y29udHJpYnV0b3JzPjxhdXRob3JzPjxhdXRob3I+U21pdGgsIEthdGhlcmlu
ZSBFLjwvYXV0aG9yPjxhdXRob3I+U3Rld2FydCwgRWxsZW48L2F1dGhvcj48L2F1dGhvcnM+PC9j
b250cmlidXRvcnM+PGFkZGVkLWRhdGUgZm9ybWF0PSJ1dGMiPjE1MjQwNDcyNjU8L2FkZGVkLWRh
dGU+PHJlZi10eXBlIG5hbWU9IkpvdXJuYWwgQXJ0aWNsZSI+MTc8L3JlZi10eXBlPjxkYXRlcz48
eWVhcj4yMDE3PC95ZWFyPjwvZGF0ZXM+PHJlYy1udW1iZXI+NzQ5MjwvcmVjLW51bWJlcj48bGFz
dC11cGRhdGVkLWRhdGUgZm9ybWF0PSJ1dGMiPjE1MjQwNDcyNjU8L2xhc3QtdXBkYXRlZC1kYXRl
PjxlbGVjdHJvbmljLXJlc291cmNlLW51bT4xMC4xMDE3L1MwMDQ3Mjc5NDE2MDAwMjgzPC9lbGVj
dHJvbmljLXJlc291cmNlLW51bT48dm9sdW1lPjQ2PC92b2x1bWU+PC9yZWNvcmQ+PC9DaXRlPjxD
aXRlPjxBdXRob3I+TWFyY2VsbGE8L0F1dGhvcj48WWVhcj4yMDE2PC9ZZWFyPjxJRFRleHQ+QmV5
b25kIFJFRiAyMDE0OiBUaGUgaW1wYWN0IG9mIGltcGFjdCBhc3Nlc3NtZW50IG9uIHRoZSBmdXR1
cmUgb2YgaW5mb3JtYXRpb24gcmVzZWFyY2g8L0lEVGV4dD48cmVjb3JkPjxkYXRlcz48cHViLWRh
dGVzPjxkYXRlPkp1bjwvZGF0ZT48L3B1Yi1kYXRlcz48eWVhcj4yMDE2PC95ZWFyPjwvZGF0ZXM+
PHVybHM+PHJlbGF0ZWQtdXJscz48dXJsPiZsdDtHbyB0byBJU0kmZ3Q7Oi8vV09TOjAwMDM3NjY2
MjcwMDAwOTwvdXJsPjwvcmVsYXRlZC11cmxzPjwvdXJscz48aXNibj4wMTY1LTU1MTU8L2lzYm4+
PHRpdGxlcz48dGl0bGU+QmV5b25kIFJFRiAyMDE0OiBUaGUgaW1wYWN0IG9mIGltcGFjdCBhc3Nl
c3NtZW50IG9uIHRoZSBmdXR1cmUgb2YgaW5mb3JtYXRpb24gcmVzZWFyY2g8L3RpdGxlPjxzZWNv
bmRhcnktdGl0bGU+Sm91cm5hbCBvZiBJbmZvcm1hdGlvbiBTY2llbmNlPC9zZWNvbmRhcnktdGl0
bGU+PC90aXRsZXM+PHBhZ2VzPjM2OS0zODU8L3BhZ2VzPjxudW1iZXI+MzwvbnVtYmVyPjxjb250
cmlidXRvcnM+PGF1dGhvcnM+PGF1dGhvcj5NYXJjZWxsYSwgUml0YTwvYXV0aG9yPjxhdXRob3I+
TG9ja2VyYmllLCBIYXlsZXk8L2F1dGhvcj48YXV0aG9yPkJsb2ljZSwgTHluZHNheTwvYXV0aG9y
PjwvYXV0aG9ycz48L2NvbnRyaWJ1dG9ycz48YWRkZWQtZGF0ZSBmb3JtYXQ9InV0YyI+MTQ3MDg0
ODY0NTwvYWRkZWQtZGF0ZT48cmVmLXR5cGUgbmFtZT0iSm91cm5hbCBBcnRpY2xlIj4xNzwvcmVm
LXR5cGU+PHJlYy1udW1iZXI+MjA1NjwvcmVjLW51bWJlcj48bGFzdC11cGRhdGVkLWRhdGUgZm9y
bWF0PSJ1dGMiPjE0NzA4NDg2NjY8L2xhc3QtdXBkYXRlZC1kYXRlPjxhY2Nlc3Npb24tbnVtPldP
UzowMDAzNzY2NjI3MDAwMDk8L2FjY2Vzc2lvbi1udW0+PGVsZWN0cm9uaWMtcmVzb3VyY2UtbnVt
PjEwLjExNzcvMDE2NTU1MTUxNjYzNjI5MTwvZWxlY3Ryb25pYy1yZXNvdXJjZS1udW0+PHZvbHVt
ZT40Mjwvdm9sdW1lPjwvcmVjb3JkPjwvQ2l0ZT48Q2l0ZT48QXV0aG9yPkV2YW5zPC9BdXRob3I+
PFllYXI+MjAxNjwvWWVhcj48SURUZXh0PkFjaGlldmluZyBhbmQgZXZpZGVuY2luZyByZXNlYXJj
aCAmYXBvcztpbXBhY3QmYXBvczs/IFRlbnNpb25zIGFuZCBkaWxlbW1hcyBmcm9tIGFuIGV0aGlj
IG9mIGNhcmUgcGVyc3BlY3RpdmU8L0lEVGV4dD48UHJlZml4PmZvciBleGFtcGxlYCwgPC9QcmVm
aXg+PHJlY29yZD48dXJscz48cmVsYXRlZC11cmxzPjx1cmw+aHR0cHM6Ly93d3cuc2NvcHVzLmNv
bS9pbndhcmQvcmVjb3JkLnVyaT9laWQ9Mi1zMi4wLTg0OTU5MDgzNTMyJmFtcDtwYXJ0bmVySUQ9
NDAmYW1wO21kNT1iNjk2YzcwY2E0YzVmNzE1ZDAwZDQxYjg2YTM4YTdiMzwvdXJsPjwvcmVsYXRl
ZC11cmxzPjwvdXJscz48d29yay10eXBlPkFydGljbGU8L3dvcmstdHlwZT48dGl0bGVzPjx0aXRs
ZT5BY2hpZXZpbmcgYW5kIGV2aWRlbmNpbmcgcmVzZWFyY2ggJmFwb3M7aW1wYWN0JmFwb3M7PyBU
ZW5zaW9ucyBhbmQgZGlsZW1tYXMgZnJvbSBhbiBldGhpYyBvZiBjYXJlIHBlcnNwZWN0aXZlPC90
aXRsZT48c2Vjb25kYXJ5LXRpdGxlPkFyZWE8L3NlY29uZGFyeS10aXRsZT48L3RpdGxlcz48cGFn
ZXM+MjEzLTIyMTwvcGFnZXM+PG51bWJlcj4yPC9udW1iZXI+PGNvbnRyaWJ1dG9ycz48YXV0aG9y
cz48YXV0aG9yPkV2YW5zLCBSLjwvYXV0aG9yPjwvYXV0aG9ycz48L2NvbnRyaWJ1dG9ycz48YWRk
ZWQtZGF0ZSBmb3JtYXQ9InV0YyI+MTQ3MDg0OTIwNjwvYWRkZWQtZGF0ZT48cmVmLXR5cGUgbmFt
ZT0iSm91cm5hbCBBcnRpY2xlIj4xNzwvcmVmLXR5cGU+PGRhdGVzPjx5ZWFyPjIwMTY8L3llYXI+
PC9kYXRlcz48cmVjLW51bWJlcj4yMDY4PC9yZWMtbnVtYmVyPjxsYXN0LXVwZGF0ZWQtZGF0ZSBm
b3JtYXQ9InV0YyI+MTQ3MDg0OTIwNjwvbGFzdC11cGRhdGVkLWRhdGU+PGVsZWN0cm9uaWMtcmVz
b3VyY2UtbnVtPjEwLjExMTEvYXJlYS4xMjI1NjwvZWxlY3Ryb25pYy1yZXNvdXJjZS1udW0+PHZv
bHVtZT40ODwvdm9sdW1lPjxyZW1vdGUtZGF0YWJhc2UtbmFtZT5TY29wdXM8L3JlbW90ZS1kYXRh
YmFzZS1uYW1lPjwvcmVjb3JkPjwvQ2l0ZT48Q2l0ZT48QXV0aG9yPldpbW1lcjwvQXV0aG9yPjxZ
ZWFyPjIwMTY8L1llYXI+PElEVGV4dD5VbmRlcnN0YW5kaW5nIFJlc2VhcmNoIEltcGFjdDogQSBS
ZXZpZXcgb2YgRXhpc3RpbmcgYW5kIEVtZXJnaW5nIFRvb2xzIGZvciBOdXJzaW5nPC9JRFRleHQ+
PHJlY29yZD48dXJscz48cmVsYXRlZC11cmxzPjx1cmw+aHR0cHM6Ly93d3cuc2NvcHVzLmNvbS9p
bndhcmQvcmVjb3JkLnVyaT9laWQ9Mi1zMi4wLTg0OTczNTIwMTg1JmFtcDtwYXJ0bmVySUQ9NDAm
YW1wO21kNT0xYTBkZTkwMjFmNGQ3NjUwZDFiZjY5Y2IzYmRkZGU3MDwvdXJsPjwvcmVsYXRlZC11
cmxzPjwvdXJscz48d29yay10eXBlPkFydGljbGUgaW4gUHJlc3M8L3dvcmstdHlwZT48dGl0bGVz
Pjx0aXRsZT5VbmRlcnN0YW5kaW5nIFJlc2VhcmNoIEltcGFjdDogQSBSZXZpZXcgb2YgRXhpc3Rp
bmcgYW5kIEVtZXJnaW5nIFRvb2xzIGZvciBOdXJzaW5nPC90aXRsZT48c2Vjb25kYXJ5LXRpdGxl
PkpvdXJuYWwgb2YgUHJvZmVzc2lvbmFsIE51cnNpbmc8L3NlY29uZGFyeS10aXRsZT48L3RpdGxl
cz48Y29udHJpYnV0b3JzPjxhdXRob3JzPjxhdXRob3I+V2ltbWVyLCBFLiBOLjwvYXV0aG9yPjxh
dXRob3I+UmV0aGxlZnNlbiwgTS4gTC48L2F1dGhvcj48YXV0aG9yPkphcnZpcywgQy48L2F1dGhv
cj48YXV0aG9yPlNoaXBtYW4sIEouIFAuPC9hdXRob3I+PC9hdXRob3JzPjwvY29udHJpYnV0b3Jz
PjxhZGRlZC1kYXRlIGZvcm1hdD0idXRjIj4xNDcwODQ5MjA3PC9hZGRlZC1kYXRlPjxyZWYtdHlw
ZSBuYW1lPSJKb3VybmFsIEFydGljbGUiPjE3PC9yZWYtdHlwZT48ZGF0ZXM+PHllYXI+MjAxNjwv
eWVhcj48L2RhdGVzPjxyZWMtbnVtYmVyPjIwODQ8L3JlYy1udW1iZXI+PGxhc3QtdXBkYXRlZC1k
YXRlIGZvcm1hdD0idXRjIj4xNDcwODQ5MjA3PC9sYXN0LXVwZGF0ZWQtZGF0ZT48ZWxlY3Ryb25p
Yy1yZXNvdXJjZS1udW0+MTAuMTAxNi9qLnByb2ZudXJzLjIwMTYuMDUuMDA1PC9lbGVjdHJvbmlj
LXJlc291cmNlLW51bT48cmVtb3RlLWRhdGFiYXNlLW5hbWU+U2NvcHVzPC9yZW1vdGUtZGF0YWJh
c2UtbmFtZT48L3JlY29yZD48L0NpdGU+PENpdGU+PEF1dGhvcj5LZWxsYXJkPC9BdXRob3I+PFll
YXI+MjAxNjwvWWVhcj48SURUZXh0PkJ1c2luZXNzIGFuZCBNYW5hZ2VtZW50IEltcGFjdCBBc3Nl
c3NtZW50IGluIFJlc2VhcmNoIEV4Y2VsbGVuY2UgRnJhbWV3b3JrIDIwMTQ6IEFuYWx5c2lzIGFu
ZCBSZWZsZWN0aW9uPC9JRFRleHQ+PHJlY29yZD48aXNibj4xMDQ1LTMxNzI8L2lzYm4+PHRpdGxl
cz48dGl0bGU+QnVzaW5lc3MgYW5kIE1hbmFnZW1lbnQgSW1wYWN0IEFzc2Vzc21lbnQgaW4gUmVz
ZWFyY2ggRXhjZWxsZW5jZSBGcmFtZXdvcmsgMjAxNDogQW5hbHlzaXMgYW5kIFJlZmxlY3Rpb248
L3RpdGxlPjxzZWNvbmRhcnktdGl0bGU+QnJpdGlzaCBKb3VybmFsIG9mIE1hbmFnZW1lbnQ8L3Nl
Y29uZGFyeS10aXRsZT48L3RpdGxlcz48cGFnZXM+NjkzLTcxMTwvcGFnZXM+PG51bWJlcj40PC9u
dW1iZXI+PGNvbnRyaWJ1dG9ycz48YXV0aG9ycz48YXV0aG9yPktlbGxhcmQsIE5laWwgTS48L2F1
dGhvcj48YXV0aG9yPsWabGl3YSwgTWFydHluYTwvYXV0aG9yPjwvYXV0aG9ycz48L2NvbnRyaWJ1
dG9ycz48YWRkZWQtZGF0ZSBmb3JtYXQ9InV0YyI+MTQ5MDEwOTEzNzwvYWRkZWQtZGF0ZT48cmVm
LXR5cGUgbmFtZT0iSm91cm5hbCBBcnRpY2xlIj4xNzwvcmVmLXR5cGU+PGRhdGVzPjx5ZWFyPjIw
MTY8L3llYXI+PC9kYXRlcz48cmVjLW51bWJlcj42NjY1PC9yZWMtbnVtYmVyPjxsYXN0LXVwZGF0
ZWQtZGF0ZSBmb3JtYXQ9InV0YyI+MTQ5MDExMTkzMjwvbGFzdC11cGRhdGVkLWRhdGU+PGVsZWN0
cm9uaWMtcmVzb3VyY2UtbnVtPjEwLjExMTEvMTQ2Ny04NTUxLjEyMTg2PC9lbGVjdHJvbmljLXJl
c291cmNlLW51bT48dm9sdW1lPjI3PC92b2x1bWU+PC9yZWNvcmQ+PC9DaXRlPjxDaXRlPjxBdXRo
b3I+TW9yZW5vLUNhc2JhczwvQXV0aG9yPjxZZWFyPjIwMTY8L1llYXI+PElEVGV4dD5SZXZpZXc6
IEltcGFjdCBjYXNlIHN0dWRpZXMgc3VibWl0dGVkIHRvIFJFRiAyMDE0OiBUaGUgaGlkZGVuIGlt
cGFjdCBvZiBudXJzaW5nIHJlc2VhcmNoPC9JRFRleHQ+PHJlY29yZD48ZGF0ZXM+PHB1Yi1kYXRl
cz48ZGF0ZT5KdW48L2RhdGU+PC9wdWItZGF0ZXM+PHllYXI+MjAxNjwveWVhcj48L2RhdGVzPjx1
cmxzPjxyZWxhdGVkLXVybHM+PHVybD4mbHQ7R28gdG8gSVNJJmd0OzovL1dPUzowMDAzNzgyMjQ1
MDAwMDQ8L3VybD48L3JlbGF0ZWQtdXJscz48L3VybHM+PGlzYm4+MTc0NC05ODcxPC9pc2JuPjx0
aXRsZXM+PHRpdGxlPlJldmlldzogSW1wYWN0IGNhc2Ugc3R1ZGllcyBzdWJtaXR0ZWQgdG8gUkVG
IDIwMTQ6IFRoZSBoaWRkZW4gaW1wYWN0IG9mIG51cnNpbmcgcmVzZWFyY2g8L3RpdGxlPjxzZWNv
bmRhcnktdGl0bGU+Sm91cm5hbCBvZiBSZXNlYXJjaCBpbiBOdXJzaW5nPC9zZWNvbmRhcnktdGl0
bGU+PC90aXRsZXM+PHBhZ2VzPjI2OS0yNzA8L3BhZ2VzPjxudW1iZXI+NDwvbnVtYmVyPjxjb250
cmlidXRvcnM+PGF1dGhvcnM+PGF1dGhvcj5Nb3Jlbm8tQ2FzYmFzLCBUZXJlc2E8L2F1dGhvcj48
L2F1dGhvcnM+PC9jb250cmlidXRvcnM+PGFkZGVkLWRhdGUgZm9ybWF0PSJ1dGMiPjE0NjkyMTYy
ODA8L2FkZGVkLWRhdGU+PHJlZi10eXBlIG5hbWU9IkpvdXJuYWwgQXJ0aWNsZSI+MTc8L3JlZi10
eXBlPjxyZWMtbnVtYmVyPjg0MjwvcmVjLW51bWJlcj48bGFzdC11cGRhdGVkLWRhdGUgZm9ybWF0
PSJ1dGMiPjE0NjkyMTY0NDg8L2xhc3QtdXBkYXRlZC1kYXRlPjxhY2Nlc3Npb24tbnVtPldPUzow
MDAzNzgyMjQ1MDAwMDQ8L2FjY2Vzc2lvbi1udW0+PGVsZWN0cm9uaWMtcmVzb3VyY2UtbnVtPjEw
LjExNzcvMTc0NDk4NzExNjY0NjI0ODwvZWxlY3Ryb25pYy1yZXNvdXJjZS1udW0+PHZvbHVtZT4y
MTwvdm9sdW1lPjwvcmVjb3JkPjwvQ2l0ZT48Q2l0ZT48QXV0aG9yPkhvbGxhbmQ8L0F1dGhvcj48
WWVhcj4yMDE1PC9ZZWFyPjxJRFRleHQ+UG9saXRpY2FsIFRoZW9yeSBhbmQgdGhlIEltcGFjdCBB
Z2VuZGE8L0lEVGV4dD48cmVjb3JkPjx1cmxzPjxyZWxhdGVkLXVybHM+PHVybD5odHRwczovL3d3
dy5zY29wdXMuY29tL2lud2FyZC9yZWNvcmQudXJpP2VpZD0yLXMyLjAtODQ5NDM2MjEyODcmYW1w
O3BhcnRuZXJJRD00MCZhbXA7bWQ1PTk1MGQ5NzI0OGE4MWIxMjRlZGQ3M2IxYjhhYmI1NDE2PC91
cmw+PC9yZWxhdGVkLXVybHM+PC91cmxzPjx3b3JrLXR5cGU+QXJ0aWNsZTwvd29yay10eXBlPjx0
aXRsZXM+PHRpdGxlPlBvbGl0aWNhbCBUaGVvcnkgYW5kIHRoZSBJbXBhY3QgQWdlbmRhPC90aXRs
ZT48c2Vjb25kYXJ5LXRpdGxlPlBvbGl0aWNhbCBTdHVkaWVzIFJldmlldzwvc2Vjb25kYXJ5LXRp
dGxlPjwvdGl0bGVzPjxwYWdlcz40NzEtNDczPC9wYWdlcz48bnVtYmVyPjQ8L251bWJlcj48Y29u
dHJpYnV0b3JzPjxhdXRob3JzPjxhdXRob3I+SG9sbGFuZCwgQi48L2F1dGhvcj48L2F1dGhvcnM+
PC9jb250cmlidXRvcnM+PGFkZGVkLWRhdGUgZm9ybWF0PSJ1dGMiPjE0NzI2NTc0MTQ8L2FkZGVk
LWRhdGU+PHJlZi10eXBlIG5hbWU9IkpvdXJuYWwgQXJ0aWNsZSI+MTc8L3JlZi10eXBlPjxkYXRl
cz48eWVhcj4yMDE1PC95ZWFyPjwvZGF0ZXM+PHJlYy1udW1iZXI+MjYyMjwvcmVjLW51bWJlcj48
bGFzdC11cGRhdGVkLWRhdGUgZm9ybWF0PSJ1dGMiPjE0NzI2NTc0MTQ8L2xhc3QtdXBkYXRlZC1k
YXRlPjxlbGVjdHJvbmljLXJlc291cmNlLW51bT4xMC4xMTExLzE0NzgtOTMwMi4xMjA5NzwvZWxl
Y3Ryb25pYy1yZXNvdXJjZS1udW0+PHZvbHVtZT4xMzwvdm9sdW1lPjxyZW1vdGUtZGF0YWJhc2Ut
bmFtZT5TY29wdXM8L3JlbW90ZS1kYXRhYmFzZS1uYW1lPjwvcmVjb3JkPjwvQ2l0ZT48L0VuZE5v
dGU+
</w:fldData>
        </w:fldChar>
      </w:r>
      <w:r w:rsidR="00C12E4D">
        <w:rPr>
          <w:rFonts w:eastAsia="Times New Roman"/>
          <w:sz w:val="24"/>
          <w:szCs w:val="24"/>
        </w:rPr>
        <w:instrText xml:space="preserve"> ADDIN EN.CITE.DATA </w:instrText>
      </w:r>
      <w:r w:rsidR="00C12E4D">
        <w:rPr>
          <w:rFonts w:eastAsia="Times New Roman"/>
          <w:sz w:val="24"/>
          <w:szCs w:val="24"/>
        </w:rPr>
      </w:r>
      <w:r w:rsidR="00C12E4D">
        <w:rPr>
          <w:rFonts w:eastAsia="Times New Roman"/>
          <w:sz w:val="24"/>
          <w:szCs w:val="24"/>
        </w:rPr>
        <w:fldChar w:fldCharType="end"/>
      </w:r>
      <w:r w:rsidRPr="00F900FC">
        <w:rPr>
          <w:rFonts w:eastAsia="Times New Roman"/>
          <w:sz w:val="24"/>
          <w:szCs w:val="24"/>
        </w:rPr>
      </w:r>
      <w:r w:rsidRPr="00F900FC">
        <w:rPr>
          <w:rFonts w:eastAsia="Times New Roman"/>
          <w:sz w:val="24"/>
          <w:szCs w:val="24"/>
        </w:rPr>
        <w:fldChar w:fldCharType="separate"/>
      </w:r>
      <w:r w:rsidR="00C12E4D">
        <w:rPr>
          <w:rFonts w:eastAsia="Times New Roman"/>
          <w:noProof/>
          <w:sz w:val="24"/>
          <w:szCs w:val="24"/>
        </w:rPr>
        <w:t>(for example, Evans, 2016; Holland, 2015; Kellard &amp; Śliwa, 2016; Laing et al., 2018; MacIntosh et al., 2017; Marcella, Lockerbie, &amp; Bloice, 2016; Moreno-Casbas, 2016; O’Connell, 2018; K. E. Smith &amp; Stewart, 2017; Wimmer, Rethlefsen, Jarvis, &amp; Shipman, 2016)</w:t>
      </w:r>
      <w:r w:rsidRPr="00F900FC">
        <w:rPr>
          <w:rFonts w:eastAsia="Times New Roman"/>
          <w:sz w:val="24"/>
          <w:szCs w:val="24"/>
        </w:rPr>
        <w:fldChar w:fldCharType="end"/>
      </w:r>
      <w:r w:rsidRPr="00F900FC">
        <w:rPr>
          <w:rFonts w:eastAsia="Times New Roman"/>
          <w:sz w:val="24"/>
          <w:szCs w:val="24"/>
        </w:rPr>
        <w:t xml:space="preserve">. </w:t>
      </w:r>
      <w:r>
        <w:rPr>
          <w:rFonts w:eastAsia="Times New Roman"/>
          <w:sz w:val="24"/>
          <w:szCs w:val="24"/>
        </w:rPr>
        <w:t xml:space="preserve">While these papers are by no means entirely critical of the impact agenda, they display significant concerns about the details and implications of impact policy and assessment. </w:t>
      </w:r>
    </w:p>
    <w:p w14:paraId="609277AC" w14:textId="0504D1BC" w:rsidR="00DC7B41" w:rsidRPr="006C178A" w:rsidRDefault="00DC7B41" w:rsidP="00DC7B41">
      <w:pPr>
        <w:autoSpaceDE w:val="0"/>
        <w:autoSpaceDN w:val="0"/>
        <w:adjustRightInd w:val="0"/>
        <w:spacing w:after="120" w:line="360" w:lineRule="auto"/>
        <w:rPr>
          <w:rFonts w:eastAsia="Times New Roman"/>
          <w:sz w:val="24"/>
          <w:szCs w:val="24"/>
        </w:rPr>
      </w:pPr>
      <w:r>
        <w:rPr>
          <w:rFonts w:eastAsia="Times New Roman"/>
          <w:sz w:val="24"/>
          <w:szCs w:val="24"/>
        </w:rPr>
        <w:t xml:space="preserve">Outreach, then, is one of the main forms of ‘boundary transaction’, and it is a central goal of the ‘third mission’ and the ‘impact agenda’ to promote such transactions. As a boundary transaction, outreach is a potential mechanism for the potential reshaping or reproduction, maintenance or weakening, insulation or openness, of academic boundaries. Different perspectives or different outreach conditions may provide different interpretations. For example, on the one hand, academic boundaries may be reinforced to the extent that outreach enables academics to extend and consummate their research in the form of non-academic impacts. But the pressure to ‘reach out’ and generate opportunities for impact ever more frequently and intensively may have detrimental effects on other of academia’s values, virtues and goals. </w:t>
      </w:r>
    </w:p>
    <w:p w14:paraId="6E05F579" w14:textId="0F628C36" w:rsidR="00DC7B41" w:rsidRDefault="00DC7B41" w:rsidP="00DC7B41">
      <w:pPr>
        <w:pStyle w:val="Heading3"/>
      </w:pPr>
      <w:bookmarkStart w:id="38" w:name="_Toc31701950"/>
      <w:r>
        <w:t>Collaboration</w:t>
      </w:r>
      <w:r w:rsidR="003E6C19">
        <w:t>:</w:t>
      </w:r>
      <w:r>
        <w:t xml:space="preserve"> knowledge exchange and the ‘new’ epistemologies of academic science</w:t>
      </w:r>
      <w:bookmarkEnd w:id="38"/>
    </w:p>
    <w:p w14:paraId="75A703B0" w14:textId="77F35C72" w:rsidR="00DC7B41" w:rsidRDefault="00DC7B41" w:rsidP="00DC7B41">
      <w:pPr>
        <w:spacing w:before="120" w:after="120" w:line="360" w:lineRule="auto"/>
        <w:rPr>
          <w:sz w:val="24"/>
          <w:szCs w:val="24"/>
        </w:rPr>
      </w:pPr>
      <w:r>
        <w:rPr>
          <w:sz w:val="24"/>
          <w:szCs w:val="24"/>
        </w:rPr>
        <w:t xml:space="preserve">While ‘outreach’ referred to the general imperative facing academics to extend the reach of their networks and links to potential users, ‘collaboration’ focuses on what is probably a more pressing matter for the question of academic boundaries. That is, the relationship between academic research and the knowledge activities of non-academic knowledge intensive sectors, primarily in industries such as advanced manufacturing, biotechnology and computing. </w:t>
      </w:r>
    </w:p>
    <w:p w14:paraId="381892EF" w14:textId="27061FED" w:rsidR="00DC7B41" w:rsidRDefault="00255000" w:rsidP="00DC7B41">
      <w:pPr>
        <w:spacing w:before="120" w:after="120" w:line="360" w:lineRule="auto"/>
        <w:rPr>
          <w:sz w:val="24"/>
          <w:szCs w:val="24"/>
        </w:rPr>
      </w:pPr>
      <w:r>
        <w:rPr>
          <w:sz w:val="24"/>
          <w:szCs w:val="24"/>
        </w:rPr>
        <w:t xml:space="preserve">Some express </w:t>
      </w:r>
      <w:r w:rsidR="00DC7B41">
        <w:rPr>
          <w:sz w:val="24"/>
          <w:szCs w:val="24"/>
        </w:rPr>
        <w:t xml:space="preserve">concern </w:t>
      </w:r>
      <w:r>
        <w:rPr>
          <w:sz w:val="24"/>
          <w:szCs w:val="24"/>
        </w:rPr>
        <w:t xml:space="preserve">about </w:t>
      </w:r>
      <w:r w:rsidR="00DC7B41">
        <w:rPr>
          <w:sz w:val="24"/>
          <w:szCs w:val="24"/>
        </w:rPr>
        <w:t xml:space="preserve">an age of “postacademic science” </w:t>
      </w:r>
      <w:r w:rsidR="00DC7B41">
        <w:rPr>
          <w:sz w:val="24"/>
          <w:szCs w:val="24"/>
        </w:rPr>
        <w:fldChar w:fldCharType="begin"/>
      </w:r>
      <w:r w:rsidR="00DC7B41">
        <w:rPr>
          <w:sz w:val="24"/>
          <w:szCs w:val="24"/>
        </w:rPr>
        <w:instrText xml:space="preserve"> ADDIN EN.CITE &lt;EndNote&gt;&lt;Cite&gt;&lt;Author&gt;Ziman&lt;/Author&gt;&lt;Year&gt;1996&lt;/Year&gt;&lt;IDText&gt;Postacademic Science: Constructing Knowledge with Networks and Norms&lt;/IDText&gt;&lt;Pages&gt;67&lt;/Pages&gt;&lt;DisplayText&gt;(Ziman, 1996a, p. 67)&lt;/DisplayText&gt;&lt;record&gt;&lt;keywords&gt;&lt;keyword&gt;Science&lt;/keyword&gt;&lt;keyword&gt;Scientific Research&lt;/keyword&gt;&lt;keyword&gt;Norms&lt;/keyword&gt;&lt;keyword&gt;Scientific Method&lt;/keyword&gt;&lt;keyword&gt;Scientific Knowledge&lt;/keyword&gt;&lt;keyword&gt;Merton, Robert King&lt;/keyword&gt;&lt;keyword&gt;Problem Solving&lt;/keyword&gt;&lt;keyword&gt;Sociology of Science&lt;/keyword&gt;&lt;keyword&gt;Knowledge Utilization&lt;/keyword&gt;&lt;keyword&gt;Financial Support&lt;/keyword&gt;&lt;keyword&gt;Sociology of Science&lt;/keyword&gt;&lt;keyword&gt;Sociology of Science&lt;/keyword&gt;&lt;keyword&gt;Article&lt;/keyword&gt;&lt;keyword&gt;Academic- Postacademic Science Characteristics/Norms&lt;/keyword&gt;&lt;/keywords&gt;&lt;isbn&gt;0786-3012&lt;/isbn&gt;&lt;titles&gt;&lt;title&gt;Postacademic Science: Constructing Knowledge with Networks and Norms&lt;/title&gt;&lt;secondary-title&gt;Science Studies&lt;/secondary-title&gt;&lt;/titles&gt;&lt;pages&gt;67-80&lt;/pages&gt;&lt;number&gt;1&lt;/number&gt;&lt;contributors&gt;&lt;authors&gt;&lt;author&gt;Ziman, J. M.&lt;/author&gt;&lt;/authors&gt;&lt;/contributors&gt;&lt;added-date format="utc"&gt;1468542790&lt;/added-date&gt;&lt;ref-type name="Journal Article"&gt;17&lt;/ref-type&gt;&lt;dates&gt;&lt;year&gt;1996&lt;/year&gt;&lt;/dates&gt;&lt;rec-number&gt;438&lt;/rec-number&gt;&lt;last-updated-date format="utc"&gt;1469229868&lt;/last-updated-date&gt;&lt;volume&gt;9&lt;/volume&gt;&lt;/record&gt;&lt;/Cite&gt;&lt;/EndNote&gt;</w:instrText>
      </w:r>
      <w:r w:rsidR="00DC7B41">
        <w:rPr>
          <w:sz w:val="24"/>
          <w:szCs w:val="24"/>
        </w:rPr>
        <w:fldChar w:fldCharType="separate"/>
      </w:r>
      <w:r w:rsidR="00DC7B41">
        <w:rPr>
          <w:noProof/>
          <w:sz w:val="24"/>
          <w:szCs w:val="24"/>
        </w:rPr>
        <w:t>(Ziman, 1996a, p. 67)</w:t>
      </w:r>
      <w:r w:rsidR="00DC7B41">
        <w:rPr>
          <w:sz w:val="24"/>
          <w:szCs w:val="24"/>
        </w:rPr>
        <w:fldChar w:fldCharType="end"/>
      </w:r>
      <w:r w:rsidR="00DC7B41">
        <w:rPr>
          <w:sz w:val="24"/>
          <w:szCs w:val="24"/>
        </w:rPr>
        <w:t xml:space="preserve"> where there is no discernible distinction between the knowledge functions of academic research and those of industry. </w:t>
      </w:r>
      <w:r w:rsidR="0009222D">
        <w:rPr>
          <w:sz w:val="24"/>
          <w:szCs w:val="24"/>
        </w:rPr>
        <w:t>Even if this seems premature, it</w:t>
      </w:r>
      <w:r w:rsidR="00DC7B41">
        <w:rPr>
          <w:sz w:val="24"/>
          <w:szCs w:val="24"/>
        </w:rPr>
        <w:t xml:space="preserve"> is important to acknowledge that there is evidence of increasing interdependence between</w:t>
      </w:r>
      <w:r w:rsidR="00DC7B41" w:rsidRPr="004A03E9">
        <w:rPr>
          <w:sz w:val="24"/>
          <w:szCs w:val="24"/>
        </w:rPr>
        <w:t xml:space="preserve"> </w:t>
      </w:r>
      <w:r w:rsidR="00DC7B41">
        <w:rPr>
          <w:sz w:val="24"/>
          <w:szCs w:val="24"/>
        </w:rPr>
        <w:t xml:space="preserve">academia and other knowledge-intensive institutions and sectors, particularly in STEMM fields. Concerns about ‘postacademic science’ stem from the emergence of so-called ‘Mode 2’ knowledge production conditions </w:t>
      </w:r>
      <w:r w:rsidR="00DC7B41">
        <w:rPr>
          <w:sz w:val="24"/>
          <w:szCs w:val="24"/>
        </w:rPr>
        <w:fldChar w:fldCharType="begin">
          <w:fldData xml:space="preserve">PEVuZE5vdGU+PENpdGU+PEF1dGhvcj5HaWJib25zPC9BdXRob3I+PFllYXI+MTk5NDwvWWVhcj48
SURUZXh0PlRoZSBuZXcgcHJvZHVjdGlvbiBvZiBrbm93bGVkZ2U6IHRoZSBkeW5hbWljcyBvZiBz
Y2llbmNlIGFuZCByZXNlYXJjaCBpbiBjb250ZW1wb3Jhcnkgc29jaWV0aWVzPC9JRFRleHQ+PERp
c3BsYXlUZXh0PihHaWJib25zIGV0IGFsLiwgMTk5NDsgWmltYW4sIDE5OTZhKTwvRGlzcGxheVRl
eHQ+PHJlY29yZD48a2V5d29yZHM+PGtleXdvcmQ+U2NpZW5jZSAtLSBTb2NpYWwgYXNwZWN0czwv
a2V5d29yZD48a2V5d29yZD5TY2llbmNlIC0tIFNvY2lhbCBhc3BlY3RzPC9rZXl3b3JkPjxrZXl3
b3JkPktub3dsZWRnZSwgVGhlb3J5IG9mPC9rZXl3b3JkPjxrZXl3b3JkPktub3dsZWRnZSwgVGhl
b3J5IG9mPC9rZXl3b3JkPjxrZXl3b3JkPlJlc2VhcmNoPC9rZXl3b3JkPjxrZXl3b3JkPlNjaWVu
Y2UgYW5kIHN0YXRlPC9rZXl3b3JkPjxrZXl3b3JkPlRlY2hub2xvZ3kgYW5kIHN0YXRlPC9rZXl3
b3JkPjxrZXl3b3JkPlNjaWVuY2UgLS0gR292ZXJubWVudCBwb2xpY3k8L2tleXdvcmQ+PGtleXdv
cmQ+U2NpZW5jZSBwb2xpY3k8L2tleXdvcmQ+PGtleXdvcmQ+U3RhdGUgYW5kIHNjaWVuY2U8L2tl
eXdvcmQ+PGtleXdvcmQ+ZyBTdGF0ZSwgVGhlPC9rZXl3b3JkPjxrZXl3b3JkPlNjaWVuY2UgLS0g
UmVzZWFyY2g8L2tleXdvcmQ+PGtleXdvcmQ+U2NpZW5jZSByZXNlYXJjaDwva2V5d29yZD48a2V5
d29yZD5TY2llbnRpZmljIHJlc2VhcmNoPC9rZXl3b3JkPjxrZXl3b3JkPkluZm9ybWF0aW9uIHNl
cnZpY2VzPC9rZXl3b3JkPjxrZXl3b3JkPkxlYXJuaW5nIGFuZCBzY2hvbGFyc2hpcDwva2V5d29y
ZD48a2V5d29yZD5NZXRob2RvbG9neTwva2V5d29yZD48a2V5d29yZD5SZXNlYXJjaCB0ZWFtczwv
a2V5d29yZD48a2V5d29yZD5FcGlzdGVtb2xvZ3k8L2tleXdvcmQ+PGtleXdvcmQ+VGhlb3J5IG9m
IGtub3dsZWRnZTwva2V5d29yZD48a2V5d29yZD5nIFBoaWxvc29waHk8L2tleXdvcmQ+PGtleXdv
cmQ+ZyBQc3ljaG9sb2d5PC9rZXl3b3JkPjxrZXl3b3JkPkVwaXN0ZW1vbG9neTwva2V5d29yZD48
a2V5d29yZD5UaGVvcnkgb2Yga25vd2xlZGdlPC9rZXl3b3JkPjxrZXl3b3JkPmcgUGhpbG9zb3Bo
eTwva2V5d29yZD48a2V5d29yZD5nIFBzeWNob2xvZ3k8L2tleXdvcmQ+PGtleXdvcmQ+U2NpZW5j
ZSBhbmQgc29jaWV0eTwva2V5d29yZD48a2V5d29yZD5Tb2Npb2xvZ3kgb2Ygc2NpZW5jZTwva2V5
d29yZD48a2V5d29yZD5TdGF0ZSBhbmQgdGVjaG5vbG9neTwva2V5d29yZD48a2V5d29yZD5UZWNo
bm9sb2d5IC0tIEdvdmVybm1lbnQgcG9saWN5PC9rZXl3b3JkPjxrZXl3b3JkPmcgRW5kb3dtZW50
IG9mIHJlc2VhcmNoPC9rZXl3b3JkPjxrZXl3b3JkPmcgU2NpZW5jZSBhbmQgc3RhdGU8L2tleXdv
cmQ+PGtleXdvcmQ+U2NpZW5jZSBhbmQgc29jaWV0eTwva2V5d29yZD48a2V5d29yZD5Tb2Npb2xv
Z3kgb2Ygc2NpZW5jZTwva2V5d29yZD48a2V5d29yZD5TY2llbmNlIFJlbGF0ZWQgdG8gU29jaWV0
eTwva2V5d29yZD48L2tleXdvcmRzPjx0aXRsZXM+PHRpdGxlPlRoZSBuZXcgcHJvZHVjdGlvbiBv
ZiBrbm93bGVkZ2U6IHRoZSBkeW5hbWljcyBvZiBzY2llbmNlIGFuZCByZXNlYXJjaCBpbiBjb250
ZW1wb3Jhcnkgc29jaWV0aWVzPC90aXRsZT48L3RpdGxlcz48Y29udHJpYnV0b3JzPjxhdXRob3Jz
PjxhdXRob3I+R2liYm9ucywgTWljaGFlbDwvYXV0aG9yPjxhdXRob3I+TGltb2dlcywgQ2FtaWxs
ZTwvYXV0aG9yPjxhdXRob3I+Tm93b3RueSwgSGVsZ2E8L2F1dGhvcj48YXV0aG9yPlNjaHdhcnR6
bWFuLCBTaW1vbjwvYXV0aG9yPjxhdXRob3I+U2NvdHQsIFBldGVyPC9hdXRob3I+PGF1dGhvcj5U
cm93LCBNYXJ0aW48L2F1dGhvcj48L2F1dGhvcnM+PC9jb250cmlidXRvcnM+PGFkZGVkLWRhdGUg
Zm9ybWF0PSJ1dGMiPjE0NjM4NjgwMzk8L2FkZGVkLWRhdGU+PHB1Yi1sb2NhdGlvbj5Mb25kb248
L3B1Yi1sb2NhdGlvbj48cmVmLXR5cGUgbmFtZT0iQm9vayI+NjwvcmVmLXR5cGU+PGRhdGVzPjx5
ZWFyPjE5OTQ8L3llYXI+PC9kYXRlcz48cmVjLW51bWJlcj4zODg8L3JlYy1udW1iZXI+PHB1Ymxp
c2hlcj5TYWdlPC9wdWJsaXNoZXI+PGxhc3QtdXBkYXRlZC1kYXRlIGZvcm1hdD0idXRjIj4xNDc3
NzgxODUwPC9sYXN0LXVwZGF0ZWQtZGF0ZT48L3JlY29yZD48L0NpdGU+PENpdGU+PEF1dGhvcj5a
aW1hbjwvQXV0aG9yPjxZZWFyPjE5OTY8L1llYXI+PElEVGV4dD5Qb3N0YWNhZGVtaWMgU2NpZW5j
ZTogQ29uc3RydWN0aW5nIEtub3dsZWRnZSB3aXRoIE5ldHdvcmtzIGFuZCBOb3JtczwvSURUZXh0
PjxyZWNvcmQ+PGtleXdvcmRzPjxrZXl3b3JkPlNjaWVuY2U8L2tleXdvcmQ+PGtleXdvcmQ+U2Np
ZW50aWZpYyBSZXNlYXJjaDwva2V5d29yZD48a2V5d29yZD5Ob3Jtczwva2V5d29yZD48a2V5d29y
ZD5TY2llbnRpZmljIE1ldGhvZDwva2V5d29yZD48a2V5d29yZD5TY2llbnRpZmljIEtub3dsZWRn
ZTwva2V5d29yZD48a2V5d29yZD5NZXJ0b24sIFJvYmVydCBLaW5nPC9rZXl3b3JkPjxrZXl3b3Jk
PlByb2JsZW0gU29sdmluZzwva2V5d29yZD48a2V5d29yZD5Tb2Npb2xvZ3kgb2YgU2NpZW5jZTwv
a2V5d29yZD48a2V5d29yZD5Lbm93bGVkZ2UgVXRpbGl6YXRpb248L2tleXdvcmQ+PGtleXdvcmQ+
RmluYW5jaWFsIFN1cHBvcnQ8L2tleXdvcmQ+PGtleXdvcmQ+U29jaW9sb2d5IG9mIFNjaWVuY2U8
L2tleXdvcmQ+PGtleXdvcmQ+U29jaW9sb2d5IG9mIFNjaWVuY2U8L2tleXdvcmQ+PGtleXdvcmQ+
QXJ0aWNsZTwva2V5d29yZD48a2V5d29yZD5BY2FkZW1pYy0gUG9zdGFjYWRlbWljIFNjaWVuY2Ug
Q2hhcmFjdGVyaXN0aWNzL05vcm1zPC9rZXl3b3JkPjwva2V5d29yZHM+PGlzYm4+MDc4Ni0zMDEy
PC9pc2JuPjx0aXRsZXM+PHRpdGxlPlBvc3RhY2FkZW1pYyBTY2llbmNlOiBDb25zdHJ1Y3Rpbmcg
S25vd2xlZGdlIHdpdGggTmV0d29ya3MgYW5kIE5vcm1zPC90aXRsZT48c2Vjb25kYXJ5LXRpdGxl
PlNjaWVuY2UgU3R1ZGllczwvc2Vjb25kYXJ5LXRpdGxlPjwvdGl0bGVzPjxwYWdlcz42Ny04MDwv
cGFnZXM+PG51bWJlcj4xPC9udW1iZXI+PGNvbnRyaWJ1dG9ycz48YXV0aG9ycz48YXV0aG9yPlpp
bWFuLCBKLiBNLjwvYXV0aG9yPjwvYXV0aG9ycz48L2NvbnRyaWJ1dG9ycz48YWRkZWQtZGF0ZSBm
b3JtYXQ9InV0YyI+MTQ2ODU0Mjc5MDwvYWRkZWQtZGF0ZT48cmVmLXR5cGUgbmFtZT0iSm91cm5h
bCBBcnRpY2xlIj4xNzwvcmVmLXR5cGU+PGRhdGVzPjx5ZWFyPjE5OTY8L3llYXI+PC9kYXRlcz48
cmVjLW51bWJlcj40Mzg8L3JlYy1udW1iZXI+PGxhc3QtdXBkYXRlZC1kYXRlIGZvcm1hdD0idXRj
Ij4xNDY5MjI5ODY4PC9sYXN0LXVwZGF0ZWQtZGF0ZT48dm9sdW1lPjk8L3ZvbHVtZT48L3JlY29y
ZD48L0NpdGU+PC9FbmROb3RlPgB=
</w:fldData>
        </w:fldChar>
      </w:r>
      <w:r w:rsidR="00DC7B41">
        <w:rPr>
          <w:sz w:val="24"/>
          <w:szCs w:val="24"/>
        </w:rPr>
        <w:instrText xml:space="preserve"> ADDIN EN.CITE </w:instrText>
      </w:r>
      <w:r w:rsidR="00DC7B41">
        <w:rPr>
          <w:sz w:val="24"/>
          <w:szCs w:val="24"/>
        </w:rPr>
        <w:fldChar w:fldCharType="begin">
          <w:fldData xml:space="preserve">PEVuZE5vdGU+PENpdGU+PEF1dGhvcj5HaWJib25zPC9BdXRob3I+PFllYXI+MTk5NDwvWWVhcj48
SURUZXh0PlRoZSBuZXcgcHJvZHVjdGlvbiBvZiBrbm93bGVkZ2U6IHRoZSBkeW5hbWljcyBvZiBz
Y2llbmNlIGFuZCByZXNlYXJjaCBpbiBjb250ZW1wb3Jhcnkgc29jaWV0aWVzPC9JRFRleHQ+PERp
c3BsYXlUZXh0PihHaWJib25zIGV0IGFsLiwgMTk5NDsgWmltYW4sIDE5OTZhKTwvRGlzcGxheVRl
eHQ+PHJlY29yZD48a2V5d29yZHM+PGtleXdvcmQ+U2NpZW5jZSAtLSBTb2NpYWwgYXNwZWN0czwv
a2V5d29yZD48a2V5d29yZD5TY2llbmNlIC0tIFNvY2lhbCBhc3BlY3RzPC9rZXl3b3JkPjxrZXl3
b3JkPktub3dsZWRnZSwgVGhlb3J5IG9mPC9rZXl3b3JkPjxrZXl3b3JkPktub3dsZWRnZSwgVGhl
b3J5IG9mPC9rZXl3b3JkPjxrZXl3b3JkPlJlc2VhcmNoPC9rZXl3b3JkPjxrZXl3b3JkPlNjaWVu
Y2UgYW5kIHN0YXRlPC9rZXl3b3JkPjxrZXl3b3JkPlRlY2hub2xvZ3kgYW5kIHN0YXRlPC9rZXl3
b3JkPjxrZXl3b3JkPlNjaWVuY2UgLS0gR292ZXJubWVudCBwb2xpY3k8L2tleXdvcmQ+PGtleXdv
cmQ+U2NpZW5jZSBwb2xpY3k8L2tleXdvcmQ+PGtleXdvcmQ+U3RhdGUgYW5kIHNjaWVuY2U8L2tl
eXdvcmQ+PGtleXdvcmQ+ZyBTdGF0ZSwgVGhlPC9rZXl3b3JkPjxrZXl3b3JkPlNjaWVuY2UgLS0g
UmVzZWFyY2g8L2tleXdvcmQ+PGtleXdvcmQ+U2NpZW5jZSByZXNlYXJjaDwva2V5d29yZD48a2V5
d29yZD5TY2llbnRpZmljIHJlc2VhcmNoPC9rZXl3b3JkPjxrZXl3b3JkPkluZm9ybWF0aW9uIHNl
cnZpY2VzPC9rZXl3b3JkPjxrZXl3b3JkPkxlYXJuaW5nIGFuZCBzY2hvbGFyc2hpcDwva2V5d29y
ZD48a2V5d29yZD5NZXRob2RvbG9neTwva2V5d29yZD48a2V5d29yZD5SZXNlYXJjaCB0ZWFtczwv
a2V5d29yZD48a2V5d29yZD5FcGlzdGVtb2xvZ3k8L2tleXdvcmQ+PGtleXdvcmQ+VGhlb3J5IG9m
IGtub3dsZWRnZTwva2V5d29yZD48a2V5d29yZD5nIFBoaWxvc29waHk8L2tleXdvcmQ+PGtleXdv
cmQ+ZyBQc3ljaG9sb2d5PC9rZXl3b3JkPjxrZXl3b3JkPkVwaXN0ZW1vbG9neTwva2V5d29yZD48
a2V5d29yZD5UaGVvcnkgb2Yga25vd2xlZGdlPC9rZXl3b3JkPjxrZXl3b3JkPmcgUGhpbG9zb3Bo
eTwva2V5d29yZD48a2V5d29yZD5nIFBzeWNob2xvZ3k8L2tleXdvcmQ+PGtleXdvcmQ+U2NpZW5j
ZSBhbmQgc29jaWV0eTwva2V5d29yZD48a2V5d29yZD5Tb2Npb2xvZ3kgb2Ygc2NpZW5jZTwva2V5
d29yZD48a2V5d29yZD5TdGF0ZSBhbmQgdGVjaG5vbG9neTwva2V5d29yZD48a2V5d29yZD5UZWNo
bm9sb2d5IC0tIEdvdmVybm1lbnQgcG9saWN5PC9rZXl3b3JkPjxrZXl3b3JkPmcgRW5kb3dtZW50
IG9mIHJlc2VhcmNoPC9rZXl3b3JkPjxrZXl3b3JkPmcgU2NpZW5jZSBhbmQgc3RhdGU8L2tleXdv
cmQ+PGtleXdvcmQ+U2NpZW5jZSBhbmQgc29jaWV0eTwva2V5d29yZD48a2V5d29yZD5Tb2Npb2xv
Z3kgb2Ygc2NpZW5jZTwva2V5d29yZD48a2V5d29yZD5TY2llbmNlIFJlbGF0ZWQgdG8gU29jaWV0
eTwva2V5d29yZD48L2tleXdvcmRzPjx0aXRsZXM+PHRpdGxlPlRoZSBuZXcgcHJvZHVjdGlvbiBv
ZiBrbm93bGVkZ2U6IHRoZSBkeW5hbWljcyBvZiBzY2llbmNlIGFuZCByZXNlYXJjaCBpbiBjb250
ZW1wb3Jhcnkgc29jaWV0aWVzPC90aXRsZT48L3RpdGxlcz48Y29udHJpYnV0b3JzPjxhdXRob3Jz
PjxhdXRob3I+R2liYm9ucywgTWljaGFlbDwvYXV0aG9yPjxhdXRob3I+TGltb2dlcywgQ2FtaWxs
ZTwvYXV0aG9yPjxhdXRob3I+Tm93b3RueSwgSGVsZ2E8L2F1dGhvcj48YXV0aG9yPlNjaHdhcnR6
bWFuLCBTaW1vbjwvYXV0aG9yPjxhdXRob3I+U2NvdHQsIFBldGVyPC9hdXRob3I+PGF1dGhvcj5U
cm93LCBNYXJ0aW48L2F1dGhvcj48L2F1dGhvcnM+PC9jb250cmlidXRvcnM+PGFkZGVkLWRhdGUg
Zm9ybWF0PSJ1dGMiPjE0NjM4NjgwMzk8L2FkZGVkLWRhdGU+PHB1Yi1sb2NhdGlvbj5Mb25kb248
L3B1Yi1sb2NhdGlvbj48cmVmLXR5cGUgbmFtZT0iQm9vayI+NjwvcmVmLXR5cGU+PGRhdGVzPjx5
ZWFyPjE5OTQ8L3llYXI+PC9kYXRlcz48cmVjLW51bWJlcj4zODg8L3JlYy1udW1iZXI+PHB1Ymxp
c2hlcj5TYWdlPC9wdWJsaXNoZXI+PGxhc3QtdXBkYXRlZC1kYXRlIGZvcm1hdD0idXRjIj4xNDc3
NzgxODUwPC9sYXN0LXVwZGF0ZWQtZGF0ZT48L3JlY29yZD48L0NpdGU+PENpdGU+PEF1dGhvcj5a
aW1hbjwvQXV0aG9yPjxZZWFyPjE5OTY8L1llYXI+PElEVGV4dD5Qb3N0YWNhZGVtaWMgU2NpZW5j
ZTogQ29uc3RydWN0aW5nIEtub3dsZWRnZSB3aXRoIE5ldHdvcmtzIGFuZCBOb3JtczwvSURUZXh0
PjxyZWNvcmQ+PGtleXdvcmRzPjxrZXl3b3JkPlNjaWVuY2U8L2tleXdvcmQ+PGtleXdvcmQ+U2Np
ZW50aWZpYyBSZXNlYXJjaDwva2V5d29yZD48a2V5d29yZD5Ob3Jtczwva2V5d29yZD48a2V5d29y
ZD5TY2llbnRpZmljIE1ldGhvZDwva2V5d29yZD48a2V5d29yZD5TY2llbnRpZmljIEtub3dsZWRn
ZTwva2V5d29yZD48a2V5d29yZD5NZXJ0b24sIFJvYmVydCBLaW5nPC9rZXl3b3JkPjxrZXl3b3Jk
PlByb2JsZW0gU29sdmluZzwva2V5d29yZD48a2V5d29yZD5Tb2Npb2xvZ3kgb2YgU2NpZW5jZTwv
a2V5d29yZD48a2V5d29yZD5Lbm93bGVkZ2UgVXRpbGl6YXRpb248L2tleXdvcmQ+PGtleXdvcmQ+
RmluYW5jaWFsIFN1cHBvcnQ8L2tleXdvcmQ+PGtleXdvcmQ+U29jaW9sb2d5IG9mIFNjaWVuY2U8
L2tleXdvcmQ+PGtleXdvcmQ+U29jaW9sb2d5IG9mIFNjaWVuY2U8L2tleXdvcmQ+PGtleXdvcmQ+
QXJ0aWNsZTwva2V5d29yZD48a2V5d29yZD5BY2FkZW1pYy0gUG9zdGFjYWRlbWljIFNjaWVuY2Ug
Q2hhcmFjdGVyaXN0aWNzL05vcm1zPC9rZXl3b3JkPjwva2V5d29yZHM+PGlzYm4+MDc4Ni0zMDEy
PC9pc2JuPjx0aXRsZXM+PHRpdGxlPlBvc3RhY2FkZW1pYyBTY2llbmNlOiBDb25zdHJ1Y3Rpbmcg
S25vd2xlZGdlIHdpdGggTmV0d29ya3MgYW5kIE5vcm1zPC90aXRsZT48c2Vjb25kYXJ5LXRpdGxl
PlNjaWVuY2UgU3R1ZGllczwvc2Vjb25kYXJ5LXRpdGxlPjwvdGl0bGVzPjxwYWdlcz42Ny04MDwv
cGFnZXM+PG51bWJlcj4xPC9udW1iZXI+PGNvbnRyaWJ1dG9ycz48YXV0aG9ycz48YXV0aG9yPlpp
bWFuLCBKLiBNLjwvYXV0aG9yPjwvYXV0aG9ycz48L2NvbnRyaWJ1dG9ycz48YWRkZWQtZGF0ZSBm
b3JtYXQ9InV0YyI+MTQ2ODU0Mjc5MDwvYWRkZWQtZGF0ZT48cmVmLXR5cGUgbmFtZT0iSm91cm5h
bCBBcnRpY2xlIj4xNzwvcmVmLXR5cGU+PGRhdGVzPjx5ZWFyPjE5OTY8L3llYXI+PC9kYXRlcz48
cmVjLW51bWJlcj40Mzg8L3JlYy1udW1iZXI+PGxhc3QtdXBkYXRlZC1kYXRlIGZvcm1hdD0idXRj
Ij4xNDY5MjI5ODY4PC9sYXN0LXVwZGF0ZWQtZGF0ZT48dm9sdW1lPjk8L3ZvbHVtZT48L3JlY29y
ZD48L0NpdGU+PC9FbmROb3RlPgB=
</w:fldData>
        </w:fldChar>
      </w:r>
      <w:r w:rsidR="00DC7B41">
        <w:rPr>
          <w:sz w:val="24"/>
          <w:szCs w:val="24"/>
        </w:rPr>
        <w:instrText xml:space="preserve"> ADDIN EN.CITE.DATA </w:instrText>
      </w:r>
      <w:r w:rsidR="00DC7B41">
        <w:rPr>
          <w:sz w:val="24"/>
          <w:szCs w:val="24"/>
        </w:rPr>
      </w:r>
      <w:r w:rsidR="00DC7B41">
        <w:rPr>
          <w:sz w:val="24"/>
          <w:szCs w:val="24"/>
        </w:rPr>
        <w:fldChar w:fldCharType="end"/>
      </w:r>
      <w:r w:rsidR="00DC7B41">
        <w:rPr>
          <w:sz w:val="24"/>
          <w:szCs w:val="24"/>
        </w:rPr>
      </w:r>
      <w:r w:rsidR="00DC7B41">
        <w:rPr>
          <w:sz w:val="24"/>
          <w:szCs w:val="24"/>
        </w:rPr>
        <w:fldChar w:fldCharType="separate"/>
      </w:r>
      <w:r w:rsidR="00DC7B41">
        <w:rPr>
          <w:noProof/>
          <w:sz w:val="24"/>
          <w:szCs w:val="24"/>
        </w:rPr>
        <w:t>(Gibbons et al., 1994; Ziman, 1996a)</w:t>
      </w:r>
      <w:r w:rsidR="00DC7B41">
        <w:rPr>
          <w:sz w:val="24"/>
          <w:szCs w:val="24"/>
        </w:rPr>
        <w:fldChar w:fldCharType="end"/>
      </w:r>
      <w:r w:rsidR="00DC7B41">
        <w:rPr>
          <w:sz w:val="24"/>
          <w:szCs w:val="24"/>
        </w:rPr>
        <w:t xml:space="preserve">. ‘Mode 1’ refers to ‘traditional’ forms and organisation of academic knowledge production, with a primary focus on basic knowledge in distinct disciplines, with only occasional cause for scientists to think about the implications of their research for other disciplines or for practical use </w:t>
      </w:r>
      <w:r w:rsidR="00DC7B41">
        <w:rPr>
          <w:sz w:val="24"/>
          <w:szCs w:val="24"/>
        </w:rPr>
        <w:fldChar w:fldCharType="begin">
          <w:fldData xml:space="preserve">PEVuZE5vdGU+PENpdGU+PEF1dGhvcj5HaWJib25zPC9BdXRob3I+PFllYXI+MTk5NDwvWWVhcj48
SURUZXh0PlRoZSBuZXcgcHJvZHVjdGlvbiBvZiBrbm93bGVkZ2U6IHRoZSBkeW5hbWljcyBvZiBz
Y2llbmNlIGFuZCByZXNlYXJjaCBpbiBjb250ZW1wb3Jhcnkgc29jaWV0aWVzPC9JRFRleHQ+PERp
c3BsYXlUZXh0PihHaWJib25zIGV0IGFsLiwgMTk5NCk8L0Rpc3BsYXlUZXh0PjxyZWNvcmQ+PGtl
eXdvcmRzPjxrZXl3b3JkPlNjaWVuY2UgLS0gU29jaWFsIGFzcGVjdHM8L2tleXdvcmQ+PGtleXdv
cmQ+U2NpZW5jZSAtLSBTb2NpYWwgYXNwZWN0czwva2V5d29yZD48a2V5d29yZD5Lbm93bGVkZ2Us
IFRoZW9yeSBvZjwva2V5d29yZD48a2V5d29yZD5Lbm93bGVkZ2UsIFRoZW9yeSBvZjwva2V5d29y
ZD48a2V5d29yZD5SZXNlYXJjaDwva2V5d29yZD48a2V5d29yZD5TY2llbmNlIGFuZCBzdGF0ZTwv
a2V5d29yZD48a2V5d29yZD5UZWNobm9sb2d5IGFuZCBzdGF0ZTwva2V5d29yZD48a2V5d29yZD5T
Y2llbmNlIC0tIEdvdmVybm1lbnQgcG9saWN5PC9rZXl3b3JkPjxrZXl3b3JkPlNjaWVuY2UgcG9s
aWN5PC9rZXl3b3JkPjxrZXl3b3JkPlN0YXRlIGFuZCBzY2llbmNlPC9rZXl3b3JkPjxrZXl3b3Jk
PmcgU3RhdGUsIFRoZTwva2V5d29yZD48a2V5d29yZD5TY2llbmNlIC0tIFJlc2VhcmNoPC9rZXl3
b3JkPjxrZXl3b3JkPlNjaWVuY2UgcmVzZWFyY2g8L2tleXdvcmQ+PGtleXdvcmQ+U2NpZW50aWZp
YyByZXNlYXJjaDwva2V5d29yZD48a2V5d29yZD5JbmZvcm1hdGlvbiBzZXJ2aWNlczwva2V5d29y
ZD48a2V5d29yZD5MZWFybmluZyBhbmQgc2Nob2xhcnNoaXA8L2tleXdvcmQ+PGtleXdvcmQ+TWV0
aG9kb2xvZ3k8L2tleXdvcmQ+PGtleXdvcmQ+UmVzZWFyY2ggdGVhbXM8L2tleXdvcmQ+PGtleXdv
cmQ+RXBpc3RlbW9sb2d5PC9rZXl3b3JkPjxrZXl3b3JkPlRoZW9yeSBvZiBrbm93bGVkZ2U8L2tl
eXdvcmQ+PGtleXdvcmQ+ZyBQaGlsb3NvcGh5PC9rZXl3b3JkPjxrZXl3b3JkPmcgUHN5Y2hvbG9n
eTwva2V5d29yZD48a2V5d29yZD5FcGlzdGVtb2xvZ3k8L2tleXdvcmQ+PGtleXdvcmQ+VGhlb3J5
IG9mIGtub3dsZWRnZTwva2V5d29yZD48a2V5d29yZD5nIFBoaWxvc29waHk8L2tleXdvcmQ+PGtl
eXdvcmQ+ZyBQc3ljaG9sb2d5PC9rZXl3b3JkPjxrZXl3b3JkPlNjaWVuY2UgYW5kIHNvY2lldHk8
L2tleXdvcmQ+PGtleXdvcmQ+U29jaW9sb2d5IG9mIHNjaWVuY2U8L2tleXdvcmQ+PGtleXdvcmQ+
U3RhdGUgYW5kIHRlY2hub2xvZ3k8L2tleXdvcmQ+PGtleXdvcmQ+VGVjaG5vbG9neSAtLSBHb3Zl
cm5tZW50IHBvbGljeTwva2V5d29yZD48a2V5d29yZD5nIEVuZG93bWVudCBvZiByZXNlYXJjaDwv
a2V5d29yZD48a2V5d29yZD5nIFNjaWVuY2UgYW5kIHN0YXRlPC9rZXl3b3JkPjxrZXl3b3JkPlNj
aWVuY2UgYW5kIHNvY2lldHk8L2tleXdvcmQ+PGtleXdvcmQ+U29jaW9sb2d5IG9mIHNjaWVuY2U8
L2tleXdvcmQ+PGtleXdvcmQ+U2NpZW5jZSBSZWxhdGVkIHRvIFNvY2lldHk8L2tleXdvcmQ+PC9r
ZXl3b3Jkcz48dGl0bGVzPjx0aXRsZT5UaGUgbmV3IHByb2R1Y3Rpb24gb2Yga25vd2xlZGdlOiB0
aGUgZHluYW1pY3Mgb2Ygc2NpZW5jZSBhbmQgcmVzZWFyY2ggaW4gY29udGVtcG9yYXJ5IHNvY2ll
dGllczwvdGl0bGU+PC90aXRsZXM+PGNvbnRyaWJ1dG9ycz48YXV0aG9ycz48YXV0aG9yPkdpYmJv
bnMsIE1pY2hhZWw8L2F1dGhvcj48YXV0aG9yPkxpbW9nZXMsIENhbWlsbGU8L2F1dGhvcj48YXV0
aG9yPk5vd290bnksIEhlbGdhPC9hdXRob3I+PGF1dGhvcj5TY2h3YXJ0em1hbiwgU2ltb248L2F1
dGhvcj48YXV0aG9yPlNjb3R0LCBQZXRlcjwvYXV0aG9yPjxhdXRob3I+VHJvdywgTWFydGluPC9h
dXRob3I+PC9hdXRob3JzPjwvY29udHJpYnV0b3JzPjxhZGRlZC1kYXRlIGZvcm1hdD0idXRjIj4x
NDYzODY4MDM5PC9hZGRlZC1kYXRlPjxwdWItbG9jYXRpb24+TG9uZG9uPC9wdWItbG9jYXRpb24+
PHJlZi10eXBlIG5hbWU9IkJvb2siPjY8L3JlZi10eXBlPjxkYXRlcz48eWVhcj4xOTk0PC95ZWFy
PjwvZGF0ZXM+PHJlYy1udW1iZXI+Mzg4PC9yZWMtbnVtYmVyPjxwdWJsaXNoZXI+U2FnZTwvcHVi
bGlzaGVyPjxsYXN0LXVwZGF0ZWQtZGF0ZSBmb3JtYXQ9InV0YyI+MTQ3Nzc4MTg1MDwvbGFzdC11
cGRhdGVkLWRhdGU+PC9yZWNvcmQ+PC9DaXRlPjwvRW5kTm90ZT5=
</w:fldData>
        </w:fldChar>
      </w:r>
      <w:r w:rsidR="00DC7B41">
        <w:rPr>
          <w:sz w:val="24"/>
          <w:szCs w:val="24"/>
        </w:rPr>
        <w:instrText xml:space="preserve"> ADDIN EN.CITE </w:instrText>
      </w:r>
      <w:r w:rsidR="00DC7B41">
        <w:rPr>
          <w:sz w:val="24"/>
          <w:szCs w:val="24"/>
        </w:rPr>
        <w:fldChar w:fldCharType="begin">
          <w:fldData xml:space="preserve">PEVuZE5vdGU+PENpdGU+PEF1dGhvcj5HaWJib25zPC9BdXRob3I+PFllYXI+MTk5NDwvWWVhcj48
SURUZXh0PlRoZSBuZXcgcHJvZHVjdGlvbiBvZiBrbm93bGVkZ2U6IHRoZSBkeW5hbWljcyBvZiBz
Y2llbmNlIGFuZCByZXNlYXJjaCBpbiBjb250ZW1wb3Jhcnkgc29jaWV0aWVzPC9JRFRleHQ+PERp
c3BsYXlUZXh0PihHaWJib25zIGV0IGFsLiwgMTk5NCk8L0Rpc3BsYXlUZXh0PjxyZWNvcmQ+PGtl
eXdvcmRzPjxrZXl3b3JkPlNjaWVuY2UgLS0gU29jaWFsIGFzcGVjdHM8L2tleXdvcmQ+PGtleXdv
cmQ+U2NpZW5jZSAtLSBTb2NpYWwgYXNwZWN0czwva2V5d29yZD48a2V5d29yZD5Lbm93bGVkZ2Us
IFRoZW9yeSBvZjwva2V5d29yZD48a2V5d29yZD5Lbm93bGVkZ2UsIFRoZW9yeSBvZjwva2V5d29y
ZD48a2V5d29yZD5SZXNlYXJjaDwva2V5d29yZD48a2V5d29yZD5TY2llbmNlIGFuZCBzdGF0ZTwv
a2V5d29yZD48a2V5d29yZD5UZWNobm9sb2d5IGFuZCBzdGF0ZTwva2V5d29yZD48a2V5d29yZD5T
Y2llbmNlIC0tIEdvdmVybm1lbnQgcG9saWN5PC9rZXl3b3JkPjxrZXl3b3JkPlNjaWVuY2UgcG9s
aWN5PC9rZXl3b3JkPjxrZXl3b3JkPlN0YXRlIGFuZCBzY2llbmNlPC9rZXl3b3JkPjxrZXl3b3Jk
PmcgU3RhdGUsIFRoZTwva2V5d29yZD48a2V5d29yZD5TY2llbmNlIC0tIFJlc2VhcmNoPC9rZXl3
b3JkPjxrZXl3b3JkPlNjaWVuY2UgcmVzZWFyY2g8L2tleXdvcmQ+PGtleXdvcmQ+U2NpZW50aWZp
YyByZXNlYXJjaDwva2V5d29yZD48a2V5d29yZD5JbmZvcm1hdGlvbiBzZXJ2aWNlczwva2V5d29y
ZD48a2V5d29yZD5MZWFybmluZyBhbmQgc2Nob2xhcnNoaXA8L2tleXdvcmQ+PGtleXdvcmQ+TWV0
aG9kb2xvZ3k8L2tleXdvcmQ+PGtleXdvcmQ+UmVzZWFyY2ggdGVhbXM8L2tleXdvcmQ+PGtleXdv
cmQ+RXBpc3RlbW9sb2d5PC9rZXl3b3JkPjxrZXl3b3JkPlRoZW9yeSBvZiBrbm93bGVkZ2U8L2tl
eXdvcmQ+PGtleXdvcmQ+ZyBQaGlsb3NvcGh5PC9rZXl3b3JkPjxrZXl3b3JkPmcgUHN5Y2hvbG9n
eTwva2V5d29yZD48a2V5d29yZD5FcGlzdGVtb2xvZ3k8L2tleXdvcmQ+PGtleXdvcmQ+VGhlb3J5
IG9mIGtub3dsZWRnZTwva2V5d29yZD48a2V5d29yZD5nIFBoaWxvc29waHk8L2tleXdvcmQ+PGtl
eXdvcmQ+ZyBQc3ljaG9sb2d5PC9rZXl3b3JkPjxrZXl3b3JkPlNjaWVuY2UgYW5kIHNvY2lldHk8
L2tleXdvcmQ+PGtleXdvcmQ+U29jaW9sb2d5IG9mIHNjaWVuY2U8L2tleXdvcmQ+PGtleXdvcmQ+
U3RhdGUgYW5kIHRlY2hub2xvZ3k8L2tleXdvcmQ+PGtleXdvcmQ+VGVjaG5vbG9neSAtLSBHb3Zl
cm5tZW50IHBvbGljeTwva2V5d29yZD48a2V5d29yZD5nIEVuZG93bWVudCBvZiByZXNlYXJjaDwv
a2V5d29yZD48a2V5d29yZD5nIFNjaWVuY2UgYW5kIHN0YXRlPC9rZXl3b3JkPjxrZXl3b3JkPlNj
aWVuY2UgYW5kIHNvY2lldHk8L2tleXdvcmQ+PGtleXdvcmQ+U29jaW9sb2d5IG9mIHNjaWVuY2U8
L2tleXdvcmQ+PGtleXdvcmQ+U2NpZW5jZSBSZWxhdGVkIHRvIFNvY2lldHk8L2tleXdvcmQ+PC9r
ZXl3b3Jkcz48dGl0bGVzPjx0aXRsZT5UaGUgbmV3IHByb2R1Y3Rpb24gb2Yga25vd2xlZGdlOiB0
aGUgZHluYW1pY3Mgb2Ygc2NpZW5jZSBhbmQgcmVzZWFyY2ggaW4gY29udGVtcG9yYXJ5IHNvY2ll
dGllczwvdGl0bGU+PC90aXRsZXM+PGNvbnRyaWJ1dG9ycz48YXV0aG9ycz48YXV0aG9yPkdpYmJv
bnMsIE1pY2hhZWw8L2F1dGhvcj48YXV0aG9yPkxpbW9nZXMsIENhbWlsbGU8L2F1dGhvcj48YXV0
aG9yPk5vd290bnksIEhlbGdhPC9hdXRob3I+PGF1dGhvcj5TY2h3YXJ0em1hbiwgU2ltb248L2F1
dGhvcj48YXV0aG9yPlNjb3R0LCBQZXRlcjwvYXV0aG9yPjxhdXRob3I+VHJvdywgTWFydGluPC9h
dXRob3I+PC9hdXRob3JzPjwvY29udHJpYnV0b3JzPjxhZGRlZC1kYXRlIGZvcm1hdD0idXRjIj4x
NDYzODY4MDM5PC9hZGRlZC1kYXRlPjxwdWItbG9jYXRpb24+TG9uZG9uPC9wdWItbG9jYXRpb24+
PHJlZi10eXBlIG5hbWU9IkJvb2siPjY8L3JlZi10eXBlPjxkYXRlcz48eWVhcj4xOTk0PC95ZWFy
PjwvZGF0ZXM+PHJlYy1udW1iZXI+Mzg4PC9yZWMtbnVtYmVyPjxwdWJsaXNoZXI+U2FnZTwvcHVi
bGlzaGVyPjxsYXN0LXVwZGF0ZWQtZGF0ZSBmb3JtYXQ9InV0YyI+MTQ3Nzc4MTg1MDwvbGFzdC11
cGRhdGVkLWRhdGU+PC9yZWNvcmQ+PC9DaXRlPjwvRW5kTm90ZT5=
</w:fldData>
        </w:fldChar>
      </w:r>
      <w:r w:rsidR="00DC7B41">
        <w:rPr>
          <w:sz w:val="24"/>
          <w:szCs w:val="24"/>
        </w:rPr>
        <w:instrText xml:space="preserve"> ADDIN EN.CITE.DATA </w:instrText>
      </w:r>
      <w:r w:rsidR="00DC7B41">
        <w:rPr>
          <w:sz w:val="24"/>
          <w:szCs w:val="24"/>
        </w:rPr>
      </w:r>
      <w:r w:rsidR="00DC7B41">
        <w:rPr>
          <w:sz w:val="24"/>
          <w:szCs w:val="24"/>
        </w:rPr>
        <w:fldChar w:fldCharType="end"/>
      </w:r>
      <w:r w:rsidR="00DC7B41">
        <w:rPr>
          <w:sz w:val="24"/>
          <w:szCs w:val="24"/>
        </w:rPr>
      </w:r>
      <w:r w:rsidR="00DC7B41">
        <w:rPr>
          <w:sz w:val="24"/>
          <w:szCs w:val="24"/>
        </w:rPr>
        <w:fldChar w:fldCharType="separate"/>
      </w:r>
      <w:r w:rsidR="00DC7B41">
        <w:rPr>
          <w:noProof/>
          <w:sz w:val="24"/>
          <w:szCs w:val="24"/>
        </w:rPr>
        <w:t>(Gibbons et al., 1994)</w:t>
      </w:r>
      <w:r w:rsidR="00DC7B41">
        <w:rPr>
          <w:sz w:val="24"/>
          <w:szCs w:val="24"/>
        </w:rPr>
        <w:fldChar w:fldCharType="end"/>
      </w:r>
      <w:r w:rsidR="00DC7B41">
        <w:rPr>
          <w:sz w:val="24"/>
          <w:szCs w:val="24"/>
        </w:rPr>
        <w:t xml:space="preserve">. Later sections will discuss the ‘transdisciplinary’ nature of Mode 2 research. For now, I want to focus on the emphasis </w:t>
      </w:r>
      <w:r w:rsidR="00DC7B41">
        <w:rPr>
          <w:iCs/>
          <w:sz w:val="24"/>
          <w:szCs w:val="24"/>
          <w:lang w:eastAsia="ko-KR"/>
        </w:rPr>
        <w:t xml:space="preserve">Mode 2 places </w:t>
      </w:r>
      <w:r w:rsidR="00DC7B41">
        <w:rPr>
          <w:iCs/>
          <w:sz w:val="24"/>
          <w:szCs w:val="24"/>
        </w:rPr>
        <w:t xml:space="preserve">on the </w:t>
      </w:r>
      <w:r w:rsidR="00DC7B41" w:rsidRPr="0075277D">
        <w:rPr>
          <w:i/>
          <w:iCs/>
          <w:sz w:val="24"/>
          <w:szCs w:val="24"/>
        </w:rPr>
        <w:t>context of application</w:t>
      </w:r>
      <w:r w:rsidR="00DC7B41">
        <w:rPr>
          <w:iCs/>
          <w:sz w:val="24"/>
          <w:szCs w:val="24"/>
        </w:rPr>
        <w:t xml:space="preserve">. This is not only a question of scientific topic or selection of a research agenda, although these are also at stake. Rather, the increased focus on contexts of application has potential implications at the heart of academic science. Under Mode 2, it is no longer sufficient that epistemologies be scientifically </w:t>
      </w:r>
      <w:r w:rsidR="00DC7B41">
        <w:rPr>
          <w:sz w:val="24"/>
          <w:szCs w:val="24"/>
        </w:rPr>
        <w:t>“</w:t>
      </w:r>
      <w:r w:rsidR="00DC7B41" w:rsidRPr="00A3589E">
        <w:rPr>
          <w:i/>
          <w:sz w:val="24"/>
          <w:szCs w:val="24"/>
        </w:rPr>
        <w:t>reliable</w:t>
      </w:r>
      <w:r w:rsidR="00DC7B41">
        <w:rPr>
          <w:sz w:val="24"/>
          <w:szCs w:val="24"/>
        </w:rPr>
        <w:t xml:space="preserve">...; knowledge also needs to be </w:t>
      </w:r>
      <w:r w:rsidR="00DC7B41" w:rsidRPr="00A3589E">
        <w:rPr>
          <w:i/>
          <w:sz w:val="24"/>
          <w:szCs w:val="24"/>
        </w:rPr>
        <w:t>‘socially robust’</w:t>
      </w:r>
      <w:r w:rsidR="00DC7B41">
        <w:rPr>
          <w:sz w:val="24"/>
          <w:szCs w:val="24"/>
        </w:rPr>
        <w:t xml:space="preserve">, because its validity is no longer determined solely, or predominantly, by narrowly circumscribed scientific communities, but by much wider communities of engagement comprising knowledge producers, disseminators, traders, and users” </w:t>
      </w:r>
      <w:r w:rsidR="00DC7B41">
        <w:rPr>
          <w:sz w:val="24"/>
          <w:szCs w:val="24"/>
        </w:rPr>
        <w:fldChar w:fldCharType="begin"/>
      </w:r>
      <w:r w:rsidR="00DC7B41">
        <w:rPr>
          <w:sz w:val="24"/>
          <w:szCs w:val="24"/>
        </w:rPr>
        <w:instrText xml:space="preserve"> ADDIN EN.CITE &lt;EndNote&gt;&lt;Cite&gt;&lt;Author&gt;Nowotny&lt;/Author&gt;&lt;Year&gt;2003&lt;/Year&gt;&lt;IDText&gt;Introduction: &amp;apos;Mode 2&amp;apos; revisited: the new production of knowledge&lt;/IDText&gt;&lt;Suffix&gt;`, emphasis added&lt;/Suffix&gt;&lt;Pages&gt;191-192&lt;/Pages&gt;&lt;DisplayText&gt;(Nowotny et al., 2003, pp. 191-192, emphasis added)&lt;/DisplayText&gt;&lt;record&gt;&lt;keywords&gt;&lt;keyword&gt;Science&lt;/keyword&gt;&lt;keyword&gt;Knowledge&lt;/keyword&gt;&lt;keyword&gt;Knowledge Management&lt;/keyword&gt;&lt;keyword&gt;Scientific Research&lt;/keyword&gt;&lt;keyword&gt;Scientific Discoveries&lt;/keyword&gt;&lt;keyword&gt;Scientific Communities&lt;/keyword&gt;&lt;keyword&gt;Sociology of Science&lt;/keyword&gt;&lt;keyword&gt;Sociology of Knowledge&lt;/keyword&gt;&lt;keyword&gt;Philosophy of Science&lt;/keyword&gt;&lt;keyword&gt;Sociology&lt;/keyword&gt;&lt;/keywords&gt;&lt;isbn&gt;0026-4695&lt;/isbn&gt;&lt;titles&gt;&lt;title&gt;Introduction: &amp;apos;Mode 2&amp;apos; revisited: the new production of knowledge&lt;/title&gt;&lt;secondary-title&gt;Minerva&lt;/secondary-title&gt;&lt;/titles&gt;&lt;pages&gt;179-194&lt;/pages&gt;&lt;number&gt;3&lt;/number&gt;&lt;contributors&gt;&lt;authors&gt;&lt;author&gt;Nowotny, Helga&lt;/author&gt;&lt;author&gt;Scott, Peter&lt;/author&gt;&lt;author&gt;Gibbons, Michael&lt;/author&gt;&lt;/authors&gt;&lt;/contributors&gt;&lt;added-date format="utc"&gt;1529380888&lt;/added-date&gt;&lt;ref-type name="Journal Article"&gt;17&lt;/ref-type&gt;&lt;dates&gt;&lt;year&gt;2003&lt;/year&gt;&lt;/dates&gt;&lt;rec-number&gt;7563&lt;/rec-number&gt;&lt;last-updated-date format="utc"&gt;1529380888&lt;/last-updated-date&gt;&lt;volume&gt;xli&lt;/volume&gt;&lt;/record&gt;&lt;/Cite&gt;&lt;/EndNote&gt;</w:instrText>
      </w:r>
      <w:r w:rsidR="00DC7B41">
        <w:rPr>
          <w:sz w:val="24"/>
          <w:szCs w:val="24"/>
        </w:rPr>
        <w:fldChar w:fldCharType="separate"/>
      </w:r>
      <w:r w:rsidR="00DC7B41">
        <w:rPr>
          <w:noProof/>
          <w:sz w:val="24"/>
          <w:szCs w:val="24"/>
        </w:rPr>
        <w:t>(Nowotny et al., 2003, pp. 191-192, emphasis added)</w:t>
      </w:r>
      <w:r w:rsidR="00DC7B41">
        <w:rPr>
          <w:sz w:val="24"/>
          <w:szCs w:val="24"/>
        </w:rPr>
        <w:fldChar w:fldCharType="end"/>
      </w:r>
      <w:r w:rsidR="00DC7B41">
        <w:rPr>
          <w:sz w:val="24"/>
          <w:szCs w:val="24"/>
        </w:rPr>
        <w:t xml:space="preserve">. </w:t>
      </w:r>
    </w:p>
    <w:p w14:paraId="21C9A801" w14:textId="77777777" w:rsidR="00DC7B41" w:rsidRDefault="00DC7B41" w:rsidP="00DC7B41">
      <w:pPr>
        <w:autoSpaceDE w:val="0"/>
        <w:autoSpaceDN w:val="0"/>
        <w:adjustRightInd w:val="0"/>
        <w:spacing w:after="120" w:line="360" w:lineRule="auto"/>
        <w:rPr>
          <w:iCs/>
          <w:sz w:val="24"/>
          <w:szCs w:val="24"/>
        </w:rPr>
      </w:pPr>
      <w:r>
        <w:rPr>
          <w:iCs/>
          <w:sz w:val="24"/>
          <w:szCs w:val="24"/>
        </w:rPr>
        <w:t xml:space="preserve">Interview-based studies have researched how STEMM academics are experiencing and responding to an increasingly market-oriented academic research system, with a focus on changing epistemic goals and values, and the tensions associated with the need to generate revenue whilst also staying true to the educational and public missions of universities </w:t>
      </w:r>
      <w:r>
        <w:rPr>
          <w:iCs/>
          <w:sz w:val="24"/>
          <w:szCs w:val="24"/>
        </w:rPr>
        <w:fldChar w:fldCharType="begin">
          <w:fldData xml:space="preserve">PEVuZE5vdGU+PENpdGU+PEF1dGhvcj5TbGF1Z2h0ZXI8L0F1dGhvcj48WWVhcj4xOTk3PC9ZZWFy
PjxJRFRleHQ+QWNhZGVtaWMgQ2FwaXRhbGlzbTogUG9saXRpY3MsIFBvbGljaWVzLCBhbmQgdGhl
IEVudHJlcHJlbmV1cmlhbCBVbml2ZXJzaXR5PC9JRFRleHQ+PERpc3BsYXlUZXh0PihDYW50d2Vs
bCwgMjAxNTsgU2xhdWdodGVyICZhbXA7IExlc2xpZSwgMTk5Nyk8L0Rpc3BsYXlUZXh0PjxyZWNv
cmQ+PGtleXdvcmRzPjxrZXl3b3JkPkNvbGxlZ2UgdGVhY2hlcnMgLS0gRWNvbm9taWMgY29uZGl0
aW9uczwva2V5d29yZD48a2V5d29yZD5FZHVjYXRpb24sIEhpZ2hlciAtLSBFY29ub21pYyBhc3Bl
Y3RzPC9rZXl3b3JkPjxrZXl3b3JkPkVkdWNhdGlvbiwgSGlnaGVyIC0tIFBvbGl0aWNhbCBhc3Bl
Y3RzPC9rZXl3b3JkPjxrZXl3b3JkPlRlY2hub2xvZ3kgdHJhbnNmZXI8L2tleXdvcmQ+PGtleXdv
cmQ+SGlnaGVyIGVkdWNhdGlvbiBhbmQgc3RhdGU8L2tleXdvcmQ+PC9rZXl3b3Jkcz48dGl0bGVz
Pjx0aXRsZT5BY2FkZW1pYyBDYXBpdGFsaXNtOiBQb2xpdGljcywgUG9saWNpZXMsIGFuZCB0aGUg
RW50cmVwcmVuZXVyaWFsIFVuaXZlcnNpdHk8L3RpdGxlPjwvdGl0bGVzPjxjb250cmlidXRvcnM+
PGF1dGhvcnM+PGF1dGhvcj5TbGF1Z2h0ZXIsIFNoZWlsYTwvYXV0aG9yPjxhdXRob3I+TGVzbGll
LCBMYXJyeSBMLjwvYXV0aG9yPjwvYXV0aG9ycz48L2NvbnRyaWJ1dG9ycz48YWRkZWQtZGF0ZSBm
b3JtYXQ9InV0YyI+MTQ1NTc4OTk0NTwvYWRkZWQtZGF0ZT48cHViLWxvY2F0aW9uPkxvbmRvbjwv
cHViLWxvY2F0aW9uPjxyZWYtdHlwZSBuYW1lPSJCb29rIj42PC9yZWYtdHlwZT48ZGF0ZXM+PHll
YXI+MTk5NzwveWVhcj48L2RhdGVzPjxyZWMtbnVtYmVyPjIzOTwvcmVjLW51bWJlcj48cHVibGlz
aGVyPkpvaG5zIEhvcGtpbnMgVW5pdmVyc2l0eSBQcmVzczwvcHVibGlzaGVyPjxsYXN0LXVwZGF0
ZWQtZGF0ZSBmb3JtYXQ9InV0YyI+MTQ2OTIxNTQ2ODwvbGFzdC11cGRhdGVkLWRhdGU+PC9yZWNv
cmQ+PC9DaXRlPjxDaXRlPjxBdXRob3I+Q2FudHdlbGw8L0F1dGhvcj48WWVhcj4yMDE1PC9ZZWFy
PjxJRFRleHQ+TGFib3JhdG9yeSBNYW5hZ2VtZW50LCBBY2FkZW1pYyBQcm9kdWN0aW9uLCBhbmQg
dGhlIEJ1aWxkaW5nIEJsb2NrcyBvZiBBY2FkZW1pYyBDYXBpdGFsaXNtPC9JRFRleHQ+PHJlY29y
ZD48a2V5d29yZHM+PGtleXdvcmQ+UmVzZWFyY2ggVW5pdmVyc2l0aWVzPC9rZXl3b3JkPjxrZXl3
b3JkPkxhYm9yYXRvcmllczwva2V5d29yZD48a2V5d29yZD5Tb2NpYWwgU3lzdGVtczwva2V5d29y
ZD48a2V5d29yZD5Tb2NpYWwgVGhlb3JpZXM8L2tleXdvcmQ+PGtleXdvcmQ+UXVhbGl0YXRpdmUg
UmVzZWFyY2g8L2tleXdvcmQ+PC9rZXl3b3Jkcz48aXNibj4wMDE4LTE1NjA8L2lzYm4+PHRpdGxl
cz48dGl0bGU+TGFib3JhdG9yeSBNYW5hZ2VtZW50LCBBY2FkZW1pYyBQcm9kdWN0aW9uLCBhbmQg
dGhlIEJ1aWxkaW5nIEJsb2NrcyBvZiBBY2FkZW1pYyBDYXBpdGFsaXNtPC90aXRsZT48c2Vjb25k
YXJ5LXRpdGxlPkhpZ2hlciBFZHVjYXRpb246IFRoZSBJbnRlcm5hdGlvbmFsIEpvdXJuYWwgb2Yg
SGlnaGVyIEVkdWNhdGlvbiBSZXNlYXJjaDwvc2Vjb25kYXJ5LXRpdGxlPjwvdGl0bGVzPjxwYWdl
cz40ODctNTAyPC9wYWdlcz48bnVtYmVyPjM8L251bWJlcj48Y29udHJpYnV0b3JzPjxhdXRob3Jz
PjxhdXRob3I+Q2FudHdlbGwsIEJyZW5kYW48L2F1dGhvcj48L2F1dGhvcnM+PC9jb250cmlidXRv
cnM+PGFkZGVkLWRhdGUgZm9ybWF0PSJ1dGMiPjE0NTU5MjQzODk8L2FkZGVkLWRhdGU+PHJlZi10
eXBlIG5hbWU9IkpvdXJuYWwgQXJ0aWNsZSI+MTc8L3JlZi10eXBlPjxkYXRlcz48eWVhcj4yMDE1
PC95ZWFyPjwvZGF0ZXM+PHJlYy1udW1iZXI+MjQyPC9yZWMtbnVtYmVyPjxsYXN0LXVwZGF0ZWQt
ZGF0ZSBmb3JtYXQ9InV0YyI+MTQ2OTIyOTg2ODwvbGFzdC11cGRhdGVkLWRhdGU+PGVsZWN0cm9u
aWMtcmVzb3VyY2UtbnVtPjEwLjEwMDcvczEwNzM0LTAxNC05ODUxLTk8L2VsZWN0cm9uaWMtcmVz
b3VyY2UtbnVtPjx2b2x1bWU+NzA8L3ZvbHVtZT48L3JlY29yZD48L0NpdGU+PC9FbmROb3RlPgB=
</w:fldData>
        </w:fldChar>
      </w:r>
      <w:r>
        <w:rPr>
          <w:iCs/>
          <w:sz w:val="24"/>
          <w:szCs w:val="24"/>
        </w:rPr>
        <w:instrText xml:space="preserve"> ADDIN EN.CITE </w:instrText>
      </w:r>
      <w:r>
        <w:rPr>
          <w:iCs/>
          <w:sz w:val="24"/>
          <w:szCs w:val="24"/>
        </w:rPr>
        <w:fldChar w:fldCharType="begin">
          <w:fldData xml:space="preserve">PEVuZE5vdGU+PENpdGU+PEF1dGhvcj5TbGF1Z2h0ZXI8L0F1dGhvcj48WWVhcj4xOTk3PC9ZZWFy
PjxJRFRleHQ+QWNhZGVtaWMgQ2FwaXRhbGlzbTogUG9saXRpY3MsIFBvbGljaWVzLCBhbmQgdGhl
IEVudHJlcHJlbmV1cmlhbCBVbml2ZXJzaXR5PC9JRFRleHQ+PERpc3BsYXlUZXh0PihDYW50d2Vs
bCwgMjAxNTsgU2xhdWdodGVyICZhbXA7IExlc2xpZSwgMTk5Nyk8L0Rpc3BsYXlUZXh0PjxyZWNv
cmQ+PGtleXdvcmRzPjxrZXl3b3JkPkNvbGxlZ2UgdGVhY2hlcnMgLS0gRWNvbm9taWMgY29uZGl0
aW9uczwva2V5d29yZD48a2V5d29yZD5FZHVjYXRpb24sIEhpZ2hlciAtLSBFY29ub21pYyBhc3Bl
Y3RzPC9rZXl3b3JkPjxrZXl3b3JkPkVkdWNhdGlvbiwgSGlnaGVyIC0tIFBvbGl0aWNhbCBhc3Bl
Y3RzPC9rZXl3b3JkPjxrZXl3b3JkPlRlY2hub2xvZ3kgdHJhbnNmZXI8L2tleXdvcmQ+PGtleXdv
cmQ+SGlnaGVyIGVkdWNhdGlvbiBhbmQgc3RhdGU8L2tleXdvcmQ+PC9rZXl3b3Jkcz48dGl0bGVz
Pjx0aXRsZT5BY2FkZW1pYyBDYXBpdGFsaXNtOiBQb2xpdGljcywgUG9saWNpZXMsIGFuZCB0aGUg
RW50cmVwcmVuZXVyaWFsIFVuaXZlcnNpdHk8L3RpdGxlPjwvdGl0bGVzPjxjb250cmlidXRvcnM+
PGF1dGhvcnM+PGF1dGhvcj5TbGF1Z2h0ZXIsIFNoZWlsYTwvYXV0aG9yPjxhdXRob3I+TGVzbGll
LCBMYXJyeSBMLjwvYXV0aG9yPjwvYXV0aG9ycz48L2NvbnRyaWJ1dG9ycz48YWRkZWQtZGF0ZSBm
b3JtYXQ9InV0YyI+MTQ1NTc4OTk0NTwvYWRkZWQtZGF0ZT48cHViLWxvY2F0aW9uPkxvbmRvbjwv
cHViLWxvY2F0aW9uPjxyZWYtdHlwZSBuYW1lPSJCb29rIj42PC9yZWYtdHlwZT48ZGF0ZXM+PHll
YXI+MTk5NzwveWVhcj48L2RhdGVzPjxyZWMtbnVtYmVyPjIzOTwvcmVjLW51bWJlcj48cHVibGlz
aGVyPkpvaG5zIEhvcGtpbnMgVW5pdmVyc2l0eSBQcmVzczwvcHVibGlzaGVyPjxsYXN0LXVwZGF0
ZWQtZGF0ZSBmb3JtYXQ9InV0YyI+MTQ2OTIxNTQ2ODwvbGFzdC11cGRhdGVkLWRhdGU+PC9yZWNv
cmQ+PC9DaXRlPjxDaXRlPjxBdXRob3I+Q2FudHdlbGw8L0F1dGhvcj48WWVhcj4yMDE1PC9ZZWFy
PjxJRFRleHQ+TGFib3JhdG9yeSBNYW5hZ2VtZW50LCBBY2FkZW1pYyBQcm9kdWN0aW9uLCBhbmQg
dGhlIEJ1aWxkaW5nIEJsb2NrcyBvZiBBY2FkZW1pYyBDYXBpdGFsaXNtPC9JRFRleHQ+PHJlY29y
ZD48a2V5d29yZHM+PGtleXdvcmQ+UmVzZWFyY2ggVW5pdmVyc2l0aWVzPC9rZXl3b3JkPjxrZXl3
b3JkPkxhYm9yYXRvcmllczwva2V5d29yZD48a2V5d29yZD5Tb2NpYWwgU3lzdGVtczwva2V5d29y
ZD48a2V5d29yZD5Tb2NpYWwgVGhlb3JpZXM8L2tleXdvcmQ+PGtleXdvcmQ+UXVhbGl0YXRpdmUg
UmVzZWFyY2g8L2tleXdvcmQ+PC9rZXl3b3Jkcz48aXNibj4wMDE4LTE1NjA8L2lzYm4+PHRpdGxl
cz48dGl0bGU+TGFib3JhdG9yeSBNYW5hZ2VtZW50LCBBY2FkZW1pYyBQcm9kdWN0aW9uLCBhbmQg
dGhlIEJ1aWxkaW5nIEJsb2NrcyBvZiBBY2FkZW1pYyBDYXBpdGFsaXNtPC90aXRsZT48c2Vjb25k
YXJ5LXRpdGxlPkhpZ2hlciBFZHVjYXRpb246IFRoZSBJbnRlcm5hdGlvbmFsIEpvdXJuYWwgb2Yg
SGlnaGVyIEVkdWNhdGlvbiBSZXNlYXJjaDwvc2Vjb25kYXJ5LXRpdGxlPjwvdGl0bGVzPjxwYWdl
cz40ODctNTAyPC9wYWdlcz48bnVtYmVyPjM8L251bWJlcj48Y29udHJpYnV0b3JzPjxhdXRob3Jz
PjxhdXRob3I+Q2FudHdlbGwsIEJyZW5kYW48L2F1dGhvcj48L2F1dGhvcnM+PC9jb250cmlidXRv
cnM+PGFkZGVkLWRhdGUgZm9ybWF0PSJ1dGMiPjE0NTU5MjQzODk8L2FkZGVkLWRhdGU+PHJlZi10
eXBlIG5hbWU9IkpvdXJuYWwgQXJ0aWNsZSI+MTc8L3JlZi10eXBlPjxkYXRlcz48eWVhcj4yMDE1
PC95ZWFyPjwvZGF0ZXM+PHJlYy1udW1iZXI+MjQyPC9yZWMtbnVtYmVyPjxsYXN0LXVwZGF0ZWQt
ZGF0ZSBmb3JtYXQ9InV0YyI+MTQ2OTIyOTg2ODwvbGFzdC11cGRhdGVkLWRhdGU+PGVsZWN0cm9u
aWMtcmVzb3VyY2UtbnVtPjEwLjEwMDcvczEwNzM0LTAxNC05ODUxLTk8L2VsZWN0cm9uaWMtcmVz
b3VyY2UtbnVtPjx2b2x1bWU+NzA8L3ZvbHVtZT48L3JlY29yZD48L0NpdGU+PC9FbmROb3RlPgB=
</w:fldData>
        </w:fldChar>
      </w:r>
      <w:r>
        <w:rPr>
          <w:iCs/>
          <w:sz w:val="24"/>
          <w:szCs w:val="24"/>
        </w:rPr>
        <w:instrText xml:space="preserve"> ADDIN EN.CITE.DATA </w:instrText>
      </w:r>
      <w:r>
        <w:rPr>
          <w:iCs/>
          <w:sz w:val="24"/>
          <w:szCs w:val="24"/>
        </w:rPr>
      </w:r>
      <w:r>
        <w:rPr>
          <w:iCs/>
          <w:sz w:val="24"/>
          <w:szCs w:val="24"/>
        </w:rPr>
        <w:fldChar w:fldCharType="end"/>
      </w:r>
      <w:r>
        <w:rPr>
          <w:iCs/>
          <w:sz w:val="24"/>
          <w:szCs w:val="24"/>
        </w:rPr>
      </w:r>
      <w:r>
        <w:rPr>
          <w:iCs/>
          <w:sz w:val="24"/>
          <w:szCs w:val="24"/>
        </w:rPr>
        <w:fldChar w:fldCharType="separate"/>
      </w:r>
      <w:r>
        <w:rPr>
          <w:iCs/>
          <w:noProof/>
          <w:sz w:val="24"/>
          <w:szCs w:val="24"/>
        </w:rPr>
        <w:t>(Cantwell, 2015; Slaughter &amp; Leslie, 1997)</w:t>
      </w:r>
      <w:r>
        <w:rPr>
          <w:iCs/>
          <w:sz w:val="24"/>
          <w:szCs w:val="24"/>
        </w:rPr>
        <w:fldChar w:fldCharType="end"/>
      </w:r>
      <w:r>
        <w:rPr>
          <w:iCs/>
          <w:sz w:val="24"/>
          <w:szCs w:val="24"/>
        </w:rPr>
        <w:t xml:space="preserve">. Their findings highlight (i) that academics experience significant pressure “to demonstrate excellence in two research ventures, fundamental </w:t>
      </w:r>
      <w:r>
        <w:rPr>
          <w:i/>
          <w:iCs/>
          <w:sz w:val="24"/>
          <w:szCs w:val="24"/>
        </w:rPr>
        <w:t xml:space="preserve">and </w:t>
      </w:r>
      <w:r>
        <w:rPr>
          <w:iCs/>
          <w:sz w:val="24"/>
          <w:szCs w:val="24"/>
        </w:rPr>
        <w:t xml:space="preserve">commercial” (Slaughter &amp; Leslie, 1997, p. 20, original emphasis), (ii) that these pressures can “persuade some faculty members to change the focus of their laboratories” </w:t>
      </w:r>
      <w:r>
        <w:rPr>
          <w:iCs/>
          <w:sz w:val="24"/>
          <w:szCs w:val="24"/>
        </w:rPr>
        <w:fldChar w:fldCharType="begin"/>
      </w:r>
      <w:r>
        <w:rPr>
          <w:iCs/>
          <w:sz w:val="24"/>
          <w:szCs w:val="24"/>
        </w:rPr>
        <w:instrText xml:space="preserve"> ADDIN EN.CITE &lt;EndNote&gt;&lt;Cite&gt;&lt;Author&gt;Cantwell&lt;/Author&gt;&lt;Year&gt;2015&lt;/Year&gt;&lt;IDText&gt;Laboratory Management, Academic Production, and the Building Blocks of Academic Capitalism&lt;/IDText&gt;&lt;Pages&gt;495&lt;/Pages&gt;&lt;DisplayText&gt;(Cantwell, 2015, p. 495)&lt;/DisplayText&gt;&lt;record&gt;&lt;keywords&gt;&lt;keyword&gt;Research Universities&lt;/keyword&gt;&lt;keyword&gt;Laboratories&lt;/keyword&gt;&lt;keyword&gt;Social Systems&lt;/keyword&gt;&lt;keyword&gt;Social Theories&lt;/keyword&gt;&lt;keyword&gt;Qualitative Research&lt;/keyword&gt;&lt;/keywords&gt;&lt;isbn&gt;0018-1560&lt;/isbn&gt;&lt;titles&gt;&lt;title&gt;Laboratory Management, Academic Production, and the Building Blocks of Academic Capitalism&lt;/title&gt;&lt;secondary-title&gt;Higher Education: The International Journal of Higher Education Research&lt;/secondary-title&gt;&lt;/titles&gt;&lt;pages&gt;487-502&lt;/pages&gt;&lt;number&gt;3&lt;/number&gt;&lt;contributors&gt;&lt;authors&gt;&lt;author&gt;Cantwell, Brendan&lt;/author&gt;&lt;/authors&gt;&lt;/contributors&gt;&lt;added-date format="utc"&gt;1455906389&lt;/added-date&gt;&lt;ref-type name="Journal Article"&gt;17&lt;/ref-type&gt;&lt;dates&gt;&lt;year&gt;2015&lt;/year&gt;&lt;/dates&gt;&lt;rec-number&gt;242&lt;/rec-number&gt;&lt;last-updated-date format="utc"&gt;1469215468&lt;/last-updated-date&gt;&lt;electronic-resource-num&gt;10.1007/s10734-014-9851-9&lt;/electronic-resource-num&gt;&lt;volume&gt;70&lt;/volume&gt;&lt;/record&gt;&lt;/Cite&gt;&lt;/EndNote&gt;</w:instrText>
      </w:r>
      <w:r>
        <w:rPr>
          <w:iCs/>
          <w:sz w:val="24"/>
          <w:szCs w:val="24"/>
        </w:rPr>
        <w:fldChar w:fldCharType="separate"/>
      </w:r>
      <w:r>
        <w:rPr>
          <w:iCs/>
          <w:noProof/>
          <w:sz w:val="24"/>
          <w:szCs w:val="24"/>
        </w:rPr>
        <w:t>(Cantwell, 2015, p. 495)</w:t>
      </w:r>
      <w:r>
        <w:rPr>
          <w:iCs/>
          <w:sz w:val="24"/>
          <w:szCs w:val="24"/>
        </w:rPr>
        <w:fldChar w:fldCharType="end"/>
      </w:r>
      <w:r>
        <w:rPr>
          <w:iCs/>
          <w:sz w:val="24"/>
          <w:szCs w:val="24"/>
        </w:rPr>
        <w:t xml:space="preserve"> towards projects aimed at maximising revenue-generation rather than fundamental learning, and (iii) that the strategies and practices established under these conditions involve a “micro-level” </w:t>
      </w:r>
      <w:r w:rsidRPr="0002077E">
        <w:rPr>
          <w:sz w:val="24"/>
          <w:szCs w:val="24"/>
        </w:rPr>
        <w:fldChar w:fldCharType="begin"/>
      </w:r>
      <w:r>
        <w:rPr>
          <w:sz w:val="24"/>
          <w:szCs w:val="24"/>
        </w:rPr>
        <w:instrText xml:space="preserve"> ADDIN EN.CITE &lt;EndNote&gt;&lt;Cite&gt;&lt;Author&gt;Cantwell&lt;/Author&gt;&lt;Year&gt;2015&lt;/Year&gt;&lt;IDText&gt;Laboratory Management, Academic Production, and the Building Blocks of Academic Capitalism&lt;/IDText&gt;&lt;Pages&gt;488&lt;/Pages&gt;&lt;DisplayText&gt;(Cantwell, 2015, p. 488)&lt;/DisplayText&gt;&lt;record&gt;&lt;keywords&gt;&lt;keyword&gt;Research Universities&lt;/keyword&gt;&lt;keyword&gt;Laboratories&lt;/keyword&gt;&lt;keyword&gt;Social Systems&lt;/keyword&gt;&lt;keyword&gt;Social Theories&lt;/keyword&gt;&lt;keyword&gt;Qualitative Research&lt;/keyword&gt;&lt;/keywords&gt;&lt;isbn&gt;0018-1560&lt;/isbn&gt;&lt;titles&gt;&lt;title&gt;Laboratory Management, Academic Production, and the Building Blocks of Academic Capitalism&lt;/title&gt;&lt;secondary-title&gt;Higher Education: The International Journal of Higher Education Research&lt;/secondary-title&gt;&lt;/titles&gt;&lt;pages&gt;487-502&lt;/pages&gt;&lt;number&gt;3&lt;/number&gt;&lt;contributors&gt;&lt;authors&gt;&lt;author&gt;Cantwell, Brendan&lt;/author&gt;&lt;/authors&gt;&lt;/contributors&gt;&lt;added-date format="utc"&gt;1455906389&lt;/added-date&gt;&lt;ref-type name="Journal Article"&gt;17&lt;/ref-type&gt;&lt;dates&gt;&lt;year&gt;2015&lt;/year&gt;&lt;/dates&gt;&lt;rec-number&gt;242&lt;/rec-number&gt;&lt;last-updated-date format="utc"&gt;1469215468&lt;/last-updated-date&gt;&lt;electronic-resource-num&gt;10.1007/s10734-014-9851-9&lt;/electronic-resource-num&gt;&lt;volume&gt;70&lt;/volume&gt;&lt;/record&gt;&lt;/Cite&gt;&lt;/EndNote&gt;</w:instrText>
      </w:r>
      <w:r w:rsidRPr="0002077E">
        <w:rPr>
          <w:sz w:val="24"/>
          <w:szCs w:val="24"/>
        </w:rPr>
        <w:fldChar w:fldCharType="separate"/>
      </w:r>
      <w:r>
        <w:rPr>
          <w:noProof/>
          <w:sz w:val="24"/>
          <w:szCs w:val="24"/>
        </w:rPr>
        <w:t>(Cantwell, 2015, p. 488)</w:t>
      </w:r>
      <w:r w:rsidRPr="0002077E">
        <w:rPr>
          <w:sz w:val="24"/>
          <w:szCs w:val="24"/>
        </w:rPr>
        <w:fldChar w:fldCharType="end"/>
      </w:r>
      <w:r>
        <w:rPr>
          <w:iCs/>
          <w:sz w:val="24"/>
          <w:szCs w:val="24"/>
        </w:rPr>
        <w:t xml:space="preserve"> complex of inputs and outputs which integrate knowledge, people and technologies in new ways which reshape the system from the bottom-up in the likeness of a commercial setting. These are the conditions of a relatively new ‘academic capitalist’ system, whose content, epistemologies and values, at least in STEMM fields, are blurring with those of industrial science. That is, there is a “blurring” (Henkel, 2004, p. 180) of academic and non-academic boundaries. </w:t>
      </w:r>
    </w:p>
    <w:p w14:paraId="503EE549" w14:textId="46DD1109" w:rsidR="00DC7B41" w:rsidRDefault="00DC7B41" w:rsidP="00DC7B41">
      <w:pPr>
        <w:autoSpaceDE w:val="0"/>
        <w:autoSpaceDN w:val="0"/>
        <w:adjustRightInd w:val="0"/>
        <w:spacing w:after="120" w:line="360" w:lineRule="auto"/>
        <w:rPr>
          <w:iCs/>
          <w:sz w:val="24"/>
          <w:szCs w:val="24"/>
        </w:rPr>
      </w:pPr>
      <w:r>
        <w:rPr>
          <w:iCs/>
          <w:sz w:val="24"/>
          <w:szCs w:val="24"/>
        </w:rPr>
        <w:t xml:space="preserve">Other research has been able to go into even greater depth in analysing shifts in the epistemic content of specific academic fields. One example is Hoffman’s (2011) ethnographic and interview-based research in a US university computer science department. He found that some academic scientists’ consideration of users did not merely mean shifting the topics of study or soliciting the needs of users to ensure outputs were relevant and usable, but became intertwined with epistemology. These academic researchers, Hoffman (2011) argued, “believed that knowing a lot about users was </w:t>
      </w:r>
      <w:r>
        <w:rPr>
          <w:i/>
          <w:iCs/>
          <w:sz w:val="24"/>
          <w:szCs w:val="24"/>
        </w:rPr>
        <w:t xml:space="preserve">the </w:t>
      </w:r>
      <w:r>
        <w:rPr>
          <w:iCs/>
          <w:sz w:val="24"/>
          <w:szCs w:val="24"/>
        </w:rPr>
        <w:t xml:space="preserve">central pillar of scientific discovery” (p. 453, original emphasis). In another example, identified by W.C. Clark et al. (2011), scientists were forced to rethink and adjust their epistemology when co-producing knowledge with agriculture practitioners. One of the main points of incompatibility causing this re-think was the different conceptions, perceptions and implications of “uncertainty” estimates (W.C. Clark et al., 2011, p. 4621) held by scientists and practitioners. What counts as a reasonable amount of uncertainty, how different levels of uncertainty affect the knowledge claims that can be made, and how to proceed having ascertained the level of uncertainty, all can be understood differently by scientists and practitioners (McNie et al., 2016). To take an example from the humanities, Ylijoki </w:t>
      </w:r>
      <w:r>
        <w:rPr>
          <w:iCs/>
          <w:sz w:val="24"/>
          <w:szCs w:val="24"/>
        </w:rPr>
        <w:fldChar w:fldCharType="begin"/>
      </w:r>
      <w:r>
        <w:rPr>
          <w:iCs/>
          <w:sz w:val="24"/>
          <w:szCs w:val="24"/>
        </w:rPr>
        <w:instrText xml:space="preserve"> ADDIN EN.CITE &lt;EndNote&gt;&lt;Cite ExcludeAuth="1"&gt;&lt;Author&gt;Ylijoki&lt;/Author&gt;&lt;Year&gt;2003&lt;/Year&gt;&lt;IDText&gt;Entangled in academic capitalism? A case-study on changing ideals and practices of university research&lt;/IDText&gt;&lt;DisplayText&gt;(2003)&lt;/DisplayText&gt;&lt;record&gt;&lt;keywords&gt;&lt;keyword&gt;academic capitalism&lt;/keyword&gt;&lt;keyword&gt;academic profession&lt;/keyword&gt;&lt;keyword&gt;academic values&lt;/keyword&gt;&lt;keyword&gt;disciplinary culture&lt;/keyword&gt;&lt;keyword&gt;market-orientation&lt;/keyword&gt;&lt;keyword&gt;university research&lt;/keyword&gt;&lt;/keywords&gt;&lt;isbn&gt;0018-1560&lt;/isbn&gt;&lt;titles&gt;&lt;title&gt;Entangled in academic capitalism? A case-study on changing ideals and practices of university research&lt;/title&gt;&lt;secondary-title&gt;Higher Education&lt;/secondary-title&gt;&lt;/titles&gt;&lt;pages&gt;307-335&lt;/pages&gt;&lt;number&gt;3&lt;/number&gt;&lt;contributors&gt;&lt;authors&gt;&lt;author&gt;Ylijoki, Oili-Helena&lt;/author&gt;&lt;/authors&gt;&lt;/contributors&gt;&lt;added-date format="utc"&gt;1458689061&lt;/added-date&gt;&lt;pub-location&gt;Dordrecht&lt;/pub-location&gt;&lt;ref-type name="Journal Article"&gt;17&lt;/ref-type&gt;&lt;dates&gt;&lt;year&gt;2003&lt;/year&gt;&lt;/dates&gt;&lt;rec-number&gt;322&lt;/rec-number&gt;&lt;last-updated-date format="utc"&gt;1469229868&lt;/last-updated-date&gt;&lt;electronic-resource-num&gt;10.1023/A:1022667923715&lt;/electronic-resource-num&gt;&lt;volume&gt;45&lt;/volume&gt;&lt;/record&gt;&lt;/Cite&gt;&lt;/EndNote&gt;</w:instrText>
      </w:r>
      <w:r>
        <w:rPr>
          <w:iCs/>
          <w:sz w:val="24"/>
          <w:szCs w:val="24"/>
        </w:rPr>
        <w:fldChar w:fldCharType="separate"/>
      </w:r>
      <w:r>
        <w:rPr>
          <w:iCs/>
          <w:noProof/>
          <w:sz w:val="24"/>
          <w:szCs w:val="24"/>
        </w:rPr>
        <w:t>(2003)</w:t>
      </w:r>
      <w:r>
        <w:rPr>
          <w:iCs/>
          <w:sz w:val="24"/>
          <w:szCs w:val="24"/>
        </w:rPr>
        <w:fldChar w:fldCharType="end"/>
      </w:r>
      <w:r>
        <w:rPr>
          <w:iCs/>
          <w:sz w:val="24"/>
          <w:szCs w:val="24"/>
        </w:rPr>
        <w:t xml:space="preserve"> also identified epistemological shifts amongst historians interviewed in her study of changing values and practices in the context of academic capitalism. This was prompted by funding bodies increasingly favouring big projects which require increasingly “collective-, project-oriented research” (Ylijoki, 2003, p. 314). While this might at first seem only to require a shift in organisational practice,</w:t>
      </w:r>
      <w:r w:rsidR="002E0C3D">
        <w:rPr>
          <w:iCs/>
          <w:sz w:val="24"/>
          <w:szCs w:val="24"/>
        </w:rPr>
        <w:t xml:space="preserve"> collaboration in fact has potentially significant implications for the “nature of knowledge”</w:t>
      </w:r>
      <w:r w:rsidR="00675F77">
        <w:rPr>
          <w:iCs/>
          <w:sz w:val="24"/>
          <w:szCs w:val="24"/>
        </w:rPr>
        <w:t xml:space="preserve"> </w:t>
      </w:r>
      <w:r w:rsidR="00675F77" w:rsidRPr="00675F77">
        <w:rPr>
          <w:iCs/>
          <w:sz w:val="24"/>
          <w:szCs w:val="24"/>
        </w:rPr>
        <w:fldChar w:fldCharType="begin"/>
      </w:r>
      <w:r w:rsidR="00675F77">
        <w:rPr>
          <w:iCs/>
          <w:sz w:val="24"/>
          <w:szCs w:val="24"/>
        </w:rPr>
        <w:instrText xml:space="preserve"> ADDIN EN.CITE &lt;EndNote&gt;&lt;Cite&gt;&lt;Author&gt;Papatsiba&lt;/Author&gt;&lt;Year&gt;2013&lt;/Year&gt;&lt;IDText&gt;The Idea of Collaboration in the Academy: Its Epistemic and Social Potentials and Risks for Knowledge Generation&lt;/IDText&gt;&lt;Pages&gt;443&lt;/Pages&gt;&lt;DisplayText&gt;(Papatsiba, 2013b, p. 443)&lt;/DisplayText&gt;&lt;record&gt;&lt;keywords&gt;&lt;keyword&gt;Education&lt;/keyword&gt;&lt;/keywords&gt;&lt;titles&gt;&lt;title&gt;The Idea of Collaboration in the Academy: Its Epistemic and Social Potentials and Risks for Knowledge Generation&lt;/title&gt;&lt;secondary-title&gt;Policy Futures in Education&lt;/secondary-title&gt;&lt;/titles&gt;&lt;pages&gt;436-448&lt;/pages&gt;&lt;number&gt;4&lt;/number&gt;&lt;contributors&gt;&lt;authors&gt;&lt;author&gt;Papatsiba, Vassiliki&lt;/author&gt;&lt;/authors&gt;&lt;/contributors&gt;&lt;added-date format="utc"&gt;1559249715&lt;/added-date&gt;&lt;pub-location&gt;London, England&lt;/pub-location&gt;&lt;ref-type name="Journal Article"&gt;17&lt;/ref-type&gt;&lt;dates&gt;&lt;year&gt;2013&lt;/year&gt;&lt;/dates&gt;&lt;rec-number&gt;7794&lt;/rec-number&gt;&lt;last-updated-date format="utc"&gt;1559249715&lt;/last-updated-date&gt;&lt;electronic-resource-num&gt;10.2304/pfie.2013.11.4.436&lt;/electronic-resource-num&gt;&lt;volume&gt;11&lt;/volume&gt;&lt;/record&gt;&lt;/Cite&gt;&lt;/EndNote&gt;</w:instrText>
      </w:r>
      <w:r w:rsidR="00675F77" w:rsidRPr="00675F77">
        <w:rPr>
          <w:iCs/>
          <w:sz w:val="24"/>
          <w:szCs w:val="24"/>
        </w:rPr>
        <w:fldChar w:fldCharType="separate"/>
      </w:r>
      <w:r w:rsidR="00675F77">
        <w:rPr>
          <w:iCs/>
          <w:noProof/>
          <w:sz w:val="24"/>
          <w:szCs w:val="24"/>
        </w:rPr>
        <w:t>(Papatsiba, 2013b, p. 443)</w:t>
      </w:r>
      <w:r w:rsidR="00675F77" w:rsidRPr="00675F77">
        <w:rPr>
          <w:iCs/>
          <w:sz w:val="24"/>
          <w:szCs w:val="24"/>
        </w:rPr>
        <w:fldChar w:fldCharType="end"/>
      </w:r>
      <w:r w:rsidR="00272532">
        <w:rPr>
          <w:iCs/>
          <w:sz w:val="24"/>
          <w:szCs w:val="24"/>
        </w:rPr>
        <w:t>, particularly</w:t>
      </w:r>
      <w:r w:rsidR="002E0C3D" w:rsidRPr="00675F77">
        <w:rPr>
          <w:iCs/>
          <w:sz w:val="24"/>
          <w:szCs w:val="24"/>
        </w:rPr>
        <w:fldChar w:fldCharType="begin"/>
      </w:r>
      <w:r w:rsidR="002E0C3D" w:rsidRPr="00675F77">
        <w:rPr>
          <w:iCs/>
          <w:sz w:val="24"/>
          <w:szCs w:val="24"/>
        </w:rPr>
        <w:instrText xml:space="preserve"> ADDIN EN.CITE &lt;EndNote&gt;&lt;Cite ExcludeAuth="1" ExcludeYear="1"&gt;&lt;Author&gt;Papatsiba&lt;/Author&gt;&lt;Year&gt;2013&lt;/Year&gt;&lt;IDText&gt;The Idea of Collaboration in the Academy: Its Epistemic and Social Potentials and Risks for Knowledge Generation&lt;/IDText&gt;&lt;record&gt;&lt;keywords&gt;&lt;keyword&gt;Education&lt;/keyword&gt;&lt;/keywords&gt;&lt;titles&gt;&lt;title&gt;The Idea of Collaboration in the Academy: Its Epistemic and Social Potentials and Risks for Knowledge Generation&lt;/title&gt;&lt;secondary-title&gt;Policy Futures in Education&lt;/secondary-title&gt;&lt;/titles&gt;&lt;pages&gt;436-448&lt;/pages&gt;&lt;number&gt;4&lt;/number&gt;&lt;contributors&gt;&lt;authors&gt;&lt;author&gt;Papatsiba, Vassiliki&lt;/author&gt;&lt;/authors&gt;&lt;/contributors&gt;&lt;added-date format="utc"&gt;1559249715&lt;/added-date&gt;&lt;pub-location&gt;London, England&lt;/pub-location&gt;&lt;ref-type name="Journal Article"&gt;17&lt;/ref-type&gt;&lt;dates&gt;&lt;year&gt;2013&lt;/year&gt;&lt;/dates&gt;&lt;rec-number&gt;7794&lt;/rec-number&gt;&lt;last-updated-date format="utc"&gt;1559249715&lt;/last-updated-date&gt;&lt;electronic-resource-num&gt;10.2304/pfie.2013.11.4.436&lt;/electronic-resource-num&gt;&lt;volume&gt;11&lt;/volume&gt;&lt;/record&gt;&lt;/Cite&gt;&lt;Cite&gt;&lt;Author&gt;Papatsiba&lt;/Author&gt;&lt;Year&gt;2013&lt;/Year&gt;&lt;IDText&gt;The Idea of Collaboration in the Academy: Its Epistemic and Social Potentials and Risks for Knowledge Generation&lt;/IDText&gt;&lt;record&gt;&lt;keywords&gt;&lt;keyword&gt;Education&lt;/keyword&gt;&lt;/keywords&gt;&lt;titles&gt;&lt;title&gt;The Idea of Collaboration in the Academy: Its Epistemic and Social Potentials and Risks for Knowledge Generation&lt;/title&gt;&lt;secondary-title&gt;Policy Futures in Education&lt;/secondary-title&gt;&lt;/titles&gt;&lt;pages&gt;436-448&lt;/pages&gt;&lt;number&gt;4&lt;/number&gt;&lt;contributors&gt;&lt;authors&gt;&lt;author&gt;Papatsiba, Vassiliki&lt;/author&gt;&lt;/authors&gt;&lt;/contributors&gt;&lt;added-date format="utc"&gt;1559249715&lt;/added-date&gt;&lt;pub-location&gt;London, England&lt;/pub-location&gt;&lt;ref-type name="Journal Article"&gt;17&lt;/ref-type&gt;&lt;dates&gt;&lt;year&gt;2013&lt;/year&gt;&lt;/dates&gt;&lt;rec-number&gt;7794&lt;/rec-number&gt;&lt;last-updated-date format="utc"&gt;1559249715&lt;/last-updated-date&gt;&lt;electronic-resource-num&gt;10.2304/pfie.2013.11.4.436&lt;/electronic-resource-num&gt;&lt;volume&gt;11&lt;/volume&gt;&lt;/record&gt;&lt;/Cite&gt;&lt;/EndNote&gt;</w:instrText>
      </w:r>
      <w:r w:rsidR="002E0C3D" w:rsidRPr="00675F77">
        <w:rPr>
          <w:iCs/>
          <w:sz w:val="24"/>
          <w:szCs w:val="24"/>
        </w:rPr>
        <w:fldChar w:fldCharType="end"/>
      </w:r>
      <w:r w:rsidRPr="00675F77">
        <w:rPr>
          <w:iCs/>
          <w:sz w:val="24"/>
          <w:szCs w:val="24"/>
        </w:rPr>
        <w:t xml:space="preserve"> </w:t>
      </w:r>
      <w:r>
        <w:rPr>
          <w:iCs/>
          <w:sz w:val="24"/>
          <w:szCs w:val="24"/>
        </w:rPr>
        <w:t xml:space="preserve">in a humanities discipline like history, where “the personal impact of the researcher is regarded as an essential element in the knowledge production process” (Ylijoki, 2003, p. 315). Shared responsibility over the epistemic content of research requires a greater need for more objective and codified rules which, while they permit disparate collaborators, could limit the potential for novel individual interpretations that has traditionally been a central epistemological feature of humanities disciplines. In this way, “historians have succeeded in accommodating the[se] external pressures quite successfully to their own traditions, values and ideals” </w:t>
      </w:r>
      <w:r>
        <w:rPr>
          <w:iCs/>
          <w:sz w:val="24"/>
          <w:szCs w:val="24"/>
        </w:rPr>
        <w:fldChar w:fldCharType="begin"/>
      </w:r>
      <w:r>
        <w:rPr>
          <w:iCs/>
          <w:sz w:val="24"/>
          <w:szCs w:val="24"/>
        </w:rPr>
        <w:instrText xml:space="preserve"> ADDIN EN.CITE &lt;EndNote&gt;&lt;Cite&gt;&lt;Author&gt;Ylijoki&lt;/Author&gt;&lt;Year&gt;2003&lt;/Year&gt;&lt;IDText&gt;Entangled in academic capitalism? A case-study on changing ideals and practices of university research&lt;/IDText&gt;&lt;Pages&gt;314&lt;/Pages&gt;&lt;DisplayText&gt;(Ylijoki, 2003, p. 314)&lt;/DisplayText&gt;&lt;record&gt;&lt;keywords&gt;&lt;keyword&gt;academic capitalism&lt;/keyword&gt;&lt;keyword&gt;academic profession&lt;/keyword&gt;&lt;keyword&gt;academic values&lt;/keyword&gt;&lt;keyword&gt;disciplinary culture&lt;/keyword&gt;&lt;keyword&gt;market-orientation&lt;/keyword&gt;&lt;keyword&gt;university research&lt;/keyword&gt;&lt;/keywords&gt;&lt;isbn&gt;0018-1560&lt;/isbn&gt;&lt;titles&gt;&lt;title&gt;Entangled in academic capitalism? A case-study on changing ideals and practices of university research&lt;/title&gt;&lt;secondary-title&gt;Higher Education&lt;/secondary-title&gt;&lt;/titles&gt;&lt;pages&gt;307-335&lt;/pages&gt;&lt;number&gt;3&lt;/number&gt;&lt;contributors&gt;&lt;authors&gt;&lt;author&gt;Ylijoki, Oili-Helena&lt;/author&gt;&lt;/authors&gt;&lt;/contributors&gt;&lt;added-date format="utc"&gt;1458689061&lt;/added-date&gt;&lt;pub-location&gt;Dordrecht&lt;/pub-location&gt;&lt;ref-type name="Journal Article"&gt;17&lt;/ref-type&gt;&lt;dates&gt;&lt;year&gt;2003&lt;/year&gt;&lt;/dates&gt;&lt;rec-number&gt;322&lt;/rec-number&gt;&lt;last-updated-date format="utc"&gt;1469229868&lt;/last-updated-date&gt;&lt;electronic-resource-num&gt;10.1023/A:1022667923715&lt;/electronic-resource-num&gt;&lt;volume&gt;45&lt;/volume&gt;&lt;/record&gt;&lt;/Cite&gt;&lt;/EndNote&gt;</w:instrText>
      </w:r>
      <w:r>
        <w:rPr>
          <w:iCs/>
          <w:sz w:val="24"/>
          <w:szCs w:val="24"/>
        </w:rPr>
        <w:fldChar w:fldCharType="separate"/>
      </w:r>
      <w:r>
        <w:rPr>
          <w:iCs/>
          <w:noProof/>
          <w:sz w:val="24"/>
          <w:szCs w:val="24"/>
        </w:rPr>
        <w:t>(Ylijoki, 2003, p. 314)</w:t>
      </w:r>
      <w:r>
        <w:rPr>
          <w:iCs/>
          <w:sz w:val="24"/>
          <w:szCs w:val="24"/>
        </w:rPr>
        <w:fldChar w:fldCharType="end"/>
      </w:r>
      <w:r>
        <w:rPr>
          <w:iCs/>
          <w:sz w:val="24"/>
          <w:szCs w:val="24"/>
        </w:rPr>
        <w:t xml:space="preserve">, as has more frequently been found in STEMM fields. </w:t>
      </w:r>
    </w:p>
    <w:p w14:paraId="17EF00D5" w14:textId="77777777" w:rsidR="00DC7B41" w:rsidRDefault="00DC7B41" w:rsidP="00DC7B41">
      <w:pPr>
        <w:autoSpaceDE w:val="0"/>
        <w:autoSpaceDN w:val="0"/>
        <w:adjustRightInd w:val="0"/>
        <w:spacing w:after="120" w:line="360" w:lineRule="auto"/>
        <w:rPr>
          <w:iCs/>
          <w:sz w:val="24"/>
          <w:szCs w:val="24"/>
        </w:rPr>
      </w:pPr>
      <w:r>
        <w:rPr>
          <w:iCs/>
          <w:sz w:val="24"/>
          <w:szCs w:val="24"/>
        </w:rPr>
        <w:t xml:space="preserve">Thanks to this blurring of boundaries and interdependence between academic and non-academic forms of knowledge production, research in the innovation literature has come to conceptualise academic and industrial/entrepreneurial knowledge </w:t>
      </w:r>
      <w:r w:rsidRPr="007425EE">
        <w:rPr>
          <w:iCs/>
          <w:sz w:val="24"/>
          <w:szCs w:val="24"/>
        </w:rPr>
        <w:t>“</w:t>
      </w:r>
      <w:r>
        <w:rPr>
          <w:iCs/>
          <w:sz w:val="24"/>
          <w:szCs w:val="24"/>
        </w:rPr>
        <w:t xml:space="preserve">as </w:t>
      </w:r>
      <w:r w:rsidRPr="007425EE">
        <w:rPr>
          <w:iCs/>
          <w:sz w:val="24"/>
          <w:szCs w:val="24"/>
        </w:rPr>
        <w:t xml:space="preserve">overlapping and interacting systems, with the former augmenting the capacity of the latter to solve an increasing range of complex problems” </w:t>
      </w:r>
      <w:r w:rsidRPr="007425EE">
        <w:rPr>
          <w:iCs/>
          <w:sz w:val="24"/>
          <w:szCs w:val="24"/>
        </w:rPr>
        <w:fldChar w:fldCharType="begin"/>
      </w:r>
      <w:r w:rsidRPr="007425EE">
        <w:rPr>
          <w:iCs/>
          <w:sz w:val="24"/>
          <w:szCs w:val="24"/>
        </w:rPr>
        <w:instrText xml:space="preserve"> ADDIN EN.CITE &lt;EndNote&gt;&lt;Cite&gt;&lt;Author&gt;Pavitt&lt;/Author&gt;&lt;Year&gt;1998&lt;/Year&gt;&lt;IDText&gt;The social shaping of the national science base&lt;/IDText&gt;&lt;Pages&gt;796&lt;/Pages&gt;&lt;DisplayText&gt;(Pavitt, 1998, p. 796)&lt;/DisplayText&gt;&lt;record&gt;&lt;keywords&gt;&lt;keyword&gt;Innovation&lt;/keyword&gt;&lt;keyword&gt;Technical Change&lt;/keyword&gt;&lt;keyword&gt;National Science Base&lt;/keyword&gt;&lt;/keywords&gt;&lt;isbn&gt;0048-7333&lt;/isbn&gt;&lt;titles&gt;&lt;title&gt;The social shaping of the national science base&lt;/title&gt;&lt;secondary-title&gt;Research Policy&lt;/secondary-title&gt;&lt;/titles&gt;&lt;pages&gt;793-805&lt;/pages&gt;&lt;number&gt;8&lt;/number&gt;&lt;contributors&gt;&lt;authors&gt;&lt;author&gt;Pavitt, Keith&lt;/author&gt;&lt;/authors&gt;&lt;/contributors&gt;&lt;added-date format="utc"&gt;1486670898&lt;/added-date&gt;&lt;ref-type name="Journal Article"&gt;17&lt;/ref-type&gt;&lt;dates&gt;&lt;year&gt;1998&lt;/year&gt;&lt;/dates&gt;&lt;rec-number&gt;6600&lt;/rec-number&gt;&lt;last-updated-date format="utc"&gt;1486670898&lt;/last-updated-date&gt;&lt;electronic-resource-num&gt;10.1016/S0048-7333(98)00091-2&lt;/electronic-resource-num&gt;&lt;volume&gt;27&lt;/volume&gt;&lt;/record&gt;&lt;/Cite&gt;&lt;/EndNote&gt;</w:instrText>
      </w:r>
      <w:r w:rsidRPr="007425EE">
        <w:rPr>
          <w:iCs/>
          <w:sz w:val="24"/>
          <w:szCs w:val="24"/>
        </w:rPr>
        <w:fldChar w:fldCharType="separate"/>
      </w:r>
      <w:r w:rsidRPr="007425EE">
        <w:rPr>
          <w:iCs/>
          <w:noProof/>
          <w:sz w:val="24"/>
          <w:szCs w:val="24"/>
        </w:rPr>
        <w:t>(Pavitt, 1998, p. 796)</w:t>
      </w:r>
      <w:r w:rsidRPr="007425EE">
        <w:rPr>
          <w:iCs/>
          <w:sz w:val="24"/>
          <w:szCs w:val="24"/>
        </w:rPr>
        <w:fldChar w:fldCharType="end"/>
      </w:r>
      <w:r>
        <w:rPr>
          <w:iCs/>
          <w:sz w:val="24"/>
          <w:szCs w:val="24"/>
        </w:rPr>
        <w:t xml:space="preserve">. In the context of a knowledge-based economy, this places universities at the centre of a ‘triple helix’ of government-academia-industry relations driving innovation and economic growth </w:t>
      </w:r>
      <w:r>
        <w:rPr>
          <w:iCs/>
          <w:sz w:val="24"/>
          <w:szCs w:val="24"/>
        </w:rPr>
        <w:fldChar w:fldCharType="begin">
          <w:fldData xml:space="preserve">PEVuZE5vdGU+PENpdGU+PEF1dGhvcj5FdHprb3dpdHo8L0F1dGhvcj48WWVhcj4xOTk1PC9ZZWFy
PjxJRFRleHQ+VGhlIFRyaXBsZSBIZWxpeC0tVW5pdmVyc2l0eS1pbmR1c3RyeS1nb3Zlcm5tZW50
IHJlbGF0aW9uczogQSBsYWJvcmF0b3J5IGZvciBrbm93bGVkZ2UgYmFzZWQgZWNvbm9taWMgZGV2
ZWxvcG1lbnQ8L0lEVGV4dD48RGlzcGxheVRleHQ+KEV0emtvd2l0eiAmYW1wOyBMZXlkZXNkb3Jm
ZiwgMTk5NTsgTGV5ZGVzZG9yZmYgJmFtcDsgRXR6a293aXR6LCAyMDAxKTwvRGlzcGxheVRleHQ+
PHJlY29yZD48dGl0bGVzPjx0aXRsZT5UaGUgVHJpcGxlIEhlbGl4LS1Vbml2ZXJzaXR5LWluZHVz
dHJ5LWdvdmVybm1lbnQgcmVsYXRpb25zOiBBIGxhYm9yYXRvcnkgZm9yIGtub3dsZWRnZSBiYXNl
ZCBlY29ub21pYyBkZXZlbG9wbWVudDwvdGl0bGU+PHNlY29uZGFyeS10aXRsZT5FQVNTVCByZXZp
ZXc8L3NlY29uZGFyeS10aXRsZT48L3RpdGxlcz48cGFnZXM+MTQtMTk8L3BhZ2VzPjxudW1iZXI+
MTwvbnVtYmVyPjxjb250cmlidXRvcnM+PGF1dGhvcnM+PGF1dGhvcj5FdHprb3dpdHosIEhlbnJ5
PC9hdXRob3I+PGF1dGhvcj5MZXlkZXNkb3JmZiwgTG9ldDwvYXV0aG9yPjwvYXV0aG9ycz48L2Nv
bnRyaWJ1dG9ycz48YWRkZWQtZGF0ZSBmb3JtYXQ9InV0YyI+MTQ2NjE4NDgyNzwvYWRkZWQtZGF0
ZT48cmVmLXR5cGUgbmFtZT0iSm91cm5hbCBBcnRpY2xlIj4xNzwvcmVmLXR5cGU+PGRhdGVzPjx5
ZWFyPjE5OTU8L3llYXI+PC9kYXRlcz48cmVjLW51bWJlcj4zOTQ8L3JlYy1udW1iZXI+PGxhc3Qt
dXBkYXRlZC1kYXRlIGZvcm1hdD0idXRjIj4xNDY5MjI5ODY4PC9sYXN0LXVwZGF0ZWQtZGF0ZT48
dm9sdW1lPjE0PC92b2x1bWU+PC9yZWNvcmQ+PC9DaXRlPjxDaXRlPjxBdXRob3I+TGV5ZGVzZG9y
ZmY8L0F1dGhvcj48WWVhcj4yMDAxPC9ZZWFyPjxJRFRleHQ+VGhlIFRyYW5zZm9ybWF0aW9uIG9m
IFVuaXZlcnNpdHktSW5kdXN0cnktR292ZXJubWVudCBSZWxhdGlvbnM8L0lEVGV4dD48cmVjb3Jk
PjxrZXl3b3Jkcz48a2V5d29yZD5Vbml2ZXJzaXRpZXM8L2tleXdvcmQ+PGtleXdvcmQ+SW5kdXN0
cnk8L2tleXdvcmQ+PGtleXdvcmQ+R292ZXJubWVudDwva2V5d29yZD48a2V5d29yZD5JbnRlcm9y
Z2FuaXphdGlvbmFsIE5ldHdvcmtzPC9rZXl3b3JkPjxrZXl3b3JkPlJlc2VhcmNoIGFuZCBEZXZl
bG9wbWVudDwva2V5d29yZD48a2V5d29yZD5TY2llbmNlIGFuZCBUZWNobm9sb2d5PC9rZXl3b3Jk
PjxrZXl3b3JkPlNvY2lvbG9neSBvZiBFZHVjYXRpb248L2tleXdvcmQ+PGtleXdvcmQ+U29jaW9s
b2d5IG9mIEVkdWNhdGlvbjwva2V5d29yZD48a2V5d29yZD5Qb2xpdGljYWwgU29jaW9sb2d5L0lu
dGVyYWN0aW9uczwva2V5d29yZD48a2V5d29yZD5Tb2Npb2xvZ3kgb2YgUG9saXRpY2FsIFN5c3Rl
bXMsIFBvbGl0aWNzLCAmYW1wO2FtcDwva2V5d29yZD48a2V5d29yZD5Qb3dlcjwva2V5d29yZD48
a2V5d29yZD5BcnRpY2xlPC9rZXl3b3JkPjwva2V5d29yZHM+PGlzYm4+MTE5OC0zNjU1PC9pc2Ju
Pjx0aXRsZXM+PHRpdGxlPlRoZSBUcmFuc2Zvcm1hdGlvbiBvZiBVbml2ZXJzaXR5LUluZHVzdHJ5
LUdvdmVybm1lbnQgUmVsYXRpb25zPC90aXRsZT48c2Vjb25kYXJ5LXRpdGxlPkVsZWN0cm9uaWMg
Sm91cm5hbCBvZiBTb2Npb2xvZ3k8L3NlY29uZGFyeS10aXRsZT48L3RpdGxlcz48bnVtYmVyPjQ8
L251bWJlcj48Y29udHJpYnV0b3JzPjxhdXRob3JzPjxhdXRob3I+TGV5ZGVzZG9yZmYsIExvZXQ8
L2F1dGhvcj48YXV0aG9yPkV0emtvd2l0eiwgSGVucnk8L2F1dGhvcj48L2F1dGhvcnM+PC9jb250
cmlidXRvcnM+PGFkZGVkLWRhdGUgZm9ybWF0PSJ1dGMiPjE0NzUyOTIyOTg8L2FkZGVkLWRhdGU+
PHJlZi10eXBlIG5hbWU9IkpvdXJuYWwgQXJ0aWNsZSI+MTc8L3JlZi10eXBlPjxkYXRlcz48eWVh
cj4yMDAxPC95ZWFyPjwvZGF0ZXM+PHJlYy1udW1iZXI+NjAxMzwvcmVjLW51bWJlcj48bGFzdC11
cGRhdGVkLWRhdGUgZm9ybWF0PSJ1dGMiPjE0Nzc2Nzk4Njg8L2xhc3QtdXBkYXRlZC1kYXRlPjxj
b250cmlidXRvcnM+PHNlY29uZGFyeS1hdXRob3JzPjxhdXRob3I+TGV5ZGVzZG9yZmYsIExvZXQ8
L2F1dGhvcj48L3NlY29uZGFyeS1hdXRob3JzPjwvY29udHJpYnV0b3JzPjx2b2x1bWU+NTwvdm9s
dW1lPjwvcmVjb3JkPjwvQ2l0ZT48L0VuZE5vdGU+
</w:fldData>
        </w:fldChar>
      </w:r>
      <w:r>
        <w:rPr>
          <w:iCs/>
          <w:sz w:val="24"/>
          <w:szCs w:val="24"/>
        </w:rPr>
        <w:instrText xml:space="preserve"> ADDIN EN.CITE </w:instrText>
      </w:r>
      <w:r>
        <w:rPr>
          <w:iCs/>
          <w:sz w:val="24"/>
          <w:szCs w:val="24"/>
        </w:rPr>
        <w:fldChar w:fldCharType="begin">
          <w:fldData xml:space="preserve">PEVuZE5vdGU+PENpdGU+PEF1dGhvcj5FdHprb3dpdHo8L0F1dGhvcj48WWVhcj4xOTk1PC9ZZWFy
PjxJRFRleHQ+VGhlIFRyaXBsZSBIZWxpeC0tVW5pdmVyc2l0eS1pbmR1c3RyeS1nb3Zlcm5tZW50
IHJlbGF0aW9uczogQSBsYWJvcmF0b3J5IGZvciBrbm93bGVkZ2UgYmFzZWQgZWNvbm9taWMgZGV2
ZWxvcG1lbnQ8L0lEVGV4dD48RGlzcGxheVRleHQ+KEV0emtvd2l0eiAmYW1wOyBMZXlkZXNkb3Jm
ZiwgMTk5NTsgTGV5ZGVzZG9yZmYgJmFtcDsgRXR6a293aXR6LCAyMDAxKTwvRGlzcGxheVRleHQ+
PHJlY29yZD48dGl0bGVzPjx0aXRsZT5UaGUgVHJpcGxlIEhlbGl4LS1Vbml2ZXJzaXR5LWluZHVz
dHJ5LWdvdmVybm1lbnQgcmVsYXRpb25zOiBBIGxhYm9yYXRvcnkgZm9yIGtub3dsZWRnZSBiYXNl
ZCBlY29ub21pYyBkZXZlbG9wbWVudDwvdGl0bGU+PHNlY29uZGFyeS10aXRsZT5FQVNTVCByZXZp
ZXc8L3NlY29uZGFyeS10aXRsZT48L3RpdGxlcz48cGFnZXM+MTQtMTk8L3BhZ2VzPjxudW1iZXI+
MTwvbnVtYmVyPjxjb250cmlidXRvcnM+PGF1dGhvcnM+PGF1dGhvcj5FdHprb3dpdHosIEhlbnJ5
PC9hdXRob3I+PGF1dGhvcj5MZXlkZXNkb3JmZiwgTG9ldDwvYXV0aG9yPjwvYXV0aG9ycz48L2Nv
bnRyaWJ1dG9ycz48YWRkZWQtZGF0ZSBmb3JtYXQ9InV0YyI+MTQ2NjE4NDgyNzwvYWRkZWQtZGF0
ZT48cmVmLXR5cGUgbmFtZT0iSm91cm5hbCBBcnRpY2xlIj4xNzwvcmVmLXR5cGU+PGRhdGVzPjx5
ZWFyPjE5OTU8L3llYXI+PC9kYXRlcz48cmVjLW51bWJlcj4zOTQ8L3JlYy1udW1iZXI+PGxhc3Qt
dXBkYXRlZC1kYXRlIGZvcm1hdD0idXRjIj4xNDY5MjI5ODY4PC9sYXN0LXVwZGF0ZWQtZGF0ZT48
dm9sdW1lPjE0PC92b2x1bWU+PC9yZWNvcmQ+PC9DaXRlPjxDaXRlPjxBdXRob3I+TGV5ZGVzZG9y
ZmY8L0F1dGhvcj48WWVhcj4yMDAxPC9ZZWFyPjxJRFRleHQ+VGhlIFRyYW5zZm9ybWF0aW9uIG9m
IFVuaXZlcnNpdHktSW5kdXN0cnktR292ZXJubWVudCBSZWxhdGlvbnM8L0lEVGV4dD48cmVjb3Jk
PjxrZXl3b3Jkcz48a2V5d29yZD5Vbml2ZXJzaXRpZXM8L2tleXdvcmQ+PGtleXdvcmQ+SW5kdXN0
cnk8L2tleXdvcmQ+PGtleXdvcmQ+R292ZXJubWVudDwva2V5d29yZD48a2V5d29yZD5JbnRlcm9y
Z2FuaXphdGlvbmFsIE5ldHdvcmtzPC9rZXl3b3JkPjxrZXl3b3JkPlJlc2VhcmNoIGFuZCBEZXZl
bG9wbWVudDwva2V5d29yZD48a2V5d29yZD5TY2llbmNlIGFuZCBUZWNobm9sb2d5PC9rZXl3b3Jk
PjxrZXl3b3JkPlNvY2lvbG9neSBvZiBFZHVjYXRpb248L2tleXdvcmQ+PGtleXdvcmQ+U29jaW9s
b2d5IG9mIEVkdWNhdGlvbjwva2V5d29yZD48a2V5d29yZD5Qb2xpdGljYWwgU29jaW9sb2d5L0lu
dGVyYWN0aW9uczwva2V5d29yZD48a2V5d29yZD5Tb2Npb2xvZ3kgb2YgUG9saXRpY2FsIFN5c3Rl
bXMsIFBvbGl0aWNzLCAmYW1wO2FtcDwva2V5d29yZD48a2V5d29yZD5Qb3dlcjwva2V5d29yZD48
a2V5d29yZD5BcnRpY2xlPC9rZXl3b3JkPjwva2V5d29yZHM+PGlzYm4+MTE5OC0zNjU1PC9pc2Ju
Pjx0aXRsZXM+PHRpdGxlPlRoZSBUcmFuc2Zvcm1hdGlvbiBvZiBVbml2ZXJzaXR5LUluZHVzdHJ5
LUdvdmVybm1lbnQgUmVsYXRpb25zPC90aXRsZT48c2Vjb25kYXJ5LXRpdGxlPkVsZWN0cm9uaWMg
Sm91cm5hbCBvZiBTb2Npb2xvZ3k8L3NlY29uZGFyeS10aXRsZT48L3RpdGxlcz48bnVtYmVyPjQ8
L251bWJlcj48Y29udHJpYnV0b3JzPjxhdXRob3JzPjxhdXRob3I+TGV5ZGVzZG9yZmYsIExvZXQ8
L2F1dGhvcj48YXV0aG9yPkV0emtvd2l0eiwgSGVucnk8L2F1dGhvcj48L2F1dGhvcnM+PC9jb250
cmlidXRvcnM+PGFkZGVkLWRhdGUgZm9ybWF0PSJ1dGMiPjE0NzUyOTIyOTg8L2FkZGVkLWRhdGU+
PHJlZi10eXBlIG5hbWU9IkpvdXJuYWwgQXJ0aWNsZSI+MTc8L3JlZi10eXBlPjxkYXRlcz48eWVh
cj4yMDAxPC95ZWFyPjwvZGF0ZXM+PHJlYy1udW1iZXI+NjAxMzwvcmVjLW51bWJlcj48bGFzdC11
cGRhdGVkLWRhdGUgZm9ybWF0PSJ1dGMiPjE0Nzc2Nzk4Njg8L2xhc3QtdXBkYXRlZC1kYXRlPjxj
b250cmlidXRvcnM+PHNlY29uZGFyeS1hdXRob3JzPjxhdXRob3I+TGV5ZGVzZG9yZmYsIExvZXQ8
L2F1dGhvcj48L3NlY29uZGFyeS1hdXRob3JzPjwvY29udHJpYnV0b3JzPjx2b2x1bWU+NTwvdm9s
dW1lPjwvcmVjb3JkPjwvQ2l0ZT48L0VuZE5vdGU+
</w:fldData>
        </w:fldChar>
      </w:r>
      <w:r>
        <w:rPr>
          <w:iCs/>
          <w:sz w:val="24"/>
          <w:szCs w:val="24"/>
        </w:rPr>
        <w:instrText xml:space="preserve"> ADDIN EN.CITE.DATA </w:instrText>
      </w:r>
      <w:r>
        <w:rPr>
          <w:iCs/>
          <w:sz w:val="24"/>
          <w:szCs w:val="24"/>
        </w:rPr>
      </w:r>
      <w:r>
        <w:rPr>
          <w:iCs/>
          <w:sz w:val="24"/>
          <w:szCs w:val="24"/>
        </w:rPr>
        <w:fldChar w:fldCharType="end"/>
      </w:r>
      <w:r>
        <w:rPr>
          <w:iCs/>
          <w:sz w:val="24"/>
          <w:szCs w:val="24"/>
        </w:rPr>
      </w:r>
      <w:r>
        <w:rPr>
          <w:iCs/>
          <w:sz w:val="24"/>
          <w:szCs w:val="24"/>
        </w:rPr>
        <w:fldChar w:fldCharType="separate"/>
      </w:r>
      <w:r>
        <w:rPr>
          <w:iCs/>
          <w:noProof/>
          <w:sz w:val="24"/>
          <w:szCs w:val="24"/>
        </w:rPr>
        <w:t>(Etzkowitz &amp; Leydesdorff, 1995; Leydesdorff &amp; Etzkowitz, 2001)</w:t>
      </w:r>
      <w:r>
        <w:rPr>
          <w:iCs/>
          <w:sz w:val="24"/>
          <w:szCs w:val="24"/>
        </w:rPr>
        <w:fldChar w:fldCharType="end"/>
      </w:r>
      <w:r>
        <w:rPr>
          <w:iCs/>
          <w:sz w:val="24"/>
          <w:szCs w:val="24"/>
        </w:rPr>
        <w:t xml:space="preserve">. </w:t>
      </w:r>
    </w:p>
    <w:p w14:paraId="46FFA0A7" w14:textId="5BFE7269" w:rsidR="00DC7B41" w:rsidRDefault="00DC7B41" w:rsidP="00DC7B41">
      <w:pPr>
        <w:autoSpaceDE w:val="0"/>
        <w:autoSpaceDN w:val="0"/>
        <w:adjustRightInd w:val="0"/>
        <w:spacing w:after="120" w:line="360" w:lineRule="auto"/>
        <w:rPr>
          <w:iCs/>
          <w:sz w:val="24"/>
          <w:szCs w:val="24"/>
        </w:rPr>
      </w:pPr>
      <w:r>
        <w:rPr>
          <w:iCs/>
          <w:sz w:val="24"/>
          <w:szCs w:val="24"/>
        </w:rPr>
        <w:t xml:space="preserve">As with outreach, academic researchers’ collaborations and interdependencies with non-academic institutions and sectors, conceptualised as a form of ‘boundary transaction’, has the potential to operate as a mechanism for both the reproduction </w:t>
      </w:r>
      <w:r w:rsidR="00A022A5">
        <w:rPr>
          <w:iCs/>
          <w:sz w:val="24"/>
          <w:szCs w:val="24"/>
        </w:rPr>
        <w:t>and</w:t>
      </w:r>
      <w:r>
        <w:rPr>
          <w:iCs/>
          <w:sz w:val="24"/>
          <w:szCs w:val="24"/>
        </w:rPr>
        <w:t xml:space="preserve"> weakening of academic boundaries. </w:t>
      </w:r>
    </w:p>
    <w:p w14:paraId="57C30620" w14:textId="75F694C9" w:rsidR="00DC7B41" w:rsidRDefault="00E62F6A" w:rsidP="00DC7B41">
      <w:pPr>
        <w:pStyle w:val="Heading3"/>
        <w:rPr>
          <w:b/>
        </w:rPr>
      </w:pPr>
      <w:bookmarkStart w:id="39" w:name="_Toc31701951"/>
      <w:r>
        <w:t>Use-oriented o</w:t>
      </w:r>
      <w:r w:rsidR="00DC7B41">
        <w:t xml:space="preserve">utputs </w:t>
      </w:r>
      <w:r>
        <w:t>(</w:t>
      </w:r>
      <w:r w:rsidR="00DC7B41">
        <w:t>‘boundary objects’</w:t>
      </w:r>
      <w:r>
        <w:t>)</w:t>
      </w:r>
      <w:bookmarkEnd w:id="39"/>
    </w:p>
    <w:p w14:paraId="6FCEE332" w14:textId="77777777" w:rsidR="00DC7B41" w:rsidRDefault="00DC7B41" w:rsidP="001F5DB2">
      <w:pPr>
        <w:autoSpaceDE w:val="0"/>
        <w:autoSpaceDN w:val="0"/>
        <w:adjustRightInd w:val="0"/>
        <w:spacing w:after="120" w:line="360" w:lineRule="auto"/>
        <w:rPr>
          <w:iCs/>
          <w:sz w:val="24"/>
          <w:szCs w:val="24"/>
        </w:rPr>
      </w:pPr>
      <w:r>
        <w:rPr>
          <w:iCs/>
          <w:sz w:val="24"/>
          <w:szCs w:val="24"/>
        </w:rPr>
        <w:t xml:space="preserve">As well as outreach and collaboration, the outputs of academic research themselves can be conceptualised as having a boundary-transacting function. Outputs can be thought of as ‘boundary objects’ </w:t>
      </w:r>
      <w:r>
        <w:rPr>
          <w:iCs/>
          <w:sz w:val="24"/>
          <w:szCs w:val="24"/>
        </w:rPr>
        <w:fldChar w:fldCharType="begin"/>
      </w:r>
      <w:r>
        <w:rPr>
          <w:iCs/>
          <w:sz w:val="24"/>
          <w:szCs w:val="24"/>
        </w:rPr>
        <w:instrText xml:space="preserve"> ADDIN EN.CITE &lt;EndNote&gt;&lt;Cite&gt;&lt;Author&gt;Star&lt;/Author&gt;&lt;Year&gt;1989&lt;/Year&gt;&lt;IDText&gt;Institutional Ecology, `Translations&amp;apos; and Boundary Objects: Amateurs and Professionals in Berkeley&amp;apos;s Museum of Vertebrate Zoology, 1907-39&lt;/IDText&gt;&lt;DisplayText&gt;(Star &amp;amp; Griesemer, 1989)&lt;/DisplayText&gt;&lt;record&gt;&lt;keywords&gt;&lt;keyword&gt;Museums&lt;/keyword&gt;&lt;keyword&gt;California&lt;/keyword&gt;&lt;keyword&gt;Interpersonal Conflict&lt;/keyword&gt;&lt;keyword&gt;Boundaries&lt;/keyword&gt;&lt;keyword&gt;Natural Sciences&lt;/keyword&gt;&lt;keyword&gt;Scientists&lt;/keyword&gt;&lt;keyword&gt;Sociology of Science&lt;/keyword&gt;&lt;keyword&gt;Sociology of Science&lt;/keyword&gt;&lt;keyword&gt;Article&lt;/keyword&gt;&lt;keyword&gt;Scientist-Nonscientist Collaboration/Tension Management, Boundary Issues&lt;/keyword&gt;&lt;keyword&gt;Case Study&lt;/keyword&gt;&lt;keyword&gt;Museum of Vertebrate Zoology, University of California, Berkeley&lt;/keyword&gt;&lt;keyword&gt;1907-1939&lt;/keyword&gt;&lt;/keywords&gt;&lt;isbn&gt;0306-3127&lt;/isbn&gt;&lt;titles&gt;&lt;title&gt;Institutional Ecology, `Translations&amp;apos; and Boundary Objects: Amateurs and Professionals in Berkeley&amp;apos;s Museum of Vertebrate Zoology, 1907-39&lt;/title&gt;&lt;secondary-title&gt;Social Studies of Science&lt;/secondary-title&gt;&lt;/titles&gt;&lt;pages&gt;387-420&lt;/pages&gt;&lt;number&gt;3&lt;/number&gt;&lt;contributors&gt;&lt;authors&gt;&lt;author&gt;Star, Susan Leigh&lt;/author&gt;&lt;author&gt;Griesemer, James R.&lt;/author&gt;&lt;/authors&gt;&lt;/contributors&gt;&lt;added-date format="utc"&gt;1526923200&lt;/added-date&gt;&lt;ref-type name="Journal Article"&gt;17&lt;/ref-type&gt;&lt;dates&gt;&lt;year&gt;1989&lt;/year&gt;&lt;/dates&gt;&lt;rec-number&gt;7526&lt;/rec-number&gt;&lt;last-updated-date format="utc"&gt;1526923200&lt;/last-updated-date&gt;&lt;electronic-resource-num&gt;10.1177/030631289019003001&lt;/electronic-resource-num&gt;&lt;volume&gt;19&lt;/volume&gt;&lt;/record&gt;&lt;/Cite&gt;&lt;/EndNote&gt;</w:instrText>
      </w:r>
      <w:r>
        <w:rPr>
          <w:iCs/>
          <w:sz w:val="24"/>
          <w:szCs w:val="24"/>
        </w:rPr>
        <w:fldChar w:fldCharType="separate"/>
      </w:r>
      <w:r>
        <w:rPr>
          <w:iCs/>
          <w:noProof/>
          <w:sz w:val="24"/>
          <w:szCs w:val="24"/>
        </w:rPr>
        <w:t>(Star &amp; Griesemer, 1989)</w:t>
      </w:r>
      <w:r>
        <w:rPr>
          <w:iCs/>
          <w:sz w:val="24"/>
          <w:szCs w:val="24"/>
        </w:rPr>
        <w:fldChar w:fldCharType="end"/>
      </w:r>
      <w:r>
        <w:rPr>
          <w:iCs/>
          <w:sz w:val="24"/>
          <w:szCs w:val="24"/>
        </w:rPr>
        <w:t xml:space="preserve">, that is, objects which provide value and meaning to actors or groups either side of a boundary. Before moving onto relevant empirical examples from the literature, it is helpful to contextualise the concept of boundary objects within the theoretical lens of ‘boundary work’ or ‘boundary management’ </w:t>
      </w:r>
      <w:r>
        <w:rPr>
          <w:iCs/>
          <w:sz w:val="24"/>
          <w:szCs w:val="24"/>
        </w:rPr>
        <w:fldChar w:fldCharType="begin">
          <w:fldData xml:space="preserve">PEVuZE5vdGU+PENpdGU+PEF1dGhvcj5TdGFyPC9BdXRob3I+PFllYXI+MTk4OTwvWWVhcj48SURU
ZXh0Pkluc3RpdHV0aW9uYWwgRWNvbG9neSwgYFRyYW5zbGF0aW9ucyZhcG9zOyBhbmQgQm91bmRh
cnkgT2JqZWN0czogQW1hdGV1cnMgYW5kIFByb2Zlc3Npb25hbHMgaW4gQmVya2VsZXkmYXBvcztz
IE11c2V1bSBvZiBWZXJ0ZWJyYXRlIFpvb2xvZ3ksIDE5MDctMzk8L0lEVGV4dD48RGlzcGxheVRl
eHQ+KFcuIEMuIENsYXJrIGV0IGFsLiwgMjAxNjsgTWNOaWUgZXQgYWwuLCAyMDE2OyBTdGFyICZh
bXA7IEdyaWVzZW1lciwgMTk4OSk8L0Rpc3BsYXlUZXh0PjxyZWNvcmQ+PGtleXdvcmRzPjxrZXl3
b3JkPk11c2V1bXM8L2tleXdvcmQ+PGtleXdvcmQ+Q2FsaWZvcm5pYTwva2V5d29yZD48a2V5d29y
ZD5JbnRlcnBlcnNvbmFsIENvbmZsaWN0PC9rZXl3b3JkPjxrZXl3b3JkPkJvdW5kYXJpZXM8L2tl
eXdvcmQ+PGtleXdvcmQ+TmF0dXJhbCBTY2llbmNlczwva2V5d29yZD48a2V5d29yZD5TY2llbnRp
c3RzPC9rZXl3b3JkPjxrZXl3b3JkPlNvY2lvbG9neSBvZiBTY2llbmNlPC9rZXl3b3JkPjxrZXl3
b3JkPlNvY2lvbG9neSBvZiBTY2llbmNlPC9rZXl3b3JkPjxrZXl3b3JkPkFydGljbGU8L2tleXdv
cmQ+PGtleXdvcmQ+U2NpZW50aXN0LU5vbnNjaWVudGlzdCBDb2xsYWJvcmF0aW9uL1RlbnNpb24g
TWFuYWdlbWVudCwgQm91bmRhcnkgSXNzdWVzPC9rZXl3b3JkPjxrZXl3b3JkPkNhc2UgU3R1ZHk8
L2tleXdvcmQ+PGtleXdvcmQ+TXVzZXVtIG9mIFZlcnRlYnJhdGUgWm9vbG9neSwgVW5pdmVyc2l0
eSBvZiBDYWxpZm9ybmlhLCBCZXJrZWxleTwva2V5d29yZD48a2V5d29yZD4xOTA3LTE5Mzk8L2tl
eXdvcmQ+PC9rZXl3b3Jkcz48aXNibj4wMzA2LTMxMjc8L2lzYm4+PHRpdGxlcz48dGl0bGU+SW5z
dGl0dXRpb25hbCBFY29sb2d5LCBgVHJhbnNsYXRpb25zJmFwb3M7IGFuZCBCb3VuZGFyeSBPYmpl
Y3RzOiBBbWF0ZXVycyBhbmQgUHJvZmVzc2lvbmFscyBpbiBCZXJrZWxleSZhcG9zO3MgTXVzZXVt
IG9mIFZlcnRlYnJhdGUgWm9vbG9neSwgMTkwNy0zOTwvdGl0bGU+PHNlY29uZGFyeS10aXRsZT5T
b2NpYWwgU3R1ZGllcyBvZiBTY2llbmNlPC9zZWNvbmRhcnktdGl0bGU+PC90aXRsZXM+PHBhZ2Vz
PjM4Ny00MjA8L3BhZ2VzPjxudW1iZXI+MzwvbnVtYmVyPjxjb250cmlidXRvcnM+PGF1dGhvcnM+
PGF1dGhvcj5TdGFyLCBTdXNhbiBMZWlnaDwvYXV0aG9yPjxhdXRob3I+R3JpZXNlbWVyLCBKYW1l
cyBSLjwvYXV0aG9yPjwvYXV0aG9ycz48L2NvbnRyaWJ1dG9ycz48YWRkZWQtZGF0ZSBmb3JtYXQ9
InV0YyI+MTUyNjkyMzIwMDwvYWRkZWQtZGF0ZT48cmVmLXR5cGUgbmFtZT0iSm91cm5hbCBBcnRp
Y2xlIj4xNzwvcmVmLXR5cGU+PGRhdGVzPjx5ZWFyPjE5ODk8L3llYXI+PC9kYXRlcz48cmVjLW51
bWJlcj43NTI2PC9yZWMtbnVtYmVyPjxsYXN0LXVwZGF0ZWQtZGF0ZSBmb3JtYXQ9InV0YyI+MTUy
NjkyMzIwMDwvbGFzdC11cGRhdGVkLWRhdGU+PGVsZWN0cm9uaWMtcmVzb3VyY2UtbnVtPjEwLjEx
NzcvMDMwNjMxMjg5MDE5MDAzMDAxPC9lbGVjdHJvbmljLXJlc291cmNlLW51bT48dm9sdW1lPjE5
PC92b2x1bWU+PC9yZWNvcmQ+PC9DaXRlPjxDaXRlPjxBdXRob3I+Q2xhcms8L0F1dGhvcj48WWVh
cj4yMDE2PC9ZZWFyPjxJRFRleHQ+Qm91bmRhcnkgd29yayBmb3Igc3VzdGFpbmFibGUgZGV2ZWxv
cG1lbnQ6IE5hdHVyYWwgcmVzb3VyY2UgbWFuYWdlbWVudCBhdCB0aGUgQ29uc3VsdGF0aXZlIEdy
b3VwIG9uIEludGVybmF0aW9uYWwgQWdyaWN1bHR1cmFsIFJlc2VhcmNoIChDR0lBUik8L0lEVGV4
dD48cmVjb3JkPjxrZXl3b3Jkcz48a2V5d29yZD5TY2llbmNlcyAoR2VuZXJhbCk8L2tleXdvcmQ+
PC9rZXl3b3Jkcz48aXNibj4wMDI3LTg0MjQ8L2lzYm4+PHRpdGxlcz48dGl0bGU+Qm91bmRhcnkg
d29yayBmb3Igc3VzdGFpbmFibGUgZGV2ZWxvcG1lbnQ6IE5hdHVyYWwgcmVzb3VyY2UgbWFuYWdl
bWVudCBhdCB0aGUgQ29uc3VsdGF0aXZlIEdyb3VwIG9uIEludGVybmF0aW9uYWwgQWdyaWN1bHR1
cmFsIFJlc2VhcmNoIChDR0lBUik8L3RpdGxlPjxzZWNvbmRhcnktdGl0bGU+UHJvY2VlZGluZ3Mg
b2YgdGhlIE5hdGlvbmFsIEFjYWRlbXkgb2YgU2NpZW5jZXM8L3NlY29uZGFyeS10aXRsZT48L3Rp
dGxlcz48cGFnZXM+NDYxNTwvcGFnZXM+PG51bWJlcj4xNzwvbnVtYmVyPjxjb250cmlidXRvcnM+
PGF1dGhvcnM+PGF1dGhvcj5DbGFyaywgVy4gQy48L2F1dGhvcj48YXV0aG9yPlRvbWljaCwgVC4g
UC48L2F1dGhvcj48YXV0aG9yPnZhbiBOb29yZHdpamssIE0uPC9hdXRob3I+PGF1dGhvcj5HdXN0
b24sIEQuPC9hdXRob3I+PGF1dGhvcj5DYXRhY3V0YW4sIEQuPC9hdXRob3I+PGF1dGhvcj5EaWNr
c29uLCBOLiBNLjwvYXV0aG9yPjxhdXRob3I+TWNuaWUsIEUuPC9hdXRob3I+PC9hdXRob3JzPjwv
Y29udHJpYnV0b3JzPjxhZGRlZC1kYXRlIGZvcm1hdD0idXRjIj4xNTMyNDUyMzk4PC9hZGRlZC1k
YXRlPjxyZWYtdHlwZSBuYW1lPSJKb3VybmFsIEFydGljbGUiPjE3PC9yZWYtdHlwZT48ZGF0ZXM+
PHllYXI+MjAxNjwveWVhcj48L2RhdGVzPjxyZWMtbnVtYmVyPjc2MjQ8L3JlYy1udW1iZXI+PGxh
c3QtdXBkYXRlZC1kYXRlIGZvcm1hdD0idXRjIj4xNTMyNDUyNjU4PC9sYXN0LXVwZGF0ZWQtZGF0
ZT48ZWxlY3Ryb25pYy1yZXNvdXJjZS1udW0+MTAuMTA3My9wbmFzLjA5MDAyMzExMDg8L2VsZWN0
cm9uaWMtcmVzb3VyY2UtbnVtPjx2b2x1bWU+MTEzPC92b2x1bWU+PC9yZWNvcmQ+PC9DaXRlPjxD
aXRlPjxBdXRob3I+TWNOaWU8L0F1dGhvcj48WWVhcj4yMDE2PC9ZZWFyPjxJRFRleHQ+SW1wcm92
aW5nIHRoZSBwdWJsaWMgdmFsdWUgb2Ygc2NpZW5jZTogQSB0eXBvbG9neSB0byBpbmZvcm0gZGlz
Y3Vzc2lvbiwgZGVzaWduIGFuZCBpbXBsZW1lbnRhdGlvbiBvZiByZXNlYXJjaDwvSURUZXh0Pjxy
ZWNvcmQ+PHVybHM+PHJlbGF0ZWQtdXJscz48dXJsPmh0dHBzOi8vd3d3LnNjb3B1cy5jb20vaW53
YXJkL3JlY29yZC51cmk/ZWlkPTItczIuMC04NDk1OTQzMTkyNCZhbXA7cGFydG5lcklEPTQwJmFt
cDttZDU9NmU0ZmMwMWQxOWQxYjYxYjA5MDg0ZTZkNmFhMjQ0ZGI8L3VybD48L3JlbGF0ZWQtdXJs
cz48L3VybHM+PHdvcmstdHlwZT5BcnRpY2xlPC93b3JrLXR5cGU+PHRpdGxlcz48dGl0bGU+SW1w
cm92aW5nIHRoZSBwdWJsaWMgdmFsdWUgb2Ygc2NpZW5jZTogQSB0eXBvbG9neSB0byBpbmZvcm0g
ZGlzY3Vzc2lvbiwgZGVzaWduIGFuZCBpbXBsZW1lbnRhdGlvbiBvZiByZXNlYXJjaDwvdGl0bGU+
PHNlY29uZGFyeS10aXRsZT5SZXNlYXJjaCBQb2xpY3k8L3NlY29uZGFyeS10aXRsZT48L3RpdGxl
cz48cGFnZXM+ODg0LTg5NTwvcGFnZXM+PG51bWJlcj40PC9udW1iZXI+PGNvbnRyaWJ1dG9ycz48
YXV0aG9ycz48YXV0aG9yPk1jTmllLCBFLiBDLjwvYXV0aG9yPjxhdXRob3I+UGFycmlzLCBBLjwv
YXV0aG9yPjxhdXRob3I+U2FyZXdpdHosIEQuPC9hdXRob3I+PC9hdXRob3JzPjwvY29udHJpYnV0
b3JzPjxhZGRlZC1kYXRlIGZvcm1hdD0idXRjIj4xNDczNzE5MjM3PC9hZGRlZC1kYXRlPjxyZWYt
dHlwZSBuYW1lPSJKb3VybmFsIEFydGljbGUiPjE3PC9yZWYtdHlwZT48ZGF0ZXM+PHllYXI+MjAx
NjwveWVhcj48L2RhdGVzPjxyZWMtbnVtYmVyPjM0ODQ8L3JlYy1udW1iZXI+PGxhc3QtdXBkYXRl
ZC1kYXRlIGZvcm1hdD0idXRjIj4xNDczNzE5MjM3PC9sYXN0LXVwZGF0ZWQtZGF0ZT48ZWxlY3Ry
b25pYy1yZXNvdXJjZS1udW0+MTAuMTAxNi9qLnJlc3BvbC4yMDE2LjAxLjAwNDwvZWxlY3Ryb25p
Yy1yZXNvdXJjZS1udW0+PHZvbHVtZT40NTwvdm9sdW1lPjxyZW1vdGUtZGF0YWJhc2UtbmFtZT5T
Y29wdXM8L3JlbW90ZS1kYXRhYmFzZS1uYW1lPjwvcmVjb3JkPjwvQ2l0ZT48L0VuZE5vdGU+
</w:fldData>
        </w:fldChar>
      </w:r>
      <w:r>
        <w:rPr>
          <w:iCs/>
          <w:sz w:val="24"/>
          <w:szCs w:val="24"/>
        </w:rPr>
        <w:instrText xml:space="preserve"> ADDIN EN.CITE </w:instrText>
      </w:r>
      <w:r>
        <w:rPr>
          <w:iCs/>
          <w:sz w:val="24"/>
          <w:szCs w:val="24"/>
        </w:rPr>
        <w:fldChar w:fldCharType="begin">
          <w:fldData xml:space="preserve">PEVuZE5vdGU+PENpdGU+PEF1dGhvcj5TdGFyPC9BdXRob3I+PFllYXI+MTk4OTwvWWVhcj48SURU
ZXh0Pkluc3RpdHV0aW9uYWwgRWNvbG9neSwgYFRyYW5zbGF0aW9ucyZhcG9zOyBhbmQgQm91bmRh
cnkgT2JqZWN0czogQW1hdGV1cnMgYW5kIFByb2Zlc3Npb25hbHMgaW4gQmVya2VsZXkmYXBvcztz
IE11c2V1bSBvZiBWZXJ0ZWJyYXRlIFpvb2xvZ3ksIDE5MDctMzk8L0lEVGV4dD48RGlzcGxheVRl
eHQ+KFcuIEMuIENsYXJrIGV0IGFsLiwgMjAxNjsgTWNOaWUgZXQgYWwuLCAyMDE2OyBTdGFyICZh
bXA7IEdyaWVzZW1lciwgMTk4OSk8L0Rpc3BsYXlUZXh0PjxyZWNvcmQ+PGtleXdvcmRzPjxrZXl3
b3JkPk11c2V1bXM8L2tleXdvcmQ+PGtleXdvcmQ+Q2FsaWZvcm5pYTwva2V5d29yZD48a2V5d29y
ZD5JbnRlcnBlcnNvbmFsIENvbmZsaWN0PC9rZXl3b3JkPjxrZXl3b3JkPkJvdW5kYXJpZXM8L2tl
eXdvcmQ+PGtleXdvcmQ+TmF0dXJhbCBTY2llbmNlczwva2V5d29yZD48a2V5d29yZD5TY2llbnRp
c3RzPC9rZXl3b3JkPjxrZXl3b3JkPlNvY2lvbG9neSBvZiBTY2llbmNlPC9rZXl3b3JkPjxrZXl3
b3JkPlNvY2lvbG9neSBvZiBTY2llbmNlPC9rZXl3b3JkPjxrZXl3b3JkPkFydGljbGU8L2tleXdv
cmQ+PGtleXdvcmQ+U2NpZW50aXN0LU5vbnNjaWVudGlzdCBDb2xsYWJvcmF0aW9uL1RlbnNpb24g
TWFuYWdlbWVudCwgQm91bmRhcnkgSXNzdWVzPC9rZXl3b3JkPjxrZXl3b3JkPkNhc2UgU3R1ZHk8
L2tleXdvcmQ+PGtleXdvcmQ+TXVzZXVtIG9mIFZlcnRlYnJhdGUgWm9vbG9neSwgVW5pdmVyc2l0
eSBvZiBDYWxpZm9ybmlhLCBCZXJrZWxleTwva2V5d29yZD48a2V5d29yZD4xOTA3LTE5Mzk8L2tl
eXdvcmQ+PC9rZXl3b3Jkcz48aXNibj4wMzA2LTMxMjc8L2lzYm4+PHRpdGxlcz48dGl0bGU+SW5z
dGl0dXRpb25hbCBFY29sb2d5LCBgVHJhbnNsYXRpb25zJmFwb3M7IGFuZCBCb3VuZGFyeSBPYmpl
Y3RzOiBBbWF0ZXVycyBhbmQgUHJvZmVzc2lvbmFscyBpbiBCZXJrZWxleSZhcG9zO3MgTXVzZXVt
IG9mIFZlcnRlYnJhdGUgWm9vbG9neSwgMTkwNy0zOTwvdGl0bGU+PHNlY29uZGFyeS10aXRsZT5T
b2NpYWwgU3R1ZGllcyBvZiBTY2llbmNlPC9zZWNvbmRhcnktdGl0bGU+PC90aXRsZXM+PHBhZ2Vz
PjM4Ny00MjA8L3BhZ2VzPjxudW1iZXI+MzwvbnVtYmVyPjxjb250cmlidXRvcnM+PGF1dGhvcnM+
PGF1dGhvcj5TdGFyLCBTdXNhbiBMZWlnaDwvYXV0aG9yPjxhdXRob3I+R3JpZXNlbWVyLCBKYW1l
cyBSLjwvYXV0aG9yPjwvYXV0aG9ycz48L2NvbnRyaWJ1dG9ycz48YWRkZWQtZGF0ZSBmb3JtYXQ9
InV0YyI+MTUyNjkyMzIwMDwvYWRkZWQtZGF0ZT48cmVmLXR5cGUgbmFtZT0iSm91cm5hbCBBcnRp
Y2xlIj4xNzwvcmVmLXR5cGU+PGRhdGVzPjx5ZWFyPjE5ODk8L3llYXI+PC9kYXRlcz48cmVjLW51
bWJlcj43NTI2PC9yZWMtbnVtYmVyPjxsYXN0LXVwZGF0ZWQtZGF0ZSBmb3JtYXQ9InV0YyI+MTUy
NjkyMzIwMDwvbGFzdC11cGRhdGVkLWRhdGU+PGVsZWN0cm9uaWMtcmVzb3VyY2UtbnVtPjEwLjEx
NzcvMDMwNjMxMjg5MDE5MDAzMDAxPC9lbGVjdHJvbmljLXJlc291cmNlLW51bT48dm9sdW1lPjE5
PC92b2x1bWU+PC9yZWNvcmQ+PC9DaXRlPjxDaXRlPjxBdXRob3I+Q2xhcms8L0F1dGhvcj48WWVh
cj4yMDE2PC9ZZWFyPjxJRFRleHQ+Qm91bmRhcnkgd29yayBmb3Igc3VzdGFpbmFibGUgZGV2ZWxv
cG1lbnQ6IE5hdHVyYWwgcmVzb3VyY2UgbWFuYWdlbWVudCBhdCB0aGUgQ29uc3VsdGF0aXZlIEdy
b3VwIG9uIEludGVybmF0aW9uYWwgQWdyaWN1bHR1cmFsIFJlc2VhcmNoIChDR0lBUik8L0lEVGV4
dD48cmVjb3JkPjxrZXl3b3Jkcz48a2V5d29yZD5TY2llbmNlcyAoR2VuZXJhbCk8L2tleXdvcmQ+
PC9rZXl3b3Jkcz48aXNibj4wMDI3LTg0MjQ8L2lzYm4+PHRpdGxlcz48dGl0bGU+Qm91bmRhcnkg
d29yayBmb3Igc3VzdGFpbmFibGUgZGV2ZWxvcG1lbnQ6IE5hdHVyYWwgcmVzb3VyY2UgbWFuYWdl
bWVudCBhdCB0aGUgQ29uc3VsdGF0aXZlIEdyb3VwIG9uIEludGVybmF0aW9uYWwgQWdyaWN1bHR1
cmFsIFJlc2VhcmNoIChDR0lBUik8L3RpdGxlPjxzZWNvbmRhcnktdGl0bGU+UHJvY2VlZGluZ3Mg
b2YgdGhlIE5hdGlvbmFsIEFjYWRlbXkgb2YgU2NpZW5jZXM8L3NlY29uZGFyeS10aXRsZT48L3Rp
dGxlcz48cGFnZXM+NDYxNTwvcGFnZXM+PG51bWJlcj4xNzwvbnVtYmVyPjxjb250cmlidXRvcnM+
PGF1dGhvcnM+PGF1dGhvcj5DbGFyaywgVy4gQy48L2F1dGhvcj48YXV0aG9yPlRvbWljaCwgVC4g
UC48L2F1dGhvcj48YXV0aG9yPnZhbiBOb29yZHdpamssIE0uPC9hdXRob3I+PGF1dGhvcj5HdXN0
b24sIEQuPC9hdXRob3I+PGF1dGhvcj5DYXRhY3V0YW4sIEQuPC9hdXRob3I+PGF1dGhvcj5EaWNr
c29uLCBOLiBNLjwvYXV0aG9yPjxhdXRob3I+TWNuaWUsIEUuPC9hdXRob3I+PC9hdXRob3JzPjwv
Y29udHJpYnV0b3JzPjxhZGRlZC1kYXRlIGZvcm1hdD0idXRjIj4xNTMyNDUyMzk4PC9hZGRlZC1k
YXRlPjxyZWYtdHlwZSBuYW1lPSJKb3VybmFsIEFydGljbGUiPjE3PC9yZWYtdHlwZT48ZGF0ZXM+
PHllYXI+MjAxNjwveWVhcj48L2RhdGVzPjxyZWMtbnVtYmVyPjc2MjQ8L3JlYy1udW1iZXI+PGxh
c3QtdXBkYXRlZC1kYXRlIGZvcm1hdD0idXRjIj4xNTMyNDUyNjU4PC9sYXN0LXVwZGF0ZWQtZGF0
ZT48ZWxlY3Ryb25pYy1yZXNvdXJjZS1udW0+MTAuMTA3My9wbmFzLjA5MDAyMzExMDg8L2VsZWN0
cm9uaWMtcmVzb3VyY2UtbnVtPjx2b2x1bWU+MTEzPC92b2x1bWU+PC9yZWNvcmQ+PC9DaXRlPjxD
aXRlPjxBdXRob3I+TWNOaWU8L0F1dGhvcj48WWVhcj4yMDE2PC9ZZWFyPjxJRFRleHQ+SW1wcm92
aW5nIHRoZSBwdWJsaWMgdmFsdWUgb2Ygc2NpZW5jZTogQSB0eXBvbG9neSB0byBpbmZvcm0gZGlz
Y3Vzc2lvbiwgZGVzaWduIGFuZCBpbXBsZW1lbnRhdGlvbiBvZiByZXNlYXJjaDwvSURUZXh0Pjxy
ZWNvcmQ+PHVybHM+PHJlbGF0ZWQtdXJscz48dXJsPmh0dHBzOi8vd3d3LnNjb3B1cy5jb20vaW53
YXJkL3JlY29yZC51cmk/ZWlkPTItczIuMC04NDk1OTQzMTkyNCZhbXA7cGFydG5lcklEPTQwJmFt
cDttZDU9NmU0ZmMwMWQxOWQxYjYxYjA5MDg0ZTZkNmFhMjQ0ZGI8L3VybD48L3JlbGF0ZWQtdXJs
cz48L3VybHM+PHdvcmstdHlwZT5BcnRpY2xlPC93b3JrLXR5cGU+PHRpdGxlcz48dGl0bGU+SW1w
cm92aW5nIHRoZSBwdWJsaWMgdmFsdWUgb2Ygc2NpZW5jZTogQSB0eXBvbG9neSB0byBpbmZvcm0g
ZGlzY3Vzc2lvbiwgZGVzaWduIGFuZCBpbXBsZW1lbnRhdGlvbiBvZiByZXNlYXJjaDwvdGl0bGU+
PHNlY29uZGFyeS10aXRsZT5SZXNlYXJjaCBQb2xpY3k8L3NlY29uZGFyeS10aXRsZT48L3RpdGxl
cz48cGFnZXM+ODg0LTg5NTwvcGFnZXM+PG51bWJlcj40PC9udW1iZXI+PGNvbnRyaWJ1dG9ycz48
YXV0aG9ycz48YXV0aG9yPk1jTmllLCBFLiBDLjwvYXV0aG9yPjxhdXRob3I+UGFycmlzLCBBLjwv
YXV0aG9yPjxhdXRob3I+U2FyZXdpdHosIEQuPC9hdXRob3I+PC9hdXRob3JzPjwvY29udHJpYnV0
b3JzPjxhZGRlZC1kYXRlIGZvcm1hdD0idXRjIj4xNDczNzE5MjM3PC9hZGRlZC1kYXRlPjxyZWYt
dHlwZSBuYW1lPSJKb3VybmFsIEFydGljbGUiPjE3PC9yZWYtdHlwZT48ZGF0ZXM+PHllYXI+MjAx
NjwveWVhcj48L2RhdGVzPjxyZWMtbnVtYmVyPjM0ODQ8L3JlYy1udW1iZXI+PGxhc3QtdXBkYXRl
ZC1kYXRlIGZvcm1hdD0idXRjIj4xNDczNzE5MjM3PC9sYXN0LXVwZGF0ZWQtZGF0ZT48ZWxlY3Ry
b25pYy1yZXNvdXJjZS1udW0+MTAuMTAxNi9qLnJlc3BvbC4yMDE2LjAxLjAwNDwvZWxlY3Ryb25p
Yy1yZXNvdXJjZS1udW0+PHZvbHVtZT40NTwvdm9sdW1lPjxyZW1vdGUtZGF0YWJhc2UtbmFtZT5T
Y29wdXM8L3JlbW90ZS1kYXRhYmFzZS1uYW1lPjwvcmVjb3JkPjwvQ2l0ZT48L0VuZE5vdGU+
</w:fldData>
        </w:fldChar>
      </w:r>
      <w:r>
        <w:rPr>
          <w:iCs/>
          <w:sz w:val="24"/>
          <w:szCs w:val="24"/>
        </w:rPr>
        <w:instrText xml:space="preserve"> ADDIN EN.CITE.DATA </w:instrText>
      </w:r>
      <w:r>
        <w:rPr>
          <w:iCs/>
          <w:sz w:val="24"/>
          <w:szCs w:val="24"/>
        </w:rPr>
      </w:r>
      <w:r>
        <w:rPr>
          <w:iCs/>
          <w:sz w:val="24"/>
          <w:szCs w:val="24"/>
        </w:rPr>
        <w:fldChar w:fldCharType="end"/>
      </w:r>
      <w:r>
        <w:rPr>
          <w:iCs/>
          <w:sz w:val="24"/>
          <w:szCs w:val="24"/>
        </w:rPr>
      </w:r>
      <w:r>
        <w:rPr>
          <w:iCs/>
          <w:sz w:val="24"/>
          <w:szCs w:val="24"/>
        </w:rPr>
        <w:fldChar w:fldCharType="separate"/>
      </w:r>
      <w:r>
        <w:rPr>
          <w:iCs/>
          <w:noProof/>
          <w:sz w:val="24"/>
          <w:szCs w:val="24"/>
        </w:rPr>
        <w:t>(W. C. Clark et al., 2016; McNie et al., 2016; Star &amp; Griesemer, 1989)</w:t>
      </w:r>
      <w:r>
        <w:rPr>
          <w:iCs/>
          <w:sz w:val="24"/>
          <w:szCs w:val="24"/>
        </w:rPr>
        <w:fldChar w:fldCharType="end"/>
      </w:r>
    </w:p>
    <w:p w14:paraId="6EEEF2BE" w14:textId="77777777" w:rsidR="00DC7B41" w:rsidRDefault="00DC7B41" w:rsidP="001F5DB2">
      <w:pPr>
        <w:autoSpaceDE w:val="0"/>
        <w:autoSpaceDN w:val="0"/>
        <w:adjustRightInd w:val="0"/>
        <w:spacing w:after="120" w:line="360" w:lineRule="auto"/>
        <w:rPr>
          <w:iCs/>
          <w:sz w:val="24"/>
          <w:szCs w:val="24"/>
        </w:rPr>
      </w:pPr>
      <w:r>
        <w:rPr>
          <w:iCs/>
          <w:sz w:val="24"/>
          <w:szCs w:val="24"/>
        </w:rPr>
        <w:t xml:space="preserve">‘Boundary work’ refers to the efforts, activities and products that go into constructing and managing “the interfaces among various stakeholders engaged in harnessing knowledge” </w:t>
      </w:r>
      <w:r>
        <w:rPr>
          <w:iCs/>
          <w:sz w:val="24"/>
          <w:szCs w:val="24"/>
        </w:rPr>
        <w:fldChar w:fldCharType="begin"/>
      </w:r>
      <w:r>
        <w:rPr>
          <w:iCs/>
          <w:sz w:val="24"/>
          <w:szCs w:val="24"/>
        </w:rPr>
        <w:instrText xml:space="preserve"> ADDIN EN.CITE &lt;EndNote&gt;&lt;Cite&gt;&lt;Author&gt;Clark&lt;/Author&gt;&lt;Year&gt;2016&lt;/Year&gt;&lt;IDText&gt;Boundary work for sustainable development: Natural resource management at the Consultative Group on International Agricultural Research (CGIAR)&lt;/IDText&gt;&lt;Pages&gt;4615&lt;/Pages&gt;&lt;DisplayText&gt;(W. C. Clark et al., 2016, p. 4615)&lt;/DisplayText&gt;&lt;record&gt;&lt;keywords&gt;&lt;keyword&gt;Sciences (General)&lt;/keyword&gt;&lt;/keywords&gt;&lt;isbn&gt;0027-8424&lt;/isbn&gt;&lt;titles&gt;&lt;title&gt;Boundary work for sustainable development: Natural resource management at the Consultative Group on International Agricultural Research (CGIAR)&lt;/title&gt;&lt;secondary-title&gt;Proceedings of the National Academy of Sciences&lt;/secondary-title&gt;&lt;/titles&gt;&lt;pages&gt;4615&lt;/pages&gt;&lt;number&gt;17&lt;/number&gt;&lt;contributors&gt;&lt;authors&gt;&lt;author&gt;Clark, W. C.&lt;/author&gt;&lt;author&gt;Tomich, T. P.&lt;/author&gt;&lt;author&gt;van Noordwijk, M.&lt;/author&gt;&lt;author&gt;Guston, D.&lt;/author&gt;&lt;author&gt;Catacutan, D.&lt;/author&gt;&lt;author&gt;Dickson, N. M.&lt;/author&gt;&lt;author&gt;Mcnie, E.&lt;/author&gt;&lt;/authors&gt;&lt;/contributors&gt;&lt;added-date format="utc"&gt;1532452398&lt;/added-date&gt;&lt;ref-type name="Journal Article"&gt;17&lt;/ref-type&gt;&lt;dates&gt;&lt;year&gt;2016&lt;/year&gt;&lt;/dates&gt;&lt;rec-number&gt;7624&lt;/rec-number&gt;&lt;last-updated-date format="utc"&gt;1532452658&lt;/last-updated-date&gt;&lt;electronic-resource-num&gt;10.1073/pnas.0900231108&lt;/electronic-resource-num&gt;&lt;volume&gt;113&lt;/volume&gt;&lt;/record&gt;&lt;/Cite&gt;&lt;/EndNote&gt;</w:instrText>
      </w:r>
      <w:r>
        <w:rPr>
          <w:iCs/>
          <w:sz w:val="24"/>
          <w:szCs w:val="24"/>
        </w:rPr>
        <w:fldChar w:fldCharType="separate"/>
      </w:r>
      <w:r>
        <w:rPr>
          <w:iCs/>
          <w:noProof/>
          <w:sz w:val="24"/>
          <w:szCs w:val="24"/>
        </w:rPr>
        <w:t>(W. C. Clark et al., 2016, p. 4615)</w:t>
      </w:r>
      <w:r>
        <w:rPr>
          <w:iCs/>
          <w:sz w:val="24"/>
          <w:szCs w:val="24"/>
        </w:rPr>
        <w:fldChar w:fldCharType="end"/>
      </w:r>
      <w:r>
        <w:rPr>
          <w:iCs/>
          <w:sz w:val="24"/>
          <w:szCs w:val="24"/>
        </w:rPr>
        <w:t xml:space="preserve"> for a particular purpose. Not all forms of boundary transaction necessarily require significant ‘boundary management’ </w:t>
      </w:r>
      <w:r>
        <w:rPr>
          <w:sz w:val="24"/>
          <w:szCs w:val="24"/>
          <w:lang w:eastAsia="zh-TW"/>
        </w:rPr>
        <w:t xml:space="preserve">(McNie et al., 2016, p. 890) </w:t>
      </w:r>
      <w:r>
        <w:rPr>
          <w:iCs/>
          <w:sz w:val="24"/>
          <w:szCs w:val="24"/>
        </w:rPr>
        <w:t xml:space="preserve">and, therefore, ‘boundary work’. But where significant collaboration between actors across boundaries is required, it is often the case that boundary work is important for allowing “meaningful participation” </w:t>
      </w:r>
      <w:r>
        <w:rPr>
          <w:iCs/>
          <w:sz w:val="24"/>
          <w:szCs w:val="24"/>
        </w:rPr>
        <w:fldChar w:fldCharType="begin"/>
      </w:r>
      <w:r>
        <w:rPr>
          <w:iCs/>
          <w:sz w:val="24"/>
          <w:szCs w:val="24"/>
        </w:rPr>
        <w:instrText xml:space="preserve"> ADDIN EN.CITE &lt;EndNote&gt;&lt;Cite&gt;&lt;Author&gt;Clark&lt;/Author&gt;&lt;Year&gt;2016&lt;/Year&gt;&lt;IDText&gt;Boundary work for sustainable development: Natural resource management at the Consultative Group on International Agricultural Research (CGIAR)&lt;/IDText&gt;&lt;Pages&gt;4615&lt;/Pages&gt;&lt;DisplayText&gt;(W. C. Clark et al., 2016, p. 4615)&lt;/DisplayText&gt;&lt;record&gt;&lt;keywords&gt;&lt;keyword&gt;Sciences (General)&lt;/keyword&gt;&lt;/keywords&gt;&lt;isbn&gt;0027-8424&lt;/isbn&gt;&lt;titles&gt;&lt;title&gt;Boundary work for sustainable development: Natural resource management at the Consultative Group on International Agricultural Research (CGIAR)&lt;/title&gt;&lt;secondary-title&gt;Proceedings of the National Academy of Sciences&lt;/secondary-title&gt;&lt;/titles&gt;&lt;pages&gt;4615&lt;/pages&gt;&lt;number&gt;17&lt;/number&gt;&lt;contributors&gt;&lt;authors&gt;&lt;author&gt;Clark, W. C.&lt;/author&gt;&lt;author&gt;Tomich, T. P.&lt;/author&gt;&lt;author&gt;van Noordwijk, M.&lt;/author&gt;&lt;author&gt;Guston, D.&lt;/author&gt;&lt;author&gt;Catacutan, D.&lt;/author&gt;&lt;author&gt;Dickson, N. M.&lt;/author&gt;&lt;author&gt;Mcnie, E.&lt;/author&gt;&lt;/authors&gt;&lt;/contributors&gt;&lt;added-date format="utc"&gt;1532452398&lt;/added-date&gt;&lt;ref-type name="Journal Article"&gt;17&lt;/ref-type&gt;&lt;dates&gt;&lt;year&gt;2016&lt;/year&gt;&lt;/dates&gt;&lt;rec-number&gt;7624&lt;/rec-number&gt;&lt;last-updated-date format="utc"&gt;1532452658&lt;/last-updated-date&gt;&lt;electronic-resource-num&gt;10.1073/pnas.0900231108&lt;/electronic-resource-num&gt;&lt;volume&gt;113&lt;/volume&gt;&lt;/record&gt;&lt;/Cite&gt;&lt;/EndNote&gt;</w:instrText>
      </w:r>
      <w:r>
        <w:rPr>
          <w:iCs/>
          <w:sz w:val="24"/>
          <w:szCs w:val="24"/>
        </w:rPr>
        <w:fldChar w:fldCharType="separate"/>
      </w:r>
      <w:r>
        <w:rPr>
          <w:iCs/>
          <w:noProof/>
          <w:sz w:val="24"/>
          <w:szCs w:val="24"/>
        </w:rPr>
        <w:t>(W. C. Clark et al., 2016, p. 4615)</w:t>
      </w:r>
      <w:r>
        <w:rPr>
          <w:iCs/>
          <w:sz w:val="24"/>
          <w:szCs w:val="24"/>
        </w:rPr>
        <w:fldChar w:fldCharType="end"/>
      </w:r>
      <w:r>
        <w:rPr>
          <w:iCs/>
          <w:sz w:val="24"/>
          <w:szCs w:val="24"/>
        </w:rPr>
        <w:t xml:space="preserve"> for all concerned. Examples of boundary work could relate to the construction of mechanisms and opportunities for jointly setting agendas, plans of action and criteria for evaluation of collaborative activities and projects, say in the context of a university-industry partnership. Some such forms of boundary work will be relevant under the following sub-section (‘Structures’). Pertinent here is another form of boundary work, that is, the production and circulation of ‘boundary objects’. </w:t>
      </w:r>
    </w:p>
    <w:p w14:paraId="5FE34D58" w14:textId="33E54514" w:rsidR="00DC7B41" w:rsidRDefault="00DC7B41" w:rsidP="001F5DB2">
      <w:pPr>
        <w:autoSpaceDE w:val="0"/>
        <w:autoSpaceDN w:val="0"/>
        <w:adjustRightInd w:val="0"/>
        <w:spacing w:after="120" w:line="360" w:lineRule="auto"/>
        <w:rPr>
          <w:iCs/>
          <w:sz w:val="24"/>
          <w:szCs w:val="24"/>
        </w:rPr>
      </w:pPr>
      <w:r>
        <w:rPr>
          <w:iCs/>
          <w:sz w:val="24"/>
          <w:szCs w:val="24"/>
        </w:rPr>
        <w:t xml:space="preserve">Academic boundary objects are those that can carry or promote boundary transactions </w:t>
      </w:r>
      <w:r>
        <w:rPr>
          <w:iCs/>
          <w:sz w:val="24"/>
          <w:szCs w:val="24"/>
        </w:rPr>
        <w:fldChar w:fldCharType="begin"/>
      </w:r>
      <w:r>
        <w:rPr>
          <w:iCs/>
          <w:sz w:val="24"/>
          <w:szCs w:val="24"/>
        </w:rPr>
        <w:instrText xml:space="preserve"> ADDIN EN.CITE &lt;EndNote&gt;&lt;Cite&gt;&lt;Author&gt;Sataøen&lt;/Author&gt;&lt;Year&gt;2018&lt;/Year&gt;&lt;IDText&gt;Transforming the “ Third Mission” in Norwegian Higher Education Institutions: A Boundary Object Theory Approach&lt;/IDText&gt;&lt;DisplayText&gt;(Sataøen, 2018)&lt;/DisplayText&gt;&lt;record&gt;&lt;keywords&gt;&lt;keyword&gt;Article&lt;/keyword&gt;&lt;keyword&gt;Higher Education&lt;/keyword&gt;&lt;keyword&gt;Boundary Objects&lt;/keyword&gt;&lt;keyword&gt;Third Mission&lt;/keyword&gt;&lt;keyword&gt;Strategic Planning&lt;/keyword&gt;&lt;/keywords&gt;&lt;isbn&gt;0031-3831&lt;/isbn&gt;&lt;titles&gt;&lt;title&gt;Transforming the “ Third Mission” in Norwegian Higher Education Institutions: A Boundary Object Theory Approach&lt;/title&gt;&lt;secondary-title&gt;Scandinavian Journal of Educational Research&lt;/secondary-title&gt;&lt;/titles&gt;&lt;pages&gt;52-67&lt;/pages&gt;&lt;number&gt;1&lt;/number&gt;&lt;contributors&gt;&lt;authors&gt;&lt;author&gt;Sataøen, Hogne Lerøy&lt;/author&gt;&lt;/authors&gt;&lt;/contributors&gt;&lt;added-date format="utc"&gt;1548964577&lt;/added-date&gt;&lt;ref-type name="Journal Article"&gt;17&lt;/ref-type&gt;&lt;dates&gt;&lt;year&gt;2018&lt;/year&gt;&lt;/dates&gt;&lt;rec-number&gt;7709&lt;/rec-number&gt;&lt;publisher&gt;Routledge&lt;/publisher&gt;&lt;last-updated-date format="utc"&gt;1548964577&lt;/last-updated-date&gt;&lt;electronic-resource-num&gt;10.1080/00313831.2016.1212253&lt;/electronic-resource-num&gt;&lt;volume&gt;62&lt;/volume&gt;&lt;/record&gt;&lt;/Cite&gt;&lt;/EndNote&gt;</w:instrText>
      </w:r>
      <w:r>
        <w:rPr>
          <w:iCs/>
          <w:sz w:val="24"/>
          <w:szCs w:val="24"/>
        </w:rPr>
        <w:fldChar w:fldCharType="separate"/>
      </w:r>
      <w:r>
        <w:rPr>
          <w:iCs/>
          <w:noProof/>
          <w:sz w:val="24"/>
          <w:szCs w:val="24"/>
        </w:rPr>
        <w:t>(Sataøen, 2018)</w:t>
      </w:r>
      <w:r>
        <w:rPr>
          <w:iCs/>
          <w:sz w:val="24"/>
          <w:szCs w:val="24"/>
        </w:rPr>
        <w:fldChar w:fldCharType="end"/>
      </w:r>
      <w:r>
        <w:rPr>
          <w:iCs/>
          <w:sz w:val="24"/>
          <w:szCs w:val="24"/>
        </w:rPr>
        <w:t xml:space="preserve">. For example, they might enable direct collaboration or other form of interaction, or alternatively, the object might itself constitute a form of communication such that two (or more) distinct and bounded groups jointly find meaning in the objects in a way that enables each to advance their own objectives and interests. Examples found in my own sample include “reports, models ... or standards” </w:t>
      </w:r>
      <w:r>
        <w:rPr>
          <w:iCs/>
          <w:sz w:val="24"/>
          <w:szCs w:val="24"/>
        </w:rPr>
        <w:fldChar w:fldCharType="begin"/>
      </w:r>
      <w:r>
        <w:rPr>
          <w:iCs/>
          <w:sz w:val="24"/>
          <w:szCs w:val="24"/>
        </w:rPr>
        <w:instrText xml:space="preserve"> ADDIN EN.CITE &lt;EndNote&gt;&lt;Cite&gt;&lt;Author&gt;Clark&lt;/Author&gt;&lt;Year&gt;2016&lt;/Year&gt;&lt;IDText&gt;Boundary work for sustainable development: Natural resource management at the Consultative Group on International Agricultural Research (CGIAR)&lt;/IDText&gt;&lt;Pages&gt;4615&lt;/Pages&gt;&lt;DisplayText&gt;(W. C. Clark et al., 2016, p. 4615)&lt;/DisplayText&gt;&lt;record&gt;&lt;keywords&gt;&lt;keyword&gt;Sciences (General)&lt;/keyword&gt;&lt;/keywords&gt;&lt;isbn&gt;0027-8424&lt;/isbn&gt;&lt;titles&gt;&lt;title&gt;Boundary work for sustainable development: Natural resource management at the Consultative Group on International Agricultural Research (CGIAR)&lt;/title&gt;&lt;secondary-title&gt;Proceedings of the National Academy of Sciences&lt;/secondary-title&gt;&lt;/titles&gt;&lt;pages&gt;4615&lt;/pages&gt;&lt;number&gt;17&lt;/number&gt;&lt;contributors&gt;&lt;authors&gt;&lt;author&gt;Clark, W. C.&lt;/author&gt;&lt;author&gt;Tomich, T. P.&lt;/author&gt;&lt;author&gt;van Noordwijk, M.&lt;/author&gt;&lt;author&gt;Guston, D.&lt;/author&gt;&lt;author&gt;Catacutan, D.&lt;/author&gt;&lt;author&gt;Dickson, N. M.&lt;/author&gt;&lt;author&gt;Mcnie, E.&lt;/author&gt;&lt;/authors&gt;&lt;/contributors&gt;&lt;added-date format="utc"&gt;1532452398&lt;/added-date&gt;&lt;ref-type name="Journal Article"&gt;17&lt;/ref-type&gt;&lt;dates&gt;&lt;year&gt;2016&lt;/year&gt;&lt;/dates&gt;&lt;rec-number&gt;7624&lt;/rec-number&gt;&lt;last-updated-date format="utc"&gt;1532452658&lt;/last-updated-date&gt;&lt;electronic-resource-num&gt;10.1073/pnas.0900231108&lt;/electronic-resource-num&gt;&lt;volume&gt;113&lt;/volume&gt;&lt;/record&gt;&lt;/Cite&gt;&lt;/EndNote&gt;</w:instrText>
      </w:r>
      <w:r>
        <w:rPr>
          <w:iCs/>
          <w:sz w:val="24"/>
          <w:szCs w:val="24"/>
        </w:rPr>
        <w:fldChar w:fldCharType="separate"/>
      </w:r>
      <w:r>
        <w:rPr>
          <w:iCs/>
          <w:noProof/>
          <w:sz w:val="24"/>
          <w:szCs w:val="24"/>
        </w:rPr>
        <w:t>(W. C. Clark et al., 2016, p. 4615)</w:t>
      </w:r>
      <w:r>
        <w:rPr>
          <w:iCs/>
          <w:sz w:val="24"/>
          <w:szCs w:val="24"/>
        </w:rPr>
        <w:fldChar w:fldCharType="end"/>
      </w:r>
      <w:r>
        <w:rPr>
          <w:iCs/>
          <w:sz w:val="24"/>
          <w:szCs w:val="24"/>
        </w:rPr>
        <w:t xml:space="preserve"> based on scientific knowledge, provided these can be used to promote transactions across academic boundaries with potential users of or stakeholders in the relevant knowledge. For instance, a scientific paper adopting what in Bernsteinian theory is termed a ‘restricted code’ (Bernstein, 2000, p. 183; Moore, 2013, p. 583), full of specialist, esoteric language and symbols and targeted at similarly-trained experts, would be unlikely to be regarded as a boundary object. By contrast a paper published in a user-focused form and adopting ‘elaborated’ or ‘elaborating code’ (Bernstein, 2000, p. 183; Moore, 2013, p. 67), with all key technical terms and concepts sufficiently explained so that their relevance for user groups and other non-scientific stakeholders was made clear, could be understood as a boundary object. So too could specifications of guidelines which, although based on rigorous underpinning scientific research and theory, are presented according to technical standards of relevant professional practitioners rather than only academic scientists. Technologies may also be boundary objects, for example the life sciences are increasingly driven by advances in instrumentation, software and other technologies, some of which can function as a ‘boundary object’ in that they prove to be valuable to, say, social scientists or industry </w:t>
      </w:r>
      <w:r>
        <w:rPr>
          <w:iCs/>
          <w:sz w:val="24"/>
          <w:szCs w:val="24"/>
        </w:rPr>
        <w:fldChar w:fldCharType="begin"/>
      </w:r>
      <w:r>
        <w:rPr>
          <w:iCs/>
          <w:sz w:val="24"/>
          <w:szCs w:val="24"/>
        </w:rPr>
        <w:instrText xml:space="preserve"> ADDIN EN.CITE &lt;EndNote&gt;&lt;Cite&gt;&lt;Author&gt;Nowotny&lt;/Author&gt;&lt;Year&gt;2005&lt;/Year&gt;&lt;IDText&gt;The Increase of Complexity and its Reduction&lt;/IDText&gt;&lt;DisplayText&gt;(Nowotny, 2005)&lt;/DisplayText&gt;&lt;record&gt;&lt;keywords&gt;&lt;keyword&gt;Co-Evolution&lt;/keyword&gt;&lt;keyword&gt;Complexity&lt;/keyword&gt;&lt;keyword&gt;Emergence&lt;/keyword&gt;&lt;keyword&gt;Interface&lt;/keyword&gt;&lt;keyword&gt;Major Transitions In Evolution&lt;/keyword&gt;&lt;keyword&gt;Reduction Of&lt;/keyword&gt;&lt;keyword&gt;Transdisciplinarity&lt;/keyword&gt;&lt;/keywords&gt;&lt;isbn&gt;0263-2764&lt;/isbn&gt;&lt;titles&gt;&lt;title&gt;The Increase of Complexity and its Reduction&lt;/title&gt;&lt;secondary-title&gt;Theory, Culture &amp;amp; Society&lt;/secondary-title&gt;&lt;/titles&gt;&lt;pages&gt;15-31&lt;/pages&gt;&lt;number&gt;5&lt;/number&gt;&lt;contributors&gt;&lt;authors&gt;&lt;author&gt;Nowotny, Helga&lt;/author&gt;&lt;/authors&gt;&lt;/contributors&gt;&lt;added-date format="utc"&gt;1520820721&lt;/added-date&gt;&lt;ref-type name="Journal Article"&gt;17&lt;/ref-type&gt;&lt;dates&gt;&lt;year&gt;2005&lt;/year&gt;&lt;/dates&gt;&lt;rec-number&gt;7390&lt;/rec-number&gt;&lt;last-updated-date format="utc"&gt;1550789406&lt;/last-updated-date&gt;&lt;electronic-resource-num&gt;10.1177/0263276405057189&lt;/electronic-resource-num&gt;&lt;volume&gt;22&lt;/volume&gt;&lt;/record&gt;&lt;/Cite&gt;&lt;/EndNote&gt;</w:instrText>
      </w:r>
      <w:r>
        <w:rPr>
          <w:iCs/>
          <w:sz w:val="24"/>
          <w:szCs w:val="24"/>
        </w:rPr>
        <w:fldChar w:fldCharType="separate"/>
      </w:r>
      <w:r>
        <w:rPr>
          <w:iCs/>
          <w:noProof/>
          <w:sz w:val="24"/>
          <w:szCs w:val="24"/>
        </w:rPr>
        <w:t>(Nowotny, 2005)</w:t>
      </w:r>
      <w:r>
        <w:rPr>
          <w:iCs/>
          <w:sz w:val="24"/>
          <w:szCs w:val="24"/>
        </w:rPr>
        <w:fldChar w:fldCharType="end"/>
      </w:r>
      <w:r>
        <w:rPr>
          <w:iCs/>
          <w:sz w:val="24"/>
          <w:szCs w:val="24"/>
        </w:rPr>
        <w:t xml:space="preserve">. </w:t>
      </w:r>
    </w:p>
    <w:p w14:paraId="2E1B1F95" w14:textId="77777777" w:rsidR="00DC7B41" w:rsidRDefault="00DC7B41" w:rsidP="001F5DB2">
      <w:pPr>
        <w:autoSpaceDE w:val="0"/>
        <w:autoSpaceDN w:val="0"/>
        <w:adjustRightInd w:val="0"/>
        <w:spacing w:after="120" w:line="360" w:lineRule="auto"/>
        <w:rPr>
          <w:iCs/>
          <w:sz w:val="24"/>
          <w:szCs w:val="24"/>
        </w:rPr>
      </w:pPr>
      <w:r>
        <w:rPr>
          <w:iCs/>
          <w:sz w:val="24"/>
          <w:szCs w:val="24"/>
        </w:rPr>
        <w:t xml:space="preserve">Boundary objects may be produced either in collaboration with two actors/groups either side of a boundary, or they might be produced by actors/groups on only one side of the boundary. The key point is that the objects “are both adaptable to different viewpoints and robust enough to </w:t>
      </w:r>
      <w:r w:rsidRPr="004F7D47">
        <w:rPr>
          <w:i/>
          <w:iCs/>
          <w:sz w:val="24"/>
          <w:szCs w:val="24"/>
        </w:rPr>
        <w:t>maintain identity across them</w:t>
      </w:r>
      <w:r>
        <w:rPr>
          <w:iCs/>
          <w:sz w:val="24"/>
          <w:szCs w:val="24"/>
        </w:rPr>
        <w:t xml:space="preserve">” </w:t>
      </w:r>
      <w:r>
        <w:rPr>
          <w:iCs/>
          <w:sz w:val="24"/>
          <w:szCs w:val="24"/>
        </w:rPr>
        <w:fldChar w:fldCharType="begin"/>
      </w:r>
      <w:r>
        <w:rPr>
          <w:iCs/>
          <w:sz w:val="24"/>
          <w:szCs w:val="24"/>
        </w:rPr>
        <w:instrText xml:space="preserve"> ADDIN EN.CITE &lt;EndNote&gt;&lt;Cite&gt;&lt;Author&gt;Star&lt;/Author&gt;&lt;Year&gt;1989&lt;/Year&gt;&lt;IDText&gt;Institutional Ecology, `Translations&amp;apos; and Boundary Objects: Amateurs and Professionals in Berkeley&amp;apos;s Museum of Vertebrate Zoology, 1907-39&lt;/IDText&gt;&lt;Suffix&gt;`, emphasis added&lt;/Suffix&gt;&lt;Pages&gt;387&lt;/Pages&gt;&lt;DisplayText&gt;(Star &amp;amp; Griesemer, 1989, p. 387, emphasis added)&lt;/DisplayText&gt;&lt;record&gt;&lt;keywords&gt;&lt;keyword&gt;Museums&lt;/keyword&gt;&lt;keyword&gt;California&lt;/keyword&gt;&lt;keyword&gt;Interpersonal Conflict&lt;/keyword&gt;&lt;keyword&gt;Boundaries&lt;/keyword&gt;&lt;keyword&gt;Natural Sciences&lt;/keyword&gt;&lt;keyword&gt;Scientists&lt;/keyword&gt;&lt;keyword&gt;Sociology of Science&lt;/keyword&gt;&lt;keyword&gt;Sociology of Science&lt;/keyword&gt;&lt;keyword&gt;Article&lt;/keyword&gt;&lt;keyword&gt;Scientist-Nonscientist Collaboration/Tension Management, Boundary Issues&lt;/keyword&gt;&lt;keyword&gt;Case Study&lt;/keyword&gt;&lt;keyword&gt;Museum of Vertebrate Zoology, University of California, Berkeley&lt;/keyword&gt;&lt;keyword&gt;1907-1939&lt;/keyword&gt;&lt;/keywords&gt;&lt;isbn&gt;0306-3127&lt;/isbn&gt;&lt;titles&gt;&lt;title&gt;Institutional Ecology, `Translations&amp;apos; and Boundary Objects: Amateurs and Professionals in Berkeley&amp;apos;s Museum of Vertebrate Zoology, 1907-39&lt;/title&gt;&lt;secondary-title&gt;Social Studies of Science&lt;/secondary-title&gt;&lt;/titles&gt;&lt;pages&gt;387-420&lt;/pages&gt;&lt;number&gt;3&lt;/number&gt;&lt;contributors&gt;&lt;authors&gt;&lt;author&gt;Star, Susan Leigh&lt;/author&gt;&lt;author&gt;Griesemer, James R.&lt;/author&gt;&lt;/authors&gt;&lt;/contributors&gt;&lt;added-date format="utc"&gt;1526923200&lt;/added-date&gt;&lt;ref-type name="Journal Article"&gt;17&lt;/ref-type&gt;&lt;dates&gt;&lt;year&gt;1989&lt;/year&gt;&lt;/dates&gt;&lt;rec-number&gt;7526&lt;/rec-number&gt;&lt;last-updated-date format="utc"&gt;1526923200&lt;/last-updated-date&gt;&lt;electronic-resource-num&gt;10.1177/030631289019003001&lt;/electronic-resource-num&gt;&lt;volume&gt;19&lt;/volume&gt;&lt;/record&gt;&lt;/Cite&gt;&lt;/EndNote&gt;</w:instrText>
      </w:r>
      <w:r>
        <w:rPr>
          <w:iCs/>
          <w:sz w:val="24"/>
          <w:szCs w:val="24"/>
        </w:rPr>
        <w:fldChar w:fldCharType="separate"/>
      </w:r>
      <w:r>
        <w:rPr>
          <w:iCs/>
          <w:noProof/>
          <w:sz w:val="24"/>
          <w:szCs w:val="24"/>
        </w:rPr>
        <w:t>(Star &amp; Griesemer, 1989, p. 387, emphasis added)</w:t>
      </w:r>
      <w:r>
        <w:rPr>
          <w:iCs/>
          <w:sz w:val="24"/>
          <w:szCs w:val="24"/>
        </w:rPr>
        <w:fldChar w:fldCharType="end"/>
      </w:r>
      <w:r>
        <w:rPr>
          <w:iCs/>
          <w:sz w:val="24"/>
          <w:szCs w:val="24"/>
        </w:rPr>
        <w:t xml:space="preserve">. </w:t>
      </w:r>
    </w:p>
    <w:p w14:paraId="61975F35" w14:textId="7F9D766B" w:rsidR="00DC7B41" w:rsidRDefault="00DC7B41" w:rsidP="001F5DB2">
      <w:pPr>
        <w:autoSpaceDE w:val="0"/>
        <w:autoSpaceDN w:val="0"/>
        <w:adjustRightInd w:val="0"/>
        <w:spacing w:after="120" w:line="360" w:lineRule="auto"/>
        <w:rPr>
          <w:iCs/>
          <w:sz w:val="24"/>
          <w:szCs w:val="24"/>
        </w:rPr>
      </w:pPr>
      <w:r>
        <w:rPr>
          <w:iCs/>
          <w:sz w:val="24"/>
          <w:szCs w:val="24"/>
        </w:rPr>
        <w:t>Providing a valuable empirical analysis of such boundary objects, Slaughter et al.</w:t>
      </w:r>
      <w:r w:rsidR="00165BE4">
        <w:rPr>
          <w:iCs/>
          <w:sz w:val="24"/>
          <w:szCs w:val="24"/>
        </w:rPr>
        <w:t xml:space="preserve"> (2004)</w:t>
      </w:r>
      <w:r>
        <w:rPr>
          <w:iCs/>
          <w:sz w:val="24"/>
          <w:szCs w:val="24"/>
        </w:rPr>
        <w:t xml:space="preserve"> conducted interviews with senior academic scientists about their outputs to ascertain their perceptions about “boundaries between academe and industry”, about the “boundary maintenance and disputes ... encounter[ed]” and about the “quandaries ... face[d] as they negotiate these new boundaries” (p. 132). </w:t>
      </w:r>
      <w:r w:rsidR="00E1365F">
        <w:rPr>
          <w:iCs/>
          <w:sz w:val="24"/>
          <w:szCs w:val="24"/>
        </w:rPr>
        <w:t>The authors</w:t>
      </w:r>
      <w:r>
        <w:rPr>
          <w:iCs/>
          <w:sz w:val="24"/>
          <w:szCs w:val="24"/>
        </w:rPr>
        <w:t xml:space="preserve"> </w:t>
      </w:r>
      <w:r w:rsidR="008D1A89">
        <w:rPr>
          <w:iCs/>
          <w:sz w:val="24"/>
          <w:szCs w:val="24"/>
        </w:rPr>
        <w:t>found that potential boundary objects could be sources of dispute, and that it may take time before different parties come to perceive certain products as mutually beneficial, and only when this occurred did they take on the character of boundary objects,</w:t>
      </w:r>
      <w:r w:rsidR="00D6367E">
        <w:rPr>
          <w:iCs/>
          <w:sz w:val="24"/>
          <w:szCs w:val="24"/>
        </w:rPr>
        <w:t xml:space="preserve"> </w:t>
      </w:r>
      <w:r>
        <w:rPr>
          <w:iCs/>
          <w:sz w:val="24"/>
          <w:szCs w:val="24"/>
        </w:rPr>
        <w:t xml:space="preserve">in the above sense. The main objects </w:t>
      </w:r>
      <w:r w:rsidR="00D466A8">
        <w:rPr>
          <w:iCs/>
          <w:sz w:val="24"/>
          <w:szCs w:val="24"/>
        </w:rPr>
        <w:t xml:space="preserve">or products </w:t>
      </w:r>
      <w:r>
        <w:rPr>
          <w:iCs/>
          <w:sz w:val="24"/>
          <w:szCs w:val="24"/>
        </w:rPr>
        <w:t xml:space="preserve">at issue were those of publications and patents. Disputes arose where publications were perceived by industry to have no relevance to their goals or where patents were seen by academics purely as a means to own and commodify knowledge. However, where industry came to see publications as part of the essential process of advancing knowledge from which they could draw, and even aimed to collaborate in academic research and co-author publications as a way to contribute to and shape this process and to increase the </w:t>
      </w:r>
      <w:r w:rsidR="00BB33F6">
        <w:rPr>
          <w:iCs/>
          <w:sz w:val="24"/>
          <w:szCs w:val="24"/>
        </w:rPr>
        <w:t>knowledge base</w:t>
      </w:r>
      <w:r>
        <w:rPr>
          <w:iCs/>
          <w:sz w:val="24"/>
          <w:szCs w:val="24"/>
        </w:rPr>
        <w:t xml:space="preserve"> of the company, these publications could come to operate as boundary objects (Slaughter et al., 2004). Similarly, where academics came to see patents as part of a process whereby a business model based on intellectual property could yield benefits to the academic’s own ‘core’ missions, i.e. their own research agenda, students, and institutions, as well as yielding benefits to wider society in the long term, patents too could operate as boundary objects (Slaughter et al., 2004). </w:t>
      </w:r>
    </w:p>
    <w:p w14:paraId="072C6A6B" w14:textId="77777777" w:rsidR="00DC7B41" w:rsidRDefault="00DC7B41" w:rsidP="001F5DB2">
      <w:pPr>
        <w:autoSpaceDE w:val="0"/>
        <w:autoSpaceDN w:val="0"/>
        <w:adjustRightInd w:val="0"/>
        <w:spacing w:after="120" w:line="360" w:lineRule="auto"/>
        <w:rPr>
          <w:iCs/>
          <w:sz w:val="24"/>
          <w:szCs w:val="24"/>
        </w:rPr>
      </w:pPr>
      <w:r>
        <w:rPr>
          <w:iCs/>
          <w:sz w:val="24"/>
          <w:szCs w:val="24"/>
        </w:rPr>
        <w:t xml:space="preserve">Boundary work, particularly the production and circulation of knowledge-based boundary objects, such as I have been discussing above, incurs “non-trivial ... transaction costs” </w:t>
      </w:r>
      <w:r>
        <w:rPr>
          <w:iCs/>
          <w:sz w:val="24"/>
          <w:szCs w:val="24"/>
        </w:rPr>
        <w:fldChar w:fldCharType="begin"/>
      </w:r>
      <w:r>
        <w:rPr>
          <w:iCs/>
          <w:sz w:val="24"/>
          <w:szCs w:val="24"/>
        </w:rPr>
        <w:instrText xml:space="preserve"> ADDIN EN.CITE &lt;EndNote&gt;&lt;Cite&gt;&lt;Author&gt;Hoffman&lt;/Author&gt;&lt;Year&gt;2011&lt;/Year&gt;&lt;IDText&gt;The new tools of the science trade: contested knowledge production and the conceptual vocabularies of academic capitalism&lt;/IDText&gt;&lt;Pages&gt;446-447&lt;/Pages&gt;&lt;DisplayText&gt;(Hoffman, 2011, pp. 446-447)&lt;/DisplayText&gt;&lt;record&gt;&lt;keywords&gt;&lt;keyword&gt;Organisations&lt;/keyword&gt;&lt;keyword&gt;Institutional Change&lt;/keyword&gt;&lt;keyword&gt;University–industry Relations&lt;/keyword&gt;&lt;keyword&gt;Science&lt;/keyword&gt;&lt;keyword&gt;Knowledge Production&lt;/keyword&gt;&lt;/keywords&gt;&lt;isbn&gt;0964-0282&lt;/isbn&gt;&lt;titles&gt;&lt;title&gt;The new tools of the science trade: contested knowledge production and the conceptual vocabularies of academic capitalism&lt;/title&gt;&lt;secondary-title&gt;Social Anthropology&lt;/secondary-title&gt;&lt;/titles&gt;&lt;pages&gt;439-462&lt;/pages&gt;&lt;number&gt;4&lt;/number&gt;&lt;contributors&gt;&lt;authors&gt;&lt;author&gt;Hoffman, Steve G.&lt;/author&gt;&lt;/authors&gt;&lt;/contributors&gt;&lt;added-date format="utc"&gt;1458689036&lt;/added-date&gt;&lt;pub-location&gt;Oxford, UK&lt;/pub-location&gt;&lt;ref-type name="Journal Article"&gt;17&lt;/ref-type&gt;&lt;dates&gt;&lt;year&gt;2011&lt;/year&gt;&lt;/dates&gt;&lt;rec-number&gt;319&lt;/rec-number&gt;&lt;last-updated-date format="utc"&gt;1469229868&lt;/last-updated-date&gt;&lt;electronic-resource-num&gt;10.1111/j.1469-8676.2011.00180.x&lt;/electronic-resource-num&gt;&lt;volume&gt;19&lt;/volume&gt;&lt;/record&gt;&lt;/Cite&gt;&lt;/EndNote&gt;</w:instrText>
      </w:r>
      <w:r>
        <w:rPr>
          <w:iCs/>
          <w:sz w:val="24"/>
          <w:szCs w:val="24"/>
        </w:rPr>
        <w:fldChar w:fldCharType="separate"/>
      </w:r>
      <w:r>
        <w:rPr>
          <w:iCs/>
          <w:noProof/>
          <w:sz w:val="24"/>
          <w:szCs w:val="24"/>
        </w:rPr>
        <w:t>(Hoffman, 2011, pp. 446-447)</w:t>
      </w:r>
      <w:r>
        <w:rPr>
          <w:iCs/>
          <w:sz w:val="24"/>
          <w:szCs w:val="24"/>
        </w:rPr>
        <w:fldChar w:fldCharType="end"/>
      </w:r>
      <w:r>
        <w:rPr>
          <w:iCs/>
          <w:sz w:val="24"/>
          <w:szCs w:val="24"/>
        </w:rPr>
        <w:t xml:space="preserve">. At a minimum, this involves the academic scientists learning new discursive and cultural practices which are more aligned with the relevant non-academic actor or group, most commonly industry in the case of STEMM research. Despite the challenges, this may be welcomed, as research has identified some STEMM academics who believe that the “best science results from an iterative process that tacks back and forth between user needs, research design and scientific inquiry” (Hoffman, 2011, p. 454). But, occasionally, the costs may be greater and cut more fundamentally to the heart of “sacred” </w:t>
      </w:r>
      <w:r>
        <w:rPr>
          <w:iCs/>
          <w:sz w:val="24"/>
          <w:szCs w:val="24"/>
        </w:rPr>
        <w:fldChar w:fldCharType="begin"/>
      </w:r>
      <w:r>
        <w:rPr>
          <w:iCs/>
          <w:sz w:val="24"/>
          <w:szCs w:val="24"/>
        </w:rPr>
        <w:instrText xml:space="preserve"> ADDIN EN.CITE &lt;EndNote&gt;&lt;Cite&gt;&lt;Author&gt;Slaughter&lt;/Author&gt;&lt;Year&gt;2002&lt;/Year&gt;&lt;IDText&gt;The “ Traffic” in Graduate Students: Graduate Students as Tokens of Exchange between Academe and Industry&lt;/IDText&gt;&lt;Pages&gt;304&lt;/Pages&gt;&lt;DisplayText&gt;(Bernstein, 2000, p. 10; Slaughter, Campbell, Holleman, &amp;amp; Morgan, 2002, p. 304)&lt;/DisplayText&gt;&lt;record&gt;&lt;keywords&gt;&lt;keyword&gt;Sciences (General)&lt;/keyword&gt;&lt;/keywords&gt;&lt;isbn&gt;0162-2439&lt;/isbn&gt;&lt;titles&gt;&lt;title&gt;The “ Traffic” in Graduate Students: Graduate Students as Tokens of Exchange between Academe and Industry&lt;/title&gt;&lt;secondary-title&gt;Science, Technology, &amp;amp; Human Values&lt;/secondary-title&gt;&lt;/titles&gt;&lt;pages&gt;282-312&lt;/pages&gt;&lt;number&gt;2&lt;/number&gt;&lt;contributors&gt;&lt;authors&gt;&lt;author&gt;Slaughter, Sheila&lt;/author&gt;&lt;author&gt;Campbell, Teresa&lt;/author&gt;&lt;author&gt;Holleman, Margaret&lt;/author&gt;&lt;author&gt;Morgan, Edward&lt;/author&gt;&lt;/authors&gt;&lt;/contributors&gt;&lt;added-date format="utc"&gt;1549990306&lt;/added-date&gt;&lt;pub-location&gt;Thousand Oaks, CA&lt;/pub-location&gt;&lt;ref-type name="Journal Article"&gt;17&lt;/ref-type&gt;&lt;dates&gt;&lt;year&gt;2002&lt;/year&gt;&lt;/dates&gt;&lt;rec-number&gt;7736&lt;/rec-number&gt;&lt;last-updated-date format="utc"&gt;1549990306&lt;/last-updated-date&gt;&lt;electronic-resource-num&gt;10.1177/016224390202700205&lt;/electronic-resource-num&gt;&lt;volume&gt;27&lt;/volume&gt;&lt;/record&gt;&lt;/Cite&gt;&lt;Cite&gt;&lt;Author&gt;Bernstein&lt;/Author&gt;&lt;Year&gt;2000&lt;/Year&gt;&lt;IDText&gt;Pedagogy, symbolic control, and identity: Theory, research, critique&lt;/IDText&gt;&lt;Pages&gt;10&lt;/Pages&gt;&lt;record&gt;&lt;isbn&gt;084769576X&lt;/isbn&gt;&lt;titles&gt;&lt;title&gt;Pedagogy,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format="utc"&gt;1452725855&lt;/added-date&gt;&lt;pub-location&gt;Oxford&lt;/pub-location&gt;&lt;ref-type name="Book"&gt;6&lt;/ref-type&gt;&lt;dates&gt;&lt;year&gt;2000&lt;/year&gt;&lt;/dates&gt;&lt;rec-number&gt;185&lt;/rec-number&gt;&lt;publisher&gt;Rowman &amp;amp; Littlefield&lt;/publisher&gt;&lt;last-updated-date format="utc"&gt;1477781208&lt;/last-updated-date&gt;&lt;/record&gt;&lt;/Cite&gt;&lt;/EndNote&gt;</w:instrText>
      </w:r>
      <w:r>
        <w:rPr>
          <w:iCs/>
          <w:sz w:val="24"/>
          <w:szCs w:val="24"/>
        </w:rPr>
        <w:fldChar w:fldCharType="separate"/>
      </w:r>
      <w:r>
        <w:rPr>
          <w:iCs/>
          <w:noProof/>
          <w:sz w:val="24"/>
          <w:szCs w:val="24"/>
        </w:rPr>
        <w:t>(Bernstein, 2000, p. 10; Slaughter, Campbell, Holleman, &amp; Morgan, 2002, p. 304)</w:t>
      </w:r>
      <w:r>
        <w:rPr>
          <w:iCs/>
          <w:sz w:val="24"/>
          <w:szCs w:val="24"/>
        </w:rPr>
        <w:fldChar w:fldCharType="end"/>
      </w:r>
      <w:r>
        <w:rPr>
          <w:iCs/>
          <w:sz w:val="24"/>
          <w:szCs w:val="24"/>
        </w:rPr>
        <w:t xml:space="preserve"> values around the content and results of academic science. In some cases, research outputs may omit  results if they are perceived to be of commercial value to a sponsor, partner, or sometimes even an academic him/herself </w:t>
      </w:r>
      <w:r>
        <w:rPr>
          <w:iCs/>
          <w:sz w:val="24"/>
          <w:szCs w:val="24"/>
        </w:rPr>
        <w:fldChar w:fldCharType="begin">
          <w:fldData xml:space="preserve">PEVuZE5vdGU+PENpdGU+PEF1dGhvcj5TbGF1Z2h0ZXI8L0F1dGhvcj48WWVhcj4yMDAyPC9ZZWFy
PjxJRFRleHQ+VGhlIOKAnCBUcmFmZmlj4oCdIGluIEdyYWR1YXRlIFN0dWRlbnRzOiBHcmFkdWF0
ZSBTdHVkZW50cyBhcyBUb2tlbnMgb2YgRXhjaGFuZ2UgYmV0d2VlbiBBY2FkZW1lIGFuZCBJbmR1
c3RyeTwvSURUZXh0PjxEaXNwbGF5VGV4dD4oU2xhdWdodGVyIGV0IGFsLiwgMjAwNDsgU2xhdWdo
dGVyIGV0IGFsLiwgMjAwMjsgU2xhdWdodGVyICZhbXA7IFJob2FkZXMsIDIwMTApPC9EaXNwbGF5
VGV4dD48cmVjb3JkPjxrZXl3b3Jkcz48a2V5d29yZD5TY2llbmNlcyAoR2VuZXJhbCk8L2tleXdv
cmQ+PC9rZXl3b3Jkcz48aXNibj4wMTYyLTI0Mzk8L2lzYm4+PHRpdGxlcz48dGl0bGU+VGhlIOKA
nCBUcmFmZmlj4oCdIGluIEdyYWR1YXRlIFN0dWRlbnRzOiBHcmFkdWF0ZSBTdHVkZW50cyBhcyBU
b2tlbnMgb2YgRXhjaGFuZ2UgYmV0d2VlbiBBY2FkZW1lIGFuZCBJbmR1c3RyeTwvdGl0bGU+PHNl
Y29uZGFyeS10aXRsZT5TY2llbmNlLCBUZWNobm9sb2d5LCAmYW1wOyBIdW1hbiBWYWx1ZXM8L3Nl
Y29uZGFyeS10aXRsZT48L3RpdGxlcz48cGFnZXM+MjgyLTMxMjwvcGFnZXM+PG51bWJlcj4yPC9u
dW1iZXI+PGNvbnRyaWJ1dG9ycz48YXV0aG9ycz48YXV0aG9yPlNsYXVnaHRlciwgU2hlaWxhPC9h
dXRob3I+PGF1dGhvcj5DYW1wYmVsbCwgVGVyZXNhPC9hdXRob3I+PGF1dGhvcj5Ib2xsZW1hbiwg
TWFyZ2FyZXQ8L2F1dGhvcj48YXV0aG9yPk1vcmdhbiwgRWR3YXJkPC9hdXRob3I+PC9hdXRob3Jz
PjwvY29udHJpYnV0b3JzPjxhZGRlZC1kYXRlIGZvcm1hdD0idXRjIj4xNTQ5OTkwMzA2PC9hZGRl
ZC1kYXRlPjxwdWItbG9jYXRpb24+VGhvdXNhbmQgT2FrcywgQ0E8L3B1Yi1sb2NhdGlvbj48cmVm
LXR5cGUgbmFtZT0iSm91cm5hbCBBcnRpY2xlIj4xNzwvcmVmLXR5cGU+PGRhdGVzPjx5ZWFyPjIw
MDI8L3llYXI+PC9kYXRlcz48cmVjLW51bWJlcj43NzM2PC9yZWMtbnVtYmVyPjxsYXN0LXVwZGF0
ZWQtZGF0ZSBmb3JtYXQ9InV0YyI+MTU0OTk5MDMwNjwvbGFzdC11cGRhdGVkLWRhdGU+PGVsZWN0
cm9uaWMtcmVzb3VyY2UtbnVtPjEwLjExNzcvMDE2MjI0MzkwMjAyNzAwMjA1PC9lbGVjdHJvbmlj
LXJlc291cmNlLW51bT48dm9sdW1lPjI3PC92b2x1bWU+PC9yZWNvcmQ+PC9DaXRlPjxDaXRlPjxB
dXRob3I+U2xhdWdodGVyPC9BdXRob3I+PFllYXI+MjAwNDwvWWVhcj48SURUZXh0PkJvdW5kYXJp
ZXMgYW5kIFF1YW5kYXJpZXM6IEhvdyBQcm9mZXNzb3JzIE5lZ290aWF0ZSBNYXJrZXQgUmVsYXRp
b25zPC9JRFRleHQ+PHJlY29yZD48a2V5d29yZHM+PGtleXdvcmQ+U2Nob29sIEJ1c2luZXNzIFJl
bGF0aW9uc2hpcDwva2V5d29yZD48a2V5d29yZD5QYXJ0bmVyc2hpcHMgaW4gRWR1Y2F0aW9uPC9r
ZXl3b3JkPjxrZXl3b3JkPkNvbGxlZ2UgRmFjdWx0eTwva2V5d29yZD48a2V5d29yZD5BZG1pbmlz
dHJhdG9yczwva2V5d29yZD48a2V5d29yZD5Db2xsZWdlIEFkbWluaXN0cmF0aW9uPC9rZXl3b3Jk
PjxrZXl3b3JkPkRhdGFiYXNlczwva2V5d29yZD48a2V5d29yZD5JbnRlcnZpZXdzPC9rZXl3b3Jk
PjxrZXl3b3JkPkVuZ2luZWVyaW5nPC9rZXl3b3JkPjxrZXl3b3JkPlNjaWVuY2VzPC9rZXl3b3Jk
PjxrZXl3b3JkPkhpZ2hlciBFZHVjYXRpb248L2tleXdvcmQ+PC9rZXl3b3Jkcz48aXNibj4wMTYy
LTU3NDg8L2lzYm4+PHRpdGxlcz48dGl0bGU+Qm91bmRhcmllcyBhbmQgUXVhbmRhcmllczogSG93
IFByb2Zlc3NvcnMgTmVnb3RpYXRlIE1hcmtldCBSZWxhdGlvbnM8L3RpdGxlPjxzZWNvbmRhcnkt
dGl0bGU+UmV2aWV3IG9mIEhpZ2hlciBFZHVjYXRpb248L3NlY29uZGFyeS10aXRsZT48L3RpdGxl
cz48cGFnZXM+MTI5LTE2NTwvcGFnZXM+PG51bWJlcj4xPC9udW1iZXI+PGNvbnRyaWJ1dG9ycz48
YXV0aG9ycz48YXV0aG9yPlNsYXVnaHRlciwgU2hlaWxhPC9hdXRob3I+PGF1dGhvcj5BcmNoZXJk
LCBDeW50aGlhIEpvYW48L2F1dGhvcj48YXV0aG9yPkNhbXBiZWxsLCBUZXJlc2EgSS4gRC48L2F1
dGhvcj48L2F1dGhvcnM+PC9jb250cmlidXRvcnM+PGFkZGVkLWRhdGUgZm9ybWF0PSJ1dGMiPjE1
NDk5ODk5MDc8L2FkZGVkLWRhdGU+PHJlZi10eXBlIG5hbWU9IkpvdXJuYWwgQXJ0aWNsZSI+MTc8
L3JlZi10eXBlPjxkYXRlcz48eWVhcj4yMDA0PC95ZWFyPjwvZGF0ZXM+PHJlYy1udW1iZXI+Nzcz
NTwvcmVjLW51bWJlcj48bGFzdC11cGRhdGVkLWRhdGUgZm9ybWF0PSJ1dGMiPjE1NDk5ODk5MDc8
L2xhc3QtdXBkYXRlZC1kYXRlPjxlbGVjdHJvbmljLXJlc291cmNlLW51bT4xMC4xMzUzL3JoZS4y
MDA0LjAwMzI8L2VsZWN0cm9uaWMtcmVzb3VyY2UtbnVtPjx2b2x1bWU+Mjg8L3ZvbHVtZT48L3Jl
Y29yZD48L0NpdGU+PENpdGU+PEF1dGhvcj5TbGF1Z2h0ZXI8L0F1dGhvcj48WWVhcj4yMDEwPC9Z
ZWFyPjxJRFRleHQ+QWNhZGVtaWMgY2FwaXRhbGlzbSBhbmQgdGhlIG5ldyBlY29ub215OiBtYXJr
ZXRzLCBzdGF0ZSwgYW5kIGhpZ2hlciBlZHVjYXRpb248L0lEVGV4dD48cmVjb3JkPjxrZXl3b3Jk
cz48a2V5d29yZD5FZHVjYXRpb24sIEhpZ2hlciAtLSBFY29ub21pYyBhc3BlY3RzIC0tIFVuaXRl
ZCBTdGF0ZXM8L2tleXdvcmQ+PGtleXdvcmQ+QnVzaW5lc3MgYW5kIGVkdWNhdGlvbiAtLSBVbml0
ZWQgU3RhdGVzPC9rZXl3b3JkPjxrZXl3b3JkPlVuaXZlcnNpdGllcyBhbmQgY29sbGVnZXMgLS0g
VW5pdGVkIFN0YXRlcyAtLSBTb2Npb2xvZ2ljYWwgYXNwZWN0czwva2V5d29yZD48L2tleXdvcmRz
Pjx0aXRsZXM+PHRpdGxlPkFjYWRlbWljIGNhcGl0YWxpc20gYW5kIHRoZSBuZXcgZWNvbm9teTog
bWFya2V0cywgc3RhdGUsIGFuZCBoaWdoZXIgZWR1Y2F0aW9uPC90aXRsZT48L3RpdGxlcz48Y29u
dHJpYnV0b3JzPjxhdXRob3JzPjxhdXRob3I+U2xhdWdodGVyLCBTaGVpbGE8L2F1dGhvcj48YXV0
aG9yPlJob2FkZXMsIEdhcnk8L2F1dGhvcj48L2F1dGhvcnM+PC9jb250cmlidXRvcnM+PGFkZGVk
LWRhdGUgZm9ybWF0PSJ1dGMiPjE0NjMwNzkzOTE8L2FkZGVkLWRhdGU+PHB1Yi1sb2NhdGlvbj5C
YWx0aW1vcmUsIE1EPC9wdWItbG9jYXRpb24+PHJlZi10eXBlIG5hbWU9IkJvb2siPjY8L3JlZi10
eXBlPjxkYXRlcz48eWVhcj4yMDEwPC95ZWFyPjwvZGF0ZXM+PHJlYy1udW1iZXI+MzgzPC9yZWMt
bnVtYmVyPjxwdWJsaXNoZXI+Sm9obnMgSG9wa2lucyBVbml2ZXJzaXR5IFByZXNzPC9wdWJsaXNo
ZXI+PGxhc3QtdXBkYXRlZC1kYXRlIGZvcm1hdD0idXRjIj4xNDc3NzgyMDYzPC9sYXN0LXVwZGF0
ZWQtZGF0ZT48L3JlY29yZD48L0NpdGU+PC9FbmROb3RlPn==
</w:fldData>
        </w:fldChar>
      </w:r>
      <w:r>
        <w:rPr>
          <w:iCs/>
          <w:sz w:val="24"/>
          <w:szCs w:val="24"/>
        </w:rPr>
        <w:instrText xml:space="preserve"> ADDIN EN.CITE </w:instrText>
      </w:r>
      <w:r>
        <w:rPr>
          <w:iCs/>
          <w:sz w:val="24"/>
          <w:szCs w:val="24"/>
        </w:rPr>
        <w:fldChar w:fldCharType="begin">
          <w:fldData xml:space="preserve">PEVuZE5vdGU+PENpdGU+PEF1dGhvcj5TbGF1Z2h0ZXI8L0F1dGhvcj48WWVhcj4yMDAyPC9ZZWFy
PjxJRFRleHQ+VGhlIOKAnCBUcmFmZmlj4oCdIGluIEdyYWR1YXRlIFN0dWRlbnRzOiBHcmFkdWF0
ZSBTdHVkZW50cyBhcyBUb2tlbnMgb2YgRXhjaGFuZ2UgYmV0d2VlbiBBY2FkZW1lIGFuZCBJbmR1
c3RyeTwvSURUZXh0PjxEaXNwbGF5VGV4dD4oU2xhdWdodGVyIGV0IGFsLiwgMjAwNDsgU2xhdWdo
dGVyIGV0IGFsLiwgMjAwMjsgU2xhdWdodGVyICZhbXA7IFJob2FkZXMsIDIwMTApPC9EaXNwbGF5
VGV4dD48cmVjb3JkPjxrZXl3b3Jkcz48a2V5d29yZD5TY2llbmNlcyAoR2VuZXJhbCk8L2tleXdv
cmQ+PC9rZXl3b3Jkcz48aXNibj4wMTYyLTI0Mzk8L2lzYm4+PHRpdGxlcz48dGl0bGU+VGhlIOKA
nCBUcmFmZmlj4oCdIGluIEdyYWR1YXRlIFN0dWRlbnRzOiBHcmFkdWF0ZSBTdHVkZW50cyBhcyBU
b2tlbnMgb2YgRXhjaGFuZ2UgYmV0d2VlbiBBY2FkZW1lIGFuZCBJbmR1c3RyeTwvdGl0bGU+PHNl
Y29uZGFyeS10aXRsZT5TY2llbmNlLCBUZWNobm9sb2d5LCAmYW1wOyBIdW1hbiBWYWx1ZXM8L3Nl
Y29uZGFyeS10aXRsZT48L3RpdGxlcz48cGFnZXM+MjgyLTMxMjwvcGFnZXM+PG51bWJlcj4yPC9u
dW1iZXI+PGNvbnRyaWJ1dG9ycz48YXV0aG9ycz48YXV0aG9yPlNsYXVnaHRlciwgU2hlaWxhPC9h
dXRob3I+PGF1dGhvcj5DYW1wYmVsbCwgVGVyZXNhPC9hdXRob3I+PGF1dGhvcj5Ib2xsZW1hbiwg
TWFyZ2FyZXQ8L2F1dGhvcj48YXV0aG9yPk1vcmdhbiwgRWR3YXJkPC9hdXRob3I+PC9hdXRob3Jz
PjwvY29udHJpYnV0b3JzPjxhZGRlZC1kYXRlIGZvcm1hdD0idXRjIj4xNTQ5OTkwMzA2PC9hZGRl
ZC1kYXRlPjxwdWItbG9jYXRpb24+VGhvdXNhbmQgT2FrcywgQ0E8L3B1Yi1sb2NhdGlvbj48cmVm
LXR5cGUgbmFtZT0iSm91cm5hbCBBcnRpY2xlIj4xNzwvcmVmLXR5cGU+PGRhdGVzPjx5ZWFyPjIw
MDI8L3llYXI+PC9kYXRlcz48cmVjLW51bWJlcj43NzM2PC9yZWMtbnVtYmVyPjxsYXN0LXVwZGF0
ZWQtZGF0ZSBmb3JtYXQ9InV0YyI+MTU0OTk5MDMwNjwvbGFzdC11cGRhdGVkLWRhdGU+PGVsZWN0
cm9uaWMtcmVzb3VyY2UtbnVtPjEwLjExNzcvMDE2MjI0MzkwMjAyNzAwMjA1PC9lbGVjdHJvbmlj
LXJlc291cmNlLW51bT48dm9sdW1lPjI3PC92b2x1bWU+PC9yZWNvcmQ+PC9DaXRlPjxDaXRlPjxB
dXRob3I+U2xhdWdodGVyPC9BdXRob3I+PFllYXI+MjAwNDwvWWVhcj48SURUZXh0PkJvdW5kYXJp
ZXMgYW5kIFF1YW5kYXJpZXM6IEhvdyBQcm9mZXNzb3JzIE5lZ290aWF0ZSBNYXJrZXQgUmVsYXRp
b25zPC9JRFRleHQ+PHJlY29yZD48a2V5d29yZHM+PGtleXdvcmQ+U2Nob29sIEJ1c2luZXNzIFJl
bGF0aW9uc2hpcDwva2V5d29yZD48a2V5d29yZD5QYXJ0bmVyc2hpcHMgaW4gRWR1Y2F0aW9uPC9r
ZXl3b3JkPjxrZXl3b3JkPkNvbGxlZ2UgRmFjdWx0eTwva2V5d29yZD48a2V5d29yZD5BZG1pbmlz
dHJhdG9yczwva2V5d29yZD48a2V5d29yZD5Db2xsZWdlIEFkbWluaXN0cmF0aW9uPC9rZXl3b3Jk
PjxrZXl3b3JkPkRhdGFiYXNlczwva2V5d29yZD48a2V5d29yZD5JbnRlcnZpZXdzPC9rZXl3b3Jk
PjxrZXl3b3JkPkVuZ2luZWVyaW5nPC9rZXl3b3JkPjxrZXl3b3JkPlNjaWVuY2VzPC9rZXl3b3Jk
PjxrZXl3b3JkPkhpZ2hlciBFZHVjYXRpb248L2tleXdvcmQ+PC9rZXl3b3Jkcz48aXNibj4wMTYy
LTU3NDg8L2lzYm4+PHRpdGxlcz48dGl0bGU+Qm91bmRhcmllcyBhbmQgUXVhbmRhcmllczogSG93
IFByb2Zlc3NvcnMgTmVnb3RpYXRlIE1hcmtldCBSZWxhdGlvbnM8L3RpdGxlPjxzZWNvbmRhcnkt
dGl0bGU+UmV2aWV3IG9mIEhpZ2hlciBFZHVjYXRpb248L3NlY29uZGFyeS10aXRsZT48L3RpdGxl
cz48cGFnZXM+MTI5LTE2NTwvcGFnZXM+PG51bWJlcj4xPC9udW1iZXI+PGNvbnRyaWJ1dG9ycz48
YXV0aG9ycz48YXV0aG9yPlNsYXVnaHRlciwgU2hlaWxhPC9hdXRob3I+PGF1dGhvcj5BcmNoZXJk
LCBDeW50aGlhIEpvYW48L2F1dGhvcj48YXV0aG9yPkNhbXBiZWxsLCBUZXJlc2EgSS4gRC48L2F1
dGhvcj48L2F1dGhvcnM+PC9jb250cmlidXRvcnM+PGFkZGVkLWRhdGUgZm9ybWF0PSJ1dGMiPjE1
NDk5ODk5MDc8L2FkZGVkLWRhdGU+PHJlZi10eXBlIG5hbWU9IkpvdXJuYWwgQXJ0aWNsZSI+MTc8
L3JlZi10eXBlPjxkYXRlcz48eWVhcj4yMDA0PC95ZWFyPjwvZGF0ZXM+PHJlYy1udW1iZXI+Nzcz
NTwvcmVjLW51bWJlcj48bGFzdC11cGRhdGVkLWRhdGUgZm9ybWF0PSJ1dGMiPjE1NDk5ODk5MDc8
L2xhc3QtdXBkYXRlZC1kYXRlPjxlbGVjdHJvbmljLXJlc291cmNlLW51bT4xMC4xMzUzL3JoZS4y
MDA0LjAwMzI8L2VsZWN0cm9uaWMtcmVzb3VyY2UtbnVtPjx2b2x1bWU+Mjg8L3ZvbHVtZT48L3Jl
Y29yZD48L0NpdGU+PENpdGU+PEF1dGhvcj5TbGF1Z2h0ZXI8L0F1dGhvcj48WWVhcj4yMDEwPC9Z
ZWFyPjxJRFRleHQ+QWNhZGVtaWMgY2FwaXRhbGlzbSBhbmQgdGhlIG5ldyBlY29ub215OiBtYXJr
ZXRzLCBzdGF0ZSwgYW5kIGhpZ2hlciBlZHVjYXRpb248L0lEVGV4dD48cmVjb3JkPjxrZXl3b3Jk
cz48a2V5d29yZD5FZHVjYXRpb24sIEhpZ2hlciAtLSBFY29ub21pYyBhc3BlY3RzIC0tIFVuaXRl
ZCBTdGF0ZXM8L2tleXdvcmQ+PGtleXdvcmQ+QnVzaW5lc3MgYW5kIGVkdWNhdGlvbiAtLSBVbml0
ZWQgU3RhdGVzPC9rZXl3b3JkPjxrZXl3b3JkPlVuaXZlcnNpdGllcyBhbmQgY29sbGVnZXMgLS0g
VW5pdGVkIFN0YXRlcyAtLSBTb2Npb2xvZ2ljYWwgYXNwZWN0czwva2V5d29yZD48L2tleXdvcmRz
Pjx0aXRsZXM+PHRpdGxlPkFjYWRlbWljIGNhcGl0YWxpc20gYW5kIHRoZSBuZXcgZWNvbm9teTog
bWFya2V0cywgc3RhdGUsIGFuZCBoaWdoZXIgZWR1Y2F0aW9uPC90aXRsZT48L3RpdGxlcz48Y29u
dHJpYnV0b3JzPjxhdXRob3JzPjxhdXRob3I+U2xhdWdodGVyLCBTaGVpbGE8L2F1dGhvcj48YXV0
aG9yPlJob2FkZXMsIEdhcnk8L2F1dGhvcj48L2F1dGhvcnM+PC9jb250cmlidXRvcnM+PGFkZGVk
LWRhdGUgZm9ybWF0PSJ1dGMiPjE0NjMwNzkzOTE8L2FkZGVkLWRhdGU+PHB1Yi1sb2NhdGlvbj5C
YWx0aW1vcmUsIE1EPC9wdWItbG9jYXRpb24+PHJlZi10eXBlIG5hbWU9IkJvb2siPjY8L3JlZi10
eXBlPjxkYXRlcz48eWVhcj4yMDEwPC95ZWFyPjwvZGF0ZXM+PHJlYy1udW1iZXI+MzgzPC9yZWMt
bnVtYmVyPjxwdWJsaXNoZXI+Sm9obnMgSG9wa2lucyBVbml2ZXJzaXR5IFByZXNzPC9wdWJsaXNo
ZXI+PGxhc3QtdXBkYXRlZC1kYXRlIGZvcm1hdD0idXRjIj4xNDc3NzgyMDYzPC9sYXN0LXVwZGF0
ZWQtZGF0ZT48L3JlY29yZD48L0NpdGU+PC9FbmROb3RlPn==
</w:fldData>
        </w:fldChar>
      </w:r>
      <w:r>
        <w:rPr>
          <w:iCs/>
          <w:sz w:val="24"/>
          <w:szCs w:val="24"/>
        </w:rPr>
        <w:instrText xml:space="preserve"> ADDIN EN.CITE.DATA </w:instrText>
      </w:r>
      <w:r>
        <w:rPr>
          <w:iCs/>
          <w:sz w:val="24"/>
          <w:szCs w:val="24"/>
        </w:rPr>
      </w:r>
      <w:r>
        <w:rPr>
          <w:iCs/>
          <w:sz w:val="24"/>
          <w:szCs w:val="24"/>
        </w:rPr>
        <w:fldChar w:fldCharType="end"/>
      </w:r>
      <w:r>
        <w:rPr>
          <w:iCs/>
          <w:sz w:val="24"/>
          <w:szCs w:val="24"/>
        </w:rPr>
      </w:r>
      <w:r>
        <w:rPr>
          <w:iCs/>
          <w:sz w:val="24"/>
          <w:szCs w:val="24"/>
        </w:rPr>
        <w:fldChar w:fldCharType="separate"/>
      </w:r>
      <w:r>
        <w:rPr>
          <w:iCs/>
          <w:noProof/>
          <w:sz w:val="24"/>
          <w:szCs w:val="24"/>
        </w:rPr>
        <w:t>(Slaughter et al., 2004; Slaughter et al., 2002; Slaughter &amp; Rhoades, 2010)</w:t>
      </w:r>
      <w:r>
        <w:rPr>
          <w:iCs/>
          <w:sz w:val="24"/>
          <w:szCs w:val="24"/>
        </w:rPr>
        <w:fldChar w:fldCharType="end"/>
      </w:r>
      <w:r>
        <w:rPr>
          <w:iCs/>
          <w:sz w:val="24"/>
          <w:szCs w:val="24"/>
        </w:rPr>
        <w:t xml:space="preserve">. </w:t>
      </w:r>
    </w:p>
    <w:p w14:paraId="4DFB4F81" w14:textId="306CACF8" w:rsidR="00DC7B41" w:rsidRDefault="000919A3" w:rsidP="001F5DB2">
      <w:pPr>
        <w:autoSpaceDE w:val="0"/>
        <w:autoSpaceDN w:val="0"/>
        <w:adjustRightInd w:val="0"/>
        <w:spacing w:after="120" w:line="360" w:lineRule="auto"/>
        <w:rPr>
          <w:iCs/>
          <w:sz w:val="24"/>
          <w:szCs w:val="24"/>
        </w:rPr>
      </w:pPr>
      <w:r>
        <w:rPr>
          <w:iCs/>
          <w:sz w:val="24"/>
          <w:szCs w:val="24"/>
        </w:rPr>
        <w:t>T</w:t>
      </w:r>
      <w:r w:rsidR="00DC7B41">
        <w:rPr>
          <w:iCs/>
          <w:sz w:val="24"/>
          <w:szCs w:val="24"/>
        </w:rPr>
        <w:t>he impact agenda</w:t>
      </w:r>
      <w:r w:rsidR="00F32049">
        <w:rPr>
          <w:iCs/>
          <w:sz w:val="24"/>
          <w:szCs w:val="24"/>
        </w:rPr>
        <w:t xml:space="preserve"> and related policy agendas are</w:t>
      </w:r>
      <w:r w:rsidR="00DC7B41">
        <w:rPr>
          <w:iCs/>
          <w:sz w:val="24"/>
          <w:szCs w:val="24"/>
        </w:rPr>
        <w:t xml:space="preserve"> likely to increase the pressure </w:t>
      </w:r>
      <w:r w:rsidR="00DC7B41">
        <w:rPr>
          <w:sz w:val="24"/>
          <w:szCs w:val="24"/>
        </w:rPr>
        <w:t>to generate such outputs as those leading to the above boundary tensions. Research on academics who p</w:t>
      </w:r>
      <w:r w:rsidR="00DC7B41">
        <w:rPr>
          <w:iCs/>
          <w:sz w:val="24"/>
          <w:szCs w:val="24"/>
        </w:rPr>
        <w:t xml:space="preserve">articipate in competitive markets, whether for revenue or for position-taking in manufactured markets such as those constructed by the REF, has revealed </w:t>
      </w:r>
      <w:r w:rsidR="00DC7B41" w:rsidRPr="00742C00">
        <w:rPr>
          <w:rFonts w:eastAsia="Times New Roman"/>
          <w:sz w:val="24"/>
          <w:szCs w:val="24"/>
        </w:rPr>
        <w:t xml:space="preserve">“complicity of a neoliberal attitude of success at any cost” </w:t>
      </w:r>
      <w:r w:rsidR="00DC7B41" w:rsidRPr="00742C00">
        <w:rPr>
          <w:rFonts w:eastAsia="Times New Roman"/>
          <w:sz w:val="24"/>
          <w:szCs w:val="24"/>
        </w:rPr>
        <w:fldChar w:fldCharType="begin"/>
      </w:r>
      <w:r w:rsidR="00DC7B41" w:rsidRPr="00742C00">
        <w:rPr>
          <w:rFonts w:eastAsia="Times New Roman"/>
          <w:sz w:val="24"/>
          <w:szCs w:val="24"/>
        </w:rPr>
        <w:instrText xml:space="preserve"> ADDIN EN.CITE &lt;EndNote&gt;&lt;Cite&gt;&lt;Author&gt;Chubb&lt;/Author&gt;&lt;Year&gt;2017&lt;/Year&gt;&lt;IDText&gt;Artifice or integrity in the marketization of research impact? Investigating the moral economy of (pathways to) impact statements within research funding proposals in the UK and Australia&lt;/IDText&gt;&lt;Pages&gt;2363&lt;/Pages&gt;&lt;DisplayText&gt;(Chubb &amp;amp; Watermeyer, 2017, p. 2363)&lt;/DisplayText&gt;&lt;record&gt;&lt;keywords&gt;&lt;keyword&gt;Article&lt;/keyword&gt;&lt;keyword&gt;Research Impact&lt;/keyword&gt;&lt;keyword&gt;Academic Practice&lt;/keyword&gt;&lt;keyword&gt;Research Integrity&lt;/keyword&gt;&lt;keyword&gt;Marketization&lt;/keyword&gt;&lt;keyword&gt;Neoliberalism&lt;/keyword&gt;&lt;/keywords&gt;&lt;isbn&gt;0307-5079&lt;/isbn&gt;&lt;titles&gt;&lt;title&gt;Artifice or integrity in the marketization of research impact? Investigating the moral economy of (pathways to) impact statements within research funding proposals in the UK and Australia&lt;/title&gt;&lt;secondary-title&gt;Studies in Higher Education&lt;/secondary-title&gt;&lt;/titles&gt;&lt;pages&gt;2360-2372&lt;/pages&gt;&lt;number&gt;12&lt;/number&gt;&lt;contributors&gt;&lt;authors&gt;&lt;author&gt;Chubb, Jennifer&lt;/author&gt;&lt;author&gt;Watermeyer, Richard&lt;/author&gt;&lt;/authors&gt;&lt;/contributors&gt;&lt;added-date format="utc"&gt;1530699838&lt;/added-date&gt;&lt;ref-type name="Journal Article"&gt;17&lt;/ref-type&gt;&lt;dates&gt;&lt;year&gt;2017&lt;/year&gt;&lt;/dates&gt;&lt;rec-number&gt;7582&lt;/rec-number&gt;&lt;publisher&gt;Routledge&lt;/publisher&gt;&lt;last-updated-date format="utc"&gt;1530699921&lt;/last-updated-date&gt;&lt;electronic-resource-num&gt;10.1080/03075079.2016.1144182&lt;/electronic-resource-num&gt;&lt;volume&gt;42&lt;/volume&gt;&lt;/record&gt;&lt;/Cite&gt;&lt;/EndNote&gt;</w:instrText>
      </w:r>
      <w:r w:rsidR="00DC7B41" w:rsidRPr="00742C00">
        <w:rPr>
          <w:rFonts w:eastAsia="Times New Roman"/>
          <w:sz w:val="24"/>
          <w:szCs w:val="24"/>
        </w:rPr>
        <w:fldChar w:fldCharType="separate"/>
      </w:r>
      <w:r w:rsidR="00DC7B41" w:rsidRPr="00742C00">
        <w:rPr>
          <w:rFonts w:eastAsia="Times New Roman"/>
          <w:noProof/>
          <w:sz w:val="24"/>
          <w:szCs w:val="24"/>
        </w:rPr>
        <w:t>(Chubb &amp; Watermeyer, 2017, p. 2363)</w:t>
      </w:r>
      <w:r w:rsidR="00DC7B41" w:rsidRPr="00742C00">
        <w:rPr>
          <w:rFonts w:eastAsia="Times New Roman"/>
          <w:sz w:val="24"/>
          <w:szCs w:val="24"/>
        </w:rPr>
        <w:fldChar w:fldCharType="end"/>
      </w:r>
      <w:r w:rsidR="00DC7B41">
        <w:rPr>
          <w:rFonts w:eastAsia="Times New Roman"/>
          <w:sz w:val="24"/>
          <w:szCs w:val="24"/>
        </w:rPr>
        <w:t xml:space="preserve">. An alternative analysis might portray </w:t>
      </w:r>
      <w:r w:rsidR="00DC7B41">
        <w:rPr>
          <w:iCs/>
          <w:sz w:val="24"/>
          <w:szCs w:val="24"/>
        </w:rPr>
        <w:t xml:space="preserve">universities as occupying a subservient role in the context of a </w:t>
      </w:r>
      <w:r w:rsidR="00DC7B41" w:rsidRPr="00F66888">
        <w:rPr>
          <w:iCs/>
          <w:sz w:val="24"/>
          <w:szCs w:val="24"/>
        </w:rPr>
        <w:t>‘technoscientific’</w:t>
      </w:r>
      <w:r w:rsidR="00DC7B41">
        <w:rPr>
          <w:iCs/>
          <w:sz w:val="24"/>
          <w:szCs w:val="24"/>
        </w:rPr>
        <w:t xml:space="preserve"> social order </w:t>
      </w:r>
      <w:r w:rsidR="00DC7B41" w:rsidRPr="001C1917">
        <w:rPr>
          <w:color w:val="000000"/>
          <w:sz w:val="24"/>
          <w:szCs w:val="24"/>
        </w:rPr>
        <w:fldChar w:fldCharType="begin">
          <w:fldData xml:space="preserve">PEVuZE5vdGU+PENpdGU+PEF1dGhvcj5aaW1hbjwvQXV0aG9yPjxZZWFyPjE5OTY8L1llYXI+PElE
VGV4dD5TY2llbmNlIFN0dWRpZXMgZnJvbSBQb2xlIHRvIFBvbGU6IEEgSG9va2VyLVJlc3Rpdm8g
Q29ubmVjdGlvbj8gKEJvb2sgUmV2aWV3KTwvSURUZXh0PjxQYWdlcz4zMTM8L1BhZ2VzPjxEaXNw
bGF5VGV4dD4oTGF0b3VyLCAxOTg3LCBwLiAxNjI7IExleWRlc2RvcmZmLCAyMDEyLCBwLiAzMjsg
U2xhdWdodGVyIGV0IGFsLiwgMjAwMiwgcC4gMjg2OyBaaW1hbiwgMTk5NmIsIHAuIDMxMyk8L0Rp
c3BsYXlUZXh0PjxyZWNvcmQ+PGtleXdvcmRzPjxrZXl3b3JkPkVkdWNhdGlvbjwva2V5d29yZD48
a2V5d29yZD5Tb2NpYWwgU2NpZW5jZXMgKEdlbmVyYWwpPC9rZXl3b3JkPjxrZXl3b3JkPlNjaWVu
Y2VzIChHZW5lcmFsKTwva2V5d29yZD48L2tleXdvcmRzPjxpc2JuPjAwMjY0Njk1PC9pc2JuPjx0
aXRsZXM+PHRpdGxlPlNjaWVuY2UgU3R1ZGllcyBmcm9tIFBvbGUgdG8gUG9sZTogQSBIb29rZXIt
UmVzdGl2byBDb25uZWN0aW9uPyAoQm9vayBSZXZpZXcpPC90aXRsZT48L3RpdGxlcz48cGFnZXM+
MzA5LTMxNDwvcGFnZXM+PGNvbnRyaWJ1dG9ycz48YXV0aG9ycz48YXV0aG9yPlppbWFuLCBKLiBN
LjwvYXV0aG9yPjwvYXV0aG9ycz48L2NvbnRyaWJ1dG9ycz48YWRkZWQtZGF0ZSBmb3JtYXQ9InV0
YyI+MTU0MjgwODYzNTwvYWRkZWQtZGF0ZT48cmVmLXR5cGUgbmFtZT0iSm91cm5hbCBBcnRpY2xl
Ij4xNzwvcmVmLXR5cGU+PGRhdGVzPjx5ZWFyPjE5OTY8L3llYXI+PC9kYXRlcz48cmVjLW51bWJl
cj43NjgwPC9yZWMtbnVtYmVyPjxsYXN0LXVwZGF0ZWQtZGF0ZSBmb3JtYXQ9InV0YyI+MTU0Mjgx
MjQzNzwvbGFzdC11cGRhdGVkLWRhdGU+PHZvbHVtZT4zNDwvdm9sdW1lPjwvcmVjb3JkPjwvQ2l0
ZT48Q2l0ZT48QXV0aG9yPkxhdG91cjwvQXV0aG9yPjxZZWFyPjE5ODc8L1llYXI+PElEVGV4dD5T
Y2llbmNlIGluIGFjdGlvbjogaG93IHRvIGZvbGxvdyBzY2llbnRpc3RzIGFuZCBlbmdpbmVlcnMg
dGhyb3VnaCBzb2NpZXR5PC9JRFRleHQ+PFBhZ2VzPjE2MjwvUGFnZXM+PHJlY29yZD48a2V5d29y
ZHM+PGtleXdvcmQ+U2NpZW5jZSAtLSBTb2NpYWwgYXNwZWN0czwva2V5d29yZD48a2V5d29yZD5U
ZWNobm9sb2d5IC0tIFNvY2lhbCBhc3BlY3RzPC9rZXl3b3JkPjxrZXl3b3JkPlNjaWVuY2UgLS0g
SGlzdG9yeTwva2V5d29yZD48a2V5d29yZD5TY2llbmNlIC0tIFBoaWxvc29waHk8L2tleXdvcmQ+
PGtleXdvcmQ+Tm9ybWFsIHNjaWVuY2U8L2tleXdvcmQ+PGtleXdvcmQ+UGhpbG9zb3BoeSBvZiBz
Y2llbmNlPC9rZXl3b3JkPjxrZXl3b3JkPlNjaWVuY2UgYW5kIHNvY2lldHk8L2tleXdvcmQ+PGtl
eXdvcmQ+U29jaW9sb2d5IG9mIHNjaWVuY2U8L2tleXdvcmQ+PC9rZXl3b3Jkcz48dGl0bGVzPjx0
aXRsZT5TY2llbmNlIGluIGFjdGlvbjogaG93IHRvIGZvbGxvdyBzY2llbnRpc3RzIGFuZCBlbmdp
bmVlcnMgdGhyb3VnaCBzb2NpZXR5PC90aXRsZT48L3RpdGxlcz48Y29udHJpYnV0b3JzPjxhdXRo
b3JzPjxhdXRob3I+TGF0b3VyLCBCcnVubzwvYXV0aG9yPjwvYXV0aG9ycz48L2NvbnRyaWJ1dG9y
cz48YWRkZWQtZGF0ZSBmb3JtYXQ9InV0YyI+MTU0MjgyNzY1MzwvYWRkZWQtZGF0ZT48cHViLWxv
Y2F0aW9uPkNhbWJyaWRnZSwgTWFzcy48L3B1Yi1sb2NhdGlvbj48cmVmLXR5cGUgbmFtZT0iQm9v
ayI+NjwvcmVmLXR5cGU+PGRhdGVzPjx5ZWFyPjE5ODc8L3llYXI+PC9kYXRlcz48cmVjLW51bWJl
cj43Njg0PC9yZWMtbnVtYmVyPjxwdWJsaXNoZXI+SGFydmFyZCBVbml2ZXJzaXR5IFByZXNzPC9w
dWJsaXNoZXI+PGxhc3QtdXBkYXRlZC1kYXRlIGZvcm1hdD0idXRjIj4xNTQyODI3Njc2PC9sYXN0
LXVwZGF0ZWQtZGF0ZT48L3JlY29yZD48L0NpdGU+PENpdGU+PEF1dGhvcj5MZXlkZXNkb3JmZjwv
QXV0aG9yPjxZZWFyPjIwMTI8L1llYXI+PElEVGV4dD5UaGUgVHJpcGxlIEhlbGl4LCBRdWFkcnVw
bGUgSGVsaXgsIOKApiwgYW5kIGFuIE4gLVR1cGxlIG9mIEhlbGljZXM6IEV4cGxhbmF0b3J5IE1v
ZGVscyBmb3IgQW5hbHl6aW5nIHRoZSBLbm93bGVkZ2UtQmFzZWQgRWNvbm9teT88L0lEVGV4dD48
UGFnZXM+MzI8L1BhZ2VzPjxyZWNvcmQ+PGtleXdvcmRzPjxrZXl3b3JkPlRyaXBsZSBIZWxpeDwv
a2V5d29yZD48a2V5d29yZD4tVHVwbGUgaGVsaWNlczwva2V5d29yZD48a2V5d29yZD5Jbm5vdmF0
aW9uIHN5c3RlbTwva2V5d29yZD48a2V5d29yZD5PdmVybGF5PC9rZXl3b3JkPjxrZXl3b3JkPk1v
ZGVsPC9rZXl3b3JkPjxrZXl3b3JkPk1lYXN1cmVtZW50PC9rZXl3b3JkPjwva2V5d29yZHM+PGlz
Ym4+MTg2OC03ODY1PC9pc2JuPjx0aXRsZXM+PHRpdGxlPlRoZSBUcmlwbGUgSGVsaXgsIFF1YWRy
dXBsZSBIZWxpeCwg4oCmLCBhbmQgYW4gTiAtVHVwbGUgb2YgSGVsaWNlczogRXhwbGFuYXRvcnkg
TW9kZWxzIGZvciBBbmFseXppbmcgdGhlIEtub3dsZWRnZS1CYXNlZCBFY29ub215PzwvdGl0bGU+
PHNlY29uZGFyeS10aXRsZT5Kb3VybmFsIG9mIHRoZSBLbm93bGVkZ2UgRWNvbm9teTwvc2Vjb25k
YXJ5LXRpdGxlPjwvdGl0bGVzPjxwYWdlcz4yNS0zNTwvcGFnZXM+PG51bWJlcj4xPC9udW1iZXI+
PGNvbnRyaWJ1dG9ycz48YXV0aG9ycz48YXV0aG9yPkxleWRlc2RvcmZmLCBMb2V0PC9hdXRob3I+
PC9hdXRob3JzPjwvY29udHJpYnV0b3JzPjxhZGRlZC1kYXRlIGZvcm1hdD0idXRjIj4xNTQ1MzE4
ODU5PC9hZGRlZC1kYXRlPjxwdWItbG9jYXRpb24+Qm9zdG9uPC9wdWItbG9jYXRpb24+PHJlZi10
eXBlIG5hbWU9IkpvdXJuYWwgQXJ0aWNsZSI+MTc8L3JlZi10eXBlPjxkYXRlcz48eWVhcj4yMDEy
PC95ZWFyPjwvZGF0ZXM+PHJlYy1udW1iZXI+NzY5MzwvcmVjLW51bWJlcj48bGFzdC11cGRhdGVk
LWRhdGUgZm9ybWF0PSJ1dGMiPjE1NDUzMTg4NTk8L2xhc3QtdXBkYXRlZC1kYXRlPjxlbGVjdHJv
bmljLXJlc291cmNlLW51bT4xMC4xMDA3L3MxMzEzMi0wMTEtMDA0OS00PC9lbGVjdHJvbmljLXJl
c291cmNlLW51bT48dm9sdW1lPjM8L3ZvbHVtZT48L3JlY29yZD48L0NpdGU+PENpdGU+PEF1dGhv
cj5TbGF1Z2h0ZXI8L0F1dGhvcj48WWVhcj4yMDAyPC9ZZWFyPjxJRFRleHQ+VGhlIOKAnCBUcmFm
Zmlj4oCdIGluIEdyYWR1YXRlIFN0dWRlbnRzOiBHcmFkdWF0ZSBTdHVkZW50cyBhcyBUb2tlbnMg
b2YgRXhjaGFuZ2UgYmV0d2VlbiBBY2FkZW1lIGFuZCBJbmR1c3RyeTwvSURUZXh0PjxQYWdlcz4y
ODY8L1BhZ2VzPjxyZWNvcmQ+PGtleXdvcmRzPjxrZXl3b3JkPlNjaWVuY2VzIChHZW5lcmFsKTwv
a2V5d29yZD48L2tleXdvcmRzPjxpc2JuPjAxNjItMjQzOTwvaXNibj48dGl0bGVzPjx0aXRsZT5U
aGUg4oCcIFRyYWZmaWPigJ0gaW4gR3JhZHVhdGUgU3R1ZGVudHM6IEdyYWR1YXRlIFN0dWRlbnRz
IGFzIFRva2VucyBvZiBFeGNoYW5nZSBiZXR3ZWVuIEFjYWRlbWUgYW5kIEluZHVzdHJ5PC90aXRs
ZT48c2Vjb25kYXJ5LXRpdGxlPlNjaWVuY2UsIFRlY2hub2xvZ3ksICZhbXA7IEh1bWFuIFZhbHVl
czwvc2Vjb25kYXJ5LXRpdGxlPjwvdGl0bGVzPjxwYWdlcz4yODItMzEyPC9wYWdlcz48bnVtYmVy
PjI8L251bWJlcj48Y29udHJpYnV0b3JzPjxhdXRob3JzPjxhdXRob3I+U2xhdWdodGVyLCBTaGVp
bGE8L2F1dGhvcj48YXV0aG9yPkNhbXBiZWxsLCBUZXJlc2E8L2F1dGhvcj48YXV0aG9yPkhvbGxl
bWFuLCBNYXJnYXJldDwvYXV0aG9yPjxhdXRob3I+TW9yZ2FuLCBFZHdhcmQ8L2F1dGhvcj48L2F1
dGhvcnM+PC9jb250cmlidXRvcnM+PGFkZGVkLWRhdGUgZm9ybWF0PSJ1dGMiPjE1NDk5OTAzMDY8
L2FkZGVkLWRhdGU+PHB1Yi1sb2NhdGlvbj5UaG91c2FuZCBPYWtzLCBDQTwvcHViLWxvY2F0aW9u
PjxyZWYtdHlwZSBuYW1lPSJKb3VybmFsIEFydGljbGUiPjE3PC9yZWYtdHlwZT48ZGF0ZXM+PHll
YXI+MjAwMjwveWVhcj48L2RhdGVzPjxyZWMtbnVtYmVyPjc3MzY8L3JlYy1udW1iZXI+PGxhc3Qt
dXBkYXRlZC1kYXRlIGZvcm1hdD0idXRjIj4xNTQ5OTkwMzA2PC9sYXN0LXVwZGF0ZWQtZGF0ZT48
ZWxlY3Ryb25pYy1yZXNvdXJjZS1udW0+MTAuMTE3Ny8wMTYyMjQzOTAyMDI3MDAyMDU8L2VsZWN0
cm9uaWMtcmVzb3VyY2UtbnVtPjx2b2x1bWU+Mjc8L3ZvbHVtZT48L3JlY29yZD48L0NpdGU+PC9F
bmROb3RlPn==
</w:fldData>
        </w:fldChar>
      </w:r>
      <w:r w:rsidR="00DC7B41">
        <w:rPr>
          <w:color w:val="000000"/>
          <w:sz w:val="24"/>
          <w:szCs w:val="24"/>
        </w:rPr>
        <w:instrText xml:space="preserve"> ADDIN EN.CITE </w:instrText>
      </w:r>
      <w:r w:rsidR="00DC7B41">
        <w:rPr>
          <w:color w:val="000000"/>
          <w:sz w:val="24"/>
          <w:szCs w:val="24"/>
        </w:rPr>
        <w:fldChar w:fldCharType="begin">
          <w:fldData xml:space="preserve">PEVuZE5vdGU+PENpdGU+PEF1dGhvcj5aaW1hbjwvQXV0aG9yPjxZZWFyPjE5OTY8L1llYXI+PElE
VGV4dD5TY2llbmNlIFN0dWRpZXMgZnJvbSBQb2xlIHRvIFBvbGU6IEEgSG9va2VyLVJlc3Rpdm8g
Q29ubmVjdGlvbj8gKEJvb2sgUmV2aWV3KTwvSURUZXh0PjxQYWdlcz4zMTM8L1BhZ2VzPjxEaXNw
bGF5VGV4dD4oTGF0b3VyLCAxOTg3LCBwLiAxNjI7IExleWRlc2RvcmZmLCAyMDEyLCBwLiAzMjsg
U2xhdWdodGVyIGV0IGFsLiwgMjAwMiwgcC4gMjg2OyBaaW1hbiwgMTk5NmIsIHAuIDMxMyk8L0Rp
c3BsYXlUZXh0PjxyZWNvcmQ+PGtleXdvcmRzPjxrZXl3b3JkPkVkdWNhdGlvbjwva2V5d29yZD48
a2V5d29yZD5Tb2NpYWwgU2NpZW5jZXMgKEdlbmVyYWwpPC9rZXl3b3JkPjxrZXl3b3JkPlNjaWVu
Y2VzIChHZW5lcmFsKTwva2V5d29yZD48L2tleXdvcmRzPjxpc2JuPjAwMjY0Njk1PC9pc2JuPjx0
aXRsZXM+PHRpdGxlPlNjaWVuY2UgU3R1ZGllcyBmcm9tIFBvbGUgdG8gUG9sZTogQSBIb29rZXIt
UmVzdGl2byBDb25uZWN0aW9uPyAoQm9vayBSZXZpZXcpPC90aXRsZT48L3RpdGxlcz48cGFnZXM+
MzA5LTMxNDwvcGFnZXM+PGNvbnRyaWJ1dG9ycz48YXV0aG9ycz48YXV0aG9yPlppbWFuLCBKLiBN
LjwvYXV0aG9yPjwvYXV0aG9ycz48L2NvbnRyaWJ1dG9ycz48YWRkZWQtZGF0ZSBmb3JtYXQ9InV0
YyI+MTU0MjgwODYzNTwvYWRkZWQtZGF0ZT48cmVmLXR5cGUgbmFtZT0iSm91cm5hbCBBcnRpY2xl
Ij4xNzwvcmVmLXR5cGU+PGRhdGVzPjx5ZWFyPjE5OTY8L3llYXI+PC9kYXRlcz48cmVjLW51bWJl
cj43NjgwPC9yZWMtbnVtYmVyPjxsYXN0LXVwZGF0ZWQtZGF0ZSBmb3JtYXQ9InV0YyI+MTU0Mjgx
MjQzNzwvbGFzdC11cGRhdGVkLWRhdGU+PHZvbHVtZT4zNDwvdm9sdW1lPjwvcmVjb3JkPjwvQ2l0
ZT48Q2l0ZT48QXV0aG9yPkxhdG91cjwvQXV0aG9yPjxZZWFyPjE5ODc8L1llYXI+PElEVGV4dD5T
Y2llbmNlIGluIGFjdGlvbjogaG93IHRvIGZvbGxvdyBzY2llbnRpc3RzIGFuZCBlbmdpbmVlcnMg
dGhyb3VnaCBzb2NpZXR5PC9JRFRleHQ+PFBhZ2VzPjE2MjwvUGFnZXM+PHJlY29yZD48a2V5d29y
ZHM+PGtleXdvcmQ+U2NpZW5jZSAtLSBTb2NpYWwgYXNwZWN0czwva2V5d29yZD48a2V5d29yZD5U
ZWNobm9sb2d5IC0tIFNvY2lhbCBhc3BlY3RzPC9rZXl3b3JkPjxrZXl3b3JkPlNjaWVuY2UgLS0g
SGlzdG9yeTwva2V5d29yZD48a2V5d29yZD5TY2llbmNlIC0tIFBoaWxvc29waHk8L2tleXdvcmQ+
PGtleXdvcmQ+Tm9ybWFsIHNjaWVuY2U8L2tleXdvcmQ+PGtleXdvcmQ+UGhpbG9zb3BoeSBvZiBz
Y2llbmNlPC9rZXl3b3JkPjxrZXl3b3JkPlNjaWVuY2UgYW5kIHNvY2lldHk8L2tleXdvcmQ+PGtl
eXdvcmQ+U29jaW9sb2d5IG9mIHNjaWVuY2U8L2tleXdvcmQ+PC9rZXl3b3Jkcz48dGl0bGVzPjx0
aXRsZT5TY2llbmNlIGluIGFjdGlvbjogaG93IHRvIGZvbGxvdyBzY2llbnRpc3RzIGFuZCBlbmdp
bmVlcnMgdGhyb3VnaCBzb2NpZXR5PC90aXRsZT48L3RpdGxlcz48Y29udHJpYnV0b3JzPjxhdXRo
b3JzPjxhdXRob3I+TGF0b3VyLCBCcnVubzwvYXV0aG9yPjwvYXV0aG9ycz48L2NvbnRyaWJ1dG9y
cz48YWRkZWQtZGF0ZSBmb3JtYXQ9InV0YyI+MTU0MjgyNzY1MzwvYWRkZWQtZGF0ZT48cHViLWxv
Y2F0aW9uPkNhbWJyaWRnZSwgTWFzcy48L3B1Yi1sb2NhdGlvbj48cmVmLXR5cGUgbmFtZT0iQm9v
ayI+NjwvcmVmLXR5cGU+PGRhdGVzPjx5ZWFyPjE5ODc8L3llYXI+PC9kYXRlcz48cmVjLW51bWJl
cj43Njg0PC9yZWMtbnVtYmVyPjxwdWJsaXNoZXI+SGFydmFyZCBVbml2ZXJzaXR5IFByZXNzPC9w
dWJsaXNoZXI+PGxhc3QtdXBkYXRlZC1kYXRlIGZvcm1hdD0idXRjIj4xNTQyODI3Njc2PC9sYXN0
LXVwZGF0ZWQtZGF0ZT48L3JlY29yZD48L0NpdGU+PENpdGU+PEF1dGhvcj5MZXlkZXNkb3JmZjwv
QXV0aG9yPjxZZWFyPjIwMTI8L1llYXI+PElEVGV4dD5UaGUgVHJpcGxlIEhlbGl4LCBRdWFkcnVw
bGUgSGVsaXgsIOKApiwgYW5kIGFuIE4gLVR1cGxlIG9mIEhlbGljZXM6IEV4cGxhbmF0b3J5IE1v
ZGVscyBmb3IgQW5hbHl6aW5nIHRoZSBLbm93bGVkZ2UtQmFzZWQgRWNvbm9teT88L0lEVGV4dD48
UGFnZXM+MzI8L1BhZ2VzPjxyZWNvcmQ+PGtleXdvcmRzPjxrZXl3b3JkPlRyaXBsZSBIZWxpeDwv
a2V5d29yZD48a2V5d29yZD4tVHVwbGUgaGVsaWNlczwva2V5d29yZD48a2V5d29yZD5Jbm5vdmF0
aW9uIHN5c3RlbTwva2V5d29yZD48a2V5d29yZD5PdmVybGF5PC9rZXl3b3JkPjxrZXl3b3JkPk1v
ZGVsPC9rZXl3b3JkPjxrZXl3b3JkPk1lYXN1cmVtZW50PC9rZXl3b3JkPjwva2V5d29yZHM+PGlz
Ym4+MTg2OC03ODY1PC9pc2JuPjx0aXRsZXM+PHRpdGxlPlRoZSBUcmlwbGUgSGVsaXgsIFF1YWRy
dXBsZSBIZWxpeCwg4oCmLCBhbmQgYW4gTiAtVHVwbGUgb2YgSGVsaWNlczogRXhwbGFuYXRvcnkg
TW9kZWxzIGZvciBBbmFseXppbmcgdGhlIEtub3dsZWRnZS1CYXNlZCBFY29ub215PzwvdGl0bGU+
PHNlY29uZGFyeS10aXRsZT5Kb3VybmFsIG9mIHRoZSBLbm93bGVkZ2UgRWNvbm9teTwvc2Vjb25k
YXJ5LXRpdGxlPjwvdGl0bGVzPjxwYWdlcz4yNS0zNTwvcGFnZXM+PG51bWJlcj4xPC9udW1iZXI+
PGNvbnRyaWJ1dG9ycz48YXV0aG9ycz48YXV0aG9yPkxleWRlc2RvcmZmLCBMb2V0PC9hdXRob3I+
PC9hdXRob3JzPjwvY29udHJpYnV0b3JzPjxhZGRlZC1kYXRlIGZvcm1hdD0idXRjIj4xNTQ1MzE4
ODU5PC9hZGRlZC1kYXRlPjxwdWItbG9jYXRpb24+Qm9zdG9uPC9wdWItbG9jYXRpb24+PHJlZi10
eXBlIG5hbWU9IkpvdXJuYWwgQXJ0aWNsZSI+MTc8L3JlZi10eXBlPjxkYXRlcz48eWVhcj4yMDEy
PC95ZWFyPjwvZGF0ZXM+PHJlYy1udW1iZXI+NzY5MzwvcmVjLW51bWJlcj48bGFzdC11cGRhdGVk
LWRhdGUgZm9ybWF0PSJ1dGMiPjE1NDUzMTg4NTk8L2xhc3QtdXBkYXRlZC1kYXRlPjxlbGVjdHJv
bmljLXJlc291cmNlLW51bT4xMC4xMDA3L3MxMzEzMi0wMTEtMDA0OS00PC9lbGVjdHJvbmljLXJl
c291cmNlLW51bT48dm9sdW1lPjM8L3ZvbHVtZT48L3JlY29yZD48L0NpdGU+PENpdGU+PEF1dGhv
cj5TbGF1Z2h0ZXI8L0F1dGhvcj48WWVhcj4yMDAyPC9ZZWFyPjxJRFRleHQ+VGhlIOKAnCBUcmFm
Zmlj4oCdIGluIEdyYWR1YXRlIFN0dWRlbnRzOiBHcmFkdWF0ZSBTdHVkZW50cyBhcyBUb2tlbnMg
b2YgRXhjaGFuZ2UgYmV0d2VlbiBBY2FkZW1lIGFuZCBJbmR1c3RyeTwvSURUZXh0PjxQYWdlcz4y
ODY8L1BhZ2VzPjxyZWNvcmQ+PGtleXdvcmRzPjxrZXl3b3JkPlNjaWVuY2VzIChHZW5lcmFsKTwv
a2V5d29yZD48L2tleXdvcmRzPjxpc2JuPjAxNjItMjQzOTwvaXNibj48dGl0bGVzPjx0aXRsZT5U
aGUg4oCcIFRyYWZmaWPigJ0gaW4gR3JhZHVhdGUgU3R1ZGVudHM6IEdyYWR1YXRlIFN0dWRlbnRz
IGFzIFRva2VucyBvZiBFeGNoYW5nZSBiZXR3ZWVuIEFjYWRlbWUgYW5kIEluZHVzdHJ5PC90aXRs
ZT48c2Vjb25kYXJ5LXRpdGxlPlNjaWVuY2UsIFRlY2hub2xvZ3ksICZhbXA7IEh1bWFuIFZhbHVl
czwvc2Vjb25kYXJ5LXRpdGxlPjwvdGl0bGVzPjxwYWdlcz4yODItMzEyPC9wYWdlcz48bnVtYmVy
PjI8L251bWJlcj48Y29udHJpYnV0b3JzPjxhdXRob3JzPjxhdXRob3I+U2xhdWdodGVyLCBTaGVp
bGE8L2F1dGhvcj48YXV0aG9yPkNhbXBiZWxsLCBUZXJlc2E8L2F1dGhvcj48YXV0aG9yPkhvbGxl
bWFuLCBNYXJnYXJldDwvYXV0aG9yPjxhdXRob3I+TW9yZ2FuLCBFZHdhcmQ8L2F1dGhvcj48L2F1
dGhvcnM+PC9jb250cmlidXRvcnM+PGFkZGVkLWRhdGUgZm9ybWF0PSJ1dGMiPjE1NDk5OTAzMDY8
L2FkZGVkLWRhdGU+PHB1Yi1sb2NhdGlvbj5UaG91c2FuZCBPYWtzLCBDQTwvcHViLWxvY2F0aW9u
PjxyZWYtdHlwZSBuYW1lPSJKb3VybmFsIEFydGljbGUiPjE3PC9yZWYtdHlwZT48ZGF0ZXM+PHll
YXI+MjAwMjwveWVhcj48L2RhdGVzPjxyZWMtbnVtYmVyPjc3MzY8L3JlYy1udW1iZXI+PGxhc3Qt
dXBkYXRlZC1kYXRlIGZvcm1hdD0idXRjIj4xNTQ5OTkwMzA2PC9sYXN0LXVwZGF0ZWQtZGF0ZT48
ZWxlY3Ryb25pYy1yZXNvdXJjZS1udW0+MTAuMTE3Ny8wMTYyMjQzOTAyMDI3MDAyMDU8L2VsZWN0
cm9uaWMtcmVzb3VyY2UtbnVtPjx2b2x1bWU+Mjc8L3ZvbHVtZT48L3JlY29yZD48L0NpdGU+PC9F
bmROb3RlPn==
</w:fldData>
        </w:fldChar>
      </w:r>
      <w:r w:rsidR="00DC7B41">
        <w:rPr>
          <w:color w:val="000000"/>
          <w:sz w:val="24"/>
          <w:szCs w:val="24"/>
        </w:rPr>
        <w:instrText xml:space="preserve"> ADDIN EN.CITE.DATA </w:instrText>
      </w:r>
      <w:r w:rsidR="00DC7B41">
        <w:rPr>
          <w:color w:val="000000"/>
          <w:sz w:val="24"/>
          <w:szCs w:val="24"/>
        </w:rPr>
      </w:r>
      <w:r w:rsidR="00DC7B41">
        <w:rPr>
          <w:color w:val="000000"/>
          <w:sz w:val="24"/>
          <w:szCs w:val="24"/>
        </w:rPr>
        <w:fldChar w:fldCharType="end"/>
      </w:r>
      <w:r w:rsidR="00DC7B41" w:rsidRPr="001C1917">
        <w:rPr>
          <w:color w:val="000000"/>
          <w:sz w:val="24"/>
          <w:szCs w:val="24"/>
        </w:rPr>
      </w:r>
      <w:r w:rsidR="00DC7B41" w:rsidRPr="001C1917">
        <w:rPr>
          <w:color w:val="000000"/>
          <w:sz w:val="24"/>
          <w:szCs w:val="24"/>
        </w:rPr>
        <w:fldChar w:fldCharType="separate"/>
      </w:r>
      <w:r w:rsidR="00DC7B41">
        <w:rPr>
          <w:noProof/>
          <w:color w:val="000000"/>
          <w:sz w:val="24"/>
          <w:szCs w:val="24"/>
        </w:rPr>
        <w:t>(Latour, 1987, p. 162; Leydesdorff, 2012, p. 32; Slaughter et al., 2002, p. 286; Ziman, 1996b, p. 313)</w:t>
      </w:r>
      <w:r w:rsidR="00DC7B41" w:rsidRPr="001C1917">
        <w:rPr>
          <w:color w:val="000000"/>
          <w:sz w:val="24"/>
          <w:szCs w:val="24"/>
        </w:rPr>
        <w:fldChar w:fldCharType="end"/>
      </w:r>
      <w:r w:rsidR="00DC7B41">
        <w:rPr>
          <w:color w:val="000000"/>
          <w:sz w:val="24"/>
          <w:szCs w:val="24"/>
        </w:rPr>
        <w:t xml:space="preserve"> in which powerful political, commercial and military interest groups aim</w:t>
      </w:r>
      <w:r w:rsidR="00DC7B41" w:rsidRPr="001C1917">
        <w:rPr>
          <w:color w:val="000000"/>
          <w:sz w:val="24"/>
          <w:szCs w:val="24"/>
        </w:rPr>
        <w:t xml:space="preserve"> to “control” </w:t>
      </w:r>
      <w:r w:rsidR="00DC7B41" w:rsidRPr="001C1917">
        <w:rPr>
          <w:color w:val="000000"/>
          <w:sz w:val="24"/>
          <w:szCs w:val="24"/>
        </w:rPr>
        <w:fldChar w:fldCharType="begin"/>
      </w:r>
      <w:r w:rsidR="00DC7B41" w:rsidRPr="001C1917">
        <w:rPr>
          <w:color w:val="000000"/>
          <w:sz w:val="24"/>
          <w:szCs w:val="24"/>
        </w:rPr>
        <w:instrText xml:space="preserve"> ADDIN EN.CITE &lt;EndNote&gt;&lt;Cite&gt;&lt;Author&gt;Bensaude-Vincent&lt;/Author&gt;&lt;Year&gt;2011&lt;/Year&gt;&lt;IDText&gt;Matters of Interest: The Objects of Research in Science and Technoscience&lt;/IDText&gt;&lt;Pages&gt;366&lt;/Pages&gt;&lt;DisplayText&gt;(Bensaude-Vincent, Loeve, Nordmann, &amp;amp; Schwarz, 2011, p. 366)&lt;/DisplayText&gt;&lt;record&gt;&lt;keywords&gt;&lt;keyword&gt;Ontology&lt;/keyword&gt;&lt;keyword&gt;Research objects&lt;/keyword&gt;&lt;keyword&gt;Technoscience&lt;/keyword&gt;&lt;keyword&gt;Dispositions&lt;/keyword&gt;&lt;keyword&gt;Affordances&lt;/keyword&gt;&lt;keyword&gt;Philosophy of scientific experimentation&lt;/keyword&gt;&lt;/keywords&gt;&lt;isbn&gt;0925-4560&lt;/isbn&gt;&lt;titles&gt;&lt;title&gt;Matters of Interest: The Objects of Research in Science and Technoscience&lt;/title&gt;&lt;secondary-title&gt;Journal for General Philosophy of Science&lt;/secondary-title&gt;&lt;/titles&gt;&lt;pages&gt;365-383&lt;/pages&gt;&lt;number&gt;2&lt;/number&gt;&lt;contributors&gt;&lt;authors&gt;&lt;author&gt;Bensaude-Vincent, Bernadette&lt;/author&gt;&lt;author&gt;Loeve, Sacha&lt;/author&gt;&lt;author&gt;Nordmann, Alfred&lt;/author&gt;&lt;author&gt;Schwarz, Astrid&lt;/author&gt;&lt;/authors&gt;&lt;/contributors&gt;&lt;added-date format="utc"&gt;1542813302&lt;/added-date&gt;&lt;pub-location&gt;Dordrecht&lt;/pub-location&gt;&lt;ref-type name="Journal Article"&gt;17&lt;/ref-type&gt;&lt;dates&gt;&lt;year&gt;2011&lt;/year&gt;&lt;/dates&gt;&lt;rec-number&gt;7682&lt;/rec-number&gt;&lt;last-updated-date format="utc"&gt;1542813302&lt;/last-updated-date&gt;&lt;electronic-resource-num&gt;10.1007/s10838-011-9172-y&lt;/electronic-resource-num&gt;&lt;volume&gt;42&lt;/volume&gt;&lt;/record&gt;&lt;/Cite&gt;&lt;/EndNote&gt;</w:instrText>
      </w:r>
      <w:r w:rsidR="00DC7B41" w:rsidRPr="001C1917">
        <w:rPr>
          <w:color w:val="000000"/>
          <w:sz w:val="24"/>
          <w:szCs w:val="24"/>
        </w:rPr>
        <w:fldChar w:fldCharType="separate"/>
      </w:r>
      <w:r w:rsidR="00DC7B41" w:rsidRPr="001C1917">
        <w:rPr>
          <w:noProof/>
          <w:color w:val="000000"/>
          <w:sz w:val="24"/>
          <w:szCs w:val="24"/>
        </w:rPr>
        <w:t>(Bensaude-Vincent, Loeve, Nordmann, &amp; Schwarz, 2011, p. 366)</w:t>
      </w:r>
      <w:r w:rsidR="00DC7B41" w:rsidRPr="001C1917">
        <w:rPr>
          <w:color w:val="000000"/>
          <w:sz w:val="24"/>
          <w:szCs w:val="24"/>
        </w:rPr>
        <w:fldChar w:fldCharType="end"/>
      </w:r>
      <w:r w:rsidR="00DC7B41" w:rsidRPr="001C1917">
        <w:rPr>
          <w:color w:val="000000"/>
          <w:sz w:val="24"/>
          <w:szCs w:val="24"/>
        </w:rPr>
        <w:t xml:space="preserve"> and “construct” </w:t>
      </w:r>
      <w:r w:rsidR="00DC7B41" w:rsidRPr="001C1917">
        <w:rPr>
          <w:color w:val="000000"/>
          <w:sz w:val="24"/>
          <w:szCs w:val="24"/>
        </w:rPr>
        <w:fldChar w:fldCharType="begin"/>
      </w:r>
      <w:r w:rsidR="00DC7B41" w:rsidRPr="001C1917">
        <w:rPr>
          <w:color w:val="000000"/>
          <w:sz w:val="24"/>
          <w:szCs w:val="24"/>
        </w:rPr>
        <w:instrText xml:space="preserve"> ADDIN EN.CITE &lt;EndNote&gt;&lt;Cite&gt;&lt;Author&gt;Schmidt&lt;/Author&gt;&lt;Year&gt;2011&lt;/Year&gt;&lt;IDText&gt;Toward an epistemology of nano- technosciences&lt;/IDText&gt;&lt;Pages&gt;104&lt;/Pages&gt;&lt;DisplayText&gt;(Schmidt, 2011, p. 104)&lt;/DisplayText&gt;&lt;record&gt;&lt;keywords&gt;&lt;keyword&gt;Prevalence Studies (Epidemiology) -- Analysis&lt;/keyword&gt;&lt;keyword&gt;Prevalence Studies (Epidemiology) -- Investigations&lt;/keyword&gt;&lt;/keywords&gt;&lt;isbn&gt;1615-6609&lt;/isbn&gt;&lt;titles&gt;&lt;title&gt;Toward an epistemology of nano- technosciences&lt;/title&gt;&lt;secondary-title&gt;International Journal of Ethics of Science and Technology Assessment&lt;/secondary-title&gt;&lt;/titles&gt;&lt;pages&gt;103-124&lt;/pages&gt;&lt;number&gt;2&lt;/number&gt;&lt;contributors&gt;&lt;authors&gt;&lt;author&gt;Schmidt, Jan&lt;/author&gt;&lt;/authors&gt;&lt;/contributors&gt;&lt;added-date format="utc"&gt;1542813857&lt;/added-date&gt;&lt;pub-location&gt;Berlin/Heidelberg&lt;/pub-location&gt;&lt;ref-type name="Journal Article"&gt;17&lt;/ref-type&gt;&lt;dates&gt;&lt;year&gt;2011&lt;/year&gt;&lt;/dates&gt;&lt;rec-number&gt;7683&lt;/rec-number&gt;&lt;last-updated-date format="utc"&gt;1542813857&lt;/last-updated-date&gt;&lt;electronic-resource-num&gt;10.1007/s10202-011-0104-z&lt;/electronic-resource-num&gt;&lt;volume&gt;8&lt;/volume&gt;&lt;/record&gt;&lt;/Cite&gt;&lt;/EndNote&gt;</w:instrText>
      </w:r>
      <w:r w:rsidR="00DC7B41" w:rsidRPr="001C1917">
        <w:rPr>
          <w:color w:val="000000"/>
          <w:sz w:val="24"/>
          <w:szCs w:val="24"/>
        </w:rPr>
        <w:fldChar w:fldCharType="separate"/>
      </w:r>
      <w:r w:rsidR="00DC7B41" w:rsidRPr="001C1917">
        <w:rPr>
          <w:noProof/>
          <w:color w:val="000000"/>
          <w:sz w:val="24"/>
          <w:szCs w:val="24"/>
        </w:rPr>
        <w:t>(Schmidt, 2011, p. 104)</w:t>
      </w:r>
      <w:r w:rsidR="00DC7B41" w:rsidRPr="001C1917">
        <w:rPr>
          <w:color w:val="000000"/>
          <w:sz w:val="24"/>
          <w:szCs w:val="24"/>
        </w:rPr>
        <w:fldChar w:fldCharType="end"/>
      </w:r>
      <w:r w:rsidR="00DC7B41" w:rsidRPr="001C1917">
        <w:rPr>
          <w:color w:val="000000"/>
          <w:sz w:val="24"/>
          <w:szCs w:val="24"/>
        </w:rPr>
        <w:t xml:space="preserve"> </w:t>
      </w:r>
      <w:r w:rsidR="00DC7B41">
        <w:rPr>
          <w:color w:val="000000"/>
          <w:sz w:val="24"/>
          <w:szCs w:val="24"/>
        </w:rPr>
        <w:t>the social world via technological projects which universities must contribute to in order to survive</w:t>
      </w:r>
      <w:r w:rsidR="00C33D30">
        <w:rPr>
          <w:color w:val="000000"/>
          <w:sz w:val="24"/>
          <w:szCs w:val="24"/>
        </w:rPr>
        <w:t xml:space="preserve"> </w:t>
      </w:r>
      <w:r w:rsidR="007931EE">
        <w:rPr>
          <w:color w:val="000000"/>
          <w:sz w:val="24"/>
          <w:szCs w:val="24"/>
        </w:rPr>
        <w:t>(see Kantasalmi &amp; Tuunainen, 2018, pp. 348-352 for a case study)</w:t>
      </w:r>
      <w:r w:rsidR="00DC7B41">
        <w:rPr>
          <w:color w:val="000000"/>
          <w:sz w:val="24"/>
          <w:szCs w:val="24"/>
        </w:rPr>
        <w:t xml:space="preserve">. Either way, the heavy ‘transaction costs’ identified in some cases </w:t>
      </w:r>
      <w:r w:rsidR="005F5202">
        <w:rPr>
          <w:color w:val="000000"/>
          <w:sz w:val="24"/>
          <w:szCs w:val="24"/>
        </w:rPr>
        <w:t xml:space="preserve">have </w:t>
      </w:r>
      <w:r w:rsidR="00DC7B41">
        <w:rPr>
          <w:color w:val="000000"/>
          <w:sz w:val="24"/>
          <w:szCs w:val="24"/>
        </w:rPr>
        <w:t>resulted in calls for greater</w:t>
      </w:r>
      <w:r w:rsidR="00DC7B41">
        <w:rPr>
          <w:iCs/>
          <w:sz w:val="24"/>
          <w:szCs w:val="24"/>
        </w:rPr>
        <w:t xml:space="preserve"> </w:t>
      </w:r>
      <w:r w:rsidR="00DC7B41" w:rsidRPr="007425EE">
        <w:rPr>
          <w:iCs/>
          <w:sz w:val="24"/>
          <w:szCs w:val="24"/>
        </w:rPr>
        <w:t>“insulation</w:t>
      </w:r>
      <w:r w:rsidR="00DC7B41">
        <w:rPr>
          <w:iCs/>
          <w:sz w:val="24"/>
          <w:szCs w:val="24"/>
        </w:rPr>
        <w:t xml:space="preserve"> ... [and] </w:t>
      </w:r>
      <w:r w:rsidR="00DC7B41" w:rsidRPr="007425EE">
        <w:rPr>
          <w:iCs/>
          <w:sz w:val="24"/>
          <w:szCs w:val="24"/>
        </w:rPr>
        <w:t>shelter from external pressures” (May &amp; Perry, 2013a, p. 206)</w:t>
      </w:r>
      <w:r w:rsidR="00DC7B41">
        <w:rPr>
          <w:iCs/>
          <w:sz w:val="24"/>
          <w:szCs w:val="24"/>
        </w:rPr>
        <w:t xml:space="preserve"> so that the need to focus attention on such outputs can be reduced. </w:t>
      </w:r>
    </w:p>
    <w:p w14:paraId="3D25F064" w14:textId="01485AF0" w:rsidR="00DC7B41" w:rsidRPr="006929DB" w:rsidRDefault="00DC7B41" w:rsidP="001F5DB2">
      <w:pPr>
        <w:autoSpaceDE w:val="0"/>
        <w:autoSpaceDN w:val="0"/>
        <w:adjustRightInd w:val="0"/>
        <w:spacing w:after="120" w:line="360" w:lineRule="auto"/>
        <w:rPr>
          <w:iCs/>
          <w:sz w:val="24"/>
          <w:szCs w:val="24"/>
        </w:rPr>
      </w:pPr>
      <w:r>
        <w:rPr>
          <w:iCs/>
          <w:sz w:val="24"/>
          <w:szCs w:val="24"/>
        </w:rPr>
        <w:t xml:space="preserve">My own analysis will </w:t>
      </w:r>
      <w:r w:rsidR="003945EC">
        <w:rPr>
          <w:iCs/>
          <w:sz w:val="24"/>
          <w:szCs w:val="24"/>
        </w:rPr>
        <w:t>examine</w:t>
      </w:r>
      <w:r>
        <w:rPr>
          <w:iCs/>
          <w:sz w:val="24"/>
          <w:szCs w:val="24"/>
        </w:rPr>
        <w:t xml:space="preserve"> the role of boundary-transacting research outputs in </w:t>
      </w:r>
      <w:r w:rsidR="003945EC">
        <w:rPr>
          <w:iCs/>
          <w:sz w:val="24"/>
          <w:szCs w:val="24"/>
        </w:rPr>
        <w:t xml:space="preserve">the </w:t>
      </w:r>
      <w:r>
        <w:rPr>
          <w:iCs/>
          <w:sz w:val="24"/>
          <w:szCs w:val="24"/>
        </w:rPr>
        <w:t xml:space="preserve">sampled </w:t>
      </w:r>
      <w:r w:rsidR="005E03F9">
        <w:rPr>
          <w:iCs/>
          <w:sz w:val="24"/>
          <w:szCs w:val="24"/>
        </w:rPr>
        <w:t xml:space="preserve">bodies </w:t>
      </w:r>
      <w:r>
        <w:rPr>
          <w:iCs/>
          <w:sz w:val="24"/>
          <w:szCs w:val="24"/>
        </w:rPr>
        <w:t>of STEMM research. Analysis of such outputs and the value they provide in terms of both non-academic impact and the advancement of the academic mission will feed into my broader analysis of the power and control over academic boundaries and STEMM research.</w:t>
      </w:r>
    </w:p>
    <w:p w14:paraId="7383EEB6" w14:textId="7CBF5C10" w:rsidR="00DC7B41" w:rsidRDefault="005656B9" w:rsidP="00DC7B41">
      <w:pPr>
        <w:pStyle w:val="Heading3"/>
      </w:pPr>
      <w:bookmarkStart w:id="40" w:name="_Toc31701952"/>
      <w:r>
        <w:t>Boundary s</w:t>
      </w:r>
      <w:r w:rsidR="00DC7B41">
        <w:t>tructures</w:t>
      </w:r>
      <w:bookmarkEnd w:id="40"/>
    </w:p>
    <w:p w14:paraId="2769B9C6" w14:textId="3142E631" w:rsidR="00DC7B41" w:rsidRDefault="00DC7B41" w:rsidP="001F5DB2">
      <w:pPr>
        <w:spacing w:after="120" w:line="360" w:lineRule="auto"/>
        <w:rPr>
          <w:rFonts w:eastAsia="AdvTimes"/>
          <w:sz w:val="24"/>
          <w:szCs w:val="24"/>
        </w:rPr>
      </w:pPr>
      <w:r>
        <w:rPr>
          <w:sz w:val="24"/>
          <w:szCs w:val="24"/>
        </w:rPr>
        <w:t xml:space="preserve">A range of “boundary structures” </w:t>
      </w:r>
      <w:r>
        <w:rPr>
          <w:sz w:val="24"/>
          <w:szCs w:val="24"/>
        </w:rPr>
        <w:fldChar w:fldCharType="begin"/>
      </w:r>
      <w:r>
        <w:rPr>
          <w:sz w:val="24"/>
          <w:szCs w:val="24"/>
        </w:rPr>
        <w:instrText xml:space="preserve"> ADDIN EN.CITE &lt;EndNote&gt;&lt;Cite&gt;&lt;Author&gt;Chau&lt;/Author&gt;&lt;Year&gt;2017&lt;/Year&gt;&lt;IDText&gt;Aligning university–industry interactions: The role of boundary spanning in intellectual capital transfer&lt;/IDText&gt;&lt;Pages&gt;200&lt;/Pages&gt;&lt;DisplayText&gt;(Chau, Gilman, &amp;amp; Serbanica, 2017, p. 200)&lt;/DisplayText&gt;&lt;record&gt;&lt;keywords&gt;&lt;keyword&gt;University–Industry Interactions&lt;/keyword&gt;&lt;keyword&gt;Boundary Units in Universities&lt;/keyword&gt;&lt;keyword&gt;Knowledge Transfer Offices&lt;/keyword&gt;&lt;keyword&gt;Organizational Alignment&lt;/keyword&gt;&lt;keyword&gt;Instrumental Case Study&lt;/keyword&gt;&lt;/keywords&gt;&lt;isbn&gt;0040-1625&lt;/isbn&gt;&lt;titles&gt;&lt;title&gt;Aligning university–industry interactions: The role of boundary spanning in intellectual capital transfer&lt;/title&gt;&lt;secondary-title&gt;Technological Forecasting &amp;amp; Social Change&lt;/secondary-title&gt;&lt;/titles&gt;&lt;pages&gt;199-209&lt;/pages&gt;&lt;number&gt;C&lt;/number&gt;&lt;contributors&gt;&lt;authors&gt;&lt;author&gt;Chau, Vinh Sum&lt;/author&gt;&lt;author&gt;Gilman, Mark&lt;/author&gt;&lt;author&gt;Serbanica, Cristina&lt;/author&gt;&lt;/authors&gt;&lt;/contributors&gt;&lt;added-date format="utc"&gt;1549201314&lt;/added-date&gt;&lt;ref-type name="Journal Article"&gt;17&lt;/ref-type&gt;&lt;dates&gt;&lt;year&gt;2017&lt;/year&gt;&lt;/dates&gt;&lt;rec-number&gt;7719&lt;/rec-number&gt;&lt;last-updated-date format="utc"&gt;1549201314&lt;/last-updated-date&gt;&lt;electronic-resource-num&gt;10.1016/j.techfore.2016.03.013&lt;/electronic-resource-num&gt;&lt;volume&gt;123&lt;/volume&gt;&lt;/record&gt;&lt;/Cite&gt;&lt;/EndNote&gt;</w:instrText>
      </w:r>
      <w:r>
        <w:rPr>
          <w:sz w:val="24"/>
          <w:szCs w:val="24"/>
        </w:rPr>
        <w:fldChar w:fldCharType="separate"/>
      </w:r>
      <w:r>
        <w:rPr>
          <w:noProof/>
          <w:sz w:val="24"/>
          <w:szCs w:val="24"/>
        </w:rPr>
        <w:t>(Chau, Gilman, &amp; Serbanica, 2017, p. 200)</w:t>
      </w:r>
      <w:r>
        <w:rPr>
          <w:sz w:val="24"/>
          <w:szCs w:val="24"/>
        </w:rPr>
        <w:fldChar w:fldCharType="end"/>
      </w:r>
      <w:r>
        <w:rPr>
          <w:sz w:val="24"/>
          <w:szCs w:val="24"/>
        </w:rPr>
        <w:t xml:space="preserve"> or “boundary organization[s]” </w:t>
      </w:r>
      <w:r w:rsidRPr="00D03DD0">
        <w:rPr>
          <w:sz w:val="24"/>
          <w:szCs w:val="24"/>
        </w:rPr>
        <w:fldChar w:fldCharType="begin"/>
      </w:r>
      <w:r w:rsidRPr="00D03DD0">
        <w:rPr>
          <w:sz w:val="24"/>
          <w:szCs w:val="24"/>
        </w:rPr>
        <w:instrText xml:space="preserve"> ADDIN EN.CITE &lt;EndNote&gt;&lt;Cite&gt;&lt;Author&gt;Guston&lt;/Author&gt;&lt;Year&gt;1999&lt;/Year&gt;&lt;IDText&gt;Stabilizing the Boundary between US Politics and Science: The Rôle of the Office of Technology Transfer as a Boundary Organization&lt;/IDText&gt;&lt;Pages&gt;88&lt;/Pages&gt;&lt;DisplayText&gt;(Guston, 1999, p. 88)&lt;/DisplayText&gt;&lt;record&gt;&lt;keywords&gt;&lt;keyword&gt;Sciences (General)&lt;/keyword&gt;&lt;keyword&gt;Social Sciences (General)&lt;/keyword&gt;&lt;/keywords&gt;&lt;isbn&gt;0306-3127&lt;/isbn&gt;&lt;titles&gt;&lt;title&gt;Stabilizing the Boundary between US Politics and Science: The Rôle of the Office of Technology Transfer as a Boundary Organization&lt;/title&gt;&lt;secondary-title&gt;Social Studies of Science&lt;/secondary-title&gt;&lt;/titles&gt;&lt;pages&gt;87-111&lt;/pages&gt;&lt;number&gt;1&lt;/number&gt;&lt;contributors&gt;&lt;authors&gt;&lt;author&gt;Guston, David H.&lt;/author&gt;&lt;/authors&gt;&lt;/contributors&gt;&lt;added-date format="utc"&gt;1534167512&lt;/added-date&gt;&lt;pub-location&gt;London&lt;/pub-location&gt;&lt;ref-type name="Journal Article"&gt;17&lt;/ref-type&gt;&lt;dates&gt;&lt;year&gt;1999&lt;/year&gt;&lt;/dates&gt;&lt;rec-number&gt;7629&lt;/rec-number&gt;&lt;last-updated-date format="utc"&gt;1534167512&lt;/last-updated-date&gt;&lt;electronic-resource-num&gt;10.1177/030631299029001004&lt;/electronic-resource-num&gt;&lt;volume&gt;29&lt;/volume&gt;&lt;/record&gt;&lt;/Cite&gt;&lt;/EndNote&gt;</w:instrText>
      </w:r>
      <w:r w:rsidRPr="00D03DD0">
        <w:rPr>
          <w:sz w:val="24"/>
          <w:szCs w:val="24"/>
        </w:rPr>
        <w:fldChar w:fldCharType="separate"/>
      </w:r>
      <w:r w:rsidRPr="00D03DD0">
        <w:rPr>
          <w:noProof/>
          <w:sz w:val="24"/>
          <w:szCs w:val="24"/>
        </w:rPr>
        <w:t>(Guston, 1999, p. 88)</w:t>
      </w:r>
      <w:r w:rsidRPr="00D03DD0">
        <w:rPr>
          <w:sz w:val="24"/>
          <w:szCs w:val="24"/>
        </w:rPr>
        <w:fldChar w:fldCharType="end"/>
      </w:r>
      <w:r>
        <w:t xml:space="preserve"> </w:t>
      </w:r>
      <w:r>
        <w:rPr>
          <w:sz w:val="24"/>
          <w:szCs w:val="24"/>
        </w:rPr>
        <w:t>have been identified which serve to link universities to collaborators, users, beneficiaries and markets. Boundary structures have long been recognised as important for universities’ third mission.</w:t>
      </w:r>
      <w:r>
        <w:rPr>
          <w:rFonts w:eastAsia="AdvTimes"/>
          <w:sz w:val="24"/>
          <w:szCs w:val="24"/>
        </w:rPr>
        <w:t xml:space="preserve"> CERI (1982) highlighted favourably examples of what they refer to as “horizontal or transversal structures” (p. 43), arguably the first form of which w</w:t>
      </w:r>
      <w:r w:rsidR="005641C8">
        <w:rPr>
          <w:rFonts w:eastAsia="AdvTimes"/>
          <w:sz w:val="24"/>
          <w:szCs w:val="24"/>
        </w:rPr>
        <w:t>ere</w:t>
      </w:r>
      <w:r>
        <w:rPr>
          <w:rFonts w:eastAsia="AdvTimes"/>
          <w:sz w:val="24"/>
          <w:szCs w:val="24"/>
        </w:rPr>
        <w:t xml:space="preserve"> “the so-called science shops in The Netherlands in the 1970s ... [which] linked university researchers to civil society organisations in a broader attempt to democratize both science and society” </w:t>
      </w:r>
      <w:r>
        <w:rPr>
          <w:iCs/>
          <w:sz w:val="24"/>
          <w:szCs w:val="24"/>
        </w:rPr>
        <w:fldChar w:fldCharType="begin"/>
      </w:r>
      <w:r>
        <w:rPr>
          <w:iCs/>
          <w:sz w:val="24"/>
          <w:szCs w:val="24"/>
        </w:rPr>
        <w:instrText xml:space="preserve"> ADDIN EN.CITE &lt;EndNote&gt;&lt;Cite&gt;&lt;Author&gt;Taheri&lt;/Author&gt;&lt;Year&gt;2016&lt;/Year&gt;&lt;IDText&gt;Teams&amp;apos; boundary- spanning capacity at university: Performance of technology projects in commercialization&lt;/IDText&gt;&lt;Pages&gt;32&lt;/Pages&gt;&lt;DisplayText&gt;(Taheri &amp;amp; van Geenhuizen, 2016, p. 32)&lt;/DisplayText&gt;&lt;record&gt;&lt;keywords&gt;&lt;keyword&gt;Universities&lt;/keyword&gt;&lt;keyword&gt;Technology Projects&lt;/keyword&gt;&lt;keyword&gt;Commercialization&lt;/keyword&gt;&lt;keyword&gt;Collaboration&lt;/keyword&gt;&lt;keyword&gt;Co-Creation&lt;/keyword&gt;&lt;keyword&gt;Boundary- Spanning&lt;/keyword&gt;&lt;keyword&gt;The Netherlands&lt;/keyword&gt;&lt;/keywords&gt;&lt;isbn&gt;0040-1625&lt;/isbn&gt;&lt;titles&gt;&lt;title&gt;Teams&amp;apos; boundary- spanning capacity at university: Performance of technology projects in commercialization&lt;/title&gt;&lt;secondary-title&gt;Technological Forecasting &amp;amp; Social Change&lt;/secondary-title&gt;&lt;/titles&gt;&lt;pages&gt;31-43&lt;/pages&gt;&lt;contributors&gt;&lt;authors&gt;&lt;author&gt;Taheri, Mozhdeh&lt;/author&gt;&lt;author&gt;van Geenhuizen, Marina&lt;/author&gt;&lt;/authors&gt;&lt;/contributors&gt;&lt;added-date format="utc"&gt;1548964557&lt;/added-date&gt;&lt;ref-type name="Journal Article"&gt;17&lt;/ref-type&gt;&lt;dates&gt;&lt;year&gt;2016&lt;/year&gt;&lt;/dates&gt;&lt;rec-number&gt;7708&lt;/rec-number&gt;&lt;last-updated-date format="utc"&gt;1548964557&lt;/last-updated-date&gt;&lt;electronic-resource-num&gt;10.1016/j.techfore.2016.06.003&lt;/electronic-resource-num&gt;&lt;volume&gt;111&lt;/volume&gt;&lt;/record&gt;&lt;/Cite&gt;&lt;/EndNote&gt;</w:instrText>
      </w:r>
      <w:r>
        <w:rPr>
          <w:iCs/>
          <w:sz w:val="24"/>
          <w:szCs w:val="24"/>
        </w:rPr>
        <w:fldChar w:fldCharType="separate"/>
      </w:r>
      <w:r>
        <w:rPr>
          <w:iCs/>
          <w:noProof/>
          <w:sz w:val="24"/>
          <w:szCs w:val="24"/>
        </w:rPr>
        <w:t>(Taheri &amp; van Geenhuizen, 2016, p. 32)</w:t>
      </w:r>
      <w:r>
        <w:rPr>
          <w:iCs/>
          <w:sz w:val="24"/>
          <w:szCs w:val="24"/>
        </w:rPr>
        <w:fldChar w:fldCharType="end"/>
      </w:r>
      <w:r>
        <w:rPr>
          <w:iCs/>
          <w:sz w:val="24"/>
          <w:szCs w:val="24"/>
        </w:rPr>
        <w:t xml:space="preserve">. </w:t>
      </w:r>
      <w:r>
        <w:rPr>
          <w:rFonts w:eastAsia="AdvTimes"/>
          <w:sz w:val="24"/>
          <w:szCs w:val="24"/>
        </w:rPr>
        <w:t xml:space="preserve">Regional ‘university centers’, such as found in Finland, continue this explicit third mission goal, partnering with other organisations to bring certain academic activities and offerings to regions without a university </w:t>
      </w:r>
      <w:r>
        <w:rPr>
          <w:rFonts w:eastAsia="AdvTimes"/>
          <w:sz w:val="24"/>
          <w:szCs w:val="24"/>
        </w:rPr>
        <w:fldChar w:fldCharType="begin">
          <w:fldData xml:space="preserve">PEVuZE5vdGU+PENpdGUgRXhjbHVkZUF1dGg9IjEiIEV4Y2x1ZGVZZWFyPSIxIj48QXV0aG9yPlZh
a2t1cmk8L0F1dGhvcj48WWVhcj4yMDA0PC9ZZWFyPjxJRFRleHQ+SW5zdGl0dXRpb25hbCBDaGFu
Z2Ugb2YgVW5pdmVyc2l0aWVzIGFzIGEgUHJvYmxlbSBvZiBFdm9sdmluZyBCb3VuZGFyaWVzPC9J
RFRleHQ+PERpc3BsYXlUZXh0PihWYWtrdXJpLCAyMDA0LCBwLiAzMDE7IHNlZSBhbHNvIEzDpGh0
ZWVubcOka2ktU21pdGgsIDIwMTQ7IFZhcmlhaW5lbiAmYW1wOyBWaWlyaSwgMjAwNSk8L0Rpc3Bs
YXlUZXh0PjxyZWNvcmQ+PGlzYm4+MDk1Mi04NzMzPC9pc2JuPjx0aXRsZXM+PHRpdGxlPkluc3Rp
dHV0aW9uYWwgQ2hhbmdlIG9mIFVuaXZlcnNpdGllcyBhcyBhIFByb2JsZW0gb2YgRXZvbHZpbmcg
Qm91bmRhcmllczwvdGl0bGU+PHNlY29uZGFyeS10aXRsZT5IaWdoZXIgZWR1Y2F0aW9uIHBvbGlj
eS48L3NlY29uZGFyeS10aXRsZT48L3RpdGxlcz48cGFnZXM+Mjg3LTMwOTwvcGFnZXM+PG51bWJl
cj4zPC9udW1iZXI+PGNvbnRyaWJ1dG9ycz48YXV0aG9ycz48YXV0aG9yPlZha2t1cmksIEphcm1v
PC9hdXRob3I+PC9hdXRob3JzPjwvY29udHJpYnV0b3JzPjxhZGRlZC1kYXRlIGZvcm1hdD0idXRj
Ij4xNTQ4NjgzMjgyPC9hZGRlZC1kYXRlPjxwdWItbG9jYXRpb24+T3hmb3JkIDs8L3B1Yi1sb2Nh
dGlvbj48cmVmLXR5cGUgbmFtZT0iSm91cm5hbCBBcnRpY2xlIj4xNzwvcmVmLXR5cGU+PGRhdGVz
Pjx5ZWFyPjIwMDQ8L3llYXI+PC9kYXRlcz48cmVjLW51bWJlcj43Njk5PC9yZWMtbnVtYmVyPjxs
YXN0LXVwZGF0ZWQtZGF0ZSBmb3JtYXQ9InV0YyI+MTU0ODY4MzI4MjwvbGFzdC11cGRhdGVkLWRh
dGU+PGVsZWN0cm9uaWMtcmVzb3VyY2UtbnVtPjEwLjEwNTcvcGFsZ3JhdmUuaGVwLjgzMDAwNTY8
L2VsZWN0cm9uaWMtcmVzb3VyY2UtbnVtPjx2b2x1bWU+MTc8L3ZvbHVtZT48L3JlY29yZD48L0Np
dGU+PENpdGU+PEF1dGhvcj5Mw6RodGVlbm3DpGtpLVNtaXRoPC9BdXRob3I+PFllYXI+MjAxNDwv
WWVhcj48SURUZXh0PkltcGxlbWVudGluZyBJbm5vdmF0aW9uIFBvbGljeTwvSURUZXh0PjxQcmVm
aXg+VmFra3VyaWAsIDIwMDRgLCBwLiAzMDFgOyBzZWUgYWxzbyA8L1ByZWZpeD48cmVjb3JkPjxr
ZXl3b3Jkcz48a2V5d29yZD5JbmZvcm1hdGlvbiB0ZWNobm9sb2d5IC0tIEZpbmxhbmQ8L2tleXdv
cmQ+PGtleXdvcmQ+S25vd2xlZGdlIG1hbmFnZW1lbnQgLS0gRmlubGFuZDwva2V5d29yZD48a2V5
d29yZD5IaWdoIHRlY2hub2xvZ3kgaW5kdXN0cmllcyAtLSBFY29ub21pYyBhc3BlY3RzIC0tIEZp
bmxhbmQ8L2tleXdvcmQ+PGtleXdvcmQ+S25vd2xlZGdlIGVjb25vbXkgLS0gRmlubGFuZDwva2V5
d29yZD48a2V5d29yZD5FY29ub21pY3M8L2tleXdvcmQ+PGtleXdvcmQ+SW5kdXN0cmllczwva2V5
d29yZD48a2V5d29yZD5NYW5hZ2VtZW50PC9rZXl3b3JkPjxrZXl3b3JkPkluZm9ybWF0aW9uIHRl
Y2hub2xvZ3k8L2tleXdvcmQ+PGtleXdvcmQ+SW50ZWxsZWN0dWFsIGNhcGl0YWw8L2tleXdvcmQ+
PGtleXdvcmQ+T3JnYW5pemF0aW9uYWwgbGVhcm5pbmc8L2tleXdvcmQ+PGtleXdvcmQ+VGVjaG5v
bG9neTwva2V5d29yZD48a2V5d29yZD5UZWxlbWF0aWNzPC9rZXl3b3JkPjxrZXl3b3JkPkluZm9y
bWF0aW9uIHN1cGVyaGlnaHdheTwva2V5d29yZD48a2V5d29yZD5Lbm93bGVkZ2UgbWFuYWdlbWVu
dDwva2V5d29yZD48a2V5d29yZD5FbGVjdHJvbmljIGJvb2tzPC9rZXl3b3JkPjwva2V5d29yZHM+
PHRpdGxlcz48dGl0bGU+SW1wbGVtZW50aW5nIElubm92YXRpb24gUG9saWN5PC90aXRsZT48c2Vj
b25kYXJ5LXRpdGxlPkZpbmxhbmQgwqBhcyBhIGtub3dsZWRnZSBlY29ub215IDIuMDogbGVzc29u
cyBvbiBwb2xpY2llcyBhbmQgZ292ZXJuYW5jZTwvc2Vjb25kYXJ5LXRpdGxlPjwvdGl0bGVzPjxj
b250cmlidXRvcnM+PGF1dGhvcnM+PGF1dGhvcj5Mw6RodGVlbm3DpGtpLVNtaXRoLCBLYWlzYTwv
YXV0aG9yPjwvYXV0aG9ycz48L2NvbnRyaWJ1dG9ycz48YWRkZWQtZGF0ZSBmb3JtYXQ9InV0YyI+
MTU0OTg5NDU4NzwvYWRkZWQtZGF0ZT48cHViLWxvY2F0aW9uPldhc2hpbmd0b24sIERDPC9wdWIt
bG9jYXRpb24+PHJlZi10eXBlIG5hbWU9IkJvb2sgU2VjdGlvbiI+NTwvcmVmLXR5cGU+PGRhdGVz
Pjx5ZWFyPjIwMTQ8L3llYXI+PC9kYXRlcz48cmVjLW51bWJlcj43NzMzPC9yZWMtbnVtYmVyPjxw
dWJsaXNoZXI+VGhlIFdvcmxkIEJhbms8L3B1Ymxpc2hlcj48bGFzdC11cGRhdGVkLWRhdGUgZm9y
bWF0PSJ1dGMiPjE1NDk4OTUyNDc8L2xhc3QtdXBkYXRlZC1kYXRlPjxjb250cmlidXRvcnM+PHNl
Y29uZGFyeS1hdXRob3JzPjxhdXRob3I+SGFsbWUsIEtpbW1vPC9hdXRob3I+PGF1dGhvcj5MaW5k
eSwgSWxhcmk8L2F1dGhvcj48YXV0aG9yPlBpaXJhaW5lbiwgS2FsbGUgQS48L2F1dGhvcj48YXV0
aG9yPlNhbG1pbmVuLCBWZXNhPC9hdXRob3I+PGF1dGhvcj5XaGl0ZSwgSnVzdGluZTwvYXV0aG9y
Pjwvc2Vjb25kYXJ5LWF1dGhvcnM+PC9jb250cmlidXRvcnM+PC9yZWNvcmQ+PC9DaXRlPjxDaXRl
PjxBdXRob3I+VmFyaWFpbmVuPC9BdXRob3I+PFllYXI+MjAwNTwvWWVhcj48SURUZXh0PlVuaXZl
cnNpdGllcyBhbmQgVGhlaXIgTG9jYWwgUGFydG5lcnM6IFRoZSBDYXNlIG9mIHRoZSBVbml2ZXJz
aXR5IG9mIEpvZW5zdXU8L0lEVGV4dD48cmVjb3JkPjxrZXl3b3Jkcz48a2V5d29yZD5FZHVjYXRp
b25hbCBzb2Npb2xvZ3kgLS0gRmlubGFuZDwva2V5d29yZD48a2V5d29yZD5FZHVjYXRpb24gLS0g
QWltcyBhbmQgb2JqZWN0aXZlcyAtLSBGaW5sYW5kPC9rZXl3b3JkPjxrZXl3b3JkPkNpdmlsaXph
dGlvbjwva2V5d29yZD48a2V5d29yZD5MZWFybmluZyBhbmQgc2Nob2xhcnNoaXA8L2tleXdvcmQ+
PGtleXdvcmQ+TWVudGFsIGRpc2NpcGxpbmU8L2tleXdvcmQ+PGtleXdvcmQ+U2Nob29sczwva2V5
d29yZD48a2V5d29yZD5TdHVkZW50czwva2V5d29yZD48a2V5d29yZD5UZWFjaGluZzwva2V5d29y
ZD48a2V5d29yZD5UcmFpbmluZzwva2V5d29yZD48a2V5d29yZD5Tb2Npb2xvZ3k8L2tleXdvcmQ+
PGtleXdvcmQ+RWR1Y2F0aW9uIC0tIEFpbXMgYW5kIG9iamVjdGl2ZXM8L2tleXdvcmQ+PC9rZXl3
b3Jkcz48dGl0bGVzPjx0aXRsZT5Vbml2ZXJzaXRpZXMgYW5kIFRoZWlyIExvY2FsIFBhcnRuZXJz
OiBUaGUgQ2FzZSBvZiB0aGUgVW5pdmVyc2l0eSBvZiBKb2Vuc3V1PC90aXRsZT48c2Vjb25kYXJ5
LXRpdGxlPlRyYW5zZm9ybWluZyBhIGxlYXJuaW5nIHNvY2lldHk6IHRoZSBjYXNlIG9mwqAgRmlu
bGFuZDwvc2Vjb25kYXJ5LXRpdGxlPjwvdGl0bGVzPjxjb250cmlidXRvcnM+PGF1dGhvcnM+PGF1
dGhvcj5WYXJpYWluZW4sIFBlcnR0dTwvYXV0aG9yPjxhdXRob3I+VmlpcmksIEFydG88L2F1dGhv
cj48L2F1dGhvcnM+PC9jb250cmlidXRvcnM+PGFkZGVkLWRhdGUgZm9ybWF0PSJ1dGMiPjE1NDk4
OTQ1Njk8L2FkZGVkLWRhdGU+PHB1Yi1sb2NhdGlvbj5PeGZvcmQ8L3B1Yi1sb2NhdGlvbj48cmVm
LXR5cGUgbmFtZT0iQm9vayBTZWN0aW9uIj41PC9yZWYtdHlwZT48ZGF0ZXM+PHllYXI+MjAwNTwv
eWVhcj48L2RhdGVzPjxyZWMtbnVtYmVyPjc3MzI8L3JlYy1udW1iZXI+PHB1Ymxpc2hlcj5QZXRl
ciBMYW5nPC9wdWJsaXNoZXI+PGxhc3QtdXBkYXRlZC1kYXRlIGZvcm1hdD0idXRjIj4xNTQ5ODk0
ODc4PC9sYXN0LXVwZGF0ZWQtZGF0ZT48Y29udHJpYnV0b3JzPjxzZWNvbmRhcnktYXV0aG9ycz48
YXV0aG9yPkFudGlrYWluZW4sIEFyaTwvYXV0aG9yPjwvc2Vjb25kYXJ5LWF1dGhvcnM+PC9jb250
cmlidXRvcnM+PC9yZWNvcmQ+PC9DaXRlPjwvRW5kTm90ZT5=
</w:fldData>
        </w:fldChar>
      </w:r>
      <w:r>
        <w:rPr>
          <w:rFonts w:eastAsia="AdvTimes"/>
          <w:sz w:val="24"/>
          <w:szCs w:val="24"/>
        </w:rPr>
        <w:instrText xml:space="preserve"> ADDIN EN.CITE </w:instrText>
      </w:r>
      <w:r>
        <w:rPr>
          <w:rFonts w:eastAsia="AdvTimes"/>
          <w:sz w:val="24"/>
          <w:szCs w:val="24"/>
        </w:rPr>
        <w:fldChar w:fldCharType="begin">
          <w:fldData xml:space="preserve">PEVuZE5vdGU+PENpdGUgRXhjbHVkZUF1dGg9IjEiIEV4Y2x1ZGVZZWFyPSIxIj48QXV0aG9yPlZh
a2t1cmk8L0F1dGhvcj48WWVhcj4yMDA0PC9ZZWFyPjxJRFRleHQ+SW5zdGl0dXRpb25hbCBDaGFu
Z2Ugb2YgVW5pdmVyc2l0aWVzIGFzIGEgUHJvYmxlbSBvZiBFdm9sdmluZyBCb3VuZGFyaWVzPC9J
RFRleHQ+PERpc3BsYXlUZXh0PihWYWtrdXJpLCAyMDA0LCBwLiAzMDE7IHNlZSBhbHNvIEzDpGh0
ZWVubcOka2ktU21pdGgsIDIwMTQ7IFZhcmlhaW5lbiAmYW1wOyBWaWlyaSwgMjAwNSk8L0Rpc3Bs
YXlUZXh0PjxyZWNvcmQ+PGlzYm4+MDk1Mi04NzMzPC9pc2JuPjx0aXRsZXM+PHRpdGxlPkluc3Rp
dHV0aW9uYWwgQ2hhbmdlIG9mIFVuaXZlcnNpdGllcyBhcyBhIFByb2JsZW0gb2YgRXZvbHZpbmcg
Qm91bmRhcmllczwvdGl0bGU+PHNlY29uZGFyeS10aXRsZT5IaWdoZXIgZWR1Y2F0aW9uIHBvbGlj
eS48L3NlY29uZGFyeS10aXRsZT48L3RpdGxlcz48cGFnZXM+Mjg3LTMwOTwvcGFnZXM+PG51bWJl
cj4zPC9udW1iZXI+PGNvbnRyaWJ1dG9ycz48YXV0aG9ycz48YXV0aG9yPlZha2t1cmksIEphcm1v
PC9hdXRob3I+PC9hdXRob3JzPjwvY29udHJpYnV0b3JzPjxhZGRlZC1kYXRlIGZvcm1hdD0idXRj
Ij4xNTQ4NjgzMjgyPC9hZGRlZC1kYXRlPjxwdWItbG9jYXRpb24+T3hmb3JkIDs8L3B1Yi1sb2Nh
dGlvbj48cmVmLXR5cGUgbmFtZT0iSm91cm5hbCBBcnRpY2xlIj4xNzwvcmVmLXR5cGU+PGRhdGVz
Pjx5ZWFyPjIwMDQ8L3llYXI+PC9kYXRlcz48cmVjLW51bWJlcj43Njk5PC9yZWMtbnVtYmVyPjxs
YXN0LXVwZGF0ZWQtZGF0ZSBmb3JtYXQ9InV0YyI+MTU0ODY4MzI4MjwvbGFzdC11cGRhdGVkLWRh
dGU+PGVsZWN0cm9uaWMtcmVzb3VyY2UtbnVtPjEwLjEwNTcvcGFsZ3JhdmUuaGVwLjgzMDAwNTY8
L2VsZWN0cm9uaWMtcmVzb3VyY2UtbnVtPjx2b2x1bWU+MTc8L3ZvbHVtZT48L3JlY29yZD48L0Np
dGU+PENpdGU+PEF1dGhvcj5Mw6RodGVlbm3DpGtpLVNtaXRoPC9BdXRob3I+PFllYXI+MjAxNDwv
WWVhcj48SURUZXh0PkltcGxlbWVudGluZyBJbm5vdmF0aW9uIFBvbGljeTwvSURUZXh0PjxQcmVm
aXg+VmFra3VyaWAsIDIwMDRgLCBwLiAzMDFgOyBzZWUgYWxzbyA8L1ByZWZpeD48cmVjb3JkPjxr
ZXl3b3Jkcz48a2V5d29yZD5JbmZvcm1hdGlvbiB0ZWNobm9sb2d5IC0tIEZpbmxhbmQ8L2tleXdv
cmQ+PGtleXdvcmQ+S25vd2xlZGdlIG1hbmFnZW1lbnQgLS0gRmlubGFuZDwva2V5d29yZD48a2V5
d29yZD5IaWdoIHRlY2hub2xvZ3kgaW5kdXN0cmllcyAtLSBFY29ub21pYyBhc3BlY3RzIC0tIEZp
bmxhbmQ8L2tleXdvcmQ+PGtleXdvcmQ+S25vd2xlZGdlIGVjb25vbXkgLS0gRmlubGFuZDwva2V5
d29yZD48a2V5d29yZD5FY29ub21pY3M8L2tleXdvcmQ+PGtleXdvcmQ+SW5kdXN0cmllczwva2V5
d29yZD48a2V5d29yZD5NYW5hZ2VtZW50PC9rZXl3b3JkPjxrZXl3b3JkPkluZm9ybWF0aW9uIHRl
Y2hub2xvZ3k8L2tleXdvcmQ+PGtleXdvcmQ+SW50ZWxsZWN0dWFsIGNhcGl0YWw8L2tleXdvcmQ+
PGtleXdvcmQ+T3JnYW5pemF0aW9uYWwgbGVhcm5pbmc8L2tleXdvcmQ+PGtleXdvcmQ+VGVjaG5v
bG9neTwva2V5d29yZD48a2V5d29yZD5UZWxlbWF0aWNzPC9rZXl3b3JkPjxrZXl3b3JkPkluZm9y
bWF0aW9uIHN1cGVyaGlnaHdheTwva2V5d29yZD48a2V5d29yZD5Lbm93bGVkZ2UgbWFuYWdlbWVu
dDwva2V5d29yZD48a2V5d29yZD5FbGVjdHJvbmljIGJvb2tzPC9rZXl3b3JkPjwva2V5d29yZHM+
PHRpdGxlcz48dGl0bGU+SW1wbGVtZW50aW5nIElubm92YXRpb24gUG9saWN5PC90aXRsZT48c2Vj
b25kYXJ5LXRpdGxlPkZpbmxhbmQgwqBhcyBhIGtub3dsZWRnZSBlY29ub215IDIuMDogbGVzc29u
cyBvbiBwb2xpY2llcyBhbmQgZ292ZXJuYW5jZTwvc2Vjb25kYXJ5LXRpdGxlPjwvdGl0bGVzPjxj
b250cmlidXRvcnM+PGF1dGhvcnM+PGF1dGhvcj5Mw6RodGVlbm3DpGtpLVNtaXRoLCBLYWlzYTwv
YXV0aG9yPjwvYXV0aG9ycz48L2NvbnRyaWJ1dG9ycz48YWRkZWQtZGF0ZSBmb3JtYXQ9InV0YyI+
MTU0OTg5NDU4NzwvYWRkZWQtZGF0ZT48cHViLWxvY2F0aW9uPldhc2hpbmd0b24sIERDPC9wdWIt
bG9jYXRpb24+PHJlZi10eXBlIG5hbWU9IkJvb2sgU2VjdGlvbiI+NTwvcmVmLXR5cGU+PGRhdGVz
Pjx5ZWFyPjIwMTQ8L3llYXI+PC9kYXRlcz48cmVjLW51bWJlcj43NzMzPC9yZWMtbnVtYmVyPjxw
dWJsaXNoZXI+VGhlIFdvcmxkIEJhbms8L3B1Ymxpc2hlcj48bGFzdC11cGRhdGVkLWRhdGUgZm9y
bWF0PSJ1dGMiPjE1NDk4OTUyNDc8L2xhc3QtdXBkYXRlZC1kYXRlPjxjb250cmlidXRvcnM+PHNl
Y29uZGFyeS1hdXRob3JzPjxhdXRob3I+SGFsbWUsIEtpbW1vPC9hdXRob3I+PGF1dGhvcj5MaW5k
eSwgSWxhcmk8L2F1dGhvcj48YXV0aG9yPlBpaXJhaW5lbiwgS2FsbGUgQS48L2F1dGhvcj48YXV0
aG9yPlNhbG1pbmVuLCBWZXNhPC9hdXRob3I+PGF1dGhvcj5XaGl0ZSwgSnVzdGluZTwvYXV0aG9y
Pjwvc2Vjb25kYXJ5LWF1dGhvcnM+PC9jb250cmlidXRvcnM+PC9yZWNvcmQ+PC9DaXRlPjxDaXRl
PjxBdXRob3I+VmFyaWFpbmVuPC9BdXRob3I+PFllYXI+MjAwNTwvWWVhcj48SURUZXh0PlVuaXZl
cnNpdGllcyBhbmQgVGhlaXIgTG9jYWwgUGFydG5lcnM6IFRoZSBDYXNlIG9mIHRoZSBVbml2ZXJz
aXR5IG9mIEpvZW5zdXU8L0lEVGV4dD48cmVjb3JkPjxrZXl3b3Jkcz48a2V5d29yZD5FZHVjYXRp
b25hbCBzb2Npb2xvZ3kgLS0gRmlubGFuZDwva2V5d29yZD48a2V5d29yZD5FZHVjYXRpb24gLS0g
QWltcyBhbmQgb2JqZWN0aXZlcyAtLSBGaW5sYW5kPC9rZXl3b3JkPjxrZXl3b3JkPkNpdmlsaXph
dGlvbjwva2V5d29yZD48a2V5d29yZD5MZWFybmluZyBhbmQgc2Nob2xhcnNoaXA8L2tleXdvcmQ+
PGtleXdvcmQ+TWVudGFsIGRpc2NpcGxpbmU8L2tleXdvcmQ+PGtleXdvcmQ+U2Nob29sczwva2V5
d29yZD48a2V5d29yZD5TdHVkZW50czwva2V5d29yZD48a2V5d29yZD5UZWFjaGluZzwva2V5d29y
ZD48a2V5d29yZD5UcmFpbmluZzwva2V5d29yZD48a2V5d29yZD5Tb2Npb2xvZ3k8L2tleXdvcmQ+
PGtleXdvcmQ+RWR1Y2F0aW9uIC0tIEFpbXMgYW5kIG9iamVjdGl2ZXM8L2tleXdvcmQ+PC9rZXl3
b3Jkcz48dGl0bGVzPjx0aXRsZT5Vbml2ZXJzaXRpZXMgYW5kIFRoZWlyIExvY2FsIFBhcnRuZXJz
OiBUaGUgQ2FzZSBvZiB0aGUgVW5pdmVyc2l0eSBvZiBKb2Vuc3V1PC90aXRsZT48c2Vjb25kYXJ5
LXRpdGxlPlRyYW5zZm9ybWluZyBhIGxlYXJuaW5nIHNvY2lldHk6IHRoZSBjYXNlIG9mwqAgRmlu
bGFuZDwvc2Vjb25kYXJ5LXRpdGxlPjwvdGl0bGVzPjxjb250cmlidXRvcnM+PGF1dGhvcnM+PGF1
dGhvcj5WYXJpYWluZW4sIFBlcnR0dTwvYXV0aG9yPjxhdXRob3I+VmlpcmksIEFydG88L2F1dGhv
cj48L2F1dGhvcnM+PC9jb250cmlidXRvcnM+PGFkZGVkLWRhdGUgZm9ybWF0PSJ1dGMiPjE1NDk4
OTQ1Njk8L2FkZGVkLWRhdGU+PHB1Yi1sb2NhdGlvbj5PeGZvcmQ8L3B1Yi1sb2NhdGlvbj48cmVm
LXR5cGUgbmFtZT0iQm9vayBTZWN0aW9uIj41PC9yZWYtdHlwZT48ZGF0ZXM+PHllYXI+MjAwNTwv
eWVhcj48L2RhdGVzPjxyZWMtbnVtYmVyPjc3MzI8L3JlYy1udW1iZXI+PHB1Ymxpc2hlcj5QZXRl
ciBMYW5nPC9wdWJsaXNoZXI+PGxhc3QtdXBkYXRlZC1kYXRlIGZvcm1hdD0idXRjIj4xNTQ5ODk0
ODc4PC9sYXN0LXVwZGF0ZWQtZGF0ZT48Y29udHJpYnV0b3JzPjxzZWNvbmRhcnktYXV0aG9ycz48
YXV0aG9yPkFudGlrYWluZW4sIEFyaTwvYXV0aG9yPjwvc2Vjb25kYXJ5LWF1dGhvcnM+PC9jb250
cmlidXRvcnM+PC9yZWNvcmQ+PC9DaXRlPjwvRW5kTm90ZT5=
</w:fldData>
        </w:fldChar>
      </w:r>
      <w:r>
        <w:rPr>
          <w:rFonts w:eastAsia="AdvTimes"/>
          <w:sz w:val="24"/>
          <w:szCs w:val="24"/>
        </w:rPr>
        <w:instrText xml:space="preserve"> ADDIN EN.CITE.DATA </w:instrText>
      </w:r>
      <w:r>
        <w:rPr>
          <w:rFonts w:eastAsia="AdvTimes"/>
          <w:sz w:val="24"/>
          <w:szCs w:val="24"/>
        </w:rPr>
      </w:r>
      <w:r>
        <w:rPr>
          <w:rFonts w:eastAsia="AdvTimes"/>
          <w:sz w:val="24"/>
          <w:szCs w:val="24"/>
        </w:rPr>
        <w:fldChar w:fldCharType="end"/>
      </w:r>
      <w:r>
        <w:rPr>
          <w:rFonts w:eastAsia="AdvTimes"/>
          <w:sz w:val="24"/>
          <w:szCs w:val="24"/>
        </w:rPr>
      </w:r>
      <w:r>
        <w:rPr>
          <w:rFonts w:eastAsia="AdvTimes"/>
          <w:sz w:val="24"/>
          <w:szCs w:val="24"/>
        </w:rPr>
        <w:fldChar w:fldCharType="separate"/>
      </w:r>
      <w:r>
        <w:rPr>
          <w:rFonts w:eastAsia="AdvTimes"/>
          <w:noProof/>
          <w:sz w:val="24"/>
          <w:szCs w:val="24"/>
        </w:rPr>
        <w:t>(Vakkuri, 2004, p. 301; see also Lähteenmäki-Smith, 2014; Variainen &amp; Viiri, 2005)</w:t>
      </w:r>
      <w:r>
        <w:rPr>
          <w:rFonts w:eastAsia="AdvTimes"/>
          <w:sz w:val="24"/>
          <w:szCs w:val="24"/>
        </w:rPr>
        <w:fldChar w:fldCharType="end"/>
      </w:r>
      <w:r>
        <w:rPr>
          <w:rFonts w:eastAsia="AdvTimes"/>
          <w:sz w:val="24"/>
          <w:szCs w:val="24"/>
        </w:rPr>
        <w:t xml:space="preserve">. Other sociological studies of universities have revealed the “outward-facing centres” </w:t>
      </w:r>
      <w:r>
        <w:rPr>
          <w:sz w:val="24"/>
          <w:szCs w:val="24"/>
          <w:lang w:eastAsia="ko-KR"/>
        </w:rPr>
        <w:fldChar w:fldCharType="begin"/>
      </w:r>
      <w:r>
        <w:rPr>
          <w:sz w:val="24"/>
          <w:szCs w:val="24"/>
          <w:lang w:eastAsia="ko-KR"/>
        </w:rPr>
        <w:instrText xml:space="preserve"> ADDIN EN.CITE &lt;EndNote&gt;&lt;Cite&gt;&lt;Author&gt;Clark&lt;/Author&gt;&lt;Year&gt;1998&lt;/Year&gt;&lt;IDText&gt;Creating entrepreneurial universities: organizational pathways of transformation&lt;/IDText&gt;&lt;Pages&gt;6&lt;/Pages&gt;&lt;DisplayText&gt;(B. R. Clark, 1998, p. 6)&lt;/DisplayText&gt;&lt;record&gt;&lt;keywords&gt;&lt;keyword&gt;Universities and colleges -- Europe -- Administration -- Case studies&lt;/keyword&gt;&lt;keyword&gt;Educational change -- Europe -- Case studies&lt;/keyword&gt;&lt;keyword&gt;Change, Educational&lt;/keyword&gt;&lt;keyword&gt;Education change&lt;/keyword&gt;&lt;keyword&gt;Education reform&lt;/keyword&gt;&lt;keyword&gt;Educational reform&lt;/keyword&gt;&lt;keyword&gt;Reform, Education&lt;/keyword&gt;&lt;keyword&gt;School reform&lt;/keyword&gt;&lt;keyword&gt;Educational planning&lt;/keyword&gt;&lt;keyword&gt;Educational innovations&lt;/keyword&gt;&lt;keyword&gt;Colleges&lt;/keyword&gt;&lt;keyword&gt;Degree-granting institutions&lt;/keyword&gt;&lt;keyword&gt;Higher education institutions&lt;/keyword&gt;&lt;keyword&gt;Higher education providers&lt;/keyword&gt;&lt;keyword&gt;Institutions of higher education&lt;/keyword&gt;&lt;keyword&gt;Postsecondary institutions&lt;/keyword&gt;&lt;keyword&gt;Public institutions&lt;/keyword&gt;&lt;keyword&gt;Schools&lt;/keyword&gt;&lt;keyword&gt;Education, Higher&lt;/keyword&gt;&lt;/keywords&gt;&lt;titles&gt;&lt;title&gt;Creating entrepreneurial universities: organizational pathways of transformation&lt;/title&gt;&lt;/titles&gt;&lt;contributors&gt;&lt;authors&gt;&lt;author&gt;Clark, Burton R.&lt;/author&gt;&lt;/authors&gt;&lt;/contributors&gt;&lt;added-date format="utc"&gt;1466198089&lt;/added-date&gt;&lt;pub-location&gt;Oxford&lt;/pub-location&gt;&lt;ref-type name="Book"&gt;6&lt;/ref-type&gt;&lt;dates&gt;&lt;year&gt;1998&lt;/year&gt;&lt;/dates&gt;&lt;rec-number&gt;395&lt;/rec-number&gt;&lt;publisher&gt;Pergamon Press&lt;/publisher&gt;&lt;last-updated-date format="utc"&gt;1548662000&lt;/last-updated-date&gt;&lt;/record&gt;&lt;/Cite&gt;&lt;/EndNote&gt;</w:instrText>
      </w:r>
      <w:r>
        <w:rPr>
          <w:sz w:val="24"/>
          <w:szCs w:val="24"/>
          <w:lang w:eastAsia="ko-KR"/>
        </w:rPr>
        <w:fldChar w:fldCharType="separate"/>
      </w:r>
      <w:r>
        <w:rPr>
          <w:noProof/>
          <w:sz w:val="24"/>
          <w:szCs w:val="24"/>
          <w:lang w:eastAsia="ko-KR"/>
        </w:rPr>
        <w:t>(B. R. Clark, 1998, p. 6)</w:t>
      </w:r>
      <w:r>
        <w:rPr>
          <w:sz w:val="24"/>
          <w:szCs w:val="24"/>
          <w:lang w:eastAsia="ko-KR"/>
        </w:rPr>
        <w:fldChar w:fldCharType="end"/>
      </w:r>
      <w:r>
        <w:rPr>
          <w:sz w:val="24"/>
          <w:szCs w:val="24"/>
          <w:lang w:eastAsia="ko-KR"/>
        </w:rPr>
        <w:t xml:space="preserve"> driving the ‘entrepreneurial university’, and</w:t>
      </w:r>
      <w:r>
        <w:rPr>
          <w:rFonts w:eastAsia="AdvTimes"/>
          <w:sz w:val="24"/>
          <w:szCs w:val="24"/>
        </w:rPr>
        <w:t xml:space="preserve"> the “interstitial” or “intermediate” organisations </w:t>
      </w:r>
      <w:r>
        <w:rPr>
          <w:rFonts w:eastAsia="AdvTimes"/>
          <w:sz w:val="24"/>
          <w:szCs w:val="24"/>
        </w:rPr>
        <w:fldChar w:fldCharType="begin"/>
      </w:r>
      <w:r>
        <w:rPr>
          <w:rFonts w:eastAsia="AdvTimes"/>
          <w:sz w:val="24"/>
          <w:szCs w:val="24"/>
        </w:rPr>
        <w:instrText xml:space="preserve"> ADDIN EN.CITE &lt;EndNote&gt;&lt;Cite&gt;&lt;Author&gt;Slaughter&lt;/Author&gt;&lt;Year&gt;2010&lt;/Year&gt;&lt;IDText&gt;Academic capitalism and the new economy: markets, state, and higher education&lt;/IDText&gt;&lt;Pages&gt;1&lt;/Pages&gt;&lt;DisplayText&gt;(Slaughter &amp;amp; Rhoades, 2010, p. 1)&lt;/DisplayText&gt;&lt;record&gt;&lt;keywords&gt;&lt;keyword&gt;Education, Higher -- Economic aspects -- United States&lt;/keyword&gt;&lt;keyword&gt;Business and education -- United States&lt;/keyword&gt;&lt;keyword&gt;Universities and colleges -- United States -- Sociological aspects&lt;/keyword&gt;&lt;/keywords&gt;&lt;titles&gt;&lt;title&gt;Academic capitalism and the new economy: markets, state, and higher education&lt;/title&gt;&lt;/titles&gt;&lt;contributors&gt;&lt;authors&gt;&lt;author&gt;Slaughter, Sheila&lt;/author&gt;&lt;author&gt;Rhoades, Gary&lt;/author&gt;&lt;/authors&gt;&lt;/contributors&gt;&lt;added-date format="utc"&gt;1463079391&lt;/added-date&gt;&lt;pub-location&gt;Baltimore, MD&lt;/pub-location&gt;&lt;ref-type name="Book"&gt;6&lt;/ref-type&gt;&lt;dates&gt;&lt;year&gt;2010&lt;/year&gt;&lt;/dates&gt;&lt;rec-number&gt;383&lt;/rec-number&gt;&lt;publisher&gt;Johns Hopkins University Press&lt;/publisher&gt;&lt;last-updated-date format="utc"&gt;1477782063&lt;/last-updated-date&gt;&lt;/record&gt;&lt;/Cite&gt;&lt;/EndNote&gt;</w:instrText>
      </w:r>
      <w:r>
        <w:rPr>
          <w:rFonts w:eastAsia="AdvTimes"/>
          <w:sz w:val="24"/>
          <w:szCs w:val="24"/>
        </w:rPr>
        <w:fldChar w:fldCharType="separate"/>
      </w:r>
      <w:r>
        <w:rPr>
          <w:rFonts w:eastAsia="AdvTimes"/>
          <w:noProof/>
          <w:sz w:val="24"/>
          <w:szCs w:val="24"/>
        </w:rPr>
        <w:t>(Slaughter &amp; Rhoades, 2010, p. 1)</w:t>
      </w:r>
      <w:r>
        <w:rPr>
          <w:rFonts w:eastAsia="AdvTimes"/>
          <w:sz w:val="24"/>
          <w:szCs w:val="24"/>
        </w:rPr>
        <w:fldChar w:fldCharType="end"/>
      </w:r>
      <w:r>
        <w:rPr>
          <w:rFonts w:eastAsia="AdvTimes"/>
          <w:sz w:val="24"/>
          <w:szCs w:val="24"/>
        </w:rPr>
        <w:t xml:space="preserve"> which are “key elements ... of academic capitalism ... blur[ring] the boundaries between markets, state, and universities” </w:t>
      </w:r>
      <w:r>
        <w:rPr>
          <w:rFonts w:eastAsia="AdvTimes"/>
          <w:sz w:val="24"/>
          <w:szCs w:val="24"/>
        </w:rPr>
        <w:fldChar w:fldCharType="begin"/>
      </w:r>
      <w:r>
        <w:rPr>
          <w:rFonts w:eastAsia="AdvTimes"/>
          <w:sz w:val="24"/>
          <w:szCs w:val="24"/>
        </w:rPr>
        <w:instrText xml:space="preserve"> ADDIN EN.CITE &lt;EndNote&gt;&lt;Cite&gt;&lt;Author&gt;Kaidesoja&lt;/Author&gt;&lt;Year&gt;2014&lt;/Year&gt;&lt;IDText&gt;How to Explain Academic Capitalism: A Mechanism-Based Approach&lt;/IDText&gt;&lt;Pages&gt;178&lt;/Pages&gt;&lt;DisplayText&gt;(Kaidesoja &amp;amp; Kauppinen, 2014, p. 178)&lt;/DisplayText&gt;&lt;record&gt;&lt;titles&gt;&lt;title&gt;How to Explain Academic Capitalism: A Mechanism-Based Approach&lt;/title&gt;&lt;secondary-title&gt;Academic capitalism in the age of globalization&lt;/secondary-title&gt;&lt;/titles&gt;&lt;contributors&gt;&lt;authors&gt;&lt;author&gt;Kaidesoja, Tuukka&lt;/author&gt;&lt;author&gt;Kauppinen, Ilkka&lt;/author&gt;&lt;/authors&gt;&lt;/contributors&gt;&lt;added-date format="utc"&gt;1530637025&lt;/added-date&gt;&lt;pub-location&gt;Baltimore&lt;/pub-location&gt;&lt;ref-type name="Book Section"&gt;5&lt;/ref-type&gt;&lt;dates&gt;&lt;year&gt;2014&lt;/year&gt;&lt;/dates&gt;&lt;rec-number&gt;7572&lt;/rec-number&gt;&lt;publisher&gt;Johns Hopkins University Press&lt;/publisher&gt;&lt;last-updated-date format="utc"&gt;1548525454&lt;/last-updated-date&gt;&lt;contributors&gt;&lt;secondary-authors&gt;&lt;author&gt;Cantwell, Brendan&lt;/author&gt;&lt;author&gt;Kauppinen, Ilkka&lt;/author&gt;&lt;/secondary-authors&gt;&lt;/contributors&gt;&lt;/record&gt;&lt;/Cite&gt;&lt;/EndNote&gt;</w:instrText>
      </w:r>
      <w:r>
        <w:rPr>
          <w:rFonts w:eastAsia="AdvTimes"/>
          <w:sz w:val="24"/>
          <w:szCs w:val="24"/>
        </w:rPr>
        <w:fldChar w:fldCharType="separate"/>
      </w:r>
      <w:r>
        <w:rPr>
          <w:rFonts w:eastAsia="AdvTimes"/>
          <w:noProof/>
          <w:sz w:val="24"/>
          <w:szCs w:val="24"/>
        </w:rPr>
        <w:t>(Kaidesoja &amp; Kauppinen, 2014, p. 178)</w:t>
      </w:r>
      <w:r>
        <w:rPr>
          <w:rFonts w:eastAsia="AdvTimes"/>
          <w:sz w:val="24"/>
          <w:szCs w:val="24"/>
        </w:rPr>
        <w:fldChar w:fldCharType="end"/>
      </w:r>
      <w:r>
        <w:rPr>
          <w:rFonts w:eastAsia="AdvTimes"/>
          <w:sz w:val="24"/>
          <w:szCs w:val="24"/>
        </w:rPr>
        <w:t xml:space="preserve">. </w:t>
      </w:r>
    </w:p>
    <w:p w14:paraId="1E08ABEF" w14:textId="356190FE" w:rsidR="00DC7B41" w:rsidRDefault="00DC7B41" w:rsidP="001F5DB2">
      <w:pPr>
        <w:spacing w:after="120" w:line="360" w:lineRule="auto"/>
        <w:rPr>
          <w:rFonts w:eastAsia="AdvTimes"/>
          <w:sz w:val="24"/>
          <w:szCs w:val="24"/>
        </w:rPr>
      </w:pPr>
      <w:r>
        <w:rPr>
          <w:rFonts w:eastAsia="AdvTimes"/>
          <w:sz w:val="24"/>
          <w:szCs w:val="24"/>
        </w:rPr>
        <w:t>Boundary structures linking universities to markets,</w:t>
      </w:r>
      <w:r w:rsidRPr="003C2492">
        <w:rPr>
          <w:rFonts w:eastAsia="AdvTimes"/>
          <w:sz w:val="24"/>
          <w:szCs w:val="24"/>
        </w:rPr>
        <w:t xml:space="preserve"> </w:t>
      </w:r>
      <w:r>
        <w:rPr>
          <w:rFonts w:eastAsia="AdvTimes"/>
          <w:sz w:val="24"/>
          <w:szCs w:val="24"/>
        </w:rPr>
        <w:t xml:space="preserve">such as technology or knowledge transfer offices, science parks, and incubators to support academic spin-out companies, have attracted most attention in the literature </w:t>
      </w:r>
      <w:r>
        <w:rPr>
          <w:sz w:val="24"/>
          <w:szCs w:val="24"/>
        </w:rPr>
        <w:fldChar w:fldCharType="begin"/>
      </w:r>
      <w:r>
        <w:rPr>
          <w:sz w:val="24"/>
          <w:szCs w:val="24"/>
        </w:rPr>
        <w:instrText xml:space="preserve"> ADDIN EN.CITE &lt;EndNote&gt;&lt;Cite&gt;&lt;Author&gt;Chau&lt;/Author&gt;&lt;Year&gt;2017&lt;/Year&gt;&lt;IDText&gt;Aligning university–industry interactions: The role of boundary spanning in intellectual capital transfer&lt;/IDText&gt;&lt;DisplayText&gt;(Chau et al., 2017)&lt;/DisplayText&gt;&lt;record&gt;&lt;keywords&gt;&lt;keyword&gt;University–Industry Interactions&lt;/keyword&gt;&lt;keyword&gt;Boundary Units in Universities&lt;/keyword&gt;&lt;keyword&gt;Knowledge Transfer Offices&lt;/keyword&gt;&lt;keyword&gt;Organizational Alignment&lt;/keyword&gt;&lt;keyword&gt;Instrumental Case Study&lt;/keyword&gt;&lt;/keywords&gt;&lt;isbn&gt;0040-1625&lt;/isbn&gt;&lt;titles&gt;&lt;title&gt;Aligning university–industry interactions: The role of boundary spanning in intellectual capital transfer&lt;/title&gt;&lt;secondary-title&gt;Technological Forecasting &amp;amp; Social Change&lt;/secondary-title&gt;&lt;/titles&gt;&lt;pages&gt;199-209&lt;/pages&gt;&lt;number&gt;C&lt;/number&gt;&lt;contributors&gt;&lt;authors&gt;&lt;author&gt;Chau, Vinh Sum&lt;/author&gt;&lt;author&gt;Gilman, Mark&lt;/author&gt;&lt;author&gt;Serbanica, Cristina&lt;/author&gt;&lt;/authors&gt;&lt;/contributors&gt;&lt;added-date format="utc"&gt;1549201314&lt;/added-date&gt;&lt;ref-type name="Journal Article"&gt;17&lt;/ref-type&gt;&lt;dates&gt;&lt;year&gt;2017&lt;/year&gt;&lt;/dates&gt;&lt;rec-number&gt;7719&lt;/rec-number&gt;&lt;last-updated-date format="utc"&gt;1549201314&lt;/last-updated-date&gt;&lt;electronic-resource-num&gt;10.1016/j.techfore.2016.03.013&lt;/electronic-resource-num&gt;&lt;volume&gt;123&lt;/volume&gt;&lt;/record&gt;&lt;/Cite&gt;&lt;/EndNote&gt;</w:instrText>
      </w:r>
      <w:r>
        <w:rPr>
          <w:sz w:val="24"/>
          <w:szCs w:val="24"/>
        </w:rPr>
        <w:fldChar w:fldCharType="separate"/>
      </w:r>
      <w:r>
        <w:rPr>
          <w:noProof/>
          <w:sz w:val="24"/>
          <w:szCs w:val="24"/>
        </w:rPr>
        <w:t>(Chau et al., 2017)</w:t>
      </w:r>
      <w:r>
        <w:rPr>
          <w:sz w:val="24"/>
          <w:szCs w:val="24"/>
        </w:rPr>
        <w:fldChar w:fldCharType="end"/>
      </w:r>
      <w:r>
        <w:rPr>
          <w:sz w:val="24"/>
          <w:szCs w:val="24"/>
        </w:rPr>
        <w:t xml:space="preserve">. They support the kinds of </w:t>
      </w:r>
      <w:r w:rsidR="00E9440D">
        <w:rPr>
          <w:sz w:val="24"/>
          <w:szCs w:val="24"/>
        </w:rPr>
        <w:t>‘</w:t>
      </w:r>
      <w:r>
        <w:rPr>
          <w:sz w:val="24"/>
          <w:szCs w:val="24"/>
        </w:rPr>
        <w:t>collaboration</w:t>
      </w:r>
      <w:r w:rsidR="00E9440D">
        <w:rPr>
          <w:sz w:val="24"/>
          <w:szCs w:val="24"/>
        </w:rPr>
        <w:t xml:space="preserve">’ </w:t>
      </w:r>
      <w:r>
        <w:rPr>
          <w:sz w:val="24"/>
          <w:szCs w:val="24"/>
        </w:rPr>
        <w:t xml:space="preserve">and </w:t>
      </w:r>
      <w:r w:rsidR="00E9440D">
        <w:rPr>
          <w:sz w:val="24"/>
          <w:szCs w:val="24"/>
        </w:rPr>
        <w:t>‘</w:t>
      </w:r>
      <w:r>
        <w:rPr>
          <w:sz w:val="24"/>
          <w:szCs w:val="24"/>
        </w:rPr>
        <w:t>outputs</w:t>
      </w:r>
      <w:r w:rsidR="00E9440D">
        <w:rPr>
          <w:sz w:val="24"/>
          <w:szCs w:val="24"/>
        </w:rPr>
        <w:t>’ already discussed above</w:t>
      </w:r>
      <w:r>
        <w:rPr>
          <w:sz w:val="24"/>
          <w:szCs w:val="24"/>
        </w:rPr>
        <w:t xml:space="preserve">. Therefore, </w:t>
      </w:r>
      <w:r w:rsidR="002D27BA">
        <w:rPr>
          <w:sz w:val="24"/>
          <w:szCs w:val="24"/>
        </w:rPr>
        <w:t>I</w:t>
      </w:r>
      <w:r>
        <w:rPr>
          <w:sz w:val="24"/>
          <w:szCs w:val="24"/>
        </w:rPr>
        <w:t xml:space="preserve"> </w:t>
      </w:r>
      <w:r w:rsidR="002D27BA">
        <w:rPr>
          <w:sz w:val="24"/>
          <w:szCs w:val="24"/>
        </w:rPr>
        <w:t>discus</w:t>
      </w:r>
      <w:r>
        <w:rPr>
          <w:sz w:val="24"/>
          <w:szCs w:val="24"/>
        </w:rPr>
        <w:t xml:space="preserve">s </w:t>
      </w:r>
      <w:r w:rsidR="002D27BA">
        <w:rPr>
          <w:sz w:val="24"/>
          <w:szCs w:val="24"/>
        </w:rPr>
        <w:t>here</w:t>
      </w:r>
      <w:r>
        <w:rPr>
          <w:sz w:val="24"/>
          <w:szCs w:val="24"/>
        </w:rPr>
        <w:t xml:space="preserve"> another kind of boundary structure</w:t>
      </w:r>
      <w:r w:rsidR="00145D35">
        <w:rPr>
          <w:sz w:val="24"/>
          <w:szCs w:val="24"/>
        </w:rPr>
        <w:t xml:space="preserve">, </w:t>
      </w:r>
      <w:r w:rsidR="00772F70">
        <w:rPr>
          <w:sz w:val="24"/>
          <w:szCs w:val="24"/>
        </w:rPr>
        <w:t xml:space="preserve">one which has potentially more fundamental consequences for academic research activity in that they compete with traditional departments as a “major way to group academic work” (B. R. Clark, 1998, p. 6; see also Ponomariov &amp; Boardman, 2010), namely, </w:t>
      </w:r>
      <w:r w:rsidR="00145D35">
        <w:rPr>
          <w:sz w:val="24"/>
          <w:szCs w:val="24"/>
        </w:rPr>
        <w:t xml:space="preserve">problem-centred </w:t>
      </w:r>
      <w:r>
        <w:rPr>
          <w:sz w:val="24"/>
          <w:szCs w:val="24"/>
        </w:rPr>
        <w:t>research centres</w:t>
      </w:r>
      <w:r w:rsidR="00145D35">
        <w:rPr>
          <w:sz w:val="24"/>
          <w:szCs w:val="24"/>
        </w:rPr>
        <w:t>.</w:t>
      </w:r>
      <w:r w:rsidR="00057A4D">
        <w:rPr>
          <w:sz w:val="24"/>
          <w:szCs w:val="24"/>
        </w:rPr>
        <w:t xml:space="preserve"> </w:t>
      </w:r>
      <w:r w:rsidR="00145D35">
        <w:rPr>
          <w:sz w:val="24"/>
          <w:szCs w:val="24"/>
        </w:rPr>
        <w:t xml:space="preserve">The traditional form of co-ordination of academics has been according to distinct academic disciplines. By contrast, these problem-oriented research centres operate as interdisciplinary, transdisciplinary, or even post-disciplinary units, linking academia to </w:t>
      </w:r>
      <w:r>
        <w:rPr>
          <w:sz w:val="24"/>
          <w:szCs w:val="24"/>
        </w:rPr>
        <w:t>society in the sense that they co-ordinate academic researchers according to their potential relevance to solving external, non-academic problems</w:t>
      </w:r>
      <w:r w:rsidR="00E7378C">
        <w:rPr>
          <w:sz w:val="24"/>
          <w:szCs w:val="24"/>
        </w:rPr>
        <w:t>, such as the development of ‘greener’ industrial processes, reducing the human impact on natural life and environments, and using technology to maximise the clinical use of inpatient data (to take a few examples from my research studied in this thesis).</w:t>
      </w:r>
    </w:p>
    <w:p w14:paraId="4DB8C2D8" w14:textId="06E121F4" w:rsidR="00DC7B41" w:rsidRPr="006B3347" w:rsidRDefault="00DC7B41" w:rsidP="001F5DB2">
      <w:pPr>
        <w:spacing w:after="120" w:line="360" w:lineRule="auto"/>
        <w:rPr>
          <w:sz w:val="24"/>
          <w:szCs w:val="24"/>
        </w:rPr>
      </w:pPr>
      <w:r>
        <w:rPr>
          <w:sz w:val="24"/>
          <w:szCs w:val="24"/>
        </w:rPr>
        <w:t xml:space="preserve">With the rise of ‘mode 2’ forms of knowledge production (Gibbons et al., 1994) in the context of ‘academic capitalist’ (Slaughter &amp; Rhoades, 2010) and ‘neoliberal’ </w:t>
      </w:r>
      <w:r>
        <w:rPr>
          <w:sz w:val="24"/>
          <w:szCs w:val="24"/>
        </w:rPr>
        <w:fldChar w:fldCharType="begin">
          <w:fldData xml:space="preserve">PEVuZE5vdGU+PENpdGU+PEF1dGhvcj5PbHNzZW48L0F1dGhvcj48WWVhcj4yMDExPC9ZZWFyPjxJ
RFRleHQ+VGhlIHN0cmFuZ2UgZGVhdGggb2YgdGhlIGxpYmVyYWwgdW5pdmVyc2l0eTogUmVzZWFy
Y2ggYXNzZXNzbWVudHMgYW5kIHRoZSBpbXBhY3Qgb2YgcmVzZWFyY2g8L0lEVGV4dD48RGlzcGxh
eVRleHQ+KE9sc3NlbiwgMjAxMTsgV2F0ZXJtZXllciAmYW1wOyBPbHNzZW4sIDIwMTYpPC9EaXNw
bGF5VGV4dD48cmVjb3JkPjx1cmxzPjxyZWxhdGVkLXVybHM+PHVybD5odHRwczovL3d3dy5zY29w
dXMuY29tL2lud2FyZC9yZWNvcmQudXJpP2VpZD0yLXMyLjAtODQ4NjM2MTQ0MzkmYW1wO3BhcnRu
ZXJJRD00MCZhbXA7bWQ1PWEwZWM5YWQ2NDFiOWQ0YzRmYmI5OWM4YjY5NTZlYTZhPC91cmw+PC9y
ZWxhdGVkLXVybHM+PC91cmxzPjx0aXRsZXM+PHRpdGxlPlRoZSBzdHJhbmdlIGRlYXRoIG9mIHRo
ZSBsaWJlcmFsIHVuaXZlcnNpdHk6IFJlc2VhcmNoIGFzc2Vzc21lbnRzIGFuZCB0aGUgaW1wYWN0
IG9mIHJlc2VhcmNoPC90aXRsZT48c2Vjb25kYXJ5LXRpdGxlPkhhbmRib29rIG9uIEdsb2JhbGl6
YXRpb24gYW5kIEhpZ2hlciBFZHVjYXRpb248L3NlY29uZGFyeS10aXRsZT48L3RpdGxlcz48cGFn
ZXM+MzYwLTM4MzwvcGFnZXM+PGNvbnRyaWJ1dG9ycz48YXV0aG9ycz48YXV0aG9yPk9sc3Nlbiwg
TS48L2F1dGhvcj48L2F1dGhvcnM+PC9jb250cmlidXRvcnM+PGFkZGVkLWRhdGUgZm9ybWF0PSJ1
dGMiPjE0NzI2NzE4MTg8L2FkZGVkLWRhdGU+PHJlZi10eXBlIG5hbWU9IkJvb2sgU2VjdGlvbiI+
NTwvcmVmLXR5cGU+PGRhdGVzPjx5ZWFyPjIwMTE8L3llYXI+PC9kYXRlcz48cmVjLW51bWJlcj4y
ODg1PC9yZWMtbnVtYmVyPjxsYXN0LXVwZGF0ZWQtZGF0ZSBmb3JtYXQ9InV0YyI+MTQ3MjY3MTgx
ODwvbGFzdC11cGRhdGVkLWRhdGU+PHJlbW90ZS1kYXRhYmFzZS1uYW1lPlNjb3B1czwvcmVtb3Rl
LWRhdGFiYXNlLW5hbWU+PC9yZWNvcmQ+PC9DaXRlPjxDaXRlPjxBdXRob3I+V2F0ZXJtZXllcjwv
QXV0aG9yPjxZZWFyPjIwMTY8L1llYXI+PElEVGV4dD7igJhFeGNlbGxlbmNl4oCZIGFuZCBFeGNs
dXNpb246IFRoZSBJbmRpdmlkdWFsIENvc3RzIG9mIEluc3RpdHV0aW9uYWwgQ29tcGV0aXRpdmVu
ZXNzPC9JRFRleHQ+PHJlY29yZD48a2V5d29yZHM+PGtleXdvcmQ+SGlnaGVyIGVkdWNhdGlvbiBw
b2xpY3k8L2tleXdvcmQ+PGtleXdvcmQ+TmVvbGliZXJhbGlzbTwva2V5d29yZD48a2V5d29yZD5Q
ZXJmb3JtYXRpdml0eTwva2V5d29yZD48a2V5d29yZD5BdWRpdCBjdWx0dXJlczwva2V5d29yZD48
a2V5d29yZD5BY2FkZW1pYyBleGNsdXNpb248L2tleXdvcmQ+PC9rZXl3b3Jkcz48aXNibj4wMDI2
LTQ2OTU8L2lzYm4+PHRpdGxlcz48dGl0bGU+4oCYRXhjZWxsZW5jZeKAmSBhbmQgRXhjbHVzaW9u
OiBUaGUgSW5kaXZpZHVhbCBDb3N0cyBvZiBJbnN0aXR1dGlvbmFsIENvbXBldGl0aXZlbmVzczwv
dGl0bGU+PHNlY29uZGFyeS10aXRsZT5BIFJldmlldyBvZiBTY2llbmNlLCBMZWFybmluZyBhbmQg
UG9saWN5PC9zZWNvbmRhcnktdGl0bGU+PC90aXRsZXM+PHBhZ2VzPjIwMS0yMTg8L3BhZ2VzPjxu
dW1iZXI+MjwvbnVtYmVyPjxjb250cmlidXRvcnM+PGF1dGhvcnM+PGF1dGhvcj5XYXRlcm1leWVy
LCBSaWNoYXJkPC9hdXRob3I+PGF1dGhvcj5PbHNzZW4sIE1hcms8L2F1dGhvcj48L2F1dGhvcnM+
PC9jb250cmlidXRvcnM+PGFkZGVkLWRhdGUgZm9ybWF0PSJ1dGMiPjE1MjkwMTc5Mzg8L2FkZGVk
LWRhdGU+PHB1Yi1sb2NhdGlvbj5Eb3JkcmVjaHQ8L3B1Yi1sb2NhdGlvbj48cmVmLXR5cGUgbmFt
ZT0iSm91cm5hbCBBcnRpY2xlIj4xNzwvcmVmLXR5cGU+PGRhdGVzPjx5ZWFyPjIwMTY8L3llYXI+
PC9kYXRlcz48cmVjLW51bWJlcj43NTU1PC9yZWMtbnVtYmVyPjxsYXN0LXVwZGF0ZWQtZGF0ZSBm
b3JtYXQ9InV0YyI+MTU1OTA4MTEyNzwvbGFzdC11cGRhdGVkLWRhdGU+PGVsZWN0cm9uaWMtcmVz
b3VyY2UtbnVtPjEwLjEwMDcvczExMDI0LTAxNi05Mjk4LTU8L2VsZWN0cm9uaWMtcmVzb3VyY2Ut
bnVtPjx2b2x1bWU+NTQ8L3ZvbHVtZT48L3JlY29yZD48L0NpdGU+PC9FbmROb3RlPgB=
</w:fldData>
        </w:fldChar>
      </w:r>
      <w:r w:rsidR="00794385">
        <w:rPr>
          <w:sz w:val="24"/>
          <w:szCs w:val="24"/>
        </w:rPr>
        <w:instrText xml:space="preserve"> ADDIN EN.CITE </w:instrText>
      </w:r>
      <w:r w:rsidR="00794385">
        <w:rPr>
          <w:sz w:val="24"/>
          <w:szCs w:val="24"/>
        </w:rPr>
        <w:fldChar w:fldCharType="begin">
          <w:fldData xml:space="preserve">PEVuZE5vdGU+PENpdGU+PEF1dGhvcj5PbHNzZW48L0F1dGhvcj48WWVhcj4yMDExPC9ZZWFyPjxJ
RFRleHQ+VGhlIHN0cmFuZ2UgZGVhdGggb2YgdGhlIGxpYmVyYWwgdW5pdmVyc2l0eTogUmVzZWFy
Y2ggYXNzZXNzbWVudHMgYW5kIHRoZSBpbXBhY3Qgb2YgcmVzZWFyY2g8L0lEVGV4dD48RGlzcGxh
eVRleHQ+KE9sc3NlbiwgMjAxMTsgV2F0ZXJtZXllciAmYW1wOyBPbHNzZW4sIDIwMTYpPC9EaXNw
bGF5VGV4dD48cmVjb3JkPjx1cmxzPjxyZWxhdGVkLXVybHM+PHVybD5odHRwczovL3d3dy5zY29w
dXMuY29tL2lud2FyZC9yZWNvcmQudXJpP2VpZD0yLXMyLjAtODQ4NjM2MTQ0MzkmYW1wO3BhcnRu
ZXJJRD00MCZhbXA7bWQ1PWEwZWM5YWQ2NDFiOWQ0YzRmYmI5OWM4YjY5NTZlYTZhPC91cmw+PC9y
ZWxhdGVkLXVybHM+PC91cmxzPjx0aXRsZXM+PHRpdGxlPlRoZSBzdHJhbmdlIGRlYXRoIG9mIHRo
ZSBsaWJlcmFsIHVuaXZlcnNpdHk6IFJlc2VhcmNoIGFzc2Vzc21lbnRzIGFuZCB0aGUgaW1wYWN0
IG9mIHJlc2VhcmNoPC90aXRsZT48c2Vjb25kYXJ5LXRpdGxlPkhhbmRib29rIG9uIEdsb2JhbGl6
YXRpb24gYW5kIEhpZ2hlciBFZHVjYXRpb248L3NlY29uZGFyeS10aXRsZT48L3RpdGxlcz48cGFn
ZXM+MzYwLTM4MzwvcGFnZXM+PGNvbnRyaWJ1dG9ycz48YXV0aG9ycz48YXV0aG9yPk9sc3Nlbiwg
TS48L2F1dGhvcj48L2F1dGhvcnM+PC9jb250cmlidXRvcnM+PGFkZGVkLWRhdGUgZm9ybWF0PSJ1
dGMiPjE0NzI2NzE4MTg8L2FkZGVkLWRhdGU+PHJlZi10eXBlIG5hbWU9IkJvb2sgU2VjdGlvbiI+
NTwvcmVmLXR5cGU+PGRhdGVzPjx5ZWFyPjIwMTE8L3llYXI+PC9kYXRlcz48cmVjLW51bWJlcj4y
ODg1PC9yZWMtbnVtYmVyPjxsYXN0LXVwZGF0ZWQtZGF0ZSBmb3JtYXQ9InV0YyI+MTQ3MjY3MTgx
ODwvbGFzdC11cGRhdGVkLWRhdGU+PHJlbW90ZS1kYXRhYmFzZS1uYW1lPlNjb3B1czwvcmVtb3Rl
LWRhdGFiYXNlLW5hbWU+PC9yZWNvcmQ+PC9DaXRlPjxDaXRlPjxBdXRob3I+V2F0ZXJtZXllcjwv
QXV0aG9yPjxZZWFyPjIwMTY8L1llYXI+PElEVGV4dD7igJhFeGNlbGxlbmNl4oCZIGFuZCBFeGNs
dXNpb246IFRoZSBJbmRpdmlkdWFsIENvc3RzIG9mIEluc3RpdHV0aW9uYWwgQ29tcGV0aXRpdmVu
ZXNzPC9JRFRleHQ+PHJlY29yZD48a2V5d29yZHM+PGtleXdvcmQ+SGlnaGVyIGVkdWNhdGlvbiBw
b2xpY3k8L2tleXdvcmQ+PGtleXdvcmQ+TmVvbGliZXJhbGlzbTwva2V5d29yZD48a2V5d29yZD5Q
ZXJmb3JtYXRpdml0eTwva2V5d29yZD48a2V5d29yZD5BdWRpdCBjdWx0dXJlczwva2V5d29yZD48
a2V5d29yZD5BY2FkZW1pYyBleGNsdXNpb248L2tleXdvcmQ+PC9rZXl3b3Jkcz48aXNibj4wMDI2
LTQ2OTU8L2lzYm4+PHRpdGxlcz48dGl0bGU+4oCYRXhjZWxsZW5jZeKAmSBhbmQgRXhjbHVzaW9u
OiBUaGUgSW5kaXZpZHVhbCBDb3N0cyBvZiBJbnN0aXR1dGlvbmFsIENvbXBldGl0aXZlbmVzczwv
dGl0bGU+PHNlY29uZGFyeS10aXRsZT5BIFJldmlldyBvZiBTY2llbmNlLCBMZWFybmluZyBhbmQg
UG9saWN5PC9zZWNvbmRhcnktdGl0bGU+PC90aXRsZXM+PHBhZ2VzPjIwMS0yMTg8L3BhZ2VzPjxu
dW1iZXI+MjwvbnVtYmVyPjxjb250cmlidXRvcnM+PGF1dGhvcnM+PGF1dGhvcj5XYXRlcm1leWVy
LCBSaWNoYXJkPC9hdXRob3I+PGF1dGhvcj5PbHNzZW4sIE1hcms8L2F1dGhvcj48L2F1dGhvcnM+
PC9jb250cmlidXRvcnM+PGFkZGVkLWRhdGUgZm9ybWF0PSJ1dGMiPjE1MjkwMTc5Mzg8L2FkZGVk
LWRhdGU+PHB1Yi1sb2NhdGlvbj5Eb3JkcmVjaHQ8L3B1Yi1sb2NhdGlvbj48cmVmLXR5cGUgbmFt
ZT0iSm91cm5hbCBBcnRpY2xlIj4xNzwvcmVmLXR5cGU+PGRhdGVzPjx5ZWFyPjIwMTY8L3llYXI+
PC9kYXRlcz48cmVjLW51bWJlcj43NTU1PC9yZWMtbnVtYmVyPjxsYXN0LXVwZGF0ZWQtZGF0ZSBm
b3JtYXQ9InV0YyI+MTU1OTA4MTEyNzwvbGFzdC11cGRhdGVkLWRhdGU+PGVsZWN0cm9uaWMtcmVz
b3VyY2UtbnVtPjEwLjEwMDcvczExMDI0LTAxNi05Mjk4LTU8L2VsZWN0cm9uaWMtcmVzb3VyY2Ut
bnVtPjx2b2x1bWU+NTQ8L3ZvbHVtZT48L3JlY29yZD48L0NpdGU+PC9FbmROb3RlPgB=
</w:fldData>
        </w:fldChar>
      </w:r>
      <w:r w:rsidR="00794385">
        <w:rPr>
          <w:sz w:val="24"/>
          <w:szCs w:val="24"/>
        </w:rPr>
        <w:instrText xml:space="preserve"> ADDIN EN.CITE.DATA </w:instrText>
      </w:r>
      <w:r w:rsidR="00794385">
        <w:rPr>
          <w:sz w:val="24"/>
          <w:szCs w:val="24"/>
        </w:rPr>
      </w:r>
      <w:r w:rsidR="00794385">
        <w:rPr>
          <w:sz w:val="24"/>
          <w:szCs w:val="24"/>
        </w:rPr>
        <w:fldChar w:fldCharType="end"/>
      </w:r>
      <w:r>
        <w:rPr>
          <w:sz w:val="24"/>
          <w:szCs w:val="24"/>
        </w:rPr>
      </w:r>
      <w:r>
        <w:rPr>
          <w:sz w:val="24"/>
          <w:szCs w:val="24"/>
        </w:rPr>
        <w:fldChar w:fldCharType="separate"/>
      </w:r>
      <w:r w:rsidR="00794385">
        <w:rPr>
          <w:noProof/>
          <w:sz w:val="24"/>
          <w:szCs w:val="24"/>
        </w:rPr>
        <w:t>(Olssen, 2011; Watermeyer &amp; Olssen, 2016)</w:t>
      </w:r>
      <w:r>
        <w:rPr>
          <w:sz w:val="24"/>
          <w:szCs w:val="24"/>
        </w:rPr>
        <w:fldChar w:fldCharType="end"/>
      </w:r>
      <w:r>
        <w:rPr>
          <w:sz w:val="24"/>
          <w:szCs w:val="24"/>
        </w:rPr>
        <w:t xml:space="preserve"> systems of higher education and academic research, disciplinarity as a mode of integrating researchers and advancing knowledge has been under great scrutiny. This goes back </w:t>
      </w:r>
      <w:r w:rsidR="00B72B91">
        <w:rPr>
          <w:sz w:val="24"/>
          <w:szCs w:val="24"/>
        </w:rPr>
        <w:t xml:space="preserve">some </w:t>
      </w:r>
      <w:r>
        <w:rPr>
          <w:sz w:val="24"/>
          <w:szCs w:val="24"/>
        </w:rPr>
        <w:t xml:space="preserve">decades, with the aforementioned CERI (1982) report describing disciplines as not only “scientific realities but also social institutions which define a sharing of knowledge or of power” (p. 137). For </w:t>
      </w:r>
      <w:r w:rsidRPr="006B3347">
        <w:rPr>
          <w:iCs/>
          <w:sz w:val="24"/>
          <w:szCs w:val="24"/>
        </w:rPr>
        <w:t>B. R. Clark</w:t>
      </w:r>
      <w:r w:rsidRPr="006B3347">
        <w:rPr>
          <w:sz w:val="24"/>
          <w:szCs w:val="24"/>
        </w:rPr>
        <w:t xml:space="preserve"> </w:t>
      </w:r>
      <w:r w:rsidRPr="006B3347">
        <w:rPr>
          <w:sz w:val="24"/>
          <w:szCs w:val="24"/>
        </w:rPr>
        <w:fldChar w:fldCharType="begin"/>
      </w:r>
      <w:r>
        <w:rPr>
          <w:sz w:val="24"/>
          <w:szCs w:val="24"/>
        </w:rPr>
        <w:instrText xml:space="preserve"> ADDIN EN.CITE &lt;EndNote&gt;&lt;Cite ExcludeAuth="1"&gt;&lt;Author&gt;Clark&lt;/Author&gt;&lt;Year&gt;2008&lt;/Year&gt;&lt;IDText&gt;Differentiation and Integration of the Academic Profession&lt;/IDText&gt;&lt;DisplayText&gt;(2008)&lt;/DisplayText&gt;&lt;record&gt;&lt;titles&gt;&lt;title&gt;Differentiation and Integration of the Academic Profession&lt;/title&gt;&lt;secondary-title&gt;On Higher Education: Selected Writings, 1956-2006&lt;/secondary-title&gt;&lt;/titles&gt;&lt;contributors&gt;&lt;authors&gt;&lt;author&gt;Clark, Burton R.&lt;/author&gt;&lt;/authors&gt;&lt;/contributors&gt;&lt;added-date format="utc"&gt;1548523690&lt;/added-date&gt;&lt;pub-location&gt;Baltimore&lt;/pub-location&gt;&lt;ref-type name="Book Section"&gt;5&lt;/ref-type&gt;&lt;dates&gt;&lt;year&gt;2008&lt;/year&gt;&lt;/dates&gt;&lt;rec-number&gt;7697&lt;/rec-number&gt;&lt;publisher&gt;Johns Hopkins University Press&lt;/publisher&gt;&lt;last-updated-date format="utc"&gt;1548523801&lt;/last-updated-date&gt;&lt;contributors&gt;&lt;secondary-authors&gt;&lt;author&gt;Clark, Burton R.&lt;/author&gt;&lt;author&gt;Clark, Adele&lt;/author&gt;&lt;/secondary-authors&gt;&lt;/contributors&gt;&lt;/record&gt;&lt;/Cite&gt;&lt;/EndNote&gt;</w:instrText>
      </w:r>
      <w:r w:rsidRPr="006B3347">
        <w:rPr>
          <w:sz w:val="24"/>
          <w:szCs w:val="24"/>
        </w:rPr>
        <w:fldChar w:fldCharType="separate"/>
      </w:r>
      <w:r>
        <w:rPr>
          <w:noProof/>
          <w:sz w:val="24"/>
          <w:szCs w:val="24"/>
        </w:rPr>
        <w:t>(2008)</w:t>
      </w:r>
      <w:r w:rsidRPr="006B3347">
        <w:rPr>
          <w:sz w:val="24"/>
          <w:szCs w:val="24"/>
        </w:rPr>
        <w:fldChar w:fldCharType="end"/>
      </w:r>
      <w:r w:rsidRPr="006B3347">
        <w:rPr>
          <w:sz w:val="24"/>
          <w:szCs w:val="24"/>
        </w:rPr>
        <w:t xml:space="preserve">: </w:t>
      </w:r>
    </w:p>
    <w:p w14:paraId="4417BC33" w14:textId="77777777" w:rsidR="00DC7B41" w:rsidRDefault="00DC7B41" w:rsidP="001F5DB2">
      <w:pPr>
        <w:spacing w:after="120" w:line="240" w:lineRule="auto"/>
        <w:ind w:left="720"/>
        <w:rPr>
          <w:sz w:val="24"/>
          <w:szCs w:val="24"/>
        </w:rPr>
      </w:pPr>
      <w:r w:rsidRPr="006B3347">
        <w:rPr>
          <w:sz w:val="24"/>
          <w:szCs w:val="24"/>
        </w:rPr>
        <w:t xml:space="preserve">“Disciplines have conscious goals. In fact it is their intentions and strivings and not those stated as the broad aims of higher education which determine the real goals of the many departments, schools, and sub-colleges that make up the operating levels of universities” </w:t>
      </w:r>
      <w:r w:rsidRPr="006B3347">
        <w:rPr>
          <w:sz w:val="24"/>
          <w:szCs w:val="24"/>
        </w:rPr>
        <w:fldChar w:fldCharType="begin"/>
      </w:r>
      <w:r w:rsidRPr="006B3347">
        <w:rPr>
          <w:sz w:val="24"/>
          <w:szCs w:val="24"/>
        </w:rPr>
        <w:instrText xml:space="preserve"> ADDIN EN.CITE &lt;EndNote&gt;&lt;Cite ExcludeAuth="1" ExcludeYear="1"&gt;&lt;Author&gt;Clark&lt;/Author&gt;&lt;Year&gt;2008&lt;/Year&gt;&lt;IDText&gt;Differentiation and Integration of the Academic Profession&lt;/IDText&gt;&lt;Pages&gt;285&lt;/Pages&gt;&lt;DisplayText&gt;(p. 285)&lt;/DisplayText&gt;&lt;record&gt;&lt;titles&gt;&lt;title&gt;Differentiation and Integration of the Academic Profession&lt;/title&gt;&lt;secondary-title&gt;On Higher Education: Selected Writings, 1956-2006&lt;/secondary-title&gt;&lt;/titles&gt;&lt;contributors&gt;&lt;authors&gt;&lt;author&gt;Clark, Burton R.&lt;/author&gt;&lt;/authors&gt;&lt;/contributors&gt;&lt;added-date format="utc"&gt;1548523690&lt;/added-date&gt;&lt;pub-location&gt;Baltimore&lt;/pub-location&gt;&lt;ref-type name="Book Section"&gt;5&lt;/ref-type&gt;&lt;dates&gt;&lt;year&gt;2008&lt;/year&gt;&lt;/dates&gt;&lt;rec-number&gt;7697&lt;/rec-number&gt;&lt;publisher&gt;Johns Hopkins University Press&lt;/publisher&gt;&lt;last-updated-date format="utc"&gt;1548523801&lt;/last-updated-date&gt;&lt;contributors&gt;&lt;secondary-authors&gt;&lt;author&gt;Clark, Burton R.&lt;/author&gt;&lt;author&gt;Clark, Adele&lt;/author&gt;&lt;/secondary-authors&gt;&lt;/contributors&gt;&lt;/record&gt;&lt;/Cite&gt;&lt;/EndNote&gt;</w:instrText>
      </w:r>
      <w:r w:rsidRPr="006B3347">
        <w:rPr>
          <w:sz w:val="24"/>
          <w:szCs w:val="24"/>
        </w:rPr>
        <w:fldChar w:fldCharType="separate"/>
      </w:r>
      <w:r w:rsidRPr="006B3347">
        <w:rPr>
          <w:noProof/>
          <w:sz w:val="24"/>
          <w:szCs w:val="24"/>
        </w:rPr>
        <w:t>(p. 285)</w:t>
      </w:r>
      <w:r w:rsidRPr="006B3347">
        <w:rPr>
          <w:sz w:val="24"/>
          <w:szCs w:val="24"/>
        </w:rPr>
        <w:fldChar w:fldCharType="end"/>
      </w:r>
      <w:r>
        <w:rPr>
          <w:sz w:val="24"/>
          <w:szCs w:val="24"/>
        </w:rPr>
        <w:t>.</w:t>
      </w:r>
    </w:p>
    <w:p w14:paraId="5D9BC14C" w14:textId="03A6F9CA" w:rsidR="00DC7B41" w:rsidRDefault="00DC7B41" w:rsidP="001F5DB2">
      <w:pPr>
        <w:autoSpaceDE w:val="0"/>
        <w:autoSpaceDN w:val="0"/>
        <w:adjustRightInd w:val="0"/>
        <w:spacing w:after="120" w:line="360" w:lineRule="auto"/>
        <w:rPr>
          <w:sz w:val="24"/>
          <w:szCs w:val="24"/>
        </w:rPr>
      </w:pPr>
      <w:r>
        <w:rPr>
          <w:sz w:val="24"/>
          <w:szCs w:val="24"/>
        </w:rPr>
        <w:t xml:space="preserve">To counter this, inter- or transdisciplinarity is seen as a solution to problems of the relations not only between bodies of knowledge, but between science and society more generally </w:t>
      </w:r>
      <w:r>
        <w:rPr>
          <w:sz w:val="24"/>
          <w:szCs w:val="24"/>
        </w:rPr>
        <w:fldChar w:fldCharType="begin"/>
      </w:r>
      <w:r>
        <w:rPr>
          <w:sz w:val="24"/>
          <w:szCs w:val="24"/>
        </w:rPr>
        <w:instrText xml:space="preserve"> ADDIN EN.CITE &lt;EndNote&gt;&lt;Cite&gt;&lt;Author&gt;Barry&lt;/Author&gt;&lt;Year&gt;2013&lt;/Year&gt;&lt;IDText&gt;Interdisciplinarity: reconfigurations of the social and natural sciences&lt;/IDText&gt;&lt;DisplayText&gt;(Barry &amp;amp; Born, 2013)&lt;/DisplayText&gt;&lt;record&gt;&lt;keywords&gt;&lt;keyword&gt;Interdisciplinary approach to knowledge&lt;/keyword&gt;&lt;keyword&gt;Interdisciplinary research&lt;/keyword&gt;&lt;keyword&gt;Interdisciplinary approach in education&lt;/keyword&gt;&lt;keyword&gt;Social sciences&lt;/keyword&gt;&lt;keyword&gt;Science&lt;/keyword&gt;&lt;keyword&gt;Natural history&lt;/keyword&gt;&lt;keyword&gt;History, Natural&lt;/keyword&gt;&lt;keyword&gt;Natural science&lt;/keyword&gt;&lt;keyword&gt;Physiophilosophy&lt;/keyword&gt;&lt;keyword&gt;Biology&lt;/keyword&gt;&lt;keyword&gt;Science&lt;/keyword&gt;&lt;keyword&gt;Natural science&lt;/keyword&gt;&lt;keyword&gt;Science of science&lt;/keyword&gt;&lt;keyword&gt;Sciences&lt;/keyword&gt;&lt;keyword&gt;Behavioral sciences&lt;/keyword&gt;&lt;keyword&gt;Human sciences&lt;/keyword&gt;&lt;keyword&gt;Sciences, Social&lt;/keyword&gt;&lt;keyword&gt;Social science&lt;/keyword&gt;&lt;keyword&gt;Social studies&lt;/keyword&gt;&lt;keyword&gt;Civilization&lt;/keyword&gt;&lt;keyword&gt;Integrated curriculum&lt;/keyword&gt;&lt;keyword&gt;Interdisciplinarity in education&lt;/keyword&gt;&lt;keyword&gt;Interdisciplinary studies&lt;/keyword&gt;&lt;keyword&gt;Curriculum planning&lt;/keyword&gt;&lt;keyword&gt;Holistic education&lt;/keyword&gt;&lt;keyword&gt;IDR (Research)&lt;/keyword&gt;&lt;keyword&gt;Research, Interdisciplinary&lt;/keyword&gt;&lt;keyword&gt;Research&lt;/keyword&gt;&lt;keyword&gt;Knowledge, Theory of&lt;/keyword&gt;&lt;keyword&gt;Methodology&lt;/keyword&gt;&lt;keyword&gt;Science and the humanities&lt;/keyword&gt;&lt;/keywords&gt;&lt;titles&gt;&lt;title&gt;Interdisciplinarity: reconfigurations of the social and natural sciences&lt;/title&gt;&lt;/titles&gt;&lt;contributors&gt;&lt;authors&gt;&lt;author&gt;Barry, Andrew&lt;/author&gt;&lt;author&gt;Born, Georgina&lt;/author&gt;&lt;/authors&gt;&lt;/contributors&gt;&lt;added-date format="utc"&gt;1512687812&lt;/added-date&gt;&lt;pub-location&gt;London&lt;/pub-location&gt;&lt;ref-type name="Edited Book"&gt;28&lt;/ref-type&gt;&lt;dates&gt;&lt;year&gt;2013&lt;/year&gt;&lt;/dates&gt;&lt;rec-number&gt;7263&lt;/rec-number&gt;&lt;publisher&gt;Routledge&lt;/publisher&gt;&lt;last-updated-date format="utc"&gt;1523641127&lt;/last-updated-date&gt;&lt;/record&gt;&lt;/Cite&gt;&lt;/EndNote&gt;</w:instrText>
      </w:r>
      <w:r>
        <w:rPr>
          <w:sz w:val="24"/>
          <w:szCs w:val="24"/>
        </w:rPr>
        <w:fldChar w:fldCharType="separate"/>
      </w:r>
      <w:r>
        <w:rPr>
          <w:noProof/>
          <w:sz w:val="24"/>
          <w:szCs w:val="24"/>
        </w:rPr>
        <w:t>(Barry &amp; Born, 2013)</w:t>
      </w:r>
      <w:r>
        <w:rPr>
          <w:sz w:val="24"/>
          <w:szCs w:val="24"/>
        </w:rPr>
        <w:fldChar w:fldCharType="end"/>
      </w:r>
      <w:r>
        <w:rPr>
          <w:sz w:val="24"/>
          <w:szCs w:val="24"/>
        </w:rPr>
        <w:t xml:space="preserve">. New research units grounded upon “ideas of interdisciplinarity and transdisciplinarity” aim to promote “boundary transgressions, in which the disciplinary and disciplining rules, trainings and subjectivities given by existing knowledge corpuses are put aside or superseded” </w:t>
      </w:r>
      <w:r>
        <w:rPr>
          <w:sz w:val="24"/>
          <w:szCs w:val="24"/>
        </w:rPr>
        <w:fldChar w:fldCharType="begin"/>
      </w:r>
      <w:r>
        <w:rPr>
          <w:sz w:val="24"/>
          <w:szCs w:val="24"/>
        </w:rPr>
        <w:instrText xml:space="preserve"> ADDIN EN.CITE &lt;EndNote&gt;&lt;Cite&gt;&lt;Author&gt;Barry&lt;/Author&gt;&lt;Year&gt;2008&lt;/Year&gt;&lt;IDText&gt;Logics of interdisciplinarity&lt;/IDText&gt;&lt;Pages&gt;21&lt;/Pages&gt;&lt;DisplayText&gt;(Barry et al., 2008, p. 21)&lt;/DisplayText&gt;&lt;record&gt;&lt;keywords&gt;&lt;keyword&gt;Interdisciplinarity&lt;/keyword&gt;&lt;keyword&gt;Interdisciplinary Research&lt;/keyword&gt;&lt;keyword&gt;Accountability&lt;/keyword&gt;&lt;keyword&gt;Innovation&lt;/keyword&gt;&lt;keyword&gt;Ontology&lt;/keyword&gt;&lt;keyword&gt;Ethnography&lt;/keyword&gt;&lt;keyword&gt;Environment&lt;/keyword&gt;&lt;keyword&gt;Art-Science&lt;/keyword&gt;&lt;/keywords&gt;&lt;isbn&gt;0308-5147&lt;/isbn&gt;&lt;titles&gt;&lt;title&gt;Logics of interdisciplinarity&lt;/title&gt;&lt;secondary-title&gt;Economy and Society&lt;/secondary-title&gt;&lt;/titles&gt;&lt;pages&gt;20-49&lt;/pages&gt;&lt;number&gt;1&lt;/number&gt;&lt;contributors&gt;&lt;authors&gt;&lt;author&gt;Barry, Andrew&lt;/author&gt;&lt;author&gt;Born, Georgina&lt;/author&gt;&lt;author&gt;Weszkalnys, Gisa&lt;/author&gt;&lt;/authors&gt;&lt;/contributors&gt;&lt;added-date format="utc"&gt;1550841221&lt;/added-date&gt;&lt;ref-type name="Journal Article"&gt;17&lt;/ref-type&gt;&lt;dates&gt;&lt;year&gt;2008&lt;/year&gt;&lt;/dates&gt;&lt;rec-number&gt;7755&lt;/rec-number&gt;&lt;publisher&gt;Taylor &amp;amp; Francis Group&lt;/publisher&gt;&lt;last-updated-date format="utc"&gt;1550841221&lt;/last-updated-date&gt;&lt;electronic-resource-num&gt;10.1080/03085140701760841&lt;/electronic-resource-num&gt;&lt;volume&gt;37&lt;/volume&gt;&lt;/record&gt;&lt;/Cite&gt;&lt;/EndNote&gt;</w:instrText>
      </w:r>
      <w:r>
        <w:rPr>
          <w:sz w:val="24"/>
          <w:szCs w:val="24"/>
        </w:rPr>
        <w:fldChar w:fldCharType="separate"/>
      </w:r>
      <w:r>
        <w:rPr>
          <w:noProof/>
          <w:sz w:val="24"/>
          <w:szCs w:val="24"/>
        </w:rPr>
        <w:t>(Barry et al., 2008, p. 21)</w:t>
      </w:r>
      <w:r>
        <w:rPr>
          <w:sz w:val="24"/>
          <w:szCs w:val="24"/>
        </w:rPr>
        <w:fldChar w:fldCharType="end"/>
      </w:r>
      <w:r>
        <w:rPr>
          <w:sz w:val="24"/>
          <w:szCs w:val="24"/>
        </w:rPr>
        <w:t xml:space="preserve">. Transdisciplinarity in particular implies a “transcendence of disciplinary norms ... in the pursuit of ... real-world problem-solving, or ... overcoming the distance between specialized and lay knowledges” </w:t>
      </w:r>
      <w:r>
        <w:rPr>
          <w:sz w:val="24"/>
          <w:szCs w:val="24"/>
        </w:rPr>
        <w:fldChar w:fldCharType="begin"/>
      </w:r>
      <w:r>
        <w:rPr>
          <w:sz w:val="24"/>
          <w:szCs w:val="24"/>
        </w:rPr>
        <w:instrText xml:space="preserve"> ADDIN EN.CITE &lt;EndNote&gt;&lt;Cite&gt;&lt;Author&gt;Barry&lt;/Author&gt;&lt;Year&gt;2008&lt;/Year&gt;&lt;IDText&gt;Logics of interdisciplinarity&lt;/IDText&gt;&lt;Pages&gt;27&lt;/Pages&gt;&lt;DisplayText&gt;(Barry et al., 2008, p. 27)&lt;/DisplayText&gt;&lt;record&gt;&lt;keywords&gt;&lt;keyword&gt;Interdisciplinarity&lt;/keyword&gt;&lt;keyword&gt;Interdisciplinary Research&lt;/keyword&gt;&lt;keyword&gt;Accountability&lt;/keyword&gt;&lt;keyword&gt;Innovation&lt;/keyword&gt;&lt;keyword&gt;Ontology&lt;/keyword&gt;&lt;keyword&gt;Ethnography&lt;/keyword&gt;&lt;keyword&gt;Environment&lt;/keyword&gt;&lt;keyword&gt;Art-Science&lt;/keyword&gt;&lt;/keywords&gt;&lt;isbn&gt;0308-5147&lt;/isbn&gt;&lt;titles&gt;&lt;title&gt;Logics of interdisciplinarity&lt;/title&gt;&lt;secondary-title&gt;Economy and Society&lt;/secondary-title&gt;&lt;/titles&gt;&lt;pages&gt;20-49&lt;/pages&gt;&lt;number&gt;1&lt;/number&gt;&lt;contributors&gt;&lt;authors&gt;&lt;author&gt;Barry, Andrew&lt;/author&gt;&lt;author&gt;Born, Georgina&lt;/author&gt;&lt;author&gt;Weszkalnys, Gisa&lt;/author&gt;&lt;/authors&gt;&lt;/contributors&gt;&lt;added-date format="utc"&gt;1550841221&lt;/added-date&gt;&lt;ref-type name="Journal Article"&gt;17&lt;/ref-type&gt;&lt;dates&gt;&lt;year&gt;2008&lt;/year&gt;&lt;/dates&gt;&lt;rec-number&gt;7755&lt;/rec-number&gt;&lt;publisher&gt;Taylor &amp;amp; Francis Group&lt;/publisher&gt;&lt;last-updated-date format="utc"&gt;1550841221&lt;/last-updated-date&gt;&lt;electronic-resource-num&gt;10.1080/03085140701760841&lt;/electronic-resource-num&gt;&lt;volume&gt;37&lt;/volume&gt;&lt;/record&gt;&lt;/Cite&gt;&lt;/EndNote&gt;</w:instrText>
      </w:r>
      <w:r>
        <w:rPr>
          <w:sz w:val="24"/>
          <w:szCs w:val="24"/>
        </w:rPr>
        <w:fldChar w:fldCharType="separate"/>
      </w:r>
      <w:r>
        <w:rPr>
          <w:noProof/>
          <w:sz w:val="24"/>
          <w:szCs w:val="24"/>
        </w:rPr>
        <w:t>(Barry et al., 2008, p. 27)</w:t>
      </w:r>
      <w:r>
        <w:rPr>
          <w:sz w:val="24"/>
          <w:szCs w:val="24"/>
        </w:rPr>
        <w:fldChar w:fldCharType="end"/>
      </w:r>
      <w:r>
        <w:rPr>
          <w:sz w:val="24"/>
          <w:szCs w:val="24"/>
        </w:rPr>
        <w:t>. As such, it “</w:t>
      </w:r>
      <w:r w:rsidRPr="000A1C93">
        <w:rPr>
          <w:sz w:val="24"/>
          <w:szCs w:val="24"/>
        </w:rPr>
        <w:t>does not respect institutional boundaries</w:t>
      </w:r>
      <w:r w:rsidRPr="00902C97">
        <w:rPr>
          <w:sz w:val="24"/>
          <w:szCs w:val="24"/>
        </w:rPr>
        <w:t>” (Nowotny, 2006, p. 2)</w:t>
      </w:r>
      <w:r>
        <w:rPr>
          <w:sz w:val="24"/>
          <w:szCs w:val="24"/>
        </w:rPr>
        <w:t>. It</w:t>
      </w:r>
      <w:r w:rsidR="007B7A9E">
        <w:rPr>
          <w:sz w:val="24"/>
          <w:szCs w:val="24"/>
        </w:rPr>
        <w:t xml:space="preserve"> is</w:t>
      </w:r>
      <w:r w:rsidR="00734061">
        <w:rPr>
          <w:sz w:val="24"/>
          <w:szCs w:val="24"/>
        </w:rPr>
        <w:t xml:space="preserve"> practical problems generated </w:t>
      </w:r>
      <w:r>
        <w:rPr>
          <w:sz w:val="24"/>
          <w:szCs w:val="24"/>
        </w:rPr>
        <w:t xml:space="preserve">beyond academic boundaries, rather than disciplinary ones generated within academic boundaries, that are the main driver and basis for coordination of academic effort and expertise </w:t>
      </w:r>
      <w:r>
        <w:rPr>
          <w:sz w:val="24"/>
          <w:szCs w:val="24"/>
        </w:rPr>
        <w:fldChar w:fldCharType="begin"/>
      </w:r>
      <w:r>
        <w:rPr>
          <w:sz w:val="24"/>
          <w:szCs w:val="24"/>
        </w:rPr>
        <w:instrText xml:space="preserve"> ADDIN EN.CITE &lt;EndNote&gt;&lt;Cite&gt;&lt;Author&gt;Nowotny&lt;/Author&gt;&lt;Year&gt;2003&lt;/Year&gt;&lt;IDText&gt;Introduction: &amp;apos;Mode 2&amp;apos; revisited: the new production of knowledge&lt;/IDText&gt;&lt;DisplayText&gt;(Nowotny et al., 2003)&lt;/DisplayText&gt;&lt;record&gt;&lt;keywords&gt;&lt;keyword&gt;Science&lt;/keyword&gt;&lt;keyword&gt;Knowledge&lt;/keyword&gt;&lt;keyword&gt;Knowledge Management&lt;/keyword&gt;&lt;keyword&gt;Scientific Research&lt;/keyword&gt;&lt;keyword&gt;Scientific Discoveries&lt;/keyword&gt;&lt;keyword&gt;Scientific Communities&lt;/keyword&gt;&lt;keyword&gt;Sociology of Science&lt;/keyword&gt;&lt;keyword&gt;Sociology of Knowledge&lt;/keyword&gt;&lt;keyword&gt;Philosophy of Science&lt;/keyword&gt;&lt;keyword&gt;Sociology&lt;/keyword&gt;&lt;/keywords&gt;&lt;isbn&gt;0026-4695&lt;/isbn&gt;&lt;titles&gt;&lt;title&gt;Introduction: &amp;apos;Mode 2&amp;apos; revisited: the new production of knowledge&lt;/title&gt;&lt;secondary-title&gt;Minerva&lt;/secondary-title&gt;&lt;/titles&gt;&lt;pages&gt;179-194&lt;/pages&gt;&lt;number&gt;3&lt;/number&gt;&lt;contributors&gt;&lt;authors&gt;&lt;author&gt;Nowotny, Helga&lt;/author&gt;&lt;author&gt;Scott, Peter&lt;/author&gt;&lt;author&gt;Gibbons, Michael&lt;/author&gt;&lt;/authors&gt;&lt;/contributors&gt;&lt;added-date format="utc"&gt;1529380888&lt;/added-date&gt;&lt;ref-type name="Journal Article"&gt;17&lt;/ref-type&gt;&lt;dates&gt;&lt;year&gt;2003&lt;/year&gt;&lt;/dates&gt;&lt;rec-number&gt;7563&lt;/rec-number&gt;&lt;last-updated-date format="utc"&gt;1529380888&lt;/last-updated-date&gt;&lt;volume&gt;xli&lt;/volume&gt;&lt;/record&gt;&lt;/Cite&gt;&lt;/EndNote&gt;</w:instrText>
      </w:r>
      <w:r>
        <w:rPr>
          <w:sz w:val="24"/>
          <w:szCs w:val="24"/>
        </w:rPr>
        <w:fldChar w:fldCharType="separate"/>
      </w:r>
      <w:r>
        <w:rPr>
          <w:noProof/>
          <w:sz w:val="24"/>
          <w:szCs w:val="24"/>
        </w:rPr>
        <w:t>(Nowotny et al., 2003)</w:t>
      </w:r>
      <w:r>
        <w:rPr>
          <w:sz w:val="24"/>
          <w:szCs w:val="24"/>
        </w:rPr>
        <w:fldChar w:fldCharType="end"/>
      </w:r>
      <w:r>
        <w:rPr>
          <w:sz w:val="24"/>
          <w:szCs w:val="24"/>
        </w:rPr>
        <w:t>. In this context</w:t>
      </w:r>
      <w:r w:rsidR="002F4A87">
        <w:rPr>
          <w:sz w:val="24"/>
          <w:szCs w:val="24"/>
        </w:rPr>
        <w:t>, new forms of academic organisational structure are likely</w:t>
      </w:r>
      <w:r>
        <w:rPr>
          <w:sz w:val="24"/>
          <w:szCs w:val="24"/>
        </w:rPr>
        <w:t xml:space="preserve"> to be “</w:t>
      </w:r>
      <w:r w:rsidRPr="000C4899">
        <w:rPr>
          <w:sz w:val="24"/>
          <w:szCs w:val="24"/>
        </w:rPr>
        <w:t xml:space="preserve">created on the </w:t>
      </w:r>
      <w:r w:rsidRPr="000C4899">
        <w:rPr>
          <w:color w:val="000000" w:themeColor="text1"/>
          <w:sz w:val="24"/>
          <w:szCs w:val="24"/>
        </w:rPr>
        <w:t xml:space="preserve">basis of demands from society more than internal institutionalized norms such as professional or disciplinary” </w:t>
      </w:r>
      <w:r w:rsidRPr="000C4899">
        <w:rPr>
          <w:color w:val="000000" w:themeColor="text1"/>
          <w:sz w:val="24"/>
          <w:szCs w:val="24"/>
        </w:rPr>
        <w:fldChar w:fldCharType="begin"/>
      </w:r>
      <w:r w:rsidRPr="000C4899">
        <w:rPr>
          <w:color w:val="000000" w:themeColor="text1"/>
          <w:sz w:val="24"/>
          <w:szCs w:val="24"/>
        </w:rPr>
        <w:instrText xml:space="preserve"> ADDIN EN.CITE &lt;EndNote&gt;&lt;Cite&gt;&lt;Author&gt;Nyhagen&lt;/Author&gt;&lt;Year&gt;2013&lt;/Year&gt;&lt;IDText&gt;New organisational structures and the transformation of academic work&lt;/IDText&gt;&lt;Pages&gt;410-411&lt;/Pages&gt;&lt;DisplayText&gt;(Nyhagen &amp;amp; Baschung, 2013, pp. 410-411)&lt;/DisplayText&gt;&lt;record&gt;&lt;keywords&gt;&lt;keyword&gt;Academic work&lt;/keyword&gt;&lt;keyword&gt;Research centres&lt;/keyword&gt;&lt;keyword&gt;Doctoral schools&lt;/keyword&gt;&lt;keyword&gt;Specialization&lt;/keyword&gt;&lt;keyword&gt;Collectivization&lt;/keyword&gt;&lt;/keywords&gt;&lt;isbn&gt;0018-1560&lt;/isbn&gt;&lt;titles&gt;&lt;title&gt;New organisational structures and the transformation of academic work&lt;/title&gt;&lt;secondary-title&gt;High Educ&lt;/secondary-title&gt;&lt;/titles&gt;&lt;pages&gt;409-423&lt;/pages&gt;&lt;number&gt;4&lt;/number&gt;&lt;contributors&gt;&lt;authors&gt;&lt;author&gt;Nyhagen, Gigliola&lt;/author&gt;&lt;author&gt;Baschung, Lukas&lt;/author&gt;&lt;/authors&gt;&lt;/contributors&gt;&lt;added-date format="utc"&gt;1492073267&lt;/added-date&gt;&lt;pub-location&gt;Dordrecht&lt;/pub-location&gt;&lt;ref-type name="Journal Article"&gt;17&lt;/ref-type&gt;&lt;dates&gt;&lt;year&gt;2013&lt;/year&gt;&lt;/dates&gt;&lt;rec-number&gt;6711&lt;/rec-number&gt;&lt;last-updated-date format="utc"&gt;1505379616&lt;/last-updated-date&gt;&lt;electronic-resource-num&gt;10.1007/s10734-013-9612-1&lt;/electronic-resource-num&gt;&lt;volume&gt;66&lt;/volume&gt;&lt;/record&gt;&lt;/Cite&gt;&lt;/EndNote&gt;</w:instrText>
      </w:r>
      <w:r w:rsidRPr="000C4899">
        <w:rPr>
          <w:color w:val="000000" w:themeColor="text1"/>
          <w:sz w:val="24"/>
          <w:szCs w:val="24"/>
        </w:rPr>
        <w:fldChar w:fldCharType="separate"/>
      </w:r>
      <w:r w:rsidRPr="000C4899">
        <w:rPr>
          <w:noProof/>
          <w:color w:val="000000" w:themeColor="text1"/>
          <w:sz w:val="24"/>
          <w:szCs w:val="24"/>
        </w:rPr>
        <w:t>(Nyhagen &amp; Baschung, 2013, pp. 410-411)</w:t>
      </w:r>
      <w:r w:rsidRPr="000C4899">
        <w:rPr>
          <w:color w:val="000000" w:themeColor="text1"/>
          <w:sz w:val="24"/>
          <w:szCs w:val="24"/>
        </w:rPr>
        <w:fldChar w:fldCharType="end"/>
      </w:r>
      <w:r w:rsidRPr="000C4899">
        <w:rPr>
          <w:color w:val="000000" w:themeColor="text1"/>
          <w:sz w:val="24"/>
          <w:szCs w:val="24"/>
        </w:rPr>
        <w:t>.</w:t>
      </w:r>
      <w:r>
        <w:rPr>
          <w:sz w:val="24"/>
          <w:szCs w:val="24"/>
        </w:rPr>
        <w:t xml:space="preserve"> </w:t>
      </w:r>
    </w:p>
    <w:p w14:paraId="3B537978" w14:textId="3E1F0BF2" w:rsidR="00DC7B41" w:rsidRDefault="0036491F" w:rsidP="001F5DB2">
      <w:pPr>
        <w:autoSpaceDE w:val="0"/>
        <w:autoSpaceDN w:val="0"/>
        <w:adjustRightInd w:val="0"/>
        <w:spacing w:after="120" w:line="360" w:lineRule="auto"/>
        <w:rPr>
          <w:sz w:val="24"/>
          <w:szCs w:val="24"/>
        </w:rPr>
      </w:pPr>
      <w:r>
        <w:rPr>
          <w:sz w:val="24"/>
          <w:szCs w:val="24"/>
        </w:rPr>
        <w:t>From Bernstein’s (2000) perspective, t</w:t>
      </w:r>
      <w:r w:rsidR="00DC7B41">
        <w:rPr>
          <w:sz w:val="24"/>
          <w:szCs w:val="24"/>
        </w:rPr>
        <w:t>hese developments reflect a “weakening</w:t>
      </w:r>
      <w:r>
        <w:rPr>
          <w:sz w:val="24"/>
          <w:szCs w:val="24"/>
        </w:rPr>
        <w:t>” of boundaries and “g</w:t>
      </w:r>
      <w:r w:rsidR="00DC7B41">
        <w:rPr>
          <w:sz w:val="24"/>
          <w:szCs w:val="24"/>
        </w:rPr>
        <w:t xml:space="preserve">reater external dependency” </w:t>
      </w:r>
      <w:r>
        <w:rPr>
          <w:sz w:val="24"/>
          <w:szCs w:val="24"/>
        </w:rPr>
        <w:t>(p. 52)</w:t>
      </w:r>
      <w:r w:rsidR="00DC7B41">
        <w:rPr>
          <w:rFonts w:eastAsia="MalgunNew Roman"/>
          <w:sz w:val="24"/>
          <w:szCs w:val="24"/>
        </w:rPr>
        <w:t xml:space="preserve">. </w:t>
      </w:r>
      <w:r w:rsidR="00DC7B41">
        <w:rPr>
          <w:sz w:val="24"/>
          <w:szCs w:val="24"/>
        </w:rPr>
        <w:t>However, boundary structures, in facilitating boundary transactions, may also have a role in reinforcing and reproducing certain aspects of academic boundaries. For example, transdisciplinarity, rather than implying or leading to “</w:t>
      </w:r>
      <w:r w:rsidR="00DC7B41">
        <w:rPr>
          <w:i/>
          <w:sz w:val="24"/>
          <w:szCs w:val="24"/>
        </w:rPr>
        <w:t>postdisciplinarity</w:t>
      </w:r>
      <w:r w:rsidR="00DC7B41">
        <w:rPr>
          <w:sz w:val="24"/>
          <w:szCs w:val="24"/>
        </w:rPr>
        <w:t xml:space="preserve">” </w:t>
      </w:r>
      <w:r w:rsidR="00DC7B41">
        <w:rPr>
          <w:sz w:val="24"/>
          <w:szCs w:val="24"/>
        </w:rPr>
        <w:fldChar w:fldCharType="begin"/>
      </w:r>
      <w:r w:rsidR="00DC7B41">
        <w:rPr>
          <w:sz w:val="24"/>
          <w:szCs w:val="24"/>
        </w:rPr>
        <w:instrText xml:space="preserve"> ADDIN EN.CITE &lt;EndNote&gt;&lt;Cite&gt;&lt;Author&gt;Bhaskar&lt;/Author&gt;&lt;Year&gt;2010&lt;/Year&gt;&lt;IDText&gt;Contexts of interdisciplinarity: interdisciplinarity and climate change&lt;/IDText&gt;&lt;Suffix&gt;`, original emphasis&lt;/Suffix&gt;&lt;Pages&gt;5&lt;/Pages&gt;&lt;DisplayText&gt;(Bhaskar, 2010, p. 5, original emphasis)&lt;/DisplayText&gt;&lt;record&gt;&lt;keywords&gt;&lt;keyword&gt;Climatic changes&lt;/keyword&gt;&lt;keyword&gt;Interdisciplinary approach to knowledge&lt;/keyword&gt;&lt;keyword&gt;Globalization&lt;/keyword&gt;&lt;keyword&gt;Global cities&lt;/keyword&gt;&lt;keyword&gt;Globalisation&lt;/keyword&gt;&lt;keyword&gt;Internationalization&lt;/keyword&gt;&lt;keyword&gt;International relations&lt;/keyword&gt;&lt;keyword&gt;Anti-globalization movement&lt;/keyword&gt;&lt;keyword&gt;Knowledge, Theory of&lt;/keyword&gt;&lt;keyword&gt;Methodology&lt;/keyword&gt;&lt;keyword&gt;Science and the humanities&lt;/keyword&gt;&lt;keyword&gt;Changes, Climatic&lt;/keyword&gt;&lt;keyword&gt;Climate change&lt;/keyword&gt;&lt;keyword&gt;Climate changes&lt;/keyword&gt;&lt;keyword&gt;Climate variations&lt;/keyword&gt;&lt;keyword&gt;Climatic change&lt;/keyword&gt;&lt;keyword&gt;Climatic changes -- Environmental aspects&lt;/keyword&gt;&lt;keyword&gt;Climatic fluctuations&lt;/keyword&gt;&lt;keyword&gt;Climatic variations&lt;/keyword&gt;&lt;keyword&gt;Global climate changes&lt;/keyword&gt;&lt;keyword&gt;Global climatic changes&lt;/keyword&gt;&lt;keyword&gt;Climatology&lt;/keyword&gt;&lt;keyword&gt;Climate change mitigation&lt;/keyword&gt;&lt;keyword&gt;Teleconnections (Climatology)&lt;/keyword&gt;&lt;/keywords&gt;&lt;titles&gt;&lt;title&gt;Contexts of interdisciplinarity: interdisciplinarity and climate change&lt;/title&gt;&lt;secondary-title&gt;Interdisciplinarity and climate change: transforming knowledge and practice for our global future&lt;/secondary-title&gt;&lt;/titles&gt;&lt;contributors&gt;&lt;authors&gt;&lt;author&gt;Bhaskar, Roy&lt;/author&gt;&lt;/authors&gt;&lt;/contributors&gt;&lt;added-date format="utc"&gt;1518661243&lt;/added-date&gt;&lt;ref-type name="Book Section"&gt;5&lt;/ref-type&gt;&lt;dates&gt;&lt;year&gt;2010&lt;/year&gt;&lt;/dates&gt;&lt;rec-number&gt;7343&lt;/rec-number&gt;&lt;publisher&gt;Routledge&lt;/publisher&gt;&lt;last-updated-date format="utc"&gt;1550851606&lt;/last-updated-date&gt;&lt;contributors&gt;&lt;secondary-authors&gt;&lt;author&gt;Bhaskar, Roy&lt;/author&gt;&lt;author&gt;Frank, Cheryl&lt;/author&gt;&lt;author&gt;Hoyer, Karl Georg&lt;/author&gt;&lt;author&gt;Næss,  Petter&lt;/author&gt;&lt;author&gt;Parker, Jenneth&lt;/author&gt;&lt;/secondary-authors&gt;&lt;/contributors&gt;&lt;/record&gt;&lt;/Cite&gt;&lt;/EndNote&gt;</w:instrText>
      </w:r>
      <w:r w:rsidR="00DC7B41">
        <w:rPr>
          <w:sz w:val="24"/>
          <w:szCs w:val="24"/>
        </w:rPr>
        <w:fldChar w:fldCharType="separate"/>
      </w:r>
      <w:r w:rsidR="00DC7B41">
        <w:rPr>
          <w:noProof/>
          <w:sz w:val="24"/>
          <w:szCs w:val="24"/>
        </w:rPr>
        <w:t>(Bhaskar, 2010, p. 5, original emphasis)</w:t>
      </w:r>
      <w:r w:rsidR="00DC7B41">
        <w:rPr>
          <w:sz w:val="24"/>
          <w:szCs w:val="24"/>
        </w:rPr>
        <w:fldChar w:fldCharType="end"/>
      </w:r>
      <w:r w:rsidR="00DC7B41">
        <w:rPr>
          <w:sz w:val="24"/>
          <w:szCs w:val="24"/>
        </w:rPr>
        <w:t xml:space="preserve">, </w:t>
      </w:r>
      <w:r w:rsidR="00217E64">
        <w:rPr>
          <w:sz w:val="24"/>
          <w:szCs w:val="24"/>
        </w:rPr>
        <w:t>often</w:t>
      </w:r>
      <w:r w:rsidR="00DC7B41">
        <w:rPr>
          <w:sz w:val="24"/>
          <w:szCs w:val="24"/>
        </w:rPr>
        <w:t xml:space="preserve"> assumes and requires </w:t>
      </w:r>
      <w:r w:rsidR="00DC7B41">
        <w:rPr>
          <w:i/>
          <w:sz w:val="24"/>
          <w:szCs w:val="24"/>
        </w:rPr>
        <w:t xml:space="preserve">disciplinary </w:t>
      </w:r>
      <w:r w:rsidR="00DC7B41">
        <w:rPr>
          <w:sz w:val="24"/>
          <w:szCs w:val="24"/>
        </w:rPr>
        <w:t xml:space="preserve">expertise and knowledge from which to draw. And to that extent, it arguably provides support for a continuation of at least some aspects of academia’s traditional shape, </w:t>
      </w:r>
      <w:r w:rsidR="008B7B97">
        <w:rPr>
          <w:sz w:val="24"/>
          <w:szCs w:val="24"/>
        </w:rPr>
        <w:t>for example an education</w:t>
      </w:r>
      <w:r w:rsidR="00DC7B41">
        <w:rPr>
          <w:sz w:val="24"/>
          <w:szCs w:val="24"/>
        </w:rPr>
        <w:t xml:space="preserve"> based on boundaries </w:t>
      </w:r>
      <w:r w:rsidR="00DC7B41" w:rsidRPr="00660DCB">
        <w:rPr>
          <w:sz w:val="24"/>
          <w:szCs w:val="24"/>
        </w:rPr>
        <w:t>between disciplines</w:t>
      </w:r>
      <w:r w:rsidR="00DC7B41">
        <w:rPr>
          <w:sz w:val="24"/>
          <w:szCs w:val="24"/>
        </w:rPr>
        <w:t xml:space="preserve"> </w:t>
      </w:r>
      <w:r w:rsidR="00DC7B41" w:rsidRPr="005D55C7">
        <w:rPr>
          <w:i/>
          <w:sz w:val="24"/>
          <w:szCs w:val="24"/>
        </w:rPr>
        <w:t>and</w:t>
      </w:r>
      <w:r w:rsidR="00DC7B41">
        <w:rPr>
          <w:sz w:val="24"/>
          <w:szCs w:val="24"/>
        </w:rPr>
        <w:t xml:space="preserve"> between disciplinary and non-disciplinary concern</w:t>
      </w:r>
      <w:r w:rsidR="008B7B97">
        <w:rPr>
          <w:sz w:val="24"/>
          <w:szCs w:val="24"/>
        </w:rPr>
        <w:t>s</w:t>
      </w:r>
      <w:r w:rsidR="00DC7B41">
        <w:rPr>
          <w:sz w:val="24"/>
          <w:szCs w:val="24"/>
        </w:rPr>
        <w:t xml:space="preserve">. Moreover, from the perspective of the university’s “ideal” to comprise “a totality or even the totality of the branches of human learning” </w:t>
      </w:r>
      <w:r w:rsidR="00DC7B41">
        <w:rPr>
          <w:sz w:val="24"/>
          <w:szCs w:val="24"/>
        </w:rPr>
        <w:fldChar w:fldCharType="begin"/>
      </w:r>
      <w:r w:rsidR="00DC7B41">
        <w:rPr>
          <w:sz w:val="24"/>
          <w:szCs w:val="24"/>
        </w:rPr>
        <w:instrText xml:space="preserve"> ADDIN EN.CITE &lt;EndNote&gt;&lt;Cite&gt;&lt;Author&gt;Durkheim&lt;/Author&gt;&lt;Year&gt;2013&lt;/Year&gt;&lt;IDText&gt;The Evolution of Educational Thought: Lectures on the formation and development of secondary education in France&lt;/IDText&gt;&lt;Pages&gt;93&lt;/Pages&gt;&lt;DisplayText&gt;(Durkheim, 2013, p. 93)&lt;/DisplayText&gt;&lt;record&gt;&lt;keywords&gt;&lt;keyword&gt;Electronic books&lt;/keyword&gt;&lt;/keywords&gt;&lt;titles&gt;&lt;title&gt;The Evolution of Educational Thought: Lectures on the formation and development of secondary education in France&lt;/title&gt;&lt;/titles&gt;&lt;contributors&gt;&lt;authors&gt;&lt;author&gt;Durkheim, Émile&lt;/author&gt;&lt;/authors&gt;&lt;/contributors&gt;&lt;added-date format="utc"&gt;1549274917&lt;/added-date&gt;&lt;pub-location&gt;Oxon&lt;/pub-location&gt;&lt;ref-type name="Book"&gt;6&lt;/ref-type&gt;&lt;dates&gt;&lt;year&gt;2013&lt;/year&gt;&lt;/dates&gt;&lt;rec-number&gt;7721&lt;/rec-number&gt;&lt;publisher&gt;Routledge&lt;/publisher&gt;&lt;last-updated-date format="utc"&gt;1549282550&lt;/last-updated-date&gt;&lt;/record&gt;&lt;/Cite&gt;&lt;/EndNote&gt;</w:instrText>
      </w:r>
      <w:r w:rsidR="00DC7B41">
        <w:rPr>
          <w:sz w:val="24"/>
          <w:szCs w:val="24"/>
        </w:rPr>
        <w:fldChar w:fldCharType="separate"/>
      </w:r>
      <w:r w:rsidR="00DC7B41">
        <w:rPr>
          <w:noProof/>
          <w:sz w:val="24"/>
          <w:szCs w:val="24"/>
        </w:rPr>
        <w:t>(Durkheim, 2013, p. 93)</w:t>
      </w:r>
      <w:r w:rsidR="00DC7B41">
        <w:rPr>
          <w:sz w:val="24"/>
          <w:szCs w:val="24"/>
        </w:rPr>
        <w:fldChar w:fldCharType="end"/>
      </w:r>
      <w:r w:rsidR="00DC7B41">
        <w:rPr>
          <w:sz w:val="24"/>
          <w:szCs w:val="24"/>
        </w:rPr>
        <w:t xml:space="preserve">, any novel insights attained by transdisciplinary structures may be interpreted as in keeping with, rather than necessary challenging, ‘traditional’ academic objectives. Furthermore, if the universities’ students are able to learn through or from such boundary structures, this may support universities’ other mission, that is, their duty towards the education, enrichment and employability of students. </w:t>
      </w:r>
      <w:r w:rsidR="0013148B">
        <w:rPr>
          <w:sz w:val="24"/>
          <w:szCs w:val="24"/>
        </w:rPr>
        <w:t xml:space="preserve">Indeed, historically, it has been </w:t>
      </w:r>
      <w:r w:rsidR="00DC7B41">
        <w:rPr>
          <w:sz w:val="24"/>
          <w:szCs w:val="24"/>
        </w:rPr>
        <w:t xml:space="preserve">a key </w:t>
      </w:r>
      <w:r w:rsidR="0013148B">
        <w:rPr>
          <w:sz w:val="24"/>
          <w:szCs w:val="24"/>
        </w:rPr>
        <w:t>feature of the university’s development</w:t>
      </w:r>
      <w:r w:rsidR="00DC7B41">
        <w:rPr>
          <w:sz w:val="24"/>
          <w:szCs w:val="24"/>
        </w:rPr>
        <w:t xml:space="preserve"> that the work of academics can simultaneously contribute to their own research and careers, the advancement of knowledge, the education, training and life-chances of others (students), </w:t>
      </w:r>
      <w:r w:rsidR="003D5A46">
        <w:rPr>
          <w:sz w:val="24"/>
          <w:szCs w:val="24"/>
        </w:rPr>
        <w:t>and</w:t>
      </w:r>
      <w:r w:rsidR="00DC7B41">
        <w:rPr>
          <w:sz w:val="24"/>
          <w:szCs w:val="24"/>
        </w:rPr>
        <w:t xml:space="preserve"> to the needs of a whole range of non-academic groups, and that these different functions can</w:t>
      </w:r>
      <w:r w:rsidR="0038092E">
        <w:rPr>
          <w:sz w:val="24"/>
          <w:szCs w:val="24"/>
        </w:rPr>
        <w:t xml:space="preserve"> sometimes</w:t>
      </w:r>
      <w:r w:rsidR="00DC7B41">
        <w:rPr>
          <w:sz w:val="24"/>
          <w:szCs w:val="24"/>
        </w:rPr>
        <w:t xml:space="preserve"> be synergistic </w:t>
      </w:r>
      <w:r w:rsidR="00DC7B41">
        <w:rPr>
          <w:sz w:val="24"/>
          <w:szCs w:val="24"/>
        </w:rPr>
        <w:fldChar w:fldCharType="begin">
          <w:fldData xml:space="preserve">PEVuZE5vdGU+PENpdGU+PEF1dGhvcj5CZW4tRGF2aWQ8L0F1dGhvcj48WWVhcj4xOTcxPC9ZZWFy
PjxJRFRleHQ+VGhlIHNjaWVudGlzdCZhcG9zO3Mgcm9sZSBpbiBzb2NpZXR5OiBhIGNvbXBhcmF0
aXZlIHN0dWR5PC9JRFRleHQ+PERpc3BsYXlUZXh0PihCZW4tRGF2aWQsIDE5NzEsIDE5Nzc7IEIu
IFIuIENsYXJrLCAxOTg5LCAxOTk1OyBQZXJraW4sIDE5ODQpPC9EaXNwbGF5VGV4dD48cmVjb3Jk
PjxrZXl3b3Jkcz48a2V5d29yZD5TY2llbnRpc3RzPC9rZXl3b3JkPjxrZXl3b3JkPlNjaWVudGlz
dHM8L2tleXdvcmQ+PGtleXdvcmQ+U2NpZW5jZSBhbmQgY2l2aWxpemF0aW9uPC9rZXl3b3JkPjxr
ZXl3b3JkPlNjaWVuY2UgYW5kIGNpdmlsaXphdGlvbjwva2V5d29yZD48a2V5d29yZD5DaXZpbGl6
YXRpb24gYW5kIHNjaWVuY2U8L2tleXdvcmQ+PGtleXdvcmQ+SGlzdG9yeSBhbmQgc2NpZW5jZTwv
a2V5d29yZD48a2V5d29yZD5TY2llbmNlIGFuZCBoaXN0b3J5PC9rZXl3b3JkPjxrZXl3b3JkPlNj
aWVuY2UgYW5kIHNvY2lldHk8L2tleXdvcmQ+PGtleXdvcmQ+UHJvZ3Jlc3M8L2tleXdvcmQ+PGtl
eXdvcmQ+UHJvZmVzc2lvbnM8L2tleXdvcmQ+PGtleXdvcmQ+U29jaWV0eSBSb2xlIG9mIHNjaWVu
dGlzdHM8L2tleXdvcmQ+PC9rZXl3b3Jkcz48dGl0bGVzPjx0aXRsZT5UaGUgc2NpZW50aXN0JmFw
b3M7cyByb2xlIGluIHNvY2lldHk6IGEgY29tcGFyYXRpdmUgc3R1ZHk8L3RpdGxlPjwvdGl0bGVz
Pjxjb250cmlidXRvcnM+PGF1dGhvcnM+PGF1dGhvcj5CZW4tRGF2aWQsIEpvc2VwaDwvYXV0aG9y
PjwvYXV0aG9ycz48L2NvbnRyaWJ1dG9ycz48YWRkZWQtZGF0ZSBmb3JtYXQ9InV0YyI+MTUyMzYy
ODM3NTwvYWRkZWQtZGF0ZT48cHViLWxvY2F0aW9uPkVuZ2xld29vZCBDbGlmZnM8L3B1Yi1sb2Nh
dGlvbj48cmVmLXR5cGUgbmFtZT0iQm9vayI+NjwvcmVmLXR5cGU+PGRhdGVzPjx5ZWFyPjE5NzE8
L3llYXI+PC9kYXRlcz48cmVjLW51bWJlcj43NDgyPC9yZWMtbnVtYmVyPjxwdWJsaXNoZXI+UHJl
bnRpY2UtSGFsbDwvcHVibGlzaGVyPjxsYXN0LXVwZGF0ZWQtZGF0ZSBmb3JtYXQ9InV0YyI+MTUy
MzYyOTE4OTwvbGFzdC11cGRhdGVkLWRhdGU+PC9yZWNvcmQ+PC9DaXRlPjxDaXRlPjxBdXRob3I+
Q2xhcms8L0F1dGhvcj48WWVhcj4xOTk1PC9ZZWFyPjxJRFRleHQ+UGxhY2VzIG9mIGlucXVpcnk6
IHJlc2VhcmNoIGFuZCBhZHZhbmNlZCBlZHVjYXRpb24gaW4gbW9kZXJuIHVuaXZlcnNpdGllczwv
SURUZXh0PjxyZWNvcmQ+PGtleXdvcmRzPjxrZXl3b3JkPkVkdWNhdGlvbiwgSGlnaGVyIC0tIEFp
bXMgYW5kIG9iamVjdGl2ZXMgLS0gQ3Jvc3MtY3VsdHVyYWwgc3R1ZGllczwva2V5d29yZD48a2V5
d29yZD5Db2xsZWdlIHRlYWNoaW5nIC0tIENyb3NzLWN1bHR1cmFsIHN0dWRpZXM8L2tleXdvcmQ+
PGtleXdvcmQ+UmVzZWFyY2ggLS0gQ3Jvc3MtY3VsdHVyYWwgc3R1ZGllczwva2V5d29yZD48a2V5
d29yZD5Vbml2ZXJzaXRpZXMgYW5kIGNvbGxlZ2VzIC0tIEdyYWR1YXRlIHdvcmsgLS0gQ3Jvc3Mt
Y3VsdHVyYWwgc3R1ZGllczwva2V5d29yZD48a2V5d29yZD5Db2xsZWdlczwva2V5d29yZD48a2V5
d29yZD5EZWdyZWUtZ3JhbnRpbmcgaW5zdGl0dXRpb25zPC9rZXl3b3JkPjxrZXl3b3JkPkhpZ2hl
ciBlZHVjYXRpb24gaW5zdGl0dXRpb25zPC9rZXl3b3JkPjxrZXl3b3JkPkhpZ2hlciBlZHVjYXRp
b24gcHJvdmlkZXJzPC9rZXl3b3JkPjxrZXl3b3JkPkluc3RpdHV0aW9ucyBvZiBoaWdoZXIgZWR1
Y2F0aW9uPC9rZXl3b3JkPjxrZXl3b3JkPlBvc3RzZWNvbmRhcnkgaW5zdGl0dXRpb25zPC9rZXl3
b3JkPjxrZXl3b3JkPlB1YmxpYyBpbnN0aXR1dGlvbnM8L2tleXdvcmQ+PGtleXdvcmQ+U2Nob29s
czwva2V5d29yZD48a2V5d29yZD5FZHVjYXRpb24sIEhpZ2hlcjwva2V5d29yZD48a2V5d29yZD5T
Y2llbmNlIC0tIFJlc2VhcmNoPC9rZXl3b3JkPjxrZXl3b3JkPlNjaWVuY2UgcmVzZWFyY2g8L2tl
eXdvcmQ+PGtleXdvcmQ+U2NpZW50aWZpYyByZXNlYXJjaDwva2V5d29yZD48a2V5d29yZD5JbmZv
cm1hdGlvbiBzZXJ2aWNlczwva2V5d29yZD48a2V5d29yZD5MZWFybmluZyBhbmQgc2Nob2xhcnNo
aXA8L2tleXdvcmQ+PGtleXdvcmQ+TWV0aG9kb2xvZ3k8L2tleXdvcmQ+PGtleXdvcmQ+UmVzZWFy
Y2ggdGVhbXM8L2tleXdvcmQ+PGtleXdvcmQ+VW5pdmVyc2l0eSB0ZWFjaGluZzwva2V5d29yZD48
a2V5d29yZD5UZWFjaGluZzwva2V5d29yZD48a2V5d29yZD5Db2xsZWdlIHN0dWRlbnRzIC0tIEVk
dWNhdGlvbjwva2V5d29yZD48a2V5d29yZD5IaWdoZXIgZWR1Y2F0aW9uPC9rZXl3b3JkPjxrZXl3
b3JkPlBvc3RzZWNvbmRhcnkgZWR1Y2F0aW9uPC9rZXl3b3JkPjxrZXl3b3JkPlVuaXZlcnNpdGll
cyBhbmQgY29sbGVnZXM8L2tleXdvcmQ+PC9rZXl3b3Jkcz48dGl0bGVzPjx0aXRsZT5QbGFjZXMg
b2YgaW5xdWlyeTogcmVzZWFyY2ggYW5kIGFkdmFuY2VkIGVkdWNhdGlvbiBpbiBtb2Rlcm4gdW5p
dmVyc2l0aWVzPC90aXRsZT48L3RpdGxlcz48Y29udHJpYnV0b3JzPjxhdXRob3JzPjxhdXRob3I+
Q2xhcmssIEJ1cnRvbiBSLjwvYXV0aG9yPjwvYXV0aG9ycz48L2NvbnRyaWJ1dG9ycz48YWRkZWQt
ZGF0ZSBmb3JtYXQ9InV0YyI+MTQ2NjE4MzcwOTwvYWRkZWQtZGF0ZT48cHViLWxvY2F0aW9uPkxv
bmRvbjwvcHViLWxvY2F0aW9uPjxyZWYtdHlwZSBuYW1lPSJCb29rIj42PC9yZWYtdHlwZT48ZGF0
ZXM+PHllYXI+MTk5NTwveWVhcj48L2RhdGVzPjxyZWMtbnVtYmVyPjM5NjwvcmVjLW51bWJlcj48
cHVibGlzaGVyPlVuaXZlcnNpdHkgb2YgQ2FsaWZvcm5pYSBQcmVzczwvcHVibGlzaGVyPjxsYXN0
LXVwZGF0ZWQtZGF0ZSBmb3JtYXQ9InV0YyI+MTQ3MDk5Njk2NTwvbGFzdC11cGRhdGVkLWRhdGU+
PC9yZWNvcmQ+PC9DaXRlPjxDaXRlPjxBdXRob3I+QmVuLURhdmlkPC9BdXRob3I+PFllYXI+MTk3
NzwvWWVhcj48SURUZXh0PkNlbnRyZXMgb2YgTGVhcm5pbmc6IEJyaXRhaW4sIEZyYW5jZSwgR2Vy
bWFueSwgVW5pdGVkIFN0YXRlczwvSURUZXh0PjxyZWNvcmQ+PHRpdGxlcz48dGl0bGU+Q2VudHJl
cyBvZiBMZWFybmluZzogQnJpdGFpbiwgRnJhbmNlLCBHZXJtYW55LCBVbml0ZWQgU3RhdGVzPC90
aXRsZT48L3RpdGxlcz48Y29udHJpYnV0b3JzPjxhdXRob3JzPjxhdXRob3I+QmVuLURhdmlkLCBK
b3NlcGg8L2F1dGhvcj48L2F1dGhvcnM+PC9jb250cmlidXRvcnM+PGFkZGVkLWRhdGUgZm9ybWF0
PSJ1dGMiPjE1MjM2MzU1ODM8L2FkZGVkLWRhdGU+PHB1Yi1sb2NhdGlvbj5OZXcgWW9yazwvcHVi
LWxvY2F0aW9uPjxyZWYtdHlwZSBuYW1lPSJCb29rIj42PC9yZWYtdHlwZT48ZGF0ZXM+PHllYXI+
MTk3NzwveWVhcj48L2RhdGVzPjxyZWMtbnVtYmVyPjc0ODQ8L3JlYy1udW1iZXI+PHB1Ymxpc2hl
cj5NY0dyYXcgSGlsbDwvcHVibGlzaGVyPjxsYXN0LXVwZGF0ZWQtZGF0ZSBmb3JtYXQ9InV0YyI+
MTUyMzYzNTg5ODwvbGFzdC11cGRhdGVkLWRhdGU+PC9yZWNvcmQ+PC9DaXRlPjxDaXRlPjxBdXRo
b3I+UGVya2luPC9BdXRob3I+PFllYXI+MTk4NDwvWWVhcj48SURUZXh0PlRoZSBIaXN0b3JpY2Fs
IFBlcnNwZWN0aXZlPC9JRFRleHQ+PHJlY29yZD48a2V5d29yZHM+PGtleXdvcmQ+RWR1Y2F0aW9u
LCBIaWdoZXIgLS0gQ29uZ3Jlc3Nlczwva2V5d29yZD48a2V5d29yZD5IaWdoZXIgZWR1Y2F0aW9u
PC9rZXl3b3JkPjwva2V5d29yZHM+PHRpdGxlcz48dGl0bGU+VGhlIEhpc3RvcmljYWwgUGVyc3Bl
Y3RpdmU8L3RpdGxlPjxzZWNvbmRhcnktdGl0bGU+UGVyc3BlY3RpdmVzIG9uIGhpZ2hlciBlZHVj
YXRpb246IGVpZ2h0IGRpc2NpcGxpbmFyeSBhbmQgY29tcGFyYXRpdmUgdmlld3M8L3NlY29uZGFy
eS10aXRsZT48L3RpdGxlcz48Y29udHJpYnV0b3JzPjxhdXRob3JzPjxhdXRob3I+UGVya2luLCBI
YXJvbGQ8L2F1dGhvcj48L2F1dGhvcnM+PC9jb250cmlidXRvcnM+PGFkZGVkLWRhdGUgZm9ybWF0
PSJ1dGMiPjE1Mjc5NzA1MzM8L2FkZGVkLWRhdGU+PHB1Yi1sb2NhdGlvbj5Mb25kb248L3B1Yi1s
b2NhdGlvbj48cmVmLXR5cGUgbmFtZT0iQm9vayBTZWN0aW9uIj41PC9yZWYtdHlwZT48ZGF0ZXM+
PHllYXI+MTk4NDwveWVhcj48L2RhdGVzPjxyZWMtbnVtYmVyPjc1NDU8L3JlYy1udW1iZXI+PHB1
Ymxpc2hlcj5Vbml2ZXJzaXR5IG9mIENhbGlmb3JuaWEgUHJlc3M8L3B1Ymxpc2hlcj48bGFzdC11
cGRhdGVkLWRhdGUgZm9ybWF0PSJ1dGMiPjE1MjgwNTI4MTQ8L2xhc3QtdXBkYXRlZC1kYXRlPjxj
b250cmlidXRvcnM+PHNlY29uZGFyeS1hdXRob3JzPjxhdXRob3I+Q2xhcmssIEJ1cnRvbiBSLjwv
YXV0aG9yPjwvc2Vjb25kYXJ5LWF1dGhvcnM+PC9jb250cmlidXRvcnM+PC9yZWNvcmQ+PC9DaXRl
PjxDaXRlPjxBdXRob3I+Q2xhcms8L0F1dGhvcj48WWVhcj4xOTg5PC9ZZWFyPjxJRFRleHQ+VGhl
IEFjYWRlbWljIExpZmU6IFNtYWxsIFdvcmxkcywgRGlmZmVyZW50IFdvcmxkczwvSURUZXh0Pjxy
ZWNvcmQ+PGtleXdvcmRzPjxrZXl3b3JkPkNvbGxlZ2UgRmFjdWx0eTwva2V5d29yZD48a2V5d29y
ZD5EaWZmZXJlbmNlczwva2V5d29yZD48a2V5d29yZD5Hcm91cCBEeW5hbWljczwva2V5d29yZD48
a2V5d29yZD5Hcm91cCBTdHJ1Y3R1cmU8L2tleXdvcmQ+PGtleXdvcmQ+SGlnaGVyIEVkdWNhdGlv
bjwva2V5d29yZD48a2V5d29yZD5JbnN0aXR1dGlvbmFsIENoYXJhY3RlcmlzdGljczwva2V5d29y
ZD48a2V5d29yZD5JbnRlbGxlY3R1YWwgRGlzY2lwbGluZXM8L2tleXdvcmQ+PGtleXdvcmQ+U3Rh
bmRhcmRzPC9rZXl3b3JkPjxrZXl3b3JkPlRlYWNoZXIgQ2hhcmFjdGVyaXN0aWNzPC9rZXl3b3Jk
PjxrZXl3b3JkPlByb2Zlc3Npb25hbGlzbTwva2V5d29yZD48a2V5d29yZD5SZXNlYXJjaGVyczwv
a2V5d29yZD48L2tleXdvcmRzPjxpc2JuPjAwMTMtMTg5WDwvaXNibj48dGl0bGVzPjx0aXRsZT5U
aGUgQWNhZGVtaWMgTGlmZTogU21hbGwgV29ybGRzLCBEaWZmZXJlbnQgV29ybGRzPC90aXRsZT48
c2Vjb25kYXJ5LXRpdGxlPkVkdWNhdGlvbmFsIFJlc2VhcmNoZXI8L3NlY29uZGFyeS10aXRsZT48
L3RpdGxlcz48cGFnZXM+NC04PC9wYWdlcz48bnVtYmVyPjU8L251bWJlcj48Y29udHJpYnV0b3Jz
PjxhdXRob3JzPjxhdXRob3I+Q2xhcmssIEJ1cnRvbiBSLjwvYXV0aG9yPjwvYXV0aG9ycz48L2Nv
bnRyaWJ1dG9ycz48YWRkZWQtZGF0ZSBmb3JtYXQ9InV0YyI+MTU0Nzc0NDE1NTwvYWRkZWQtZGF0
ZT48cmVmLXR5cGUgbmFtZT0iSm91cm5hbCBBcnRpY2xlIj4xNzwvcmVmLXR5cGU+PGRhdGVzPjx5
ZWFyPjE5ODk8L3llYXI+PC9kYXRlcz48cmVjLW51bWJlcj43Njk0PC9yZWMtbnVtYmVyPjxsYXN0
LXVwZGF0ZWQtZGF0ZSBmb3JtYXQ9InV0YyI+MTU0Nzc0NDE1NTwvbGFzdC11cGRhdGVkLWRhdGU+
PGVsZWN0cm9uaWMtcmVzb3VyY2UtbnVtPjEwLjMxMDIvMDAxMzE4OVgwMTgwMDUwMDQ8L2VsZWN0
cm9uaWMtcmVzb3VyY2UtbnVtPjx2b2x1bWU+MTg8L3ZvbHVtZT48L3JlY29yZD48L0NpdGU+PC9F
bmROb3RlPn==
</w:fldData>
        </w:fldChar>
      </w:r>
      <w:r w:rsidR="00DC7B41">
        <w:rPr>
          <w:sz w:val="24"/>
          <w:szCs w:val="24"/>
        </w:rPr>
        <w:instrText xml:space="preserve"> ADDIN EN.CITE </w:instrText>
      </w:r>
      <w:r w:rsidR="00DC7B41">
        <w:rPr>
          <w:sz w:val="24"/>
          <w:szCs w:val="24"/>
        </w:rPr>
        <w:fldChar w:fldCharType="begin">
          <w:fldData xml:space="preserve">PEVuZE5vdGU+PENpdGU+PEF1dGhvcj5CZW4tRGF2aWQ8L0F1dGhvcj48WWVhcj4xOTcxPC9ZZWFy
PjxJRFRleHQ+VGhlIHNjaWVudGlzdCZhcG9zO3Mgcm9sZSBpbiBzb2NpZXR5OiBhIGNvbXBhcmF0
aXZlIHN0dWR5PC9JRFRleHQ+PERpc3BsYXlUZXh0PihCZW4tRGF2aWQsIDE5NzEsIDE5Nzc7IEIu
IFIuIENsYXJrLCAxOTg5LCAxOTk1OyBQZXJraW4sIDE5ODQpPC9EaXNwbGF5VGV4dD48cmVjb3Jk
PjxrZXl3b3Jkcz48a2V5d29yZD5TY2llbnRpc3RzPC9rZXl3b3JkPjxrZXl3b3JkPlNjaWVudGlz
dHM8L2tleXdvcmQ+PGtleXdvcmQ+U2NpZW5jZSBhbmQgY2l2aWxpemF0aW9uPC9rZXl3b3JkPjxr
ZXl3b3JkPlNjaWVuY2UgYW5kIGNpdmlsaXphdGlvbjwva2V5d29yZD48a2V5d29yZD5DaXZpbGl6
YXRpb24gYW5kIHNjaWVuY2U8L2tleXdvcmQ+PGtleXdvcmQ+SGlzdG9yeSBhbmQgc2NpZW5jZTwv
a2V5d29yZD48a2V5d29yZD5TY2llbmNlIGFuZCBoaXN0b3J5PC9rZXl3b3JkPjxrZXl3b3JkPlNj
aWVuY2UgYW5kIHNvY2lldHk8L2tleXdvcmQ+PGtleXdvcmQ+UHJvZ3Jlc3M8L2tleXdvcmQ+PGtl
eXdvcmQ+UHJvZmVzc2lvbnM8L2tleXdvcmQ+PGtleXdvcmQ+U29jaWV0eSBSb2xlIG9mIHNjaWVu
dGlzdHM8L2tleXdvcmQ+PC9rZXl3b3Jkcz48dGl0bGVzPjx0aXRsZT5UaGUgc2NpZW50aXN0JmFw
b3M7cyByb2xlIGluIHNvY2lldHk6IGEgY29tcGFyYXRpdmUgc3R1ZHk8L3RpdGxlPjwvdGl0bGVz
Pjxjb250cmlidXRvcnM+PGF1dGhvcnM+PGF1dGhvcj5CZW4tRGF2aWQsIEpvc2VwaDwvYXV0aG9y
PjwvYXV0aG9ycz48L2NvbnRyaWJ1dG9ycz48YWRkZWQtZGF0ZSBmb3JtYXQ9InV0YyI+MTUyMzYy
ODM3NTwvYWRkZWQtZGF0ZT48cHViLWxvY2F0aW9uPkVuZ2xld29vZCBDbGlmZnM8L3B1Yi1sb2Nh
dGlvbj48cmVmLXR5cGUgbmFtZT0iQm9vayI+NjwvcmVmLXR5cGU+PGRhdGVzPjx5ZWFyPjE5NzE8
L3llYXI+PC9kYXRlcz48cmVjLW51bWJlcj43NDgyPC9yZWMtbnVtYmVyPjxwdWJsaXNoZXI+UHJl
bnRpY2UtSGFsbDwvcHVibGlzaGVyPjxsYXN0LXVwZGF0ZWQtZGF0ZSBmb3JtYXQ9InV0YyI+MTUy
MzYyOTE4OTwvbGFzdC11cGRhdGVkLWRhdGU+PC9yZWNvcmQ+PC9DaXRlPjxDaXRlPjxBdXRob3I+
Q2xhcms8L0F1dGhvcj48WWVhcj4xOTk1PC9ZZWFyPjxJRFRleHQ+UGxhY2VzIG9mIGlucXVpcnk6
IHJlc2VhcmNoIGFuZCBhZHZhbmNlZCBlZHVjYXRpb24gaW4gbW9kZXJuIHVuaXZlcnNpdGllczwv
SURUZXh0PjxyZWNvcmQ+PGtleXdvcmRzPjxrZXl3b3JkPkVkdWNhdGlvbiwgSGlnaGVyIC0tIEFp
bXMgYW5kIG9iamVjdGl2ZXMgLS0gQ3Jvc3MtY3VsdHVyYWwgc3R1ZGllczwva2V5d29yZD48a2V5
d29yZD5Db2xsZWdlIHRlYWNoaW5nIC0tIENyb3NzLWN1bHR1cmFsIHN0dWRpZXM8L2tleXdvcmQ+
PGtleXdvcmQ+UmVzZWFyY2ggLS0gQ3Jvc3MtY3VsdHVyYWwgc3R1ZGllczwva2V5d29yZD48a2V5
d29yZD5Vbml2ZXJzaXRpZXMgYW5kIGNvbGxlZ2VzIC0tIEdyYWR1YXRlIHdvcmsgLS0gQ3Jvc3Mt
Y3VsdHVyYWwgc3R1ZGllczwva2V5d29yZD48a2V5d29yZD5Db2xsZWdlczwva2V5d29yZD48a2V5
d29yZD5EZWdyZWUtZ3JhbnRpbmcgaW5zdGl0dXRpb25zPC9rZXl3b3JkPjxrZXl3b3JkPkhpZ2hl
ciBlZHVjYXRpb24gaW5zdGl0dXRpb25zPC9rZXl3b3JkPjxrZXl3b3JkPkhpZ2hlciBlZHVjYXRp
b24gcHJvdmlkZXJzPC9rZXl3b3JkPjxrZXl3b3JkPkluc3RpdHV0aW9ucyBvZiBoaWdoZXIgZWR1
Y2F0aW9uPC9rZXl3b3JkPjxrZXl3b3JkPlBvc3RzZWNvbmRhcnkgaW5zdGl0dXRpb25zPC9rZXl3
b3JkPjxrZXl3b3JkPlB1YmxpYyBpbnN0aXR1dGlvbnM8L2tleXdvcmQ+PGtleXdvcmQ+U2Nob29s
czwva2V5d29yZD48a2V5d29yZD5FZHVjYXRpb24sIEhpZ2hlcjwva2V5d29yZD48a2V5d29yZD5T
Y2llbmNlIC0tIFJlc2VhcmNoPC9rZXl3b3JkPjxrZXl3b3JkPlNjaWVuY2UgcmVzZWFyY2g8L2tl
eXdvcmQ+PGtleXdvcmQ+U2NpZW50aWZpYyByZXNlYXJjaDwva2V5d29yZD48a2V5d29yZD5JbmZv
cm1hdGlvbiBzZXJ2aWNlczwva2V5d29yZD48a2V5d29yZD5MZWFybmluZyBhbmQgc2Nob2xhcnNo
aXA8L2tleXdvcmQ+PGtleXdvcmQ+TWV0aG9kb2xvZ3k8L2tleXdvcmQ+PGtleXdvcmQ+UmVzZWFy
Y2ggdGVhbXM8L2tleXdvcmQ+PGtleXdvcmQ+VW5pdmVyc2l0eSB0ZWFjaGluZzwva2V5d29yZD48
a2V5d29yZD5UZWFjaGluZzwva2V5d29yZD48a2V5d29yZD5Db2xsZWdlIHN0dWRlbnRzIC0tIEVk
dWNhdGlvbjwva2V5d29yZD48a2V5d29yZD5IaWdoZXIgZWR1Y2F0aW9uPC9rZXl3b3JkPjxrZXl3
b3JkPlBvc3RzZWNvbmRhcnkgZWR1Y2F0aW9uPC9rZXl3b3JkPjxrZXl3b3JkPlVuaXZlcnNpdGll
cyBhbmQgY29sbGVnZXM8L2tleXdvcmQ+PC9rZXl3b3Jkcz48dGl0bGVzPjx0aXRsZT5QbGFjZXMg
b2YgaW5xdWlyeTogcmVzZWFyY2ggYW5kIGFkdmFuY2VkIGVkdWNhdGlvbiBpbiBtb2Rlcm4gdW5p
dmVyc2l0aWVzPC90aXRsZT48L3RpdGxlcz48Y29udHJpYnV0b3JzPjxhdXRob3JzPjxhdXRob3I+
Q2xhcmssIEJ1cnRvbiBSLjwvYXV0aG9yPjwvYXV0aG9ycz48L2NvbnRyaWJ1dG9ycz48YWRkZWQt
ZGF0ZSBmb3JtYXQ9InV0YyI+MTQ2NjE4MzcwOTwvYWRkZWQtZGF0ZT48cHViLWxvY2F0aW9uPkxv
bmRvbjwvcHViLWxvY2F0aW9uPjxyZWYtdHlwZSBuYW1lPSJCb29rIj42PC9yZWYtdHlwZT48ZGF0
ZXM+PHllYXI+MTk5NTwveWVhcj48L2RhdGVzPjxyZWMtbnVtYmVyPjM5NjwvcmVjLW51bWJlcj48
cHVibGlzaGVyPlVuaXZlcnNpdHkgb2YgQ2FsaWZvcm5pYSBQcmVzczwvcHVibGlzaGVyPjxsYXN0
LXVwZGF0ZWQtZGF0ZSBmb3JtYXQ9InV0YyI+MTQ3MDk5Njk2NTwvbGFzdC11cGRhdGVkLWRhdGU+
PC9yZWNvcmQ+PC9DaXRlPjxDaXRlPjxBdXRob3I+QmVuLURhdmlkPC9BdXRob3I+PFllYXI+MTk3
NzwvWWVhcj48SURUZXh0PkNlbnRyZXMgb2YgTGVhcm5pbmc6IEJyaXRhaW4sIEZyYW5jZSwgR2Vy
bWFueSwgVW5pdGVkIFN0YXRlczwvSURUZXh0PjxyZWNvcmQ+PHRpdGxlcz48dGl0bGU+Q2VudHJl
cyBvZiBMZWFybmluZzogQnJpdGFpbiwgRnJhbmNlLCBHZXJtYW55LCBVbml0ZWQgU3RhdGVzPC90
aXRsZT48L3RpdGxlcz48Y29udHJpYnV0b3JzPjxhdXRob3JzPjxhdXRob3I+QmVuLURhdmlkLCBK
b3NlcGg8L2F1dGhvcj48L2F1dGhvcnM+PC9jb250cmlidXRvcnM+PGFkZGVkLWRhdGUgZm9ybWF0
PSJ1dGMiPjE1MjM2MzU1ODM8L2FkZGVkLWRhdGU+PHB1Yi1sb2NhdGlvbj5OZXcgWW9yazwvcHVi
LWxvY2F0aW9uPjxyZWYtdHlwZSBuYW1lPSJCb29rIj42PC9yZWYtdHlwZT48ZGF0ZXM+PHllYXI+
MTk3NzwveWVhcj48L2RhdGVzPjxyZWMtbnVtYmVyPjc0ODQ8L3JlYy1udW1iZXI+PHB1Ymxpc2hl
cj5NY0dyYXcgSGlsbDwvcHVibGlzaGVyPjxsYXN0LXVwZGF0ZWQtZGF0ZSBmb3JtYXQ9InV0YyI+
MTUyMzYzNTg5ODwvbGFzdC11cGRhdGVkLWRhdGU+PC9yZWNvcmQ+PC9DaXRlPjxDaXRlPjxBdXRo
b3I+UGVya2luPC9BdXRob3I+PFllYXI+MTk4NDwvWWVhcj48SURUZXh0PlRoZSBIaXN0b3JpY2Fs
IFBlcnNwZWN0aXZlPC9JRFRleHQ+PHJlY29yZD48a2V5d29yZHM+PGtleXdvcmQ+RWR1Y2F0aW9u
LCBIaWdoZXIgLS0gQ29uZ3Jlc3Nlczwva2V5d29yZD48a2V5d29yZD5IaWdoZXIgZWR1Y2F0aW9u
PC9rZXl3b3JkPjwva2V5d29yZHM+PHRpdGxlcz48dGl0bGU+VGhlIEhpc3RvcmljYWwgUGVyc3Bl
Y3RpdmU8L3RpdGxlPjxzZWNvbmRhcnktdGl0bGU+UGVyc3BlY3RpdmVzIG9uIGhpZ2hlciBlZHVj
YXRpb246IGVpZ2h0IGRpc2NpcGxpbmFyeSBhbmQgY29tcGFyYXRpdmUgdmlld3M8L3NlY29uZGFy
eS10aXRsZT48L3RpdGxlcz48Y29udHJpYnV0b3JzPjxhdXRob3JzPjxhdXRob3I+UGVya2luLCBI
YXJvbGQ8L2F1dGhvcj48L2F1dGhvcnM+PC9jb250cmlidXRvcnM+PGFkZGVkLWRhdGUgZm9ybWF0
PSJ1dGMiPjE1Mjc5NzA1MzM8L2FkZGVkLWRhdGU+PHB1Yi1sb2NhdGlvbj5Mb25kb248L3B1Yi1s
b2NhdGlvbj48cmVmLXR5cGUgbmFtZT0iQm9vayBTZWN0aW9uIj41PC9yZWYtdHlwZT48ZGF0ZXM+
PHllYXI+MTk4NDwveWVhcj48L2RhdGVzPjxyZWMtbnVtYmVyPjc1NDU8L3JlYy1udW1iZXI+PHB1
Ymxpc2hlcj5Vbml2ZXJzaXR5IG9mIENhbGlmb3JuaWEgUHJlc3M8L3B1Ymxpc2hlcj48bGFzdC11
cGRhdGVkLWRhdGUgZm9ybWF0PSJ1dGMiPjE1MjgwNTI4MTQ8L2xhc3QtdXBkYXRlZC1kYXRlPjxj
b250cmlidXRvcnM+PHNlY29uZGFyeS1hdXRob3JzPjxhdXRob3I+Q2xhcmssIEJ1cnRvbiBSLjwv
YXV0aG9yPjwvc2Vjb25kYXJ5LWF1dGhvcnM+PC9jb250cmlidXRvcnM+PC9yZWNvcmQ+PC9DaXRl
PjxDaXRlPjxBdXRob3I+Q2xhcms8L0F1dGhvcj48WWVhcj4xOTg5PC9ZZWFyPjxJRFRleHQ+VGhl
IEFjYWRlbWljIExpZmU6IFNtYWxsIFdvcmxkcywgRGlmZmVyZW50IFdvcmxkczwvSURUZXh0Pjxy
ZWNvcmQ+PGtleXdvcmRzPjxrZXl3b3JkPkNvbGxlZ2UgRmFjdWx0eTwva2V5d29yZD48a2V5d29y
ZD5EaWZmZXJlbmNlczwva2V5d29yZD48a2V5d29yZD5Hcm91cCBEeW5hbWljczwva2V5d29yZD48
a2V5d29yZD5Hcm91cCBTdHJ1Y3R1cmU8L2tleXdvcmQ+PGtleXdvcmQ+SGlnaGVyIEVkdWNhdGlv
bjwva2V5d29yZD48a2V5d29yZD5JbnN0aXR1dGlvbmFsIENoYXJhY3RlcmlzdGljczwva2V5d29y
ZD48a2V5d29yZD5JbnRlbGxlY3R1YWwgRGlzY2lwbGluZXM8L2tleXdvcmQ+PGtleXdvcmQ+U3Rh
bmRhcmRzPC9rZXl3b3JkPjxrZXl3b3JkPlRlYWNoZXIgQ2hhcmFjdGVyaXN0aWNzPC9rZXl3b3Jk
PjxrZXl3b3JkPlByb2Zlc3Npb25hbGlzbTwva2V5d29yZD48a2V5d29yZD5SZXNlYXJjaGVyczwv
a2V5d29yZD48L2tleXdvcmRzPjxpc2JuPjAwMTMtMTg5WDwvaXNibj48dGl0bGVzPjx0aXRsZT5U
aGUgQWNhZGVtaWMgTGlmZTogU21hbGwgV29ybGRzLCBEaWZmZXJlbnQgV29ybGRzPC90aXRsZT48
c2Vjb25kYXJ5LXRpdGxlPkVkdWNhdGlvbmFsIFJlc2VhcmNoZXI8L3NlY29uZGFyeS10aXRsZT48
L3RpdGxlcz48cGFnZXM+NC04PC9wYWdlcz48bnVtYmVyPjU8L251bWJlcj48Y29udHJpYnV0b3Jz
PjxhdXRob3JzPjxhdXRob3I+Q2xhcmssIEJ1cnRvbiBSLjwvYXV0aG9yPjwvYXV0aG9ycz48L2Nv
bnRyaWJ1dG9ycz48YWRkZWQtZGF0ZSBmb3JtYXQ9InV0YyI+MTU0Nzc0NDE1NTwvYWRkZWQtZGF0
ZT48cmVmLXR5cGUgbmFtZT0iSm91cm5hbCBBcnRpY2xlIj4xNzwvcmVmLXR5cGU+PGRhdGVzPjx5
ZWFyPjE5ODk8L3llYXI+PC9kYXRlcz48cmVjLW51bWJlcj43Njk0PC9yZWMtbnVtYmVyPjxsYXN0
LXVwZGF0ZWQtZGF0ZSBmb3JtYXQ9InV0YyI+MTU0Nzc0NDE1NTwvbGFzdC11cGRhdGVkLWRhdGU+
PGVsZWN0cm9uaWMtcmVzb3VyY2UtbnVtPjEwLjMxMDIvMDAxMzE4OVgwMTgwMDUwMDQ8L2VsZWN0
cm9uaWMtcmVzb3VyY2UtbnVtPjx2b2x1bWU+MTg8L3ZvbHVtZT48L3JlY29yZD48L0NpdGU+PC9F
bmROb3RlPn==
</w:fldData>
        </w:fldChar>
      </w:r>
      <w:r w:rsidR="00DC7B41">
        <w:rPr>
          <w:sz w:val="24"/>
          <w:szCs w:val="24"/>
        </w:rPr>
        <w:instrText xml:space="preserve"> ADDIN EN.CITE.DATA </w:instrText>
      </w:r>
      <w:r w:rsidR="00DC7B41">
        <w:rPr>
          <w:sz w:val="24"/>
          <w:szCs w:val="24"/>
        </w:rPr>
      </w:r>
      <w:r w:rsidR="00DC7B41">
        <w:rPr>
          <w:sz w:val="24"/>
          <w:szCs w:val="24"/>
        </w:rPr>
        <w:fldChar w:fldCharType="end"/>
      </w:r>
      <w:r w:rsidR="00DC7B41">
        <w:rPr>
          <w:sz w:val="24"/>
          <w:szCs w:val="24"/>
        </w:rPr>
      </w:r>
      <w:r w:rsidR="00DC7B41">
        <w:rPr>
          <w:sz w:val="24"/>
          <w:szCs w:val="24"/>
        </w:rPr>
        <w:fldChar w:fldCharType="separate"/>
      </w:r>
      <w:r w:rsidR="00DC7B41">
        <w:rPr>
          <w:noProof/>
          <w:sz w:val="24"/>
          <w:szCs w:val="24"/>
        </w:rPr>
        <w:t>(Ben-David, 1971, 1977; B. R. Clark, 1989, 1995; Perkin, 1984)</w:t>
      </w:r>
      <w:r w:rsidR="00DC7B41">
        <w:rPr>
          <w:sz w:val="24"/>
          <w:szCs w:val="24"/>
        </w:rPr>
        <w:fldChar w:fldCharType="end"/>
      </w:r>
      <w:r w:rsidR="00DC7B41">
        <w:rPr>
          <w:sz w:val="24"/>
          <w:szCs w:val="24"/>
        </w:rPr>
        <w:t xml:space="preserve">. </w:t>
      </w:r>
    </w:p>
    <w:p w14:paraId="0C67C9E9" w14:textId="69081CA3" w:rsidR="00DC7B41" w:rsidRDefault="00DA4316" w:rsidP="001F5DB2">
      <w:pPr>
        <w:pStyle w:val="CommentText"/>
        <w:spacing w:after="120" w:line="360" w:lineRule="auto"/>
        <w:rPr>
          <w:sz w:val="24"/>
          <w:szCs w:val="24"/>
        </w:rPr>
      </w:pPr>
      <w:r>
        <w:rPr>
          <w:sz w:val="24"/>
          <w:szCs w:val="24"/>
        </w:rPr>
        <w:t>Despite</w:t>
      </w:r>
      <w:r w:rsidR="00E5577B">
        <w:rPr>
          <w:sz w:val="24"/>
          <w:szCs w:val="24"/>
        </w:rPr>
        <w:t xml:space="preserve"> the UK impact agenda’s outward promotion of interdisciplinarity</w:t>
      </w:r>
      <w:r w:rsidR="000A1874">
        <w:rPr>
          <w:sz w:val="24"/>
          <w:szCs w:val="24"/>
        </w:rPr>
        <w:t xml:space="preserve"> </w:t>
      </w:r>
      <w:r w:rsidR="00F95F78">
        <w:rPr>
          <w:sz w:val="24"/>
          <w:szCs w:val="24"/>
        </w:rPr>
        <w:fldChar w:fldCharType="begin">
          <w:fldData xml:space="preserve">PEVuZE5vdGU+PENpdGU+PEF1dGhvcj5CZXNzYW50PC9BdXRob3I+PFllYXI+MjAxOTwvWWVhcj48
SURUZXh0PlJhdGluZyBhbmQgcmV3YXJkaW5nIGhpZ2hlciBlZHVjYXRpb24gZm9yIHN1c3RhaW5h
YmxlIGRldmVsb3BtZW50IHJlc2VhcmNoIHdpdGhpbiB0aGUgbWFya2V0aXNlZCBoaWdoZXIgZWR1
Y2F0aW9uIGNvbnRleHQ6IGV4cGVyaWVuY2VzIGZyb20gRW5nbGlzaCB1bml2ZXJzaXRpZXM8L0lE
VGV4dD48RGlzcGxheVRleHQ+KEJlc3NhbnQgJmFtcDsgUm9iaW5zb24sIDIwMTk7IFdpbHNkb24g
ZXQgYWwuLCAyMDE2KTwvRGlzcGxheVRleHQ+PHJlY29yZD48aXNibj4xMzUwLTQ2MjI8L2lzYm4+
PHRpdGxlcz48dGl0bGU+UmF0aW5nIGFuZCByZXdhcmRpbmcgaGlnaGVyIGVkdWNhdGlvbiBmb3Ig
c3VzdGFpbmFibGUgZGV2ZWxvcG1lbnQgcmVzZWFyY2ggd2l0aGluIHRoZSBtYXJrZXRpc2VkIGhp
Z2hlciBlZHVjYXRpb24gY29udGV4dDogZXhwZXJpZW5jZXMgZnJvbSBFbmdsaXNoIHVuaXZlcnNp
dGllczwvdGl0bGU+PHNlY29uZGFyeS10aXRsZT5FbnZpcm9ubWVudGFsIGVkdWNhdGlvbiByZXNl
YXJjaC48L3NlY29uZGFyeS10aXRsZT48L3RpdGxlcz48cGFnZXM+MS0xODwvcGFnZXM+PGNvbnRy
aWJ1dG9ycz48YXV0aG9ycz48YXV0aG9yPkJlc3NhbnQsIFNvcGhpZSBFLiBGLjwvYXV0aG9yPjxh
dXRob3I+Um9iaW5zb24sIFpvZSBQLjwvYXV0aG9yPjwvYXV0aG9ycz48L2NvbnRyaWJ1dG9ycz48
YWRkZWQtZGF0ZSBmb3JtYXQ9InV0YyI+MTU1NzIyMDg3NTwvYWRkZWQtZGF0ZT48cHViLWxvY2F0
aW9uPltBYmluZ2RvbiwgT3hmb3Jkc2hpcmVdIDo8L3B1Yi1sb2NhdGlvbj48cmVmLXR5cGUgbmFt
ZT0iSm91cm5hbCBBcnRpY2xlIj4xNzwvcmVmLXR5cGU+PGRhdGVzPjx5ZWFyPjIwMTk8L3llYXI+
PC9kYXRlcz48cmVjLW51bWJlcj43Nzc5PC9yZWMtbnVtYmVyPjxsYXN0LXVwZGF0ZWQtZGF0ZSBm
b3JtYXQ9InV0YyI+MTU1NzIyMDg3NTwvbGFzdC11cGRhdGVkLWRhdGU+PGVsZWN0cm9uaWMtcmVz
b3VyY2UtbnVtPjEwLjEwODAvMTM1MDQ2MjIuMjAxOC4xNTQyNDg4PC9lbGVjdHJvbmljLXJlc291
cmNlLW51bT48L3JlY29yZD48L0NpdGU+PENpdGU+PEF1dGhvcj5XaWxzZG9uPC9BdXRob3I+PFll
YXI+MjAxNjwvWWVhcj48SURUZXh0PlRoZSBNZXRyaWMgVGlkZTogVGhlIEluZGVwZW5kZW50IFJl
dmlldyBvZiB0aGUgUm9sZSBvZiBNZXRyaWNzIGluIFJlc2VhcmNoIEFzc2Vzc21lbnQgJmFtcDsg
TWFuYWdlbWVudDwvSURUZXh0PjxyZWNvcmQ+PGtleXdvcmRzPjxrZXl3b3JkPlJlc2VhcmNoIC0t
IE1ldGhvZG9sb2d5PC9rZXl3b3JkPjxrZXl3b3JkPlJlc2VhcmNoIC0tIEV2YWx1YXRpb248L2tl
eXdvcmQ+PC9rZXl3b3Jkcz48dGl0bGVzPjx0aXRsZT5UaGUgTWV0cmljIFRpZGU6IFRoZSBJbmRl
cGVuZGVudCBSZXZpZXcgb2YgdGhlIFJvbGUgb2YgTWV0cmljcyBpbiBSZXNlYXJjaCBBc3Nlc3Nt
ZW50ICZhbXA7IE1hbmFnZW1lbnQ8L3RpdGxlPjwvdGl0bGVzPjxjb250cmlidXRvcnM+PGF1dGhv
cnM+PGF1dGhvcj5XaWxzZG9uLCBKYW1lczwvYXV0aG9yPjxhdXRob3I+QWxsZW4sIEwuPC9hdXRo
b3I+PGF1dGhvcj5CZWxmaW9yZSwgRS48L2F1dGhvcj48YXV0aG9yPkNhbXBiZWxsLCBQLjwvYXV0
aG9yPjxhdXRob3I+Q3VycnksIFMuPC9hdXRob3I+PGF1dGhvcj5IaWxsLCBTLjwvYXV0aG9yPjxh
dXRob3I+Sm9uZXMsIFIuIEEuIEwuPC9hdXRob3I+PGF1dGhvcj5LYWluLCBSLjwvYXV0aG9yPjxh
dXRob3I+S2VycmlkZ2UsIFMuPC9hdXRob3I+PGF1dGhvcj5UaGVsd2FsbCwgTS48L2F1dGhvcj48
YXV0aG9yPlRpbmtsZXIsIEouPC9hdXRob3I+PGF1dGhvcj5WaW5leSwgSS48L2F1dGhvcj48YXV0
aG9yPldvdXRlcnMsIFAuPC9hdXRob3I+PGF1dGhvcj5IaWxsLCBKLjwvYXV0aG9yPjxhdXRob3I+
Sm9obnNvbiwgQi48L2F1dGhvcj48L2F1dGhvcnM+PC9jb250cmlidXRvcnM+PGVkaXRpb24+UmV2
LiB2ZXJzaW9uLjwvZWRpdGlvbj48YWRkZWQtZGF0ZSBmb3JtYXQ9InV0YyI+MTU2MDUxNjk1NDwv
YWRkZWQtZGF0ZT48cHViLWxvY2F0aW9uPkxvbmRvbjwvcHViLWxvY2F0aW9uPjxyZWYtdHlwZSBu
YW1lPSJCb29rIj42PC9yZWYtdHlwZT48ZGF0ZXM+PHllYXI+MjAxNjwveWVhcj48L2RhdGVzPjxy
ZWMtbnVtYmVyPjgzOTM8L3JlYy1udW1iZXI+PHB1Ymxpc2hlcj5TQUdFPC9wdWJsaXNoZXI+PGxh
c3QtdXBkYXRlZC1kYXRlIGZvcm1hdD0idXRjIj4xNTYwNTE3MTY3PC9sYXN0LXVwZGF0ZWQtZGF0
ZT48L3JlY29yZD48L0NpdGU+PC9FbmROb3RlPn==
</w:fldData>
        </w:fldChar>
      </w:r>
      <w:r w:rsidR="00F95F78">
        <w:rPr>
          <w:sz w:val="24"/>
          <w:szCs w:val="24"/>
        </w:rPr>
        <w:instrText xml:space="preserve"> ADDIN EN.CITE </w:instrText>
      </w:r>
      <w:r w:rsidR="00F95F78">
        <w:rPr>
          <w:sz w:val="24"/>
          <w:szCs w:val="24"/>
        </w:rPr>
        <w:fldChar w:fldCharType="begin">
          <w:fldData xml:space="preserve">PEVuZE5vdGU+PENpdGU+PEF1dGhvcj5CZXNzYW50PC9BdXRob3I+PFllYXI+MjAxOTwvWWVhcj48
SURUZXh0PlJhdGluZyBhbmQgcmV3YXJkaW5nIGhpZ2hlciBlZHVjYXRpb24gZm9yIHN1c3RhaW5h
YmxlIGRldmVsb3BtZW50IHJlc2VhcmNoIHdpdGhpbiB0aGUgbWFya2V0aXNlZCBoaWdoZXIgZWR1
Y2F0aW9uIGNvbnRleHQ6IGV4cGVyaWVuY2VzIGZyb20gRW5nbGlzaCB1bml2ZXJzaXRpZXM8L0lE
VGV4dD48RGlzcGxheVRleHQ+KEJlc3NhbnQgJmFtcDsgUm9iaW5zb24sIDIwMTk7IFdpbHNkb24g
ZXQgYWwuLCAyMDE2KTwvRGlzcGxheVRleHQ+PHJlY29yZD48aXNibj4xMzUwLTQ2MjI8L2lzYm4+
PHRpdGxlcz48dGl0bGU+UmF0aW5nIGFuZCByZXdhcmRpbmcgaGlnaGVyIGVkdWNhdGlvbiBmb3Ig
c3VzdGFpbmFibGUgZGV2ZWxvcG1lbnQgcmVzZWFyY2ggd2l0aGluIHRoZSBtYXJrZXRpc2VkIGhp
Z2hlciBlZHVjYXRpb24gY29udGV4dDogZXhwZXJpZW5jZXMgZnJvbSBFbmdsaXNoIHVuaXZlcnNp
dGllczwvdGl0bGU+PHNlY29uZGFyeS10aXRsZT5FbnZpcm9ubWVudGFsIGVkdWNhdGlvbiByZXNl
YXJjaC48L3NlY29uZGFyeS10aXRsZT48L3RpdGxlcz48cGFnZXM+MS0xODwvcGFnZXM+PGNvbnRy
aWJ1dG9ycz48YXV0aG9ycz48YXV0aG9yPkJlc3NhbnQsIFNvcGhpZSBFLiBGLjwvYXV0aG9yPjxh
dXRob3I+Um9iaW5zb24sIFpvZSBQLjwvYXV0aG9yPjwvYXV0aG9ycz48L2NvbnRyaWJ1dG9ycz48
YWRkZWQtZGF0ZSBmb3JtYXQ9InV0YyI+MTU1NzIyMDg3NTwvYWRkZWQtZGF0ZT48cHViLWxvY2F0
aW9uPltBYmluZ2RvbiwgT3hmb3Jkc2hpcmVdIDo8L3B1Yi1sb2NhdGlvbj48cmVmLXR5cGUgbmFt
ZT0iSm91cm5hbCBBcnRpY2xlIj4xNzwvcmVmLXR5cGU+PGRhdGVzPjx5ZWFyPjIwMTk8L3llYXI+
PC9kYXRlcz48cmVjLW51bWJlcj43Nzc5PC9yZWMtbnVtYmVyPjxsYXN0LXVwZGF0ZWQtZGF0ZSBm
b3JtYXQ9InV0YyI+MTU1NzIyMDg3NTwvbGFzdC11cGRhdGVkLWRhdGU+PGVsZWN0cm9uaWMtcmVz
b3VyY2UtbnVtPjEwLjEwODAvMTM1MDQ2MjIuMjAxOC4xNTQyNDg4PC9lbGVjdHJvbmljLXJlc291
cmNlLW51bT48L3JlY29yZD48L0NpdGU+PENpdGU+PEF1dGhvcj5XaWxzZG9uPC9BdXRob3I+PFll
YXI+MjAxNjwvWWVhcj48SURUZXh0PlRoZSBNZXRyaWMgVGlkZTogVGhlIEluZGVwZW5kZW50IFJl
dmlldyBvZiB0aGUgUm9sZSBvZiBNZXRyaWNzIGluIFJlc2VhcmNoIEFzc2Vzc21lbnQgJmFtcDsg
TWFuYWdlbWVudDwvSURUZXh0PjxyZWNvcmQ+PGtleXdvcmRzPjxrZXl3b3JkPlJlc2VhcmNoIC0t
IE1ldGhvZG9sb2d5PC9rZXl3b3JkPjxrZXl3b3JkPlJlc2VhcmNoIC0tIEV2YWx1YXRpb248L2tl
eXdvcmQ+PC9rZXl3b3Jkcz48dGl0bGVzPjx0aXRsZT5UaGUgTWV0cmljIFRpZGU6IFRoZSBJbmRl
cGVuZGVudCBSZXZpZXcgb2YgdGhlIFJvbGUgb2YgTWV0cmljcyBpbiBSZXNlYXJjaCBBc3Nlc3Nt
ZW50ICZhbXA7IE1hbmFnZW1lbnQ8L3RpdGxlPjwvdGl0bGVzPjxjb250cmlidXRvcnM+PGF1dGhv
cnM+PGF1dGhvcj5XaWxzZG9uLCBKYW1lczwvYXV0aG9yPjxhdXRob3I+QWxsZW4sIEwuPC9hdXRo
b3I+PGF1dGhvcj5CZWxmaW9yZSwgRS48L2F1dGhvcj48YXV0aG9yPkNhbXBiZWxsLCBQLjwvYXV0
aG9yPjxhdXRob3I+Q3VycnksIFMuPC9hdXRob3I+PGF1dGhvcj5IaWxsLCBTLjwvYXV0aG9yPjxh
dXRob3I+Sm9uZXMsIFIuIEEuIEwuPC9hdXRob3I+PGF1dGhvcj5LYWluLCBSLjwvYXV0aG9yPjxh
dXRob3I+S2VycmlkZ2UsIFMuPC9hdXRob3I+PGF1dGhvcj5UaGVsd2FsbCwgTS48L2F1dGhvcj48
YXV0aG9yPlRpbmtsZXIsIEouPC9hdXRob3I+PGF1dGhvcj5WaW5leSwgSS48L2F1dGhvcj48YXV0
aG9yPldvdXRlcnMsIFAuPC9hdXRob3I+PGF1dGhvcj5IaWxsLCBKLjwvYXV0aG9yPjxhdXRob3I+
Sm9obnNvbiwgQi48L2F1dGhvcj48L2F1dGhvcnM+PC9jb250cmlidXRvcnM+PGVkaXRpb24+UmV2
LiB2ZXJzaW9uLjwvZWRpdGlvbj48YWRkZWQtZGF0ZSBmb3JtYXQ9InV0YyI+MTU2MDUxNjk1NDwv
YWRkZWQtZGF0ZT48cHViLWxvY2F0aW9uPkxvbmRvbjwvcHViLWxvY2F0aW9uPjxyZWYtdHlwZSBu
YW1lPSJCb29rIj42PC9yZWYtdHlwZT48ZGF0ZXM+PHllYXI+MjAxNjwveWVhcj48L2RhdGVzPjxy
ZWMtbnVtYmVyPjgzOTM8L3JlYy1udW1iZXI+PHB1Ymxpc2hlcj5TQUdFPC9wdWJsaXNoZXI+PGxh
c3QtdXBkYXRlZC1kYXRlIGZvcm1hdD0idXRjIj4xNTYwNTE3MTY3PC9sYXN0LXVwZGF0ZWQtZGF0
ZT48L3JlY29yZD48L0NpdGU+PC9FbmROb3RlPn==
</w:fldData>
        </w:fldChar>
      </w:r>
      <w:r w:rsidR="00F95F78">
        <w:rPr>
          <w:sz w:val="24"/>
          <w:szCs w:val="24"/>
        </w:rPr>
        <w:instrText xml:space="preserve"> ADDIN EN.CITE.DATA </w:instrText>
      </w:r>
      <w:r w:rsidR="00F95F78">
        <w:rPr>
          <w:sz w:val="24"/>
          <w:szCs w:val="24"/>
        </w:rPr>
      </w:r>
      <w:r w:rsidR="00F95F78">
        <w:rPr>
          <w:sz w:val="24"/>
          <w:szCs w:val="24"/>
        </w:rPr>
        <w:fldChar w:fldCharType="end"/>
      </w:r>
      <w:r w:rsidR="00F95F78">
        <w:rPr>
          <w:sz w:val="24"/>
          <w:szCs w:val="24"/>
        </w:rPr>
      </w:r>
      <w:r w:rsidR="00F95F78">
        <w:rPr>
          <w:sz w:val="24"/>
          <w:szCs w:val="24"/>
        </w:rPr>
        <w:fldChar w:fldCharType="separate"/>
      </w:r>
      <w:r w:rsidR="00F95F78">
        <w:rPr>
          <w:noProof/>
          <w:sz w:val="24"/>
          <w:szCs w:val="24"/>
        </w:rPr>
        <w:t>(Bessant &amp; Robinson, 2019; Wilsdon et al., 2016)</w:t>
      </w:r>
      <w:r w:rsidR="00F95F78">
        <w:rPr>
          <w:sz w:val="24"/>
          <w:szCs w:val="24"/>
        </w:rPr>
        <w:fldChar w:fldCharType="end"/>
      </w:r>
      <w:r w:rsidR="00E5577B">
        <w:rPr>
          <w:sz w:val="24"/>
          <w:szCs w:val="24"/>
        </w:rPr>
        <w:t xml:space="preserve">, and even evidence that interdisciplinarity generates impact more effectively (King’s College London &amp; Digital Science, 2015), the actual response to the impact agenda </w:t>
      </w:r>
      <w:r w:rsidR="00DC7B41">
        <w:rPr>
          <w:sz w:val="24"/>
          <w:szCs w:val="24"/>
        </w:rPr>
        <w:t xml:space="preserve">highlights the challenges and barriers faced by those wish to see academia fully ‘transcending’ its disciplinary boundaries. The impact agenda’s ‘neoliberal’ </w:t>
      </w:r>
      <w:r w:rsidR="00FF39CA">
        <w:rPr>
          <w:sz w:val="24"/>
          <w:szCs w:val="24"/>
        </w:rPr>
        <w:fldChar w:fldCharType="begin">
          <w:fldData xml:space="preserve">PEVuZE5vdGU+PENpdGU+PEF1dGhvcj5PbHNzZW48L0F1dGhvcj48WWVhcj4yMDExPC9ZZWFyPjxJ
RFRleHQ+VGhlIHN0cmFuZ2UgZGVhdGggb2YgdGhlIGxpYmVyYWwgdW5pdmVyc2l0eTogUmVzZWFy
Y2ggYXNzZXNzbWVudHMgYW5kIHRoZSBpbXBhY3Qgb2YgcmVzZWFyY2g8L0lEVGV4dD48RGlzcGxh
eVRleHQ+KE9sc3NlbiwgMjAxMTsgV2F0ZXJtZXllciAmYW1wOyBPbHNzZW4sIDIwMTYpPC9EaXNw
bGF5VGV4dD48cmVjb3JkPjx1cmxzPjxyZWxhdGVkLXVybHM+PHVybD5odHRwczovL3d3dy5zY29w
dXMuY29tL2lud2FyZC9yZWNvcmQudXJpP2VpZD0yLXMyLjAtODQ4NjM2MTQ0MzkmYW1wO3BhcnRu
ZXJJRD00MCZhbXA7bWQ1PWEwZWM5YWQ2NDFiOWQ0YzRmYmI5OWM4YjY5NTZlYTZhPC91cmw+PC9y
ZWxhdGVkLXVybHM+PC91cmxzPjx0aXRsZXM+PHRpdGxlPlRoZSBzdHJhbmdlIGRlYXRoIG9mIHRo
ZSBsaWJlcmFsIHVuaXZlcnNpdHk6IFJlc2VhcmNoIGFzc2Vzc21lbnRzIGFuZCB0aGUgaW1wYWN0
IG9mIHJlc2VhcmNoPC90aXRsZT48c2Vjb25kYXJ5LXRpdGxlPkhhbmRib29rIG9uIEdsb2JhbGl6
YXRpb24gYW5kIEhpZ2hlciBFZHVjYXRpb248L3NlY29uZGFyeS10aXRsZT48L3RpdGxlcz48cGFn
ZXM+MzYwLTM4MzwvcGFnZXM+PGNvbnRyaWJ1dG9ycz48YXV0aG9ycz48YXV0aG9yPk9sc3Nlbiwg
TS48L2F1dGhvcj48L2F1dGhvcnM+PC9jb250cmlidXRvcnM+PGFkZGVkLWRhdGUgZm9ybWF0PSJ1
dGMiPjE0NzI2NzE4MTg8L2FkZGVkLWRhdGU+PHJlZi10eXBlIG5hbWU9IkJvb2sgU2VjdGlvbiI+
NTwvcmVmLXR5cGU+PGRhdGVzPjx5ZWFyPjIwMTE8L3llYXI+PC9kYXRlcz48cmVjLW51bWJlcj4y
ODg1PC9yZWMtbnVtYmVyPjxsYXN0LXVwZGF0ZWQtZGF0ZSBmb3JtYXQ9InV0YyI+MTQ3MjY3MTgx
ODwvbGFzdC11cGRhdGVkLWRhdGU+PHJlbW90ZS1kYXRhYmFzZS1uYW1lPlNjb3B1czwvcmVtb3Rl
LWRhdGFiYXNlLW5hbWU+PC9yZWNvcmQ+PC9DaXRlPjxDaXRlPjxBdXRob3I+V2F0ZXJtZXllcjwv
QXV0aG9yPjxZZWFyPjIwMTY8L1llYXI+PElEVGV4dD7igJhFeGNlbGxlbmNl4oCZIGFuZCBFeGNs
dXNpb246IFRoZSBJbmRpdmlkdWFsIENvc3RzIG9mIEluc3RpdHV0aW9uYWwgQ29tcGV0aXRpdmVu
ZXNzPC9JRFRleHQ+PHJlY29yZD48a2V5d29yZHM+PGtleXdvcmQ+SGlnaGVyIGVkdWNhdGlvbiBw
b2xpY3k8L2tleXdvcmQ+PGtleXdvcmQ+TmVvbGliZXJhbGlzbTwva2V5d29yZD48a2V5d29yZD5Q
ZXJmb3JtYXRpdml0eTwva2V5d29yZD48a2V5d29yZD5BdWRpdCBjdWx0dXJlczwva2V5d29yZD48
a2V5d29yZD5BY2FkZW1pYyBleGNsdXNpb248L2tleXdvcmQ+PC9rZXl3b3Jkcz48aXNibj4wMDI2
LTQ2OTU8L2lzYm4+PHRpdGxlcz48dGl0bGU+4oCYRXhjZWxsZW5jZeKAmSBhbmQgRXhjbHVzaW9u
OiBUaGUgSW5kaXZpZHVhbCBDb3N0cyBvZiBJbnN0aXR1dGlvbmFsIENvbXBldGl0aXZlbmVzczwv
dGl0bGU+PHNlY29uZGFyeS10aXRsZT5BIFJldmlldyBvZiBTY2llbmNlLCBMZWFybmluZyBhbmQg
UG9saWN5PC9zZWNvbmRhcnktdGl0bGU+PC90aXRsZXM+PHBhZ2VzPjIwMS0yMTg8L3BhZ2VzPjxu
dW1iZXI+MjwvbnVtYmVyPjxjb250cmlidXRvcnM+PGF1dGhvcnM+PGF1dGhvcj5XYXRlcm1leWVy
LCBSaWNoYXJkPC9hdXRob3I+PGF1dGhvcj5PbHNzZW4sIE1hcms8L2F1dGhvcj48L2F1dGhvcnM+
PC9jb250cmlidXRvcnM+PGFkZGVkLWRhdGUgZm9ybWF0PSJ1dGMiPjE1MjkwMTc5Mzg8L2FkZGVk
LWRhdGU+PHB1Yi1sb2NhdGlvbj5Eb3JkcmVjaHQ8L3B1Yi1sb2NhdGlvbj48cmVmLXR5cGUgbmFt
ZT0iSm91cm5hbCBBcnRpY2xlIj4xNzwvcmVmLXR5cGU+PGRhdGVzPjx5ZWFyPjIwMTY8L3llYXI+
PC9kYXRlcz48cmVjLW51bWJlcj43NTU1PC9yZWMtbnVtYmVyPjxsYXN0LXVwZGF0ZWQtZGF0ZSBm
b3JtYXQ9InV0YyI+MTU1OTA4MTEyNzwvbGFzdC11cGRhdGVkLWRhdGU+PGVsZWN0cm9uaWMtcmVz
b3VyY2UtbnVtPjEwLjEwMDcvczExMDI0LTAxNi05Mjk4LTU8L2VsZWN0cm9uaWMtcmVzb3VyY2Ut
bnVtPjx2b2x1bWU+NTQ8L3ZvbHVtZT48L3JlY29yZD48L0NpdGU+PC9FbmROb3RlPgB=
</w:fldData>
        </w:fldChar>
      </w:r>
      <w:r w:rsidR="00794385">
        <w:rPr>
          <w:sz w:val="24"/>
          <w:szCs w:val="24"/>
        </w:rPr>
        <w:instrText xml:space="preserve"> ADDIN EN.CITE </w:instrText>
      </w:r>
      <w:r w:rsidR="00794385">
        <w:rPr>
          <w:sz w:val="24"/>
          <w:szCs w:val="24"/>
        </w:rPr>
        <w:fldChar w:fldCharType="begin">
          <w:fldData xml:space="preserve">PEVuZE5vdGU+PENpdGU+PEF1dGhvcj5PbHNzZW48L0F1dGhvcj48WWVhcj4yMDExPC9ZZWFyPjxJ
RFRleHQ+VGhlIHN0cmFuZ2UgZGVhdGggb2YgdGhlIGxpYmVyYWwgdW5pdmVyc2l0eTogUmVzZWFy
Y2ggYXNzZXNzbWVudHMgYW5kIHRoZSBpbXBhY3Qgb2YgcmVzZWFyY2g8L0lEVGV4dD48RGlzcGxh
eVRleHQ+KE9sc3NlbiwgMjAxMTsgV2F0ZXJtZXllciAmYW1wOyBPbHNzZW4sIDIwMTYpPC9EaXNw
bGF5VGV4dD48cmVjb3JkPjx1cmxzPjxyZWxhdGVkLXVybHM+PHVybD5odHRwczovL3d3dy5zY29w
dXMuY29tL2lud2FyZC9yZWNvcmQudXJpP2VpZD0yLXMyLjAtODQ4NjM2MTQ0MzkmYW1wO3BhcnRu
ZXJJRD00MCZhbXA7bWQ1PWEwZWM5YWQ2NDFiOWQ0YzRmYmI5OWM4YjY5NTZlYTZhPC91cmw+PC9y
ZWxhdGVkLXVybHM+PC91cmxzPjx0aXRsZXM+PHRpdGxlPlRoZSBzdHJhbmdlIGRlYXRoIG9mIHRo
ZSBsaWJlcmFsIHVuaXZlcnNpdHk6IFJlc2VhcmNoIGFzc2Vzc21lbnRzIGFuZCB0aGUgaW1wYWN0
IG9mIHJlc2VhcmNoPC90aXRsZT48c2Vjb25kYXJ5LXRpdGxlPkhhbmRib29rIG9uIEdsb2JhbGl6
YXRpb24gYW5kIEhpZ2hlciBFZHVjYXRpb248L3NlY29uZGFyeS10aXRsZT48L3RpdGxlcz48cGFn
ZXM+MzYwLTM4MzwvcGFnZXM+PGNvbnRyaWJ1dG9ycz48YXV0aG9ycz48YXV0aG9yPk9sc3Nlbiwg
TS48L2F1dGhvcj48L2F1dGhvcnM+PC9jb250cmlidXRvcnM+PGFkZGVkLWRhdGUgZm9ybWF0PSJ1
dGMiPjE0NzI2NzE4MTg8L2FkZGVkLWRhdGU+PHJlZi10eXBlIG5hbWU9IkJvb2sgU2VjdGlvbiI+
NTwvcmVmLXR5cGU+PGRhdGVzPjx5ZWFyPjIwMTE8L3llYXI+PC9kYXRlcz48cmVjLW51bWJlcj4y
ODg1PC9yZWMtbnVtYmVyPjxsYXN0LXVwZGF0ZWQtZGF0ZSBmb3JtYXQ9InV0YyI+MTQ3MjY3MTgx
ODwvbGFzdC11cGRhdGVkLWRhdGU+PHJlbW90ZS1kYXRhYmFzZS1uYW1lPlNjb3B1czwvcmVtb3Rl
LWRhdGFiYXNlLW5hbWU+PC9yZWNvcmQ+PC9DaXRlPjxDaXRlPjxBdXRob3I+V2F0ZXJtZXllcjwv
QXV0aG9yPjxZZWFyPjIwMTY8L1llYXI+PElEVGV4dD7igJhFeGNlbGxlbmNl4oCZIGFuZCBFeGNs
dXNpb246IFRoZSBJbmRpdmlkdWFsIENvc3RzIG9mIEluc3RpdHV0aW9uYWwgQ29tcGV0aXRpdmVu
ZXNzPC9JRFRleHQ+PHJlY29yZD48a2V5d29yZHM+PGtleXdvcmQ+SGlnaGVyIGVkdWNhdGlvbiBw
b2xpY3k8L2tleXdvcmQ+PGtleXdvcmQ+TmVvbGliZXJhbGlzbTwva2V5d29yZD48a2V5d29yZD5Q
ZXJmb3JtYXRpdml0eTwva2V5d29yZD48a2V5d29yZD5BdWRpdCBjdWx0dXJlczwva2V5d29yZD48
a2V5d29yZD5BY2FkZW1pYyBleGNsdXNpb248L2tleXdvcmQ+PC9rZXl3b3Jkcz48aXNibj4wMDI2
LTQ2OTU8L2lzYm4+PHRpdGxlcz48dGl0bGU+4oCYRXhjZWxsZW5jZeKAmSBhbmQgRXhjbHVzaW9u
OiBUaGUgSW5kaXZpZHVhbCBDb3N0cyBvZiBJbnN0aXR1dGlvbmFsIENvbXBldGl0aXZlbmVzczwv
dGl0bGU+PHNlY29uZGFyeS10aXRsZT5BIFJldmlldyBvZiBTY2llbmNlLCBMZWFybmluZyBhbmQg
UG9saWN5PC9zZWNvbmRhcnktdGl0bGU+PC90aXRsZXM+PHBhZ2VzPjIwMS0yMTg8L3BhZ2VzPjxu
dW1iZXI+MjwvbnVtYmVyPjxjb250cmlidXRvcnM+PGF1dGhvcnM+PGF1dGhvcj5XYXRlcm1leWVy
LCBSaWNoYXJkPC9hdXRob3I+PGF1dGhvcj5PbHNzZW4sIE1hcms8L2F1dGhvcj48L2F1dGhvcnM+
PC9jb250cmlidXRvcnM+PGFkZGVkLWRhdGUgZm9ybWF0PSJ1dGMiPjE1MjkwMTc5Mzg8L2FkZGVk
LWRhdGU+PHB1Yi1sb2NhdGlvbj5Eb3JkcmVjaHQ8L3B1Yi1sb2NhdGlvbj48cmVmLXR5cGUgbmFt
ZT0iSm91cm5hbCBBcnRpY2xlIj4xNzwvcmVmLXR5cGU+PGRhdGVzPjx5ZWFyPjIwMTY8L3llYXI+
PC9kYXRlcz48cmVjLW51bWJlcj43NTU1PC9yZWMtbnVtYmVyPjxsYXN0LXVwZGF0ZWQtZGF0ZSBm
b3JtYXQ9InV0YyI+MTU1OTA4MTEyNzwvbGFzdC11cGRhdGVkLWRhdGU+PGVsZWN0cm9uaWMtcmVz
b3VyY2UtbnVtPjEwLjEwMDcvczExMDI0LTAxNi05Mjk4LTU8L2VsZWN0cm9uaWMtcmVzb3VyY2Ut
bnVtPjx2b2x1bWU+NTQ8L3ZvbHVtZT48L3JlY29yZD48L0NpdGU+PC9FbmROb3RlPgB=
</w:fldData>
        </w:fldChar>
      </w:r>
      <w:r w:rsidR="00794385">
        <w:rPr>
          <w:sz w:val="24"/>
          <w:szCs w:val="24"/>
        </w:rPr>
        <w:instrText xml:space="preserve"> ADDIN EN.CITE.DATA </w:instrText>
      </w:r>
      <w:r w:rsidR="00794385">
        <w:rPr>
          <w:sz w:val="24"/>
          <w:szCs w:val="24"/>
        </w:rPr>
      </w:r>
      <w:r w:rsidR="00794385">
        <w:rPr>
          <w:sz w:val="24"/>
          <w:szCs w:val="24"/>
        </w:rPr>
        <w:fldChar w:fldCharType="end"/>
      </w:r>
      <w:r w:rsidR="00FF39CA">
        <w:rPr>
          <w:sz w:val="24"/>
          <w:szCs w:val="24"/>
        </w:rPr>
      </w:r>
      <w:r w:rsidR="00FF39CA">
        <w:rPr>
          <w:sz w:val="24"/>
          <w:szCs w:val="24"/>
        </w:rPr>
        <w:fldChar w:fldCharType="separate"/>
      </w:r>
      <w:r w:rsidR="00794385">
        <w:rPr>
          <w:noProof/>
          <w:sz w:val="24"/>
          <w:szCs w:val="24"/>
        </w:rPr>
        <w:t>(Olssen, 2011; Watermeyer &amp; Olssen, 2016)</w:t>
      </w:r>
      <w:r w:rsidR="00FF39CA">
        <w:rPr>
          <w:sz w:val="24"/>
          <w:szCs w:val="24"/>
        </w:rPr>
        <w:fldChar w:fldCharType="end"/>
      </w:r>
      <w:r w:rsidR="00DC7B41">
        <w:rPr>
          <w:sz w:val="24"/>
          <w:szCs w:val="24"/>
        </w:rPr>
        <w:t xml:space="preserve"> demand for ‘accountability’ and construction of markets in which departments compete with each other on local (i.e. with neighbouring departments in the same university) and national (i.e. with equivalent departments in different universities) fronts, forces universities to articulate </w:t>
      </w:r>
      <w:r w:rsidR="00DC7B41" w:rsidRPr="00F86DE6">
        <w:rPr>
          <w:sz w:val="24"/>
          <w:szCs w:val="24"/>
        </w:rPr>
        <w:t>“formal clearcut boundaries” (Vakkuri, 2004, p. 304)</w:t>
      </w:r>
      <w:r w:rsidR="00DC7B41">
        <w:rPr>
          <w:sz w:val="24"/>
          <w:szCs w:val="24"/>
        </w:rPr>
        <w:t xml:space="preserve">. This, ironically, “encourages boundary management both within and across disciplines” </w:t>
      </w:r>
      <w:r w:rsidR="00DC7B41">
        <w:rPr>
          <w:sz w:val="24"/>
          <w:szCs w:val="24"/>
        </w:rPr>
        <w:fldChar w:fldCharType="begin"/>
      </w:r>
      <w:r w:rsidR="00DC7B41">
        <w:rPr>
          <w:sz w:val="24"/>
          <w:szCs w:val="24"/>
        </w:rPr>
        <w:instrText xml:space="preserve"> ADDIN EN.CITE &lt;EndNote&gt;&lt;Cite&gt;&lt;Author&gt;Hellstrom&lt;/Author&gt;&lt;Year&gt;2000&lt;/Year&gt;&lt;IDText&gt;Scientification of politics or politicization of science? Traditionalist science- policy discourse and its quarrels with Mode 2 epistemology&lt;/IDText&gt;&lt;Pages&gt;72&lt;/Pages&gt;&lt;DisplayText&gt;(Hellstrom &amp;amp; Jacob, 2000, p. 72)&lt;/DisplayText&gt;&lt;record&gt;&lt;keywords&gt;&lt;keyword&gt;Social Sciences (General)&lt;/keyword&gt;&lt;keyword&gt;Philosophy&lt;/keyword&gt;&lt;/keywords&gt;&lt;isbn&gt;0269-1728&lt;/isbn&gt;&lt;titles&gt;&lt;title&gt;Scientification of politics or politicization of science? Traditionalist science- policy discourse and its quarrels with Mode 2 epistemology&lt;/title&gt;&lt;secondary-title&gt;Social Epistemology&lt;/secondary-title&gt;&lt;/titles&gt;&lt;pages&gt;69-77&lt;/pages&gt;&lt;number&gt;1&lt;/number&gt;&lt;contributors&gt;&lt;authors&gt;&lt;author&gt;Hellstrom, Tomas&lt;/author&gt;&lt;author&gt;Jacob, Merle&lt;/author&gt;&lt;/authors&gt;&lt;/contributors&gt;&lt;added-date format="utc"&gt;1550092091&lt;/added-date&gt;&lt;ref-type name="Journal Article"&gt;17&lt;/ref-type&gt;&lt;dates&gt;&lt;year&gt;2000&lt;/year&gt;&lt;/dates&gt;&lt;rec-number&gt;7738&lt;/rec-number&gt;&lt;publisher&gt;Taylor &amp;amp; Francis Group&lt;/publisher&gt;&lt;last-updated-date format="utc"&gt;1550092091&lt;/last-updated-date&gt;&lt;electronic-resource-num&gt;10.1080/02691720050199315&lt;/electronic-resource-num&gt;&lt;volume&gt;14&lt;/volume&gt;&lt;/record&gt;&lt;/Cite&gt;&lt;/EndNote&gt;</w:instrText>
      </w:r>
      <w:r w:rsidR="00DC7B41">
        <w:rPr>
          <w:sz w:val="24"/>
          <w:szCs w:val="24"/>
        </w:rPr>
        <w:fldChar w:fldCharType="separate"/>
      </w:r>
      <w:r w:rsidR="00DC7B41">
        <w:rPr>
          <w:noProof/>
          <w:sz w:val="24"/>
          <w:szCs w:val="24"/>
        </w:rPr>
        <w:t>(Hellstrom &amp; Jacob, 2000, p. 72)</w:t>
      </w:r>
      <w:r w:rsidR="00DC7B41">
        <w:rPr>
          <w:sz w:val="24"/>
          <w:szCs w:val="24"/>
        </w:rPr>
        <w:fldChar w:fldCharType="end"/>
      </w:r>
      <w:r w:rsidR="00DC7B41">
        <w:rPr>
          <w:sz w:val="24"/>
          <w:szCs w:val="24"/>
        </w:rPr>
        <w:t>,</w:t>
      </w:r>
      <w:r w:rsidR="00DC7B41" w:rsidRPr="00DC12DD">
        <w:rPr>
          <w:sz w:val="24"/>
          <w:szCs w:val="24"/>
        </w:rPr>
        <w:t xml:space="preserve"> </w:t>
      </w:r>
      <w:r w:rsidR="00DC7B41">
        <w:rPr>
          <w:sz w:val="24"/>
          <w:szCs w:val="24"/>
        </w:rPr>
        <w:t xml:space="preserve">tending to reinforce rather than loosen disciplinary boundaries. Further evidence of this can be seen in the way in which many academics have reflected on and attempted to respond to the impact agenda. In fields as diverse as </w:t>
      </w:r>
      <w:r w:rsidR="00E77348">
        <w:rPr>
          <w:sz w:val="24"/>
          <w:szCs w:val="24"/>
        </w:rPr>
        <w:t>mathematics</w:t>
      </w:r>
      <w:r w:rsidR="00DA41AD">
        <w:rPr>
          <w:sz w:val="24"/>
          <w:szCs w:val="24"/>
        </w:rPr>
        <w:t xml:space="preserve"> </w:t>
      </w:r>
      <w:r w:rsidR="00DC7CE7">
        <w:rPr>
          <w:sz w:val="24"/>
          <w:szCs w:val="24"/>
        </w:rPr>
        <w:fldChar w:fldCharType="begin"/>
      </w:r>
      <w:r w:rsidR="00DC7CE7">
        <w:rPr>
          <w:sz w:val="24"/>
          <w:szCs w:val="24"/>
        </w:rPr>
        <w:instrText xml:space="preserve"> ADDIN EN.CITE &lt;EndNote&gt;&lt;Cite&gt;&lt;Author&gt;Meagher&lt;/Author&gt;&lt;Year&gt;2017&lt;/Year&gt;&lt;IDText&gt;Slightly dirty maths: The richly textured mechanisms of impact&lt;/IDText&gt;&lt;DisplayText&gt;(Meagher &amp;amp; Martin, 2017)&lt;/DisplayText&gt;&lt;record&gt;&lt;isbn&gt;0958-2029&lt;/isbn&gt;&lt;titles&gt;&lt;title&gt;Slightly dirty maths: The richly textured mechanisms of impact&lt;/title&gt;&lt;secondary-title&gt;Research evaluation&lt;/secondary-title&gt;&lt;/titles&gt;&lt;pages&gt;rvw024-27&lt;/pages&gt;&lt;number&gt;1&lt;/number&gt;&lt;contributors&gt;&lt;authors&gt;&lt;author&gt;Meagher, L.&lt;/author&gt;&lt;author&gt;Martin, U.&lt;/author&gt;&lt;/authors&gt;&lt;/contributors&gt;&lt;added-date format="utc"&gt;1557220843&lt;/added-date&gt;&lt;pub-location&gt;Guildford, Surrey :&lt;/pub-location&gt;&lt;ref-type name="Journal Article"&gt;17&lt;/ref-type&gt;&lt;dates&gt;&lt;year&gt;2017&lt;/year&gt;&lt;/dates&gt;&lt;rec-number&gt;7778&lt;/rec-number&gt;&lt;last-updated-date format="utc"&gt;1560935186&lt;/last-updated-date&gt;&lt;electronic-resource-num&gt;10.1093/reseval/rvw024&lt;/electronic-resource-num&gt;&lt;volume&gt;26&lt;/volume&gt;&lt;/record&gt;&lt;/Cite&gt;&lt;/EndNote&gt;</w:instrText>
      </w:r>
      <w:r w:rsidR="00DC7CE7">
        <w:rPr>
          <w:sz w:val="24"/>
          <w:szCs w:val="24"/>
        </w:rPr>
        <w:fldChar w:fldCharType="separate"/>
      </w:r>
      <w:r w:rsidR="00DC7CE7">
        <w:rPr>
          <w:noProof/>
          <w:sz w:val="24"/>
          <w:szCs w:val="24"/>
        </w:rPr>
        <w:t>(Meagher &amp; Martin, 2017)</w:t>
      </w:r>
      <w:r w:rsidR="00DC7CE7">
        <w:rPr>
          <w:sz w:val="24"/>
          <w:szCs w:val="24"/>
        </w:rPr>
        <w:fldChar w:fldCharType="end"/>
      </w:r>
      <w:r w:rsidR="00E77348">
        <w:rPr>
          <w:sz w:val="24"/>
          <w:szCs w:val="24"/>
        </w:rPr>
        <w:t xml:space="preserve">, </w:t>
      </w:r>
      <w:r w:rsidR="00DC7B41">
        <w:rPr>
          <w:sz w:val="24"/>
          <w:szCs w:val="24"/>
        </w:rPr>
        <w:t xml:space="preserve">information science </w:t>
      </w:r>
      <w:r w:rsidR="00DC7B41">
        <w:rPr>
          <w:iCs/>
          <w:sz w:val="24"/>
          <w:szCs w:val="24"/>
        </w:rPr>
        <w:t xml:space="preserve">(Marcella, Lockerbie, &amp; Bloice, 2016), </w:t>
      </w:r>
      <w:r w:rsidR="00DC7B41">
        <w:rPr>
          <w:sz w:val="24"/>
          <w:szCs w:val="24"/>
        </w:rPr>
        <w:t>p</w:t>
      </w:r>
      <w:r w:rsidR="00DC7B41">
        <w:rPr>
          <w:iCs/>
          <w:sz w:val="24"/>
          <w:szCs w:val="24"/>
        </w:rPr>
        <w:t>ublic health (Evans, 2016; Greenhalgh, Jackson, Shaw &amp; Janamian, 2016), nursing (Moreno-Casbas, 2016; Wimmer, Rethlefsen, Jarvis, &amp; Shipman, 2016), business and management (</w:t>
      </w:r>
      <w:r w:rsidR="00DC7B41" w:rsidRPr="00EA3206">
        <w:rPr>
          <w:iCs/>
          <w:sz w:val="24"/>
          <w:szCs w:val="24"/>
        </w:rPr>
        <w:t xml:space="preserve">Kellard &amp; </w:t>
      </w:r>
      <w:r w:rsidR="00EA3206" w:rsidRPr="00EA3206">
        <w:rPr>
          <w:sz w:val="24"/>
          <w:szCs w:val="24"/>
        </w:rPr>
        <w:t>Ś</w:t>
      </w:r>
      <w:r w:rsidR="00DC7B41" w:rsidRPr="00EA3206">
        <w:rPr>
          <w:iCs/>
          <w:sz w:val="24"/>
          <w:szCs w:val="24"/>
        </w:rPr>
        <w:t>liwa</w:t>
      </w:r>
      <w:r w:rsidR="00DC7B41">
        <w:rPr>
          <w:iCs/>
          <w:sz w:val="24"/>
          <w:szCs w:val="24"/>
        </w:rPr>
        <w:t xml:space="preserve">, 2016), policy studies (Holland, 2015; K. E. Smith &amp; Steward, 2017), geography </w:t>
      </w:r>
      <w:r w:rsidR="00DC7B41">
        <w:rPr>
          <w:sz w:val="24"/>
          <w:szCs w:val="24"/>
        </w:rPr>
        <w:fldChar w:fldCharType="begin"/>
      </w:r>
      <w:r w:rsidR="00DC7B41">
        <w:rPr>
          <w:sz w:val="24"/>
          <w:szCs w:val="24"/>
        </w:rPr>
        <w:instrText xml:space="preserve"> ADDIN EN.CITE &lt;EndNote&gt;&lt;Cite&gt;&lt;Author&gt;North&lt;/Author&gt;&lt;Year&gt;2013&lt;/Year&gt;&lt;IDText&gt;Knowledge exchange, &amp;apos;impact&amp;apos; and engagement: Exploring low-carbon urban transitions&lt;/IDText&gt;&lt;DisplayText&gt;(P. North, 2013)&lt;/DisplayText&gt;&lt;record&gt;&lt;urls&gt;&lt;related-urls&gt;&lt;url&gt;https://www.scopus.com/inward/record.uri?eid=2-s2.0-84881548792&amp;amp;partnerID=40&amp;amp;md5=e0ecc6f9d769429a19a31cf76fbe103b&lt;/url&gt;&lt;/related-urls&gt;&lt;/urls&gt;&lt;work-type&gt;Article&lt;/work-type&gt;&lt;titles&gt;&lt;title&gt;Knowledge exchange, &amp;apos;impact&amp;apos; and engagement: Exploring low-carbon urban transitions&lt;/title&gt;&lt;secondary-title&gt;Geographical Journal&lt;/secondary-title&gt;&lt;/titles&gt;&lt;pages&gt;211-220&lt;/pages&gt;&lt;number&gt;3&lt;/number&gt;&lt;contributors&gt;&lt;authors&gt;&lt;author&gt;North, P.&lt;/author&gt;&lt;/authors&gt;&lt;/contributors&gt;&lt;added-date format="utc"&gt;1472671816&lt;/added-date&gt;&lt;ref-type name="Journal Article"&gt;17&lt;/ref-type&gt;&lt;dates&gt;&lt;year&gt;2013&lt;/year&gt;&lt;/dates&gt;&lt;rec-number&gt;2765&lt;/rec-number&gt;&lt;last-updated-date format="utc"&gt;1472671816&lt;/last-updated-date&gt;&lt;electronic-resource-num&gt;10.1111/j.1475-4959.2012.00488.x&lt;/electronic-resource-num&gt;&lt;volume&gt;179&lt;/volume&gt;&lt;remote-database-name&gt;Scopus&lt;/remote-database-name&gt;&lt;/record&gt;&lt;/Cite&gt;&lt;/EndNote&gt;</w:instrText>
      </w:r>
      <w:r w:rsidR="00DC7B41">
        <w:rPr>
          <w:sz w:val="24"/>
          <w:szCs w:val="24"/>
        </w:rPr>
        <w:fldChar w:fldCharType="separate"/>
      </w:r>
      <w:r w:rsidR="00DC7B41">
        <w:rPr>
          <w:noProof/>
          <w:sz w:val="24"/>
          <w:szCs w:val="24"/>
        </w:rPr>
        <w:t>(P. North, 2013)</w:t>
      </w:r>
      <w:r w:rsidR="00DC7B41">
        <w:rPr>
          <w:sz w:val="24"/>
          <w:szCs w:val="24"/>
        </w:rPr>
        <w:fldChar w:fldCharType="end"/>
      </w:r>
      <w:r w:rsidR="00DC7B41">
        <w:rPr>
          <w:iCs/>
          <w:sz w:val="24"/>
          <w:szCs w:val="24"/>
        </w:rPr>
        <w:t xml:space="preserve"> and education (Laing, Mazzoli Smith, &amp; Todd, 2018; O’Connell, 2018</w:t>
      </w:r>
      <w:r w:rsidR="001451B8">
        <w:rPr>
          <w:iCs/>
          <w:sz w:val="24"/>
          <w:szCs w:val="24"/>
        </w:rPr>
        <w:t>; Papatsiba &amp; Cohen, 2019</w:t>
      </w:r>
      <w:r w:rsidR="00DC7B41">
        <w:rPr>
          <w:iCs/>
          <w:sz w:val="24"/>
          <w:szCs w:val="24"/>
        </w:rPr>
        <w:t xml:space="preserve">), academics </w:t>
      </w:r>
      <w:r w:rsidR="00DC7B41" w:rsidRPr="000A6554">
        <w:rPr>
          <w:sz w:val="24"/>
          <w:szCs w:val="24"/>
        </w:rPr>
        <w:t>have</w:t>
      </w:r>
      <w:r w:rsidR="00DC7B41">
        <w:rPr>
          <w:sz w:val="24"/>
          <w:szCs w:val="24"/>
        </w:rPr>
        <w:t xml:space="preserve"> responded to the impact agenda in the way that seems most natural to them – that is, from their own </w:t>
      </w:r>
      <w:r w:rsidR="00DC7B41" w:rsidRPr="000A6554">
        <w:rPr>
          <w:sz w:val="24"/>
          <w:szCs w:val="24"/>
        </w:rPr>
        <w:t>disciplinary perspectives.</w:t>
      </w:r>
      <w:r w:rsidR="00DC7B41">
        <w:rPr>
          <w:sz w:val="24"/>
          <w:szCs w:val="24"/>
        </w:rPr>
        <w:t xml:space="preserve"> </w:t>
      </w:r>
    </w:p>
    <w:p w14:paraId="04B9B6E8" w14:textId="77777777" w:rsidR="00DC7B41" w:rsidRPr="000A6554" w:rsidRDefault="00DC7B41" w:rsidP="00DC7B41">
      <w:pPr>
        <w:pStyle w:val="CommentText"/>
        <w:spacing w:after="120" w:line="360" w:lineRule="auto"/>
        <w:rPr>
          <w:sz w:val="24"/>
          <w:szCs w:val="24"/>
        </w:rPr>
      </w:pPr>
      <w:r>
        <w:rPr>
          <w:sz w:val="24"/>
          <w:szCs w:val="24"/>
        </w:rPr>
        <w:t xml:space="preserve">It is therefore possible that boundary transactions promoted by the impact agenda and similar policy agendas and developments has the ambiguous and somewhat paradoxical result of, on the one hand, promoting boundary transaction structures, but at the same time presenting a new opportunity for position-taking amongst disciplines, who feel pressured to reassert their distinct identities and ownership over distinct knowledge domains. </w:t>
      </w:r>
    </w:p>
    <w:p w14:paraId="63AA8BCA" w14:textId="77777777" w:rsidR="00DC7B41" w:rsidRDefault="00DC7B41" w:rsidP="00DC7B41">
      <w:pPr>
        <w:spacing w:after="120" w:line="360" w:lineRule="auto"/>
        <w:rPr>
          <w:sz w:val="24"/>
          <w:szCs w:val="24"/>
        </w:rPr>
      </w:pPr>
      <w:r>
        <w:rPr>
          <w:sz w:val="24"/>
          <w:szCs w:val="24"/>
        </w:rPr>
        <w:t xml:space="preserve">Again, B. R. Clark </w:t>
      </w:r>
      <w:r>
        <w:rPr>
          <w:sz w:val="24"/>
          <w:szCs w:val="24"/>
        </w:rPr>
        <w:fldChar w:fldCharType="begin"/>
      </w:r>
      <w:r>
        <w:rPr>
          <w:sz w:val="24"/>
          <w:szCs w:val="24"/>
        </w:rPr>
        <w:instrText xml:space="preserve"> ADDIN EN.CITE &lt;EndNote&gt;&lt;Cite ExcludeAuth="1"&gt;&lt;Author&gt;Clark&lt;/Author&gt;&lt;Year&gt;2008&lt;/Year&gt;&lt;IDText&gt;Differentiation and Integration of the Academic Profession&lt;/IDText&gt;&lt;DisplayText&gt;(2008)&lt;/DisplayText&gt;&lt;record&gt;&lt;titles&gt;&lt;title&gt;Differentiation and Integration of the Academic Profession&lt;/title&gt;&lt;secondary-title&gt;On Higher Education: Selected Writings, 1956-2006&lt;/secondary-title&gt;&lt;/titles&gt;&lt;contributors&gt;&lt;authors&gt;&lt;author&gt;Clark, Burton R.&lt;/author&gt;&lt;/authors&gt;&lt;/contributors&gt;&lt;added-date format="utc"&gt;1548523690&lt;/added-date&gt;&lt;pub-location&gt;Baltimore&lt;/pub-location&gt;&lt;ref-type name="Book Section"&gt;5&lt;/ref-type&gt;&lt;dates&gt;&lt;year&gt;2008&lt;/year&gt;&lt;/dates&gt;&lt;rec-number&gt;7697&lt;/rec-number&gt;&lt;publisher&gt;Johns Hopkins University Press&lt;/publisher&gt;&lt;last-updated-date format="utc"&gt;1548523801&lt;/last-updated-date&gt;&lt;contributors&gt;&lt;secondary-authors&gt;&lt;author&gt;Clark, Burton R.&lt;/author&gt;&lt;author&gt;Clark, Adele&lt;/author&gt;&lt;/secondary-authors&gt;&lt;/contributors&gt;&lt;/record&gt;&lt;/Cite&gt;&lt;/EndNote&gt;</w:instrText>
      </w:r>
      <w:r>
        <w:rPr>
          <w:sz w:val="24"/>
          <w:szCs w:val="24"/>
        </w:rPr>
        <w:fldChar w:fldCharType="separate"/>
      </w:r>
      <w:r>
        <w:rPr>
          <w:noProof/>
          <w:sz w:val="24"/>
          <w:szCs w:val="24"/>
        </w:rPr>
        <w:t>(2008)</w:t>
      </w:r>
      <w:r>
        <w:rPr>
          <w:sz w:val="24"/>
          <w:szCs w:val="24"/>
        </w:rPr>
        <w:fldChar w:fldCharType="end"/>
      </w:r>
      <w:r>
        <w:rPr>
          <w:sz w:val="24"/>
          <w:szCs w:val="24"/>
        </w:rPr>
        <w:t xml:space="preserve"> appears to capture the dynamic when he writes:</w:t>
      </w:r>
    </w:p>
    <w:p w14:paraId="20C1B65A" w14:textId="77777777" w:rsidR="00DC7B41" w:rsidRDefault="00DC7B41" w:rsidP="001F5DB2">
      <w:pPr>
        <w:spacing w:after="120" w:line="240" w:lineRule="auto"/>
        <w:ind w:left="720"/>
        <w:rPr>
          <w:sz w:val="24"/>
          <w:szCs w:val="24"/>
        </w:rPr>
      </w:pPr>
      <w:r w:rsidRPr="00981414">
        <w:rPr>
          <w:sz w:val="24"/>
          <w:szCs w:val="24"/>
        </w:rPr>
        <w:t xml:space="preserve">“The disciplinary imperative may well </w:t>
      </w:r>
      <w:r>
        <w:rPr>
          <w:sz w:val="24"/>
          <w:szCs w:val="24"/>
        </w:rPr>
        <w:t xml:space="preserve">[still] </w:t>
      </w:r>
      <w:r w:rsidRPr="00981414">
        <w:rPr>
          <w:sz w:val="24"/>
          <w:szCs w:val="24"/>
        </w:rPr>
        <w:t xml:space="preserve">be </w:t>
      </w:r>
      <w:r w:rsidRPr="00981414">
        <w:rPr>
          <w:i/>
          <w:sz w:val="24"/>
          <w:szCs w:val="24"/>
        </w:rPr>
        <w:t xml:space="preserve">the </w:t>
      </w:r>
      <w:r w:rsidRPr="00981414">
        <w:rPr>
          <w:sz w:val="24"/>
          <w:szCs w:val="24"/>
        </w:rPr>
        <w:t>driving force in modern higher education. But it is powerfully shaped in turn by the imperatives of the institutional sectors and the large structures of incentive and reward that characterize the national settings.”</w:t>
      </w:r>
      <w:r>
        <w:rPr>
          <w:sz w:val="24"/>
          <w:szCs w:val="24"/>
        </w:rPr>
        <w:t xml:space="preserve"> </w:t>
      </w:r>
      <w:r>
        <w:rPr>
          <w:sz w:val="24"/>
          <w:szCs w:val="24"/>
        </w:rPr>
        <w:fldChar w:fldCharType="begin"/>
      </w:r>
      <w:r>
        <w:rPr>
          <w:sz w:val="24"/>
          <w:szCs w:val="24"/>
        </w:rPr>
        <w:instrText xml:space="preserve"> ADDIN EN.CITE &lt;EndNote&gt;&lt;Cite ExcludeAuth="1" ExcludeYear="1"&gt;&lt;Author&gt;Clark&lt;/Author&gt;&lt;Year&gt;2008&lt;/Year&gt;&lt;IDText&gt;Differentiation and Integration of the Academic Profession&lt;/IDText&gt;&lt;Pages&gt;287&lt;/Pages&gt;&lt;DisplayText&gt;(p. 287)&lt;/DisplayText&gt;&lt;record&gt;&lt;titles&gt;&lt;title&gt;Differentiation and Integration of the Academic Profession&lt;/title&gt;&lt;secondary-title&gt;On Higher Education: Selected Writings, 1956-2006&lt;/secondary-title&gt;&lt;/titles&gt;&lt;contributors&gt;&lt;authors&gt;&lt;author&gt;Clark, Burton R.&lt;/author&gt;&lt;/authors&gt;&lt;/contributors&gt;&lt;added-date format="utc"&gt;1548523690&lt;/added-date&gt;&lt;pub-location&gt;Baltimore&lt;/pub-location&gt;&lt;ref-type name="Book Section"&gt;5&lt;/ref-type&gt;&lt;dates&gt;&lt;year&gt;2008&lt;/year&gt;&lt;/dates&gt;&lt;rec-number&gt;7697&lt;/rec-number&gt;&lt;publisher&gt;Johns Hopkins University Press&lt;/publisher&gt;&lt;last-updated-date format="utc"&gt;1548523801&lt;/last-updated-date&gt;&lt;contributors&gt;&lt;secondary-authors&gt;&lt;author&gt;Clark, Burton R.&lt;/author&gt;&lt;author&gt;Clark, Adele&lt;/author&gt;&lt;/secondary-authors&gt;&lt;/contributors&gt;&lt;/record&gt;&lt;/Cite&gt;&lt;/EndNote&gt;</w:instrText>
      </w:r>
      <w:r>
        <w:rPr>
          <w:sz w:val="24"/>
          <w:szCs w:val="24"/>
        </w:rPr>
        <w:fldChar w:fldCharType="separate"/>
      </w:r>
      <w:r>
        <w:rPr>
          <w:noProof/>
          <w:sz w:val="24"/>
          <w:szCs w:val="24"/>
        </w:rPr>
        <w:t>(p. 287)</w:t>
      </w:r>
      <w:r>
        <w:rPr>
          <w:sz w:val="24"/>
          <w:szCs w:val="24"/>
        </w:rPr>
        <w:fldChar w:fldCharType="end"/>
      </w:r>
    </w:p>
    <w:p w14:paraId="427D58BC" w14:textId="580A55B8" w:rsidR="00DC7B41" w:rsidRPr="00006781" w:rsidRDefault="00DC7B41" w:rsidP="00DC7B41">
      <w:pPr>
        <w:spacing w:after="120" w:line="360" w:lineRule="auto"/>
        <w:rPr>
          <w:sz w:val="24"/>
          <w:szCs w:val="24"/>
        </w:rPr>
      </w:pPr>
      <w:r>
        <w:rPr>
          <w:sz w:val="24"/>
          <w:szCs w:val="24"/>
        </w:rPr>
        <w:t xml:space="preserve">My own analysis will </w:t>
      </w:r>
      <w:r w:rsidR="00E27181">
        <w:rPr>
          <w:sz w:val="24"/>
          <w:szCs w:val="24"/>
        </w:rPr>
        <w:t>seek out all</w:t>
      </w:r>
      <w:r>
        <w:rPr>
          <w:sz w:val="24"/>
          <w:szCs w:val="24"/>
        </w:rPr>
        <w:t xml:space="preserve"> boundary transaction structures associated with my sampled BoRs, including those associated with new, transdisciplinary forms of co-ordinating researchers as well as those directly connecting to the market. While new structures inevitably alter institutional shape to some extent, </w:t>
      </w:r>
      <w:r w:rsidR="00A03A73">
        <w:rPr>
          <w:sz w:val="24"/>
          <w:szCs w:val="24"/>
        </w:rPr>
        <w:t>my interest is in th</w:t>
      </w:r>
      <w:r>
        <w:rPr>
          <w:sz w:val="24"/>
          <w:szCs w:val="24"/>
        </w:rPr>
        <w:t xml:space="preserve">e impact that such structures and their associated transactions have on the overall strength of academic boundaries. </w:t>
      </w:r>
    </w:p>
    <w:p w14:paraId="5DC20D6B" w14:textId="77777777" w:rsidR="00DC7B41" w:rsidRDefault="00DC7B41" w:rsidP="00DC7B41">
      <w:pPr>
        <w:pStyle w:val="Heading3"/>
      </w:pPr>
      <w:bookmarkStart w:id="41" w:name="_Toc31701953"/>
      <w:r>
        <w:t>Boundary-spanners</w:t>
      </w:r>
      <w:bookmarkEnd w:id="41"/>
    </w:p>
    <w:p w14:paraId="7889BC00" w14:textId="77777777" w:rsidR="00DC7B41" w:rsidRDefault="00DC7B41" w:rsidP="00DC7B41">
      <w:pPr>
        <w:autoSpaceDE w:val="0"/>
        <w:autoSpaceDN w:val="0"/>
        <w:adjustRightInd w:val="0"/>
        <w:spacing w:before="120" w:after="120" w:line="360" w:lineRule="auto"/>
        <w:rPr>
          <w:iCs/>
          <w:sz w:val="24"/>
          <w:szCs w:val="24"/>
        </w:rPr>
      </w:pPr>
      <w:r>
        <w:rPr>
          <w:iCs/>
          <w:sz w:val="24"/>
          <w:szCs w:val="24"/>
        </w:rPr>
        <w:t xml:space="preserve">I have already discussed how boundary transactions may be enacted through the (co-)production of ‘boundary objects’, primarily in the form of written or technological outputs and outcomes of research. One of the restrictive features of boundary objects is that they are relatively fixed. Although they can be open to different interpretations, and this is an essential feature of their effectiveness, the shared knowledge and meaning codified within an object is, by its nature, relatively inflexible. But, as shown by chemist and philosopher Michael Polanyi </w:t>
      </w:r>
      <w:r>
        <w:rPr>
          <w:iCs/>
          <w:sz w:val="24"/>
          <w:szCs w:val="24"/>
        </w:rPr>
        <w:fldChar w:fldCharType="begin"/>
      </w:r>
      <w:r>
        <w:rPr>
          <w:iCs/>
          <w:sz w:val="24"/>
          <w:szCs w:val="24"/>
        </w:rPr>
        <w:instrText xml:space="preserve"> ADDIN EN.CITE &lt;EndNote&gt;&lt;Cite ExcludeAuth="1"&gt;&lt;Author&gt;Polanyi&lt;/Author&gt;&lt;Year&gt;1962&lt;/Year&gt;&lt;IDText&gt;Tacit Knowing&lt;/IDText&gt;&lt;DisplayText&gt;(1962)&lt;/DisplayText&gt;&lt;record&gt;&lt;isbn&gt;0031-8256&lt;/isbn&gt;&lt;titles&gt;&lt;title&gt;Tacit Knowing&lt;/title&gt;&lt;secondary-title&gt;Philosophy Today&lt;/secondary-title&gt;&lt;/titles&gt;&lt;pages&gt;239&lt;/pages&gt;&lt;number&gt;4&lt;/number&gt;&lt;contributors&gt;&lt;authors&gt;&lt;author&gt;Polanyi, Michael&lt;/author&gt;&lt;/authors&gt;&lt;/contributors&gt;&lt;added-date format="utc"&gt;1550585660&lt;/added-date&gt;&lt;pub-location&gt;Celina, Ohio&lt;/pub-location&gt;&lt;ref-type name="Journal Article"&gt;17&lt;/ref-type&gt;&lt;dates&gt;&lt;year&gt;1962&lt;/year&gt;&lt;/dates&gt;&lt;rec-number&gt;7747&lt;/rec-number&gt;&lt;last-updated-date format="utc"&gt;1550585660&lt;/last-updated-date&gt;&lt;electronic-resource-num&gt;10.5840/philtoday19626427&lt;/electronic-resource-num&gt;&lt;volume&gt;6&lt;/volume&gt;&lt;/record&gt;&lt;/Cite&gt;&lt;/EndNote&gt;</w:instrText>
      </w:r>
      <w:r>
        <w:rPr>
          <w:iCs/>
          <w:sz w:val="24"/>
          <w:szCs w:val="24"/>
        </w:rPr>
        <w:fldChar w:fldCharType="separate"/>
      </w:r>
      <w:r>
        <w:rPr>
          <w:iCs/>
          <w:noProof/>
          <w:sz w:val="24"/>
          <w:szCs w:val="24"/>
        </w:rPr>
        <w:t>(1962)</w:t>
      </w:r>
      <w:r>
        <w:rPr>
          <w:iCs/>
          <w:sz w:val="24"/>
          <w:szCs w:val="24"/>
        </w:rPr>
        <w:fldChar w:fldCharType="end"/>
      </w:r>
      <w:r>
        <w:rPr>
          <w:iCs/>
          <w:sz w:val="24"/>
          <w:szCs w:val="24"/>
        </w:rPr>
        <w:t xml:space="preserve">, much knowledge is ‘tacit’ and not easily transferred through codified objects. As such, any attempt to “modify” knowledge or “meaning”, say in the process of translating or applying academic knowledge to contexts of application, is, at root, “a tacit..., heuristic feat”, and therefore also distinctly “personal” </w:t>
      </w:r>
      <w:r>
        <w:rPr>
          <w:iCs/>
          <w:sz w:val="24"/>
          <w:szCs w:val="24"/>
        </w:rPr>
        <w:fldChar w:fldCharType="begin"/>
      </w:r>
      <w:r>
        <w:rPr>
          <w:iCs/>
          <w:sz w:val="24"/>
          <w:szCs w:val="24"/>
        </w:rPr>
        <w:instrText xml:space="preserve"> ADDIN EN.CITE &lt;EndNote&gt;&lt;Cite&gt;&lt;Author&gt;Polanyi&lt;/Author&gt;&lt;Year&gt;1998&lt;/Year&gt;&lt;IDText&gt;Personal knowledge: towards a post-critical philosophy&lt;/IDText&gt;&lt;Pages&gt;111&lt;/Pages&gt;&lt;DisplayText&gt;(Polanyi, 1998, p. 111)&lt;/DisplayText&gt;&lt;record&gt;&lt;keywords&gt;&lt;keyword&gt;Knowledge, Theory of&lt;/keyword&gt;&lt;keyword&gt;Philosophy&lt;/keyword&gt;&lt;keyword&gt;Psychology&lt;/keyword&gt;&lt;/keywords&gt;&lt;titles&gt;&lt;title&gt;Personal knowledge: towards a post-critical philosophy&lt;/title&gt;&lt;/titles&gt;&lt;contributors&gt;&lt;authors&gt;&lt;author&gt;Polanyi, Michael&lt;/author&gt;&lt;/authors&gt;&lt;/contributors&gt;&lt;added-date format="utc"&gt;1550586609&lt;/added-date&gt;&lt;pub-location&gt;London&lt;/pub-location&gt;&lt;ref-type name="Book"&gt;6&lt;/ref-type&gt;&lt;dates&gt;&lt;year&gt;1998&lt;/year&gt;&lt;/dates&gt;&lt;rec-number&gt;7748&lt;/rec-number&gt;&lt;publisher&gt;Taylor &amp;amp; Francis&lt;/publisher&gt;&lt;last-updated-date format="utc"&gt;1550586655&lt;/last-updated-date&gt;&lt;/record&gt;&lt;/Cite&gt;&lt;/EndNote&gt;</w:instrText>
      </w:r>
      <w:r>
        <w:rPr>
          <w:iCs/>
          <w:sz w:val="24"/>
          <w:szCs w:val="24"/>
        </w:rPr>
        <w:fldChar w:fldCharType="separate"/>
      </w:r>
      <w:r>
        <w:rPr>
          <w:iCs/>
          <w:noProof/>
          <w:sz w:val="24"/>
          <w:szCs w:val="24"/>
        </w:rPr>
        <w:t>(Polanyi, 1998, p. 111)</w:t>
      </w:r>
      <w:r>
        <w:rPr>
          <w:iCs/>
          <w:sz w:val="24"/>
          <w:szCs w:val="24"/>
        </w:rPr>
        <w:fldChar w:fldCharType="end"/>
      </w:r>
      <w:r>
        <w:rPr>
          <w:iCs/>
          <w:sz w:val="24"/>
          <w:szCs w:val="24"/>
        </w:rPr>
        <w:t xml:space="preserve">. Indeed, research in the innovation and economic literature suggests that “the main practical benefits of academic research” are not the research outputs, per se, but rather the “tacit (i.e., non-codifiable) knowledge through personal mobility and face-to-face interaction” </w:t>
      </w:r>
      <w:r>
        <w:rPr>
          <w:iCs/>
          <w:sz w:val="24"/>
          <w:szCs w:val="24"/>
        </w:rPr>
        <w:fldChar w:fldCharType="begin"/>
      </w:r>
      <w:r>
        <w:rPr>
          <w:iCs/>
          <w:sz w:val="24"/>
          <w:szCs w:val="24"/>
        </w:rPr>
        <w:instrText xml:space="preserve"> ADDIN EN.CITE &lt;EndNote&gt;&lt;Cite&gt;&lt;Author&gt;Pavitt&lt;/Author&gt;&lt;Year&gt;1998&lt;/Year&gt;&lt;IDText&gt;The social shaping of the national science base&lt;/IDText&gt;&lt;Suffix&gt;`; see also Lam`, 2007&lt;/Suffix&gt;&lt;Pages&gt;797&lt;/Pages&gt;&lt;DisplayText&gt;(Pavitt, 1998, p. 797; see also Lam, 2007)&lt;/DisplayText&gt;&lt;record&gt;&lt;keywords&gt;&lt;keyword&gt;Innovation&lt;/keyword&gt;&lt;keyword&gt;Technical Change&lt;/keyword&gt;&lt;keyword&gt;National Science Base&lt;/keyword&gt;&lt;/keywords&gt;&lt;isbn&gt;0048-7333&lt;/isbn&gt;&lt;titles&gt;&lt;title&gt;The social shaping of the national science base&lt;/title&gt;&lt;secondary-title&gt;Research Policy&lt;/secondary-title&gt;&lt;/titles&gt;&lt;pages&gt;793-805&lt;/pages&gt;&lt;number&gt;8&lt;/number&gt;&lt;contributors&gt;&lt;authors&gt;&lt;author&gt;Pavitt, Keith&lt;/author&gt;&lt;/authors&gt;&lt;/contributors&gt;&lt;added-date format="utc"&gt;1486670898&lt;/added-date&gt;&lt;ref-type name="Journal Article"&gt;17&lt;/ref-type&gt;&lt;dates&gt;&lt;year&gt;1998&lt;/year&gt;&lt;/dates&gt;&lt;rec-number&gt;6600&lt;/rec-number&gt;&lt;last-updated-date format="utc"&gt;1486670898&lt;/last-updated-date&gt;&lt;electronic-resource-num&gt;10.1016/S0048-7333(98)00091-2&lt;/electronic-resource-num&gt;&lt;volume&gt;27&lt;/volume&gt;&lt;/record&gt;&lt;/Cite&gt;&lt;Cite ExcludeAuth="1" ExcludeYear="1"&gt;&lt;Author&gt;Lam&lt;/Author&gt;&lt;Year&gt;2007&lt;/Year&gt;&lt;IDText&gt;Knowledge Networks and Careers: Academic Scientists in Industry– University Links&lt;/IDText&gt;&lt;record&gt;&lt;keywords&gt;&lt;keyword&gt;Occupations&lt;/keyword&gt;&lt;/keywords&gt;&lt;isbn&gt;0022-2380&lt;/isbn&gt;&lt;titles&gt;&lt;title&gt;Knowledge Networks and Careers: Academic Scientists in Industry– University Links&lt;/title&gt;&lt;secondary-title&gt;Journal of Management Studies&lt;/secondary-title&gt;&lt;/titles&gt;&lt;pages&gt;993-1016&lt;/pages&gt;&lt;number&gt;6&lt;/number&gt;&lt;contributors&gt;&lt;authors&gt;&lt;author&gt;Lam, Alice&lt;/author&gt;&lt;/authors&gt;&lt;/contributors&gt;&lt;added-date format="utc"&gt;1550695427&lt;/added-date&gt;&lt;pub-location&gt;Oxford, UK&lt;/pub-location&gt;&lt;ref-type name="Journal Article"&gt;17&lt;/ref-type&gt;&lt;dates&gt;&lt;year&gt;2007&lt;/year&gt;&lt;/dates&gt;&lt;rec-number&gt;7753&lt;/rec-number&gt;&lt;last-updated-date format="utc"&gt;1550695541&lt;/last-updated-date&gt;&lt;electronic-resource-num&gt;10.1111/j.1467-6486.2007.00696.x&lt;/electronic-resource-num&gt;&lt;volume&gt;44&lt;/volume&gt;&lt;/record&gt;&lt;/Cite&gt;&lt;/EndNote&gt;</w:instrText>
      </w:r>
      <w:r>
        <w:rPr>
          <w:iCs/>
          <w:sz w:val="24"/>
          <w:szCs w:val="24"/>
        </w:rPr>
        <w:fldChar w:fldCharType="separate"/>
      </w:r>
      <w:r>
        <w:rPr>
          <w:iCs/>
          <w:noProof/>
          <w:sz w:val="24"/>
          <w:szCs w:val="24"/>
        </w:rPr>
        <w:t>(Pavitt, 1998, p. 797; see also Lam, 2007)</w:t>
      </w:r>
      <w:r>
        <w:rPr>
          <w:iCs/>
          <w:sz w:val="24"/>
          <w:szCs w:val="24"/>
        </w:rPr>
        <w:fldChar w:fldCharType="end"/>
      </w:r>
      <w:r>
        <w:rPr>
          <w:iCs/>
          <w:sz w:val="24"/>
          <w:szCs w:val="24"/>
        </w:rPr>
        <w:t xml:space="preserve">. Moreover, the more tacit is the knowledge, the greater the need for strong social ties and “frequent contacts” </w:t>
      </w:r>
      <w:r>
        <w:rPr>
          <w:iCs/>
          <w:sz w:val="24"/>
          <w:szCs w:val="24"/>
        </w:rPr>
        <w:fldChar w:fldCharType="begin"/>
      </w:r>
      <w:r>
        <w:rPr>
          <w:iCs/>
          <w:sz w:val="24"/>
          <w:szCs w:val="24"/>
        </w:rPr>
        <w:instrText xml:space="preserve"> ADDIN EN.CITE &lt;EndNote&gt;&lt;Cite&gt;&lt;Author&gt;Sousa-Ginel&lt;/Author&gt;&lt;Year&gt;2017&lt;/Year&gt;&lt;IDText&gt;The influence of networks on the knowledge conversion capability of academic spin-offs&lt;/IDText&gt;&lt;Pages&gt;1138&lt;/Pages&gt;&lt;DisplayText&gt;(Sousa-Ginel, Franco-Leal, &amp;amp; Camelo-Ordaz, 2017, p. 1138)&lt;/DisplayText&gt;&lt;record&gt;&lt;keywords&gt;&lt;keyword&gt;Business&lt;/keyword&gt;&lt;keyword&gt;Economics&lt;/keyword&gt;&lt;/keywords&gt;&lt;isbn&gt;0960-6491&lt;/isbn&gt;&lt;titles&gt;&lt;title&gt;The influence of networks on the knowledge conversion capability of academic spin-offs&lt;/title&gt;&lt;secondary-title&gt;Ind. Corp. Change&lt;/secondary-title&gt;&lt;/titles&gt;&lt;pages&gt;1125-1144&lt;/pages&gt;&lt;number&gt;6&lt;/number&gt;&lt;contributors&gt;&lt;authors&gt;&lt;author&gt;Sousa-Ginel, E.&lt;/author&gt;&lt;author&gt;Franco-Leal, N.&lt;/author&gt;&lt;author&gt;Camelo-Ordaz, C.&lt;/author&gt;&lt;/authors&gt;&lt;/contributors&gt;&lt;added-date format="utc"&gt;1550662759&lt;/added-date&gt;&lt;ref-type name="Journal Article"&gt;17&lt;/ref-type&gt;&lt;dates&gt;&lt;year&gt;2017&lt;/year&gt;&lt;/dates&gt;&lt;rec-number&gt;7752&lt;/rec-number&gt;&lt;last-updated-date format="utc"&gt;1550662759&lt;/last-updated-date&gt;&lt;electronic-resource-num&gt;10.1093/icc/dtx013&lt;/electronic-resource-num&gt;&lt;volume&gt;26&lt;/volume&gt;&lt;/record&gt;&lt;/Cite&gt;&lt;/EndNote&gt;</w:instrText>
      </w:r>
      <w:r>
        <w:rPr>
          <w:iCs/>
          <w:sz w:val="24"/>
          <w:szCs w:val="24"/>
        </w:rPr>
        <w:fldChar w:fldCharType="separate"/>
      </w:r>
      <w:r>
        <w:rPr>
          <w:iCs/>
          <w:noProof/>
          <w:sz w:val="24"/>
          <w:szCs w:val="24"/>
        </w:rPr>
        <w:t>(Sousa-Ginel, Franco-Leal, &amp; Camelo-Ordaz, 2017, p. 1138)</w:t>
      </w:r>
      <w:r>
        <w:rPr>
          <w:iCs/>
          <w:sz w:val="24"/>
          <w:szCs w:val="24"/>
        </w:rPr>
        <w:fldChar w:fldCharType="end"/>
      </w:r>
      <w:r>
        <w:rPr>
          <w:iCs/>
          <w:sz w:val="24"/>
          <w:szCs w:val="24"/>
        </w:rPr>
        <w:t xml:space="preserve">. </w:t>
      </w:r>
    </w:p>
    <w:p w14:paraId="56FE4F0C" w14:textId="77777777" w:rsidR="00DC7B41" w:rsidRDefault="00DC7B41" w:rsidP="00DC7B41">
      <w:pPr>
        <w:autoSpaceDE w:val="0"/>
        <w:autoSpaceDN w:val="0"/>
        <w:adjustRightInd w:val="0"/>
        <w:spacing w:before="120" w:after="120" w:line="360" w:lineRule="auto"/>
        <w:rPr>
          <w:iCs/>
          <w:sz w:val="24"/>
          <w:szCs w:val="24"/>
        </w:rPr>
      </w:pPr>
      <w:r>
        <w:rPr>
          <w:iCs/>
          <w:sz w:val="24"/>
          <w:szCs w:val="24"/>
        </w:rPr>
        <w:t xml:space="preserve">All this puts a premium on so-called “boundary-spanning” individuals </w:t>
      </w:r>
      <w:r>
        <w:rPr>
          <w:iCs/>
          <w:sz w:val="24"/>
          <w:szCs w:val="24"/>
        </w:rPr>
        <w:fldChar w:fldCharType="begin"/>
      </w:r>
      <w:r>
        <w:rPr>
          <w:iCs/>
          <w:sz w:val="24"/>
          <w:szCs w:val="24"/>
        </w:rPr>
        <w:instrText xml:space="preserve"> ADDIN EN.CITE &lt;EndNote&gt;&lt;Cite&gt;&lt;Author&gt;Taheri&lt;/Author&gt;&lt;Year&gt;2016&lt;/Year&gt;&lt;IDText&gt;Teams&amp;apos; boundary- spanning capacity at university: Performance of technology projects in commercialization&lt;/IDText&gt;&lt;Pages&gt;32&lt;/Pages&gt;&lt;DisplayText&gt;(Taheri &amp;amp; van Geenhuizen, 2016, p. 32)&lt;/DisplayText&gt;&lt;record&gt;&lt;keywords&gt;&lt;keyword&gt;Universities&lt;/keyword&gt;&lt;keyword&gt;Technology Projects&lt;/keyword&gt;&lt;keyword&gt;Commercialization&lt;/keyword&gt;&lt;keyword&gt;Collaboration&lt;/keyword&gt;&lt;keyword&gt;Co-Creation&lt;/keyword&gt;&lt;keyword&gt;Boundary- Spanning&lt;/keyword&gt;&lt;keyword&gt;The Netherlands&lt;/keyword&gt;&lt;/keywords&gt;&lt;isbn&gt;0040-1625&lt;/isbn&gt;&lt;titles&gt;&lt;title&gt;Teams&amp;apos; boundary- spanning capacity at university: Performance of technology projects in commercialization&lt;/title&gt;&lt;secondary-title&gt;Technological Forecasting &amp;amp; Social Change&lt;/secondary-title&gt;&lt;/titles&gt;&lt;pages&gt;31-43&lt;/pages&gt;&lt;contributors&gt;&lt;authors&gt;&lt;author&gt;Taheri, Mozhdeh&lt;/author&gt;&lt;author&gt;van Geenhuizen, Marina&lt;/author&gt;&lt;/authors&gt;&lt;/contributors&gt;&lt;added-date format="utc"&gt;1548964557&lt;/added-date&gt;&lt;ref-type name="Journal Article"&gt;17&lt;/ref-type&gt;&lt;dates&gt;&lt;year&gt;2016&lt;/year&gt;&lt;/dates&gt;&lt;rec-number&gt;7708&lt;/rec-number&gt;&lt;last-updated-date format="utc"&gt;1548964557&lt;/last-updated-date&gt;&lt;electronic-resource-num&gt;10.1016/j.techfore.2016.06.003&lt;/electronic-resource-num&gt;&lt;volume&gt;111&lt;/volume&gt;&lt;/record&gt;&lt;/Cite&gt;&lt;/EndNote&gt;</w:instrText>
      </w:r>
      <w:r>
        <w:rPr>
          <w:iCs/>
          <w:sz w:val="24"/>
          <w:szCs w:val="24"/>
        </w:rPr>
        <w:fldChar w:fldCharType="separate"/>
      </w:r>
      <w:r>
        <w:rPr>
          <w:iCs/>
          <w:noProof/>
          <w:sz w:val="24"/>
          <w:szCs w:val="24"/>
        </w:rPr>
        <w:t>(Taheri &amp; van Geenhuizen, 2016, p. 32)</w:t>
      </w:r>
      <w:r>
        <w:rPr>
          <w:iCs/>
          <w:sz w:val="24"/>
          <w:szCs w:val="24"/>
        </w:rPr>
        <w:fldChar w:fldCharType="end"/>
      </w:r>
      <w:r>
        <w:rPr>
          <w:iCs/>
          <w:sz w:val="24"/>
          <w:szCs w:val="24"/>
        </w:rPr>
        <w:t xml:space="preserve">. ‘Boundary spanners’, also referred to as knowledge “brokers” </w:t>
      </w:r>
      <w:r>
        <w:rPr>
          <w:iCs/>
          <w:sz w:val="24"/>
          <w:szCs w:val="24"/>
        </w:rPr>
        <w:fldChar w:fldCharType="begin">
          <w:fldData xml:space="preserve">PEVuZE5vdGU+PENpdGU+PEF1dGhvcj5NZXllcjwvQXV0aG9yPjxZZWFyPjIwMTA8L1llYXI+PElE
VGV4dD5UaGUgUmlzZSBvZiB0aGUgS25vd2xlZGdlIEJyb2tlcjwvSURUZXh0PjxQYWdlcz4xMTg8
L1BhZ2VzPjxEaXNwbGF5VGV4dD4oQ29udGFuZHJpb3BvdWxvcywgTGVtaXJlLCBEZW5pcywgJmFt
cDsgVHJlbWJsYXksIDIwMTAsIHAuIDQ2NDsgTS4gTWV5ZXIsIDIwMTAsIHAuIDExOCk8L0Rpc3Bs
YXlUZXh0PjxyZWNvcmQ+PGtleXdvcmRzPjxrZXl3b3JkPktub3dsZWRnZSBCcm9rZXJpbmc8L2tl
eXdvcmQ+PGtleXdvcmQ+VHJhbnNsYXRpb248L2tleXdvcmQ+PGtleXdvcmQ+RG91YmxlIFBlcmlw
aGVyYWxpdHk8L2tleXdvcmQ+PGtleXdvcmQ+QnJva2VyZWQgS25vd2xlZGdlPC9rZXl3b3JkPjxr
ZXl3b3JkPlNjaWVuY2VzIChHZW5lcmFsKTwva2V5d29yZD48a2V5d29yZD5QaHlzaWNzPC9rZXl3
b3JkPjwva2V5d29yZHM+PGlzYm4+MTA3NS01NDcwPC9pc2JuPjx0aXRsZXM+PHRpdGxlPlRoZSBS
aXNlIG9mIHRoZSBLbm93bGVkZ2UgQnJva2VyPC90aXRsZT48c2Vjb25kYXJ5LXRpdGxlPlNjaWVu
Y2UgQ29tbXVuaWNhdGlvbjwvc2Vjb25kYXJ5LXRpdGxlPjwvdGl0bGVzPjxwYWdlcz4xMTgtMTI3
PC9wYWdlcz48bnVtYmVyPjE8L251bWJlcj48Y29udHJpYnV0b3JzPjxhdXRob3JzPjxhdXRob3I+
TWV5ZXIsIE1vcmdhbjwvYXV0aG9yPjwvYXV0aG9ycz48L2NvbnRyaWJ1dG9ycz48YWRkZWQtZGF0
ZSBmb3JtYXQ9InV0YyI+MTU1MDU3NjI1MTwvYWRkZWQtZGF0ZT48cHViLWxvY2F0aW9uPkxvcyBB
bmdlbGVzLCBDQTwvcHViLWxvY2F0aW9uPjxyZWYtdHlwZSBuYW1lPSJKb3VybmFsIEFydGljbGUi
PjE3PC9yZWYtdHlwZT48ZGF0ZXM+PHllYXI+MjAxMDwveWVhcj48L2RhdGVzPjxyZWMtbnVtYmVy
Pjc3NDI8L3JlYy1udW1iZXI+PGxhc3QtdXBkYXRlZC1kYXRlIGZvcm1hdD0idXRjIj4xNTUwNTc2
MjUxPC9sYXN0LXVwZGF0ZWQtZGF0ZT48ZWxlY3Ryb25pYy1yZXNvdXJjZS1udW0+MTAuMTE3Ny8x
MDc1NTQ3MDA5MzU5Nzk3PC9lbGVjdHJvbmljLXJlc291cmNlLW51bT48dm9sdW1lPjMyPC92b2x1
bWU+PC9yZWNvcmQ+PC9DaXRlPjxDaXRlPjxBdXRob3I+Q29udGFuZHJpb3BvdWxvczwvQXV0aG9y
PjxZZWFyPjIwMTA8L1llYXI+PElEVGV4dD5Lbm93bGVkZ2UgRXhjaGFuZ2UgUHJvY2Vzc2VzIGlu
IE9yZ2FuaXphdGlvbnMgYW5kIFBvbGljeSBBcmVuYXM6IEEgTmFycmF0aXZlIFN5c3RlbWF0aWMg
UmV2aWV3IG9mIHRoZSBMaXRlcmF0dXJlPC9JRFRleHQ+PFBhZ2VzPjQ2NDwvUGFnZXM+PHJlY29y
ZD48ZGF0ZXM+PHB1Yi1kYXRlcz48ZGF0ZT5EZWM8L2RhdGU+PC9wdWItZGF0ZXM+PHllYXI+MjAx
MDwveWVhcj48L2RhdGVzPjx1cmxzPjxyZWxhdGVkLXVybHM+PHVybD4mbHQ7R28gdG8gSVNJJmd0
OzovL1dPUzowMDAyODU0NDY0MDAwMDI8L3VybD48L3JlbGF0ZWQtdXJscz48L3VybHM+PGlzYm4+
MDg4Ny0zNzhYPC9pc2JuPjx0aXRsZXM+PHRpdGxlPktub3dsZWRnZSBFeGNoYW5nZSBQcm9jZXNz
ZXMgaW4gT3JnYW5pemF0aW9ucyBhbmQgUG9saWN5IEFyZW5hczogQSBOYXJyYXRpdmUgU3lzdGVt
YXRpYyBSZXZpZXcgb2YgdGhlIExpdGVyYXR1cmU8L3RpdGxlPjxzZWNvbmRhcnktdGl0bGU+TWls
YmFuayBRdWFydGVybHk8L3NlY29uZGFyeS10aXRsZT48L3RpdGxlcz48cGFnZXM+NDQ0LTQ4Mzwv
cGFnZXM+PG51bWJlcj40PC9udW1iZXI+PGNvbnRyaWJ1dG9ycz48YXV0aG9ycz48YXV0aG9yPkNv
bnRhbmRyaW9wb3Vsb3MsIEQuPC9hdXRob3I+PGF1dGhvcj5MZW1pcmUsIE0uPC9hdXRob3I+PGF1
dGhvcj5EZW5pcywgSi4gTC48L2F1dGhvcj48YXV0aG9yPlRyZW1ibGF5LCBFLjwvYXV0aG9yPjwv
YXV0aG9ycz48L2NvbnRyaWJ1dG9ycz48YWRkZWQtZGF0ZSBmb3JtYXQ9InV0YyI+MTQ2OTQ3NDM0
OTwvYWRkZWQtZGF0ZT48cmVmLXR5cGUgbmFtZT0iSm91cm5hbCBBcnRpY2xlIj4xNzwvcmVmLXR5
cGU+PHJlYy1udW1iZXI+MTQxNjwvcmVjLW51bWJlcj48bGFzdC11cGRhdGVkLWRhdGUgZm9ybWF0
PSJ1dGMiPjE0Njk0NzQzODc8L2xhc3QtdXBkYXRlZC1kYXRlPjxhY2Nlc3Npb24tbnVtPldPUzow
MDAyODU0NDY0MDAwMDI8L2FjY2Vzc2lvbi1udW0+PGVsZWN0cm9uaWMtcmVzb3VyY2UtbnVtPjEw
LjExMTEvai4xNDY4LTAwMDkuMjAxMC4wMDYwOC54PC9lbGVjdHJvbmljLXJlc291cmNlLW51bT48
dm9sdW1lPjg4PC92b2x1bWU+PC9yZWNvcmQ+PC9DaXRlPjwvRW5kTm90ZT4A
</w:fldData>
        </w:fldChar>
      </w:r>
      <w:r>
        <w:rPr>
          <w:iCs/>
          <w:sz w:val="24"/>
          <w:szCs w:val="24"/>
        </w:rPr>
        <w:instrText xml:space="preserve"> ADDIN EN.CITE </w:instrText>
      </w:r>
      <w:r>
        <w:rPr>
          <w:iCs/>
          <w:sz w:val="24"/>
          <w:szCs w:val="24"/>
        </w:rPr>
        <w:fldChar w:fldCharType="begin">
          <w:fldData xml:space="preserve">PEVuZE5vdGU+PENpdGU+PEF1dGhvcj5NZXllcjwvQXV0aG9yPjxZZWFyPjIwMTA8L1llYXI+PElE
VGV4dD5UaGUgUmlzZSBvZiB0aGUgS25vd2xlZGdlIEJyb2tlcjwvSURUZXh0PjxQYWdlcz4xMTg8
L1BhZ2VzPjxEaXNwbGF5VGV4dD4oQ29udGFuZHJpb3BvdWxvcywgTGVtaXJlLCBEZW5pcywgJmFt
cDsgVHJlbWJsYXksIDIwMTAsIHAuIDQ2NDsgTS4gTWV5ZXIsIDIwMTAsIHAuIDExOCk8L0Rpc3Bs
YXlUZXh0PjxyZWNvcmQ+PGtleXdvcmRzPjxrZXl3b3JkPktub3dsZWRnZSBCcm9rZXJpbmc8L2tl
eXdvcmQ+PGtleXdvcmQ+VHJhbnNsYXRpb248L2tleXdvcmQ+PGtleXdvcmQ+RG91YmxlIFBlcmlw
aGVyYWxpdHk8L2tleXdvcmQ+PGtleXdvcmQ+QnJva2VyZWQgS25vd2xlZGdlPC9rZXl3b3JkPjxr
ZXl3b3JkPlNjaWVuY2VzIChHZW5lcmFsKTwva2V5d29yZD48a2V5d29yZD5QaHlzaWNzPC9rZXl3
b3JkPjwva2V5d29yZHM+PGlzYm4+MTA3NS01NDcwPC9pc2JuPjx0aXRsZXM+PHRpdGxlPlRoZSBS
aXNlIG9mIHRoZSBLbm93bGVkZ2UgQnJva2VyPC90aXRsZT48c2Vjb25kYXJ5LXRpdGxlPlNjaWVu
Y2UgQ29tbXVuaWNhdGlvbjwvc2Vjb25kYXJ5LXRpdGxlPjwvdGl0bGVzPjxwYWdlcz4xMTgtMTI3
PC9wYWdlcz48bnVtYmVyPjE8L251bWJlcj48Y29udHJpYnV0b3JzPjxhdXRob3JzPjxhdXRob3I+
TWV5ZXIsIE1vcmdhbjwvYXV0aG9yPjwvYXV0aG9ycz48L2NvbnRyaWJ1dG9ycz48YWRkZWQtZGF0
ZSBmb3JtYXQ9InV0YyI+MTU1MDU3NjI1MTwvYWRkZWQtZGF0ZT48cHViLWxvY2F0aW9uPkxvcyBB
bmdlbGVzLCBDQTwvcHViLWxvY2F0aW9uPjxyZWYtdHlwZSBuYW1lPSJKb3VybmFsIEFydGljbGUi
PjE3PC9yZWYtdHlwZT48ZGF0ZXM+PHllYXI+MjAxMDwveWVhcj48L2RhdGVzPjxyZWMtbnVtYmVy
Pjc3NDI8L3JlYy1udW1iZXI+PGxhc3QtdXBkYXRlZC1kYXRlIGZvcm1hdD0idXRjIj4xNTUwNTc2
MjUxPC9sYXN0LXVwZGF0ZWQtZGF0ZT48ZWxlY3Ryb25pYy1yZXNvdXJjZS1udW0+MTAuMTE3Ny8x
MDc1NTQ3MDA5MzU5Nzk3PC9lbGVjdHJvbmljLXJlc291cmNlLW51bT48dm9sdW1lPjMyPC92b2x1
bWU+PC9yZWNvcmQ+PC9DaXRlPjxDaXRlPjxBdXRob3I+Q29udGFuZHJpb3BvdWxvczwvQXV0aG9y
PjxZZWFyPjIwMTA8L1llYXI+PElEVGV4dD5Lbm93bGVkZ2UgRXhjaGFuZ2UgUHJvY2Vzc2VzIGlu
IE9yZ2FuaXphdGlvbnMgYW5kIFBvbGljeSBBcmVuYXM6IEEgTmFycmF0aXZlIFN5c3RlbWF0aWMg
UmV2aWV3IG9mIHRoZSBMaXRlcmF0dXJlPC9JRFRleHQ+PFBhZ2VzPjQ2NDwvUGFnZXM+PHJlY29y
ZD48ZGF0ZXM+PHB1Yi1kYXRlcz48ZGF0ZT5EZWM8L2RhdGU+PC9wdWItZGF0ZXM+PHllYXI+MjAx
MDwveWVhcj48L2RhdGVzPjx1cmxzPjxyZWxhdGVkLXVybHM+PHVybD4mbHQ7R28gdG8gSVNJJmd0
OzovL1dPUzowMDAyODU0NDY0MDAwMDI8L3VybD48L3JlbGF0ZWQtdXJscz48L3VybHM+PGlzYm4+
MDg4Ny0zNzhYPC9pc2JuPjx0aXRsZXM+PHRpdGxlPktub3dsZWRnZSBFeGNoYW5nZSBQcm9jZXNz
ZXMgaW4gT3JnYW5pemF0aW9ucyBhbmQgUG9saWN5IEFyZW5hczogQSBOYXJyYXRpdmUgU3lzdGVt
YXRpYyBSZXZpZXcgb2YgdGhlIExpdGVyYXR1cmU8L3RpdGxlPjxzZWNvbmRhcnktdGl0bGU+TWls
YmFuayBRdWFydGVybHk8L3NlY29uZGFyeS10aXRsZT48L3RpdGxlcz48cGFnZXM+NDQ0LTQ4Mzwv
cGFnZXM+PG51bWJlcj40PC9udW1iZXI+PGNvbnRyaWJ1dG9ycz48YXV0aG9ycz48YXV0aG9yPkNv
bnRhbmRyaW9wb3Vsb3MsIEQuPC9hdXRob3I+PGF1dGhvcj5MZW1pcmUsIE0uPC9hdXRob3I+PGF1
dGhvcj5EZW5pcywgSi4gTC48L2F1dGhvcj48YXV0aG9yPlRyZW1ibGF5LCBFLjwvYXV0aG9yPjwv
YXV0aG9ycz48L2NvbnRyaWJ1dG9ycz48YWRkZWQtZGF0ZSBmb3JtYXQ9InV0YyI+MTQ2OTQ3NDM0
OTwvYWRkZWQtZGF0ZT48cmVmLXR5cGUgbmFtZT0iSm91cm5hbCBBcnRpY2xlIj4xNzwvcmVmLXR5
cGU+PHJlYy1udW1iZXI+MTQxNjwvcmVjLW51bWJlcj48bGFzdC11cGRhdGVkLWRhdGUgZm9ybWF0
PSJ1dGMiPjE0Njk0NzQzODc8L2xhc3QtdXBkYXRlZC1kYXRlPjxhY2Nlc3Npb24tbnVtPldPUzow
MDAyODU0NDY0MDAwMDI8L2FjY2Vzc2lvbi1udW0+PGVsZWN0cm9uaWMtcmVzb3VyY2UtbnVtPjEw
LjExMTEvai4xNDY4LTAwMDkuMjAxMC4wMDYwOC54PC9lbGVjdHJvbmljLXJlc291cmNlLW51bT48
dm9sdW1lPjg4PC92b2x1bWU+PC9yZWNvcmQ+PC9DaXRlPjwvRW5kTm90ZT4A
</w:fldData>
        </w:fldChar>
      </w:r>
      <w:r>
        <w:rPr>
          <w:iCs/>
          <w:sz w:val="24"/>
          <w:szCs w:val="24"/>
        </w:rPr>
        <w:instrText xml:space="preserve"> ADDIN EN.CITE.DATA </w:instrText>
      </w:r>
      <w:r>
        <w:rPr>
          <w:iCs/>
          <w:sz w:val="24"/>
          <w:szCs w:val="24"/>
        </w:rPr>
      </w:r>
      <w:r>
        <w:rPr>
          <w:iCs/>
          <w:sz w:val="24"/>
          <w:szCs w:val="24"/>
        </w:rPr>
        <w:fldChar w:fldCharType="end"/>
      </w:r>
      <w:r>
        <w:rPr>
          <w:iCs/>
          <w:sz w:val="24"/>
          <w:szCs w:val="24"/>
        </w:rPr>
      </w:r>
      <w:r>
        <w:rPr>
          <w:iCs/>
          <w:sz w:val="24"/>
          <w:szCs w:val="24"/>
        </w:rPr>
        <w:fldChar w:fldCharType="separate"/>
      </w:r>
      <w:r>
        <w:rPr>
          <w:iCs/>
          <w:noProof/>
          <w:sz w:val="24"/>
          <w:szCs w:val="24"/>
        </w:rPr>
        <w:t>(Contandriopoulos, Lemire, Denis, &amp; Tremblay, 2010, p. 464; M. Meyer, 2010, p. 118)</w:t>
      </w:r>
      <w:r>
        <w:rPr>
          <w:iCs/>
          <w:sz w:val="24"/>
          <w:szCs w:val="24"/>
        </w:rPr>
        <w:fldChar w:fldCharType="end"/>
      </w:r>
      <w:r>
        <w:rPr>
          <w:iCs/>
          <w:sz w:val="24"/>
          <w:szCs w:val="24"/>
        </w:rPr>
        <w:t xml:space="preserve">, </w:t>
      </w:r>
      <w:r>
        <w:rPr>
          <w:sz w:val="24"/>
          <w:szCs w:val="24"/>
        </w:rPr>
        <w:t xml:space="preserve">“work at the boundaries” </w:t>
      </w:r>
      <w:r>
        <w:rPr>
          <w:sz w:val="24"/>
          <w:szCs w:val="24"/>
        </w:rPr>
        <w:fldChar w:fldCharType="begin"/>
      </w:r>
      <w:r>
        <w:rPr>
          <w:sz w:val="24"/>
          <w:szCs w:val="24"/>
        </w:rPr>
        <w:instrText xml:space="preserve"> ADDIN EN.CITE &lt;EndNote&gt;&lt;Cite&gt;&lt;Author&gt;Chau&lt;/Author&gt;&lt;Year&gt;2017&lt;/Year&gt;&lt;IDText&gt;Aligning university–industry interactions: The role of boundary spanning in intellectual capital transfer&lt;/IDText&gt;&lt;Pages&gt;205&lt;/Pages&gt;&lt;DisplayText&gt;(Chau et al., 2017, p. 205)&lt;/DisplayText&gt;&lt;record&gt;&lt;keywords&gt;&lt;keyword&gt;University–Industry Interactions&lt;/keyword&gt;&lt;keyword&gt;Boundary Units in Universities&lt;/keyword&gt;&lt;keyword&gt;Knowledge Transfer Offices&lt;/keyword&gt;&lt;keyword&gt;Organizational Alignment&lt;/keyword&gt;&lt;keyword&gt;Instrumental Case Study&lt;/keyword&gt;&lt;/keywords&gt;&lt;isbn&gt;0040-1625&lt;/isbn&gt;&lt;titles&gt;&lt;title&gt;Aligning university–industry interactions: The role of boundary spanning in intellectual capital transfer&lt;/title&gt;&lt;secondary-title&gt;Technological Forecasting &amp;amp; Social Change&lt;/secondary-title&gt;&lt;/titles&gt;&lt;pages&gt;199-209&lt;/pages&gt;&lt;number&gt;C&lt;/number&gt;&lt;contributors&gt;&lt;authors&gt;&lt;author&gt;Chau, Vinh Sum&lt;/author&gt;&lt;author&gt;Gilman, Mark&lt;/author&gt;&lt;author&gt;Serbanica, Cristina&lt;/author&gt;&lt;/authors&gt;&lt;/contributors&gt;&lt;added-date format="utc"&gt;1549201314&lt;/added-date&gt;&lt;ref-type name="Journal Article"&gt;17&lt;/ref-type&gt;&lt;dates&gt;&lt;year&gt;2017&lt;/year&gt;&lt;/dates&gt;&lt;rec-number&gt;7719&lt;/rec-number&gt;&lt;last-updated-date format="utc"&gt;1549201314&lt;/last-updated-date&gt;&lt;electronic-resource-num&gt;10.1016/j.techfore.2016.03.013&lt;/electronic-resource-num&gt;&lt;volume&gt;123&lt;/volume&gt;&lt;/record&gt;&lt;/Cite&gt;&lt;/EndNote&gt;</w:instrText>
      </w:r>
      <w:r>
        <w:rPr>
          <w:sz w:val="24"/>
          <w:szCs w:val="24"/>
        </w:rPr>
        <w:fldChar w:fldCharType="separate"/>
      </w:r>
      <w:r>
        <w:rPr>
          <w:noProof/>
          <w:sz w:val="24"/>
          <w:szCs w:val="24"/>
        </w:rPr>
        <w:t>(Chau et al., 2017, p. 205)</w:t>
      </w:r>
      <w:r>
        <w:rPr>
          <w:sz w:val="24"/>
          <w:szCs w:val="24"/>
        </w:rPr>
        <w:fldChar w:fldCharType="end"/>
      </w:r>
      <w:r>
        <w:rPr>
          <w:sz w:val="24"/>
          <w:szCs w:val="24"/>
        </w:rPr>
        <w:t xml:space="preserve"> of academia </w:t>
      </w:r>
      <w:r>
        <w:rPr>
          <w:iCs/>
          <w:sz w:val="24"/>
          <w:szCs w:val="24"/>
        </w:rPr>
        <w:t xml:space="preserve">to “impart tacit as well as codified knowledge to other stakeholders” </w:t>
      </w:r>
      <w:r>
        <w:rPr>
          <w:iCs/>
          <w:sz w:val="24"/>
          <w:szCs w:val="24"/>
        </w:rPr>
        <w:fldChar w:fldCharType="begin"/>
      </w:r>
      <w:r>
        <w:rPr>
          <w:iCs/>
          <w:sz w:val="24"/>
          <w:szCs w:val="24"/>
        </w:rPr>
        <w:instrText xml:space="preserve"> ADDIN EN.CITE &lt;EndNote&gt;&lt;Cite&gt;&lt;Author&gt;Youtie&lt;/Author&gt;&lt;Year&gt;2008&lt;/Year&gt;&lt;IDText&gt;Building an innovation hub: A case study of the transformation of university roles in regional technological and economic development&lt;/IDText&gt;&lt;Pages&gt;1202&lt;/Pages&gt;&lt;DisplayText&gt;(Youtie &amp;amp; Shapira, 2008, p. 1202)&lt;/DisplayText&gt;&lt;record&gt;&lt;keywords&gt;&lt;keyword&gt;Universities&lt;/keyword&gt;&lt;keyword&gt;Regional Innovation&lt;/keyword&gt;&lt;keyword&gt;Tacit Knowledge&lt;/keyword&gt;&lt;keyword&gt;Boundary Spanning&lt;/keyword&gt;&lt;/keywords&gt;&lt;isbn&gt;0048-7333&lt;/isbn&gt;&lt;titles&gt;&lt;title&gt;Building an innovation hub: A case study of the transformation of university roles in regional technological and economic development&lt;/title&gt;&lt;secondary-title&gt;Research Policy&lt;/secondary-title&gt;&lt;/titles&gt;&lt;pages&gt;1188-1204&lt;/pages&gt;&lt;number&gt;8&lt;/number&gt;&lt;contributors&gt;&lt;authors&gt;&lt;author&gt;Youtie, Jan&lt;/author&gt;&lt;author&gt;Shapira, Philip&lt;/author&gt;&lt;/authors&gt;&lt;/contributors&gt;&lt;added-date format="utc"&gt;1550589229&lt;/added-date&gt;&lt;ref-type name="Journal Article"&gt;17&lt;/ref-type&gt;&lt;dates&gt;&lt;year&gt;2008&lt;/year&gt;&lt;/dates&gt;&lt;rec-number&gt;7749&lt;/rec-number&gt;&lt;last-updated-date format="utc"&gt;1550589229&lt;/last-updated-date&gt;&lt;electronic-resource-num&gt;10.1016/j.respol.2008.04.012&lt;/electronic-resource-num&gt;&lt;volume&gt;37&lt;/volume&gt;&lt;/record&gt;&lt;/Cite&gt;&lt;/EndNote&gt;</w:instrText>
      </w:r>
      <w:r>
        <w:rPr>
          <w:iCs/>
          <w:sz w:val="24"/>
          <w:szCs w:val="24"/>
        </w:rPr>
        <w:fldChar w:fldCharType="separate"/>
      </w:r>
      <w:r>
        <w:rPr>
          <w:iCs/>
          <w:noProof/>
          <w:sz w:val="24"/>
          <w:szCs w:val="24"/>
        </w:rPr>
        <w:t>(Youtie &amp; Shapira, 2008, p. 1202)</w:t>
      </w:r>
      <w:r>
        <w:rPr>
          <w:iCs/>
          <w:sz w:val="24"/>
          <w:szCs w:val="24"/>
        </w:rPr>
        <w:fldChar w:fldCharType="end"/>
      </w:r>
      <w:r>
        <w:rPr>
          <w:sz w:val="24"/>
          <w:szCs w:val="24"/>
        </w:rPr>
        <w:t xml:space="preserve">. They </w:t>
      </w:r>
      <w:r>
        <w:rPr>
          <w:iCs/>
          <w:sz w:val="24"/>
          <w:szCs w:val="24"/>
        </w:rPr>
        <w:t xml:space="preserve">carry scientific expertise into various contexts of application, either applying knowledge and solving problems directly, or else transferring or ‘brokering’ knowledge transactions by taking up roles that ‘span’ two or more sites of knowledge production, development and application. </w:t>
      </w:r>
    </w:p>
    <w:p w14:paraId="752B73B8" w14:textId="247B81EE" w:rsidR="00DC7B41" w:rsidRDefault="00DC7B41" w:rsidP="00DC7B41">
      <w:pPr>
        <w:autoSpaceDE w:val="0"/>
        <w:autoSpaceDN w:val="0"/>
        <w:adjustRightInd w:val="0"/>
        <w:spacing w:before="120" w:after="120" w:line="360" w:lineRule="auto"/>
        <w:rPr>
          <w:iCs/>
          <w:sz w:val="24"/>
          <w:szCs w:val="24"/>
        </w:rPr>
      </w:pPr>
      <w:r>
        <w:rPr>
          <w:iCs/>
          <w:sz w:val="24"/>
          <w:szCs w:val="24"/>
        </w:rPr>
        <w:t xml:space="preserve">Boundary spanners are therefore of increasing importance to universities and non-academic knowledge-intensive sectors, primarily industry, </w:t>
      </w:r>
      <w:r>
        <w:rPr>
          <w:iCs/>
          <w:sz w:val="24"/>
          <w:szCs w:val="24"/>
        </w:rPr>
        <w:fldChar w:fldCharType="begin">
          <w:fldData xml:space="preserve">PEVuZE5vdGU+PENpdGU+PEF1dGhvcj5Ib2ZmbWFuPC9BdXRob3I+PFllYXI+MjAxMTwvWWVhcj48
SURUZXh0PlRoZSBuZXcgdG9vbHMgb2YgdGhlIHNjaWVuY2UgdHJhZGU6IGNvbnRlc3RlZCBrbm93
bGVkZ2UgcHJvZHVjdGlvbiBhbmQgdGhlIGNvbmNlcHR1YWwgdm9jYWJ1bGFyaWVzIG9mIGFjYWRl
bWljIGNhcGl0YWxpc208L0lEVGV4dD48RGlzcGxheVRleHQ+KEhlbmtlbCwgMjAwNDsgSG9mZm1h
biwgMjAxMTsgTS4gTWV5ZXIsIDIwMTA7IFZha2t1cmksIDIwMDQpPC9EaXNwbGF5VGV4dD48cmVj
b3JkPjxrZXl3b3Jkcz48a2V5d29yZD5PcmdhbmlzYXRpb25zPC9rZXl3b3JkPjxrZXl3b3JkPklu
c3RpdHV0aW9uYWwgQ2hhbmdlPC9rZXl3b3JkPjxrZXl3b3JkPlVuaXZlcnNpdHnigJNpbmR1c3Ry
eSBSZWxhdGlvbnM8L2tleXdvcmQ+PGtleXdvcmQ+U2NpZW5jZTwva2V5d29yZD48a2V5d29yZD5L
bm93bGVkZ2UgUHJvZHVjdGlvbjwva2V5d29yZD48L2tleXdvcmRzPjxpc2JuPjA5NjQtMDI4Mjwv
aXNibj48dGl0bGVzPjx0aXRsZT5UaGUgbmV3IHRvb2xzIG9mIHRoZSBzY2llbmNlIHRyYWRlOiBj
b250ZXN0ZWQga25vd2xlZGdlIHByb2R1Y3Rpb24gYW5kIHRoZSBjb25jZXB0dWFsIHZvY2FidWxh
cmllcyBvZiBhY2FkZW1pYyBjYXBpdGFsaXNtPC90aXRsZT48c2Vjb25kYXJ5LXRpdGxlPlNvY2lh
bCBBbnRocm9wb2xvZ3k8L3NlY29uZGFyeS10aXRsZT48L3RpdGxlcz48cGFnZXM+NDM5LTQ2Mjwv
cGFnZXM+PG51bWJlcj40PC9udW1iZXI+PGNvbnRyaWJ1dG9ycz48YXV0aG9ycz48YXV0aG9yPkhv
ZmZtYW4sIFN0ZXZlIEcuPC9hdXRob3I+PC9hdXRob3JzPjwvY29udHJpYnV0b3JzPjxhZGRlZC1k
YXRlIGZvcm1hdD0idXRjIj4xNDU4Njg5MDM2PC9hZGRlZC1kYXRlPjxwdWItbG9jYXRpb24+T3hm
b3JkLCBVSzwvcHViLWxvY2F0aW9uPjxyZWYtdHlwZSBuYW1lPSJKb3VybmFsIEFydGljbGUiPjE3
PC9yZWYtdHlwZT48ZGF0ZXM+PHllYXI+MjAxMTwveWVhcj48L2RhdGVzPjxyZWMtbnVtYmVyPjMx
OTwvcmVjLW51bWJlcj48bGFzdC11cGRhdGVkLWRhdGUgZm9ybWF0PSJ1dGMiPjE0NjkyMjk4Njg8
L2xhc3QtdXBkYXRlZC1kYXRlPjxlbGVjdHJvbmljLXJlc291cmNlLW51bT4xMC4xMTExL2ouMTQ2
OS04Njc2LjIwMTEuMDAxODAueDwvZWxlY3Ryb25pYy1yZXNvdXJjZS1udW0+PHZvbHVtZT4xOTwv
dm9sdW1lPjwvcmVjb3JkPjwvQ2l0ZT48Q2l0ZT48QXV0aG9yPkhlbmtlbDwvQXV0aG9yPjxZZWFy
PjIwMDQ8L1llYXI+PElEVGV4dD5DdXJyZW50IFNjaWVuY2UgUG9saWNpZXMgYW5kIHRoZWlyIElt
cGxpY2F0aW9ucyBmb3IgdGhlIEZvcm1hdGlvbiBhbmQgTWFpbnRlbmFuY2Ugb2YgQWNhZGVtaWMg
SWRlbnRpdHk8L0lEVGV4dD48cmVjb3JkPjxpc2JuPjA5NTItODczMzwvaXNibj48dGl0bGVzPjx0
aXRsZT5DdXJyZW50IFNjaWVuY2UgUG9saWNpZXMgYW5kIHRoZWlyIEltcGxpY2F0aW9ucyBmb3Ig
dGhlIEZvcm1hdGlvbiBhbmQgTWFpbnRlbmFuY2Ugb2YgQWNhZGVtaWMgSWRlbnRpdHk8L3RpdGxl
PjxzZWNvbmRhcnktdGl0bGU+SGlnaGVyIEVkdWNhdGlvbiBQb2xpY3k8L3NlY29uZGFyeS10aXRs
ZT48L3RpdGxlcz48cGFnZXM+MTY3PC9wYWdlcz48bnVtYmVyPjI8L251bWJlcj48Y29udHJpYnV0
b3JzPjxhdXRob3JzPjxhdXRob3I+SGVua2VsLCBNYXJ5PC9hdXRob3I+PC9hdXRob3JzPjwvY29u
dHJpYnV0b3JzPjxhZGRlZC1kYXRlIGZvcm1hdD0idXRjIj4xNTI2MDc2NDY1PC9hZGRlZC1kYXRl
PjxyZWYtdHlwZSBuYW1lPSJKb3VybmFsIEFydGljbGUiPjE3PC9yZWYtdHlwZT48ZGF0ZXM+PHll
YXI+MjAwNDwveWVhcj48L2RhdGVzPjxyZWMtbnVtYmVyPjc1MTk8L3JlYy1udW1iZXI+PGxhc3Qt
dXBkYXRlZC1kYXRlIGZvcm1hdD0idXRjIj4xNTI2MDc3MTY0PC9sYXN0LXVwZGF0ZWQtZGF0ZT48
ZWxlY3Ryb25pYy1yZXNvdXJjZS1udW0+MTAuMTA1Ny9wYWxncmF2ZS5oZXAuODMwMDA0OTwvZWxl
Y3Ryb25pYy1yZXNvdXJjZS1udW0+PHZvbHVtZT4xNzwvdm9sdW1lPjwvcmVjb3JkPjwvQ2l0ZT48
Q2l0ZT48QXV0aG9yPlZha2t1cmk8L0F1dGhvcj48WWVhcj4yMDA0PC9ZZWFyPjxJRFRleHQ+SW5z
dGl0dXRpb25hbCBDaGFuZ2Ugb2YgVW5pdmVyc2l0aWVzIGFzIGEgUHJvYmxlbSBvZiBFdm9sdmlu
ZyBCb3VuZGFyaWVzPC9JRFRleHQ+PHJlY29yZD48aXNibj4wOTUyLTg3MzM8L2lzYm4+PHRpdGxl
cz48dGl0bGU+SW5zdGl0dXRpb25hbCBDaGFuZ2Ugb2YgVW5pdmVyc2l0aWVzIGFzIGEgUHJvYmxl
bSBvZiBFdm9sdmluZyBCb3VuZGFyaWVzPC90aXRsZT48c2Vjb25kYXJ5LXRpdGxlPkhpZ2hlciBl
ZHVjYXRpb24gcG9saWN5Ljwvc2Vjb25kYXJ5LXRpdGxlPjwvdGl0bGVzPjxwYWdlcz4yODctMzA5
PC9wYWdlcz48bnVtYmVyPjM8L251bWJlcj48Y29udHJpYnV0b3JzPjxhdXRob3JzPjxhdXRob3I+
VmFra3VyaSwgSmFybW88L2F1dGhvcj48L2F1dGhvcnM+PC9jb250cmlidXRvcnM+PGFkZGVkLWRh
dGUgZm9ybWF0PSJ1dGMiPjE1NDg2ODMyODI8L2FkZGVkLWRhdGU+PHB1Yi1sb2NhdGlvbj5PeGZv
cmQgOzwvcHViLWxvY2F0aW9uPjxyZWYtdHlwZSBuYW1lPSJKb3VybmFsIEFydGljbGUiPjE3PC9y
ZWYtdHlwZT48ZGF0ZXM+PHllYXI+MjAwNDwveWVhcj48L2RhdGVzPjxyZWMtbnVtYmVyPjc2OTk8
L3JlYy1udW1iZXI+PGxhc3QtdXBkYXRlZC1kYXRlIGZvcm1hdD0idXRjIj4xNTQ4NjgzMjgyPC9s
YXN0LXVwZGF0ZWQtZGF0ZT48ZWxlY3Ryb25pYy1yZXNvdXJjZS1udW0+MTAuMTA1Ny9wYWxncmF2
ZS5oZXAuODMwMDA1NjwvZWxlY3Ryb25pYy1yZXNvdXJjZS1udW0+PHZvbHVtZT4xNzwvdm9sdW1l
PjwvcmVjb3JkPjwvQ2l0ZT48Q2l0ZT48QXV0aG9yPk1leWVyPC9BdXRob3I+PFllYXI+MjAxMDwv
WWVhcj48SURUZXh0PlRoZSBSaXNlIG9mIHRoZSBLbm93bGVkZ2UgQnJva2VyPC9JRFRleHQ+PHJl
Y29yZD48a2V5d29yZHM+PGtleXdvcmQ+S25vd2xlZGdlIEJyb2tlcmluZzwva2V5d29yZD48a2V5
d29yZD5UcmFuc2xhdGlvbjwva2V5d29yZD48a2V5d29yZD5Eb3VibGUgUGVyaXBoZXJhbGl0eTwv
a2V5d29yZD48a2V5d29yZD5Ccm9rZXJlZCBLbm93bGVkZ2U8L2tleXdvcmQ+PGtleXdvcmQ+U2Np
ZW5jZXMgKEdlbmVyYWwpPC9rZXl3b3JkPjxrZXl3b3JkPlBoeXNpY3M8L2tleXdvcmQ+PC9rZXl3
b3Jkcz48aXNibj4xMDc1LTU0NzA8L2lzYm4+PHRpdGxlcz48dGl0bGU+VGhlIFJpc2Ugb2YgdGhl
IEtub3dsZWRnZSBCcm9rZXI8L3RpdGxlPjxzZWNvbmRhcnktdGl0bGU+U2NpZW5jZSBDb21tdW5p
Y2F0aW9uPC9zZWNvbmRhcnktdGl0bGU+PC90aXRsZXM+PHBhZ2VzPjExOC0xMjc8L3BhZ2VzPjxu
dW1iZXI+MTwvbnVtYmVyPjxjb250cmlidXRvcnM+PGF1dGhvcnM+PGF1dGhvcj5NZXllciwgTW9y
Z2FuPC9hdXRob3I+PC9hdXRob3JzPjwvY29udHJpYnV0b3JzPjxhZGRlZC1kYXRlIGZvcm1hdD0i
dXRjIj4xNTUwNTc2MjUxPC9hZGRlZC1kYXRlPjxwdWItbG9jYXRpb24+TG9zIEFuZ2VsZXMsIENB
PC9wdWItbG9jYXRpb24+PHJlZi10eXBlIG5hbWU9IkpvdXJuYWwgQXJ0aWNsZSI+MTc8L3JlZi10
eXBlPjxkYXRlcz48eWVhcj4yMDEwPC95ZWFyPjwvZGF0ZXM+PHJlYy1udW1iZXI+Nzc0MjwvcmVj
LW51bWJlcj48bGFzdC11cGRhdGVkLWRhdGUgZm9ybWF0PSJ1dGMiPjE1NTA1NzYyNTE8L2xhc3Qt
dXBkYXRlZC1kYXRlPjxlbGVjdHJvbmljLXJlc291cmNlLW51bT4xMC4xMTc3LzEwNzU1NDcwMDkz
NTk3OTc8L2VsZWN0cm9uaWMtcmVzb3VyY2UtbnVtPjx2b2x1bWU+MzI8L3ZvbHVtZT48L3JlY29y
ZD48L0NpdGU+PC9FbmROb3RlPn==
</w:fldData>
        </w:fldChar>
      </w:r>
      <w:r>
        <w:rPr>
          <w:iCs/>
          <w:sz w:val="24"/>
          <w:szCs w:val="24"/>
        </w:rPr>
        <w:instrText xml:space="preserve"> ADDIN EN.CITE </w:instrText>
      </w:r>
      <w:r>
        <w:rPr>
          <w:iCs/>
          <w:sz w:val="24"/>
          <w:szCs w:val="24"/>
        </w:rPr>
        <w:fldChar w:fldCharType="begin">
          <w:fldData xml:space="preserve">PEVuZE5vdGU+PENpdGU+PEF1dGhvcj5Ib2ZmbWFuPC9BdXRob3I+PFllYXI+MjAxMTwvWWVhcj48
SURUZXh0PlRoZSBuZXcgdG9vbHMgb2YgdGhlIHNjaWVuY2UgdHJhZGU6IGNvbnRlc3RlZCBrbm93
bGVkZ2UgcHJvZHVjdGlvbiBhbmQgdGhlIGNvbmNlcHR1YWwgdm9jYWJ1bGFyaWVzIG9mIGFjYWRl
bWljIGNhcGl0YWxpc208L0lEVGV4dD48RGlzcGxheVRleHQ+KEhlbmtlbCwgMjAwNDsgSG9mZm1h
biwgMjAxMTsgTS4gTWV5ZXIsIDIwMTA7IFZha2t1cmksIDIwMDQpPC9EaXNwbGF5VGV4dD48cmVj
b3JkPjxrZXl3b3Jkcz48a2V5d29yZD5PcmdhbmlzYXRpb25zPC9rZXl3b3JkPjxrZXl3b3JkPklu
c3RpdHV0aW9uYWwgQ2hhbmdlPC9rZXl3b3JkPjxrZXl3b3JkPlVuaXZlcnNpdHnigJNpbmR1c3Ry
eSBSZWxhdGlvbnM8L2tleXdvcmQ+PGtleXdvcmQ+U2NpZW5jZTwva2V5d29yZD48a2V5d29yZD5L
bm93bGVkZ2UgUHJvZHVjdGlvbjwva2V5d29yZD48L2tleXdvcmRzPjxpc2JuPjA5NjQtMDI4Mjwv
aXNibj48dGl0bGVzPjx0aXRsZT5UaGUgbmV3IHRvb2xzIG9mIHRoZSBzY2llbmNlIHRyYWRlOiBj
b250ZXN0ZWQga25vd2xlZGdlIHByb2R1Y3Rpb24gYW5kIHRoZSBjb25jZXB0dWFsIHZvY2FidWxh
cmllcyBvZiBhY2FkZW1pYyBjYXBpdGFsaXNtPC90aXRsZT48c2Vjb25kYXJ5LXRpdGxlPlNvY2lh
bCBBbnRocm9wb2xvZ3k8L3NlY29uZGFyeS10aXRsZT48L3RpdGxlcz48cGFnZXM+NDM5LTQ2Mjwv
cGFnZXM+PG51bWJlcj40PC9udW1iZXI+PGNvbnRyaWJ1dG9ycz48YXV0aG9ycz48YXV0aG9yPkhv
ZmZtYW4sIFN0ZXZlIEcuPC9hdXRob3I+PC9hdXRob3JzPjwvY29udHJpYnV0b3JzPjxhZGRlZC1k
YXRlIGZvcm1hdD0idXRjIj4xNDU4Njg5MDM2PC9hZGRlZC1kYXRlPjxwdWItbG9jYXRpb24+T3hm
b3JkLCBVSzwvcHViLWxvY2F0aW9uPjxyZWYtdHlwZSBuYW1lPSJKb3VybmFsIEFydGljbGUiPjE3
PC9yZWYtdHlwZT48ZGF0ZXM+PHllYXI+MjAxMTwveWVhcj48L2RhdGVzPjxyZWMtbnVtYmVyPjMx
OTwvcmVjLW51bWJlcj48bGFzdC11cGRhdGVkLWRhdGUgZm9ybWF0PSJ1dGMiPjE0NjkyMjk4Njg8
L2xhc3QtdXBkYXRlZC1kYXRlPjxlbGVjdHJvbmljLXJlc291cmNlLW51bT4xMC4xMTExL2ouMTQ2
OS04Njc2LjIwMTEuMDAxODAueDwvZWxlY3Ryb25pYy1yZXNvdXJjZS1udW0+PHZvbHVtZT4xOTwv
dm9sdW1lPjwvcmVjb3JkPjwvQ2l0ZT48Q2l0ZT48QXV0aG9yPkhlbmtlbDwvQXV0aG9yPjxZZWFy
PjIwMDQ8L1llYXI+PElEVGV4dD5DdXJyZW50IFNjaWVuY2UgUG9saWNpZXMgYW5kIHRoZWlyIElt
cGxpY2F0aW9ucyBmb3IgdGhlIEZvcm1hdGlvbiBhbmQgTWFpbnRlbmFuY2Ugb2YgQWNhZGVtaWMg
SWRlbnRpdHk8L0lEVGV4dD48cmVjb3JkPjxpc2JuPjA5NTItODczMzwvaXNibj48dGl0bGVzPjx0
aXRsZT5DdXJyZW50IFNjaWVuY2UgUG9saWNpZXMgYW5kIHRoZWlyIEltcGxpY2F0aW9ucyBmb3Ig
dGhlIEZvcm1hdGlvbiBhbmQgTWFpbnRlbmFuY2Ugb2YgQWNhZGVtaWMgSWRlbnRpdHk8L3RpdGxl
PjxzZWNvbmRhcnktdGl0bGU+SGlnaGVyIEVkdWNhdGlvbiBQb2xpY3k8L3NlY29uZGFyeS10aXRs
ZT48L3RpdGxlcz48cGFnZXM+MTY3PC9wYWdlcz48bnVtYmVyPjI8L251bWJlcj48Y29udHJpYnV0
b3JzPjxhdXRob3JzPjxhdXRob3I+SGVua2VsLCBNYXJ5PC9hdXRob3I+PC9hdXRob3JzPjwvY29u
dHJpYnV0b3JzPjxhZGRlZC1kYXRlIGZvcm1hdD0idXRjIj4xNTI2MDc2NDY1PC9hZGRlZC1kYXRl
PjxyZWYtdHlwZSBuYW1lPSJKb3VybmFsIEFydGljbGUiPjE3PC9yZWYtdHlwZT48ZGF0ZXM+PHll
YXI+MjAwNDwveWVhcj48L2RhdGVzPjxyZWMtbnVtYmVyPjc1MTk8L3JlYy1udW1iZXI+PGxhc3Qt
dXBkYXRlZC1kYXRlIGZvcm1hdD0idXRjIj4xNTI2MDc3MTY0PC9sYXN0LXVwZGF0ZWQtZGF0ZT48
ZWxlY3Ryb25pYy1yZXNvdXJjZS1udW0+MTAuMTA1Ny9wYWxncmF2ZS5oZXAuODMwMDA0OTwvZWxl
Y3Ryb25pYy1yZXNvdXJjZS1udW0+PHZvbHVtZT4xNzwvdm9sdW1lPjwvcmVjb3JkPjwvQ2l0ZT48
Q2l0ZT48QXV0aG9yPlZha2t1cmk8L0F1dGhvcj48WWVhcj4yMDA0PC9ZZWFyPjxJRFRleHQ+SW5z
dGl0dXRpb25hbCBDaGFuZ2Ugb2YgVW5pdmVyc2l0aWVzIGFzIGEgUHJvYmxlbSBvZiBFdm9sdmlu
ZyBCb3VuZGFyaWVzPC9JRFRleHQ+PHJlY29yZD48aXNibj4wOTUyLTg3MzM8L2lzYm4+PHRpdGxl
cz48dGl0bGU+SW5zdGl0dXRpb25hbCBDaGFuZ2Ugb2YgVW5pdmVyc2l0aWVzIGFzIGEgUHJvYmxl
bSBvZiBFdm9sdmluZyBCb3VuZGFyaWVzPC90aXRsZT48c2Vjb25kYXJ5LXRpdGxlPkhpZ2hlciBl
ZHVjYXRpb24gcG9saWN5Ljwvc2Vjb25kYXJ5LXRpdGxlPjwvdGl0bGVzPjxwYWdlcz4yODctMzA5
PC9wYWdlcz48bnVtYmVyPjM8L251bWJlcj48Y29udHJpYnV0b3JzPjxhdXRob3JzPjxhdXRob3I+
VmFra3VyaSwgSmFybW88L2F1dGhvcj48L2F1dGhvcnM+PC9jb250cmlidXRvcnM+PGFkZGVkLWRh
dGUgZm9ybWF0PSJ1dGMiPjE1NDg2ODMyODI8L2FkZGVkLWRhdGU+PHB1Yi1sb2NhdGlvbj5PeGZv
cmQgOzwvcHViLWxvY2F0aW9uPjxyZWYtdHlwZSBuYW1lPSJKb3VybmFsIEFydGljbGUiPjE3PC9y
ZWYtdHlwZT48ZGF0ZXM+PHllYXI+MjAwNDwveWVhcj48L2RhdGVzPjxyZWMtbnVtYmVyPjc2OTk8
L3JlYy1udW1iZXI+PGxhc3QtdXBkYXRlZC1kYXRlIGZvcm1hdD0idXRjIj4xNTQ4NjgzMjgyPC9s
YXN0LXVwZGF0ZWQtZGF0ZT48ZWxlY3Ryb25pYy1yZXNvdXJjZS1udW0+MTAuMTA1Ny9wYWxncmF2
ZS5oZXAuODMwMDA1NjwvZWxlY3Ryb25pYy1yZXNvdXJjZS1udW0+PHZvbHVtZT4xNzwvdm9sdW1l
PjwvcmVjb3JkPjwvQ2l0ZT48Q2l0ZT48QXV0aG9yPk1leWVyPC9BdXRob3I+PFllYXI+MjAxMDwv
WWVhcj48SURUZXh0PlRoZSBSaXNlIG9mIHRoZSBLbm93bGVkZ2UgQnJva2VyPC9JRFRleHQ+PHJl
Y29yZD48a2V5d29yZHM+PGtleXdvcmQ+S25vd2xlZGdlIEJyb2tlcmluZzwva2V5d29yZD48a2V5
d29yZD5UcmFuc2xhdGlvbjwva2V5d29yZD48a2V5d29yZD5Eb3VibGUgUGVyaXBoZXJhbGl0eTwv
a2V5d29yZD48a2V5d29yZD5Ccm9rZXJlZCBLbm93bGVkZ2U8L2tleXdvcmQ+PGtleXdvcmQ+U2Np
ZW5jZXMgKEdlbmVyYWwpPC9rZXl3b3JkPjxrZXl3b3JkPlBoeXNpY3M8L2tleXdvcmQ+PC9rZXl3
b3Jkcz48aXNibj4xMDc1LTU0NzA8L2lzYm4+PHRpdGxlcz48dGl0bGU+VGhlIFJpc2Ugb2YgdGhl
IEtub3dsZWRnZSBCcm9rZXI8L3RpdGxlPjxzZWNvbmRhcnktdGl0bGU+U2NpZW5jZSBDb21tdW5p
Y2F0aW9uPC9zZWNvbmRhcnktdGl0bGU+PC90aXRsZXM+PHBhZ2VzPjExOC0xMjc8L3BhZ2VzPjxu
dW1iZXI+MTwvbnVtYmVyPjxjb250cmlidXRvcnM+PGF1dGhvcnM+PGF1dGhvcj5NZXllciwgTW9y
Z2FuPC9hdXRob3I+PC9hdXRob3JzPjwvY29udHJpYnV0b3JzPjxhZGRlZC1kYXRlIGZvcm1hdD0i
dXRjIj4xNTUwNTc2MjUxPC9hZGRlZC1kYXRlPjxwdWItbG9jYXRpb24+TG9zIEFuZ2VsZXMsIENB
PC9wdWItbG9jYXRpb24+PHJlZi10eXBlIG5hbWU9IkpvdXJuYWwgQXJ0aWNsZSI+MTc8L3JlZi10
eXBlPjxkYXRlcz48eWVhcj4yMDEwPC95ZWFyPjwvZGF0ZXM+PHJlYy1udW1iZXI+Nzc0MjwvcmVj
LW51bWJlcj48bGFzdC11cGRhdGVkLWRhdGUgZm9ybWF0PSJ1dGMiPjE1NTA1NzYyNTE8L2xhc3Qt
dXBkYXRlZC1kYXRlPjxlbGVjdHJvbmljLXJlc291cmNlLW51bT4xMC4xMTc3LzEwNzU1NDcwMDkz
NTk3OTc8L2VsZWN0cm9uaWMtcmVzb3VyY2UtbnVtPjx2b2x1bWU+MzI8L3ZvbHVtZT48L3JlY29y
ZD48L0NpdGU+PC9FbmROb3RlPn==
</w:fldData>
        </w:fldChar>
      </w:r>
      <w:r>
        <w:rPr>
          <w:iCs/>
          <w:sz w:val="24"/>
          <w:szCs w:val="24"/>
        </w:rPr>
        <w:instrText xml:space="preserve"> ADDIN EN.CITE.DATA </w:instrText>
      </w:r>
      <w:r>
        <w:rPr>
          <w:iCs/>
          <w:sz w:val="24"/>
          <w:szCs w:val="24"/>
        </w:rPr>
      </w:r>
      <w:r>
        <w:rPr>
          <w:iCs/>
          <w:sz w:val="24"/>
          <w:szCs w:val="24"/>
        </w:rPr>
        <w:fldChar w:fldCharType="end"/>
      </w:r>
      <w:r>
        <w:rPr>
          <w:iCs/>
          <w:sz w:val="24"/>
          <w:szCs w:val="24"/>
        </w:rPr>
      </w:r>
      <w:r>
        <w:rPr>
          <w:iCs/>
          <w:sz w:val="24"/>
          <w:szCs w:val="24"/>
        </w:rPr>
        <w:fldChar w:fldCharType="separate"/>
      </w:r>
      <w:r>
        <w:rPr>
          <w:iCs/>
          <w:noProof/>
          <w:sz w:val="24"/>
          <w:szCs w:val="24"/>
        </w:rPr>
        <w:t>(Henkel, 2004; Hoffman, 2011; M. Meyer, 2010; Vakkuri, 2004)</w:t>
      </w:r>
      <w:r>
        <w:rPr>
          <w:iCs/>
          <w:sz w:val="24"/>
          <w:szCs w:val="24"/>
        </w:rPr>
        <w:fldChar w:fldCharType="end"/>
      </w:r>
      <w:r>
        <w:rPr>
          <w:iCs/>
          <w:sz w:val="24"/>
          <w:szCs w:val="24"/>
        </w:rPr>
        <w:t xml:space="preserve"> and are a key mechanism through which several of the boundary transactions discussed in earlier sub-sections of this chapter are performed and enacted. They include, for example, those academics who draw upon brief spells in industry to generate networks and research agendas in collaboration with users and sponsors; those industry or other non-academic scientists who take on honorary or temporary academic posts in specific </w:t>
      </w:r>
      <w:r w:rsidRPr="005A703E">
        <w:rPr>
          <w:iCs/>
          <w:sz w:val="24"/>
          <w:szCs w:val="24"/>
        </w:rPr>
        <w:t>collaborative configurations; and those who create academic spin-out companies to patent and commercialise their research-based technologies</w:t>
      </w:r>
      <w:r w:rsidR="00AF2FD5">
        <w:rPr>
          <w:iCs/>
          <w:sz w:val="24"/>
          <w:szCs w:val="24"/>
        </w:rPr>
        <w:t xml:space="preserve"> </w:t>
      </w:r>
      <w:r w:rsidR="00AF2FD5">
        <w:rPr>
          <w:iCs/>
          <w:sz w:val="24"/>
          <w:szCs w:val="24"/>
        </w:rPr>
        <w:fldChar w:fldCharType="begin"/>
      </w:r>
      <w:r w:rsidR="00371BB7">
        <w:rPr>
          <w:iCs/>
          <w:sz w:val="24"/>
          <w:szCs w:val="24"/>
        </w:rPr>
        <w:instrText xml:space="preserve"> ADDIN EN.CITE &lt;EndNote&gt;&lt;Cite&gt;&lt;Author&gt;Brennan&lt;/Author&gt;&lt;Year&gt;2016&lt;/Year&gt;&lt;IDText&gt;Diversity of Higher Education Institutions in Networked Knowledge Societies: A Comparative Examination&lt;/IDText&gt;&lt;DisplayText&gt;(Brennan et al., 2016)&lt;/DisplayText&gt;&lt;record&gt;&lt;titles&gt;&lt;title&gt;Diversity of Higher Education Institutions in Networked Knowledge Societies: A Comparative Examination&lt;/title&gt;&lt;secondary-title&gt;Re-becoming universities?: higher education institutions in networked knowledge societies&lt;/secondary-title&gt;&lt;/titles&gt;&lt;contributors&gt;&lt;authors&gt;&lt;author&gt;Brennan, John&lt;/author&gt;&lt;author&gt;Papatsiba, Vassiliki&lt;/author&gt;&lt;author&gt;Sousa, Sofia Branco&lt;/author&gt;&lt;author&gt;Hoffman, David&lt;/author&gt;&lt;/authors&gt;&lt;/contributors&gt;&lt;added-date format="utc"&gt;1458844676&lt;/added-date&gt;&lt;pub-location&gt;Dordrecht&lt;/pub-location&gt;&lt;ref-type name="Book Section"&gt;5&lt;/ref-type&gt;&lt;dates&gt;&lt;year&gt;2016&lt;/year&gt;&lt;/dates&gt;&lt;rec-number&gt;323&lt;/rec-number&gt;&lt;publisher&gt;Springer&lt;/publisher&gt;&lt;last-updated-date format="utc"&gt;1560727286&lt;/last-updated-date&gt;&lt;contributors&gt;&lt;secondary-authors&gt;&lt;author&gt;Hoffman, David M.&lt;/author&gt;&lt;author&gt;Välimaa, Jussi&lt;/author&gt;&lt;/secondary-authors&gt;&lt;/contributors&gt;&lt;/record&gt;&lt;/Cite&gt;&lt;/EndNote&gt;</w:instrText>
      </w:r>
      <w:r w:rsidR="00AF2FD5">
        <w:rPr>
          <w:iCs/>
          <w:sz w:val="24"/>
          <w:szCs w:val="24"/>
        </w:rPr>
        <w:fldChar w:fldCharType="separate"/>
      </w:r>
      <w:r w:rsidR="00371BB7">
        <w:rPr>
          <w:iCs/>
          <w:noProof/>
          <w:sz w:val="24"/>
          <w:szCs w:val="24"/>
        </w:rPr>
        <w:t>(Brennan et al., 2016)</w:t>
      </w:r>
      <w:r w:rsidR="00AF2FD5">
        <w:rPr>
          <w:iCs/>
          <w:sz w:val="24"/>
          <w:szCs w:val="24"/>
        </w:rPr>
        <w:fldChar w:fldCharType="end"/>
      </w:r>
      <w:r w:rsidRPr="005A703E">
        <w:rPr>
          <w:iCs/>
          <w:sz w:val="24"/>
          <w:szCs w:val="24"/>
        </w:rPr>
        <w:t>.</w:t>
      </w:r>
      <w:r w:rsidR="001F796F">
        <w:rPr>
          <w:iCs/>
          <w:sz w:val="24"/>
          <w:szCs w:val="24"/>
        </w:rPr>
        <w:t xml:space="preserve"> Etzkowitz &amp; Viale (2010) c</w:t>
      </w:r>
      <w:r w:rsidR="0037624B">
        <w:rPr>
          <w:iCs/>
          <w:sz w:val="24"/>
          <w:szCs w:val="24"/>
        </w:rPr>
        <w:t>lassify these under</w:t>
      </w:r>
      <w:r w:rsidR="008959BC">
        <w:rPr>
          <w:iCs/>
          <w:sz w:val="24"/>
          <w:szCs w:val="24"/>
        </w:rPr>
        <w:t xml:space="preserve"> the</w:t>
      </w:r>
      <w:r w:rsidR="0037624B">
        <w:rPr>
          <w:iCs/>
          <w:sz w:val="24"/>
          <w:szCs w:val="24"/>
        </w:rPr>
        <w:t xml:space="preserve"> term “polyvalent roles”, in line with their focus on the “polyvalence” of knowledge (p</w:t>
      </w:r>
      <w:r w:rsidR="00D04A42">
        <w:rPr>
          <w:iCs/>
          <w:sz w:val="24"/>
          <w:szCs w:val="24"/>
        </w:rPr>
        <w:t>p.</w:t>
      </w:r>
      <w:r w:rsidR="0037624B">
        <w:rPr>
          <w:iCs/>
          <w:sz w:val="24"/>
          <w:szCs w:val="24"/>
        </w:rPr>
        <w:t xml:space="preserve"> 596</w:t>
      </w:r>
      <w:r w:rsidR="00D04A42">
        <w:rPr>
          <w:iCs/>
          <w:sz w:val="24"/>
          <w:szCs w:val="24"/>
        </w:rPr>
        <w:t>, 606</w:t>
      </w:r>
      <w:r w:rsidR="0037624B">
        <w:rPr>
          <w:iCs/>
          <w:sz w:val="24"/>
          <w:szCs w:val="24"/>
        </w:rPr>
        <w:t>).</w:t>
      </w:r>
      <w:r w:rsidRPr="005A703E">
        <w:rPr>
          <w:iCs/>
          <w:sz w:val="24"/>
          <w:szCs w:val="24"/>
        </w:rPr>
        <w:t xml:space="preserve"> However, potentially more fundamental from the perspective of universities as higher education institutions, is the role that students can play in academia’s boundary-spanning and boundary transactions. It is this that I will focus on for the remainder of this sub-section. </w:t>
      </w:r>
    </w:p>
    <w:p w14:paraId="1F035D6C" w14:textId="7DCA602D" w:rsidR="00DC7B41" w:rsidRPr="00920426" w:rsidRDefault="00DC7B41" w:rsidP="00DC7B41">
      <w:pPr>
        <w:pStyle w:val="Standard"/>
        <w:widowControl w:val="0"/>
        <w:spacing w:after="120" w:line="360" w:lineRule="auto"/>
        <w:rPr>
          <w:rFonts w:ascii="Times New Roman" w:hAnsi="Times New Roman"/>
          <w:color w:val="000000"/>
          <w:sz w:val="24"/>
          <w:szCs w:val="24"/>
        </w:rPr>
      </w:pPr>
      <w:r w:rsidRPr="005A703E">
        <w:rPr>
          <w:rFonts w:ascii="Times New Roman" w:eastAsia="Times New Roman" w:hAnsi="Times New Roman"/>
          <w:sz w:val="24"/>
          <w:szCs w:val="24"/>
        </w:rPr>
        <w:t xml:space="preserve">Evidence from across Europe and the English-speaking world suggests the greatest ‘return’ from investment in STEMM education and research is the output of human capital in the form of skilled individuals, especially when also trained in research </w:t>
      </w:r>
      <w:r w:rsidRPr="005A703E">
        <w:rPr>
          <w:rFonts w:ascii="Times New Roman" w:hAnsi="Times New Roman"/>
          <w:sz w:val="24"/>
          <w:szCs w:val="24"/>
        </w:rPr>
        <w:fldChar w:fldCharType="begin">
          <w:fldData xml:space="preserve">PEVuZE5vdGU+PENpdGU+PEF1dGhvcj5SZWlkPC9BdXRob3I+PFllYXI+MjAxNDwvWWVhcj48SURU
ZXh0PldoeSBzaG91bGQgdGhlIHRheHBheWVyIGZ1bmQgc2NpZW5jZSAmYW1wOyByZXNlYXJjaD88
L0lEVGV4dD48RGlzcGxheVRleHQ+KEIuIFIuIENsYXJrLCAxOTk1OyBDb2FkIGV0IGFsLiwgMjAx
NDsgRGlhbW9uZCBldCBhbC4sIDIwMTQ7IEZyb250aWVyIEVjb25vbWljcywgMjAxNDsgSHVnaGVz
ICZhbXA7IEtpdHNvbiwgMjAxMjsgSHVnaGVzICZhbXA7IE1hcnRpbiwgMjAxMjsgUGF2aXR0LCAx
OTk4OyBSZWlkLCAyMDE0OyBTYWx0ZXIgZXQgYWwuLCAyMDAwOyBTbGF1Z2h0ZXIgZXQgYWwuLCAy
MDAyOyBaZWxsbmVyLCAyMDAyKTwvRGlzcGxheVRleHQ+PHJlY29yZD48dXJscz48cmVsYXRlZC11
cmxzPjx1cmw+aHR0cDovL3d3dy5uY3ViLmNvLnVrL3JlcG9ydHMvd2h5LXNjaWVuY2UuaHRtbDwv
dXJsPjwvcmVsYXRlZC11cmxzPjwvdXJscz48dGl0bGVzPjx0aXRsZT5XaHkgc2hvdWxkIHRoZSB0
YXhwYXllciBmdW5kIHNjaWVuY2UgJmFtcDsgcmVzZWFyY2g/PC90aXRsZT48c2Vjb25kYXJ5LXRp
dGxlPk5hdGlvbmFsIENlbnRyZSBmb3IgVW5pdmVyc2l0eSBhbmQgQnVzaW5lc3PCoDwvc2Vjb25k
YXJ5LXRpdGxlPjx0ZXJ0aWFyeS10aXRsZT5OQ1VCPC90ZXJ0aWFyeS10aXRsZT48L3RpdGxlcz48
Y29udHJpYnV0b3JzPjxhdXRob3JzPjxhdXRob3I+UmVpZCwgR3JhZW1lPC9hdXRob3I+PC9hdXRo
b3JzPjwvY29udHJpYnV0b3JzPjxhZGRlZC1kYXRlIGZvcm1hdD0idXRjIj4xNDcyMTI5NzMxPC9h
ZGRlZC1kYXRlPjxyZWYtdHlwZSBuYW1lPSJFbGVjdHJvbmljIEFydGljbGUiPjQzPC9yZWYtdHlw
ZT48ZGF0ZXM+PHllYXI+MjAxNDwveWVhcj48L2RhdGVzPjxyZWMtbnVtYmVyPjI1NTg8L3JlYy1u
dW1iZXI+PGxhc3QtdXBkYXRlZC1kYXRlIGZvcm1hdD0idXRjIj4xNDcyMTQzNTU5PC9sYXN0LXVw
ZGF0ZWQtZGF0ZT48L3JlY29yZD48L0NpdGU+PENpdGU+PEF1dGhvcj5Gcm9udGllciBFY29ub21p
Y3M8L0F1dGhvcj48WWVhcj4yMDE0PC9ZZWFyPjxyZWNvcmQ+PHVybHM+PHJlbGF0ZWQtdXJscz48
dXJsPmh0dHBzOi8vd3d3Lmdvdi51ay9nb3Zlcm5tZW50L3VwbG9hZHMvc3lzdGVtL3VwbG9hZHMv
YXR0YWNobWVudF9kYXRhL2ZpbGUvMzMzMDA2L2Jpcy0xNC05OTAtcmF0ZXMtb2YtcmV0dXJuLXRv
LWludmVzdG1lbnQtaW4tc2NpZW5jZS1hbmQtaW5ub3ZhdGlvbi1yZXZpc2VkLWZpbmFsLXJlcG9y
dC5wZGY8L3VybD48L3JlbGF0ZWQtdXJscz48L3VybHM+PHRpdGxlcz48c2Vjb25kYXJ5LXRpdGxl
PlJhdGVzIG9mIHJldHVybiB0byBpbnZlc3RtZW50IGluIHNjaWVuY2UgYW5kIGlubm92YXRpb246
IEEgcmVwb3J0IHByZXBhcmVkIGZvciB0aGUgRGVwYXJ0bWVudCBmb3IgQnVzaW5lc3MgSW5ub3Zh
dGlvbiBhbmQgU2tpbGxzIChCSVMpPC9zZWNvbmRhcnktdGl0bGU+PC90aXRsZXM+PGNvbnRyaWJ1
dG9ycz48YXV0aG9ycz48YXV0aG9yPkZyb250aWVyIEVjb25vbWljcyw8L2F1dGhvcj48L2F1dGhv
cnM+PC9jb250cmlidXRvcnM+PGFkZGVkLWRhdGUgZm9ybWF0PSJ1dGMiPjE0NzU4NTgxMjM8L2Fk
ZGVkLWRhdGU+PHJlZi10eXBlIG5hbWU9IkVsZWN0cm9uaWMgQXJ0aWNsZSI+NDM8L3JlZi10eXBl
PjxkYXRlcz48eWVhcj4yMDE0PC95ZWFyPjwvZGF0ZXM+PHJlYy1udW1iZXI+NjAyMzwvcmVjLW51
bWJlcj48bGFzdC11cGRhdGVkLWRhdGUgZm9ybWF0PSJ1dGMiPjE0Nzc2NjU0Njg8L2xhc3QtdXBk
YXRlZC1kYXRlPjwvcmVjb3JkPjwvQ2l0ZT48Q2l0ZT48QXV0aG9yPkNvYWQ8L0F1dGhvcj48WWVh
cj4yMDE0PC9ZZWFyPjxyZWNvcmQ+PHVybHM+PHJlbGF0ZWQtdXJscz48dXJsPmh0dHBzOi8vd3d3
Lmdvdi51ay9nb3Zlcm5tZW50L3VwbG9hZHMvc3lzdGVtL3VwbG9hZHMvYXR0YWNobWVudF9kYXRh
L2ZpbGUvMjg5MjM0L2Jpcy0xNC02NDMtdWstaW5ub3ZhdGlvbi1zdXJ2ZXktaGlnaGx5LWlubm92
YXRpdmUtZmlybXMtYW5kLWdyb3d0aC5wZGY8L3VybD48L3JlbGF0ZWQtdXJscz48L3VybHM+PHRp
dGxlcz48c2Vjb25kYXJ5LXRpdGxlPlVLIElubm92YXRpb24gU3VydmV5OiBJbm5vdmF0aXZlIEZp
cm1zIGFuZCBHcm93dGg8L3NlY29uZGFyeS10aXRsZT48L3RpdGxlcz48Y29udHJpYnV0b3JzPjxh
dXRob3JzPjxhdXRob3I+Q29hZCwgQWxleDwvYXV0aG9yPjxhdXRob3I+Q293bGluLCBNYXJjPC9h
dXRob3I+PGF1dGhvcj5OaWdodGluZ2FsZSwgUGF1bDwvYXV0aG9yPjxhdXRob3I+UGVsbGVncmlu
bywgR2FicmllbGU8L2F1dGhvcj48YXV0aG9yPlNhdm9uYSwgTWFyaWE8L2F1dGhvcj48YXV0aG9y
PlNpZXBlbCwgSm9zaDwvYXV0aG9yPjwvYXV0aG9ycz48L2NvbnRyaWJ1dG9ycz48YWRkZWQtZGF0
ZSBmb3JtYXQ9InV0YyI+MTQ3NTg1OTU2OTwvYWRkZWQtZGF0ZT48cmVmLXR5cGUgbmFtZT0iRWxl
Y3Ryb25pYyBBcnRpY2xlIj40MzwvcmVmLXR5cGU+PGRhdGVzPjx5ZWFyPjIwMTQ8L3llYXI+PC9k
YXRlcz48cmVjLW51bWJlcj42MDI0PC9yZWMtbnVtYmVyPjxsYXN0LXVwZGF0ZWQtZGF0ZSBmb3Jt
YXQ9InV0YyI+MTQ3NzY2NTQ2ODwvbGFzdC11cGRhdGVkLWRhdGU+PC9yZWNvcmQ+PC9DaXRlPjxD
aXRlPjxBdXRob3I+U2FsdGVyPC9BdXRob3I+PFllYXI+MjAwMDwvWWVhcj48SURUZXh0PlRhbGVu
dCwgbm90IFRlY2hub2xvZ3k6IFB1YmxpY2x5IGZ1bmRlZCByZXNlYXJjaCBhbmQgaW5ub3ZhdGlv
biBpbiB0aGUgVUs8L0lEVGV4dD48cmVjb3JkPjxpc2JuPjE4NDAzNjA0Mjk8L2lzYm4+PHRpdGxl
cz48dGl0bGU+VGFsZW50LCBub3QgVGVjaG5vbG9neTogUHVibGljbHkgZnVuZGVkIHJlc2VhcmNo
IGFuZCBpbm5vdmF0aW9uIGluIHRoZSBVSzwvdGl0bGU+PC90aXRsZXM+PGNvbnRyaWJ1dG9ycz48
YXV0aG9ycz48YXV0aG9yPlNhbHRlciwgQW1tb248L2F1dGhvcj48YXV0aG9yPkTigJlFc3RlLCBQ
YWJsbzwvYXV0aG9yPjxhdXRob3I+TWFydGluLCBCZW48L2F1dGhvcj48YXV0aG9yPkdldW5hLCBB
bGRvPC9hdXRob3I+PGF1dGhvcj5TY290dCwgQWxpc3RlcjwvYXV0aG9yPjxhdXRob3I+UGF2aXR0
LCBLZWl0aDwvYXV0aG9yPjxhdXRob3I+UGF0ZWwsIFBhcmk8L2F1dGhvcj48YXV0aG9yPk5pZ2h0
aW5nYWxlLCBQYXVsPC9hdXRob3I+PC9hdXRob3JzPjwvY29udHJpYnV0b3JzPjxhZGRlZC1kYXRl
IGZvcm1hdD0idXRjIj4xNDc4NzA4NzQyPC9hZGRlZC1kYXRlPjxyZWYtdHlwZSBuYW1lPSJCb29r
Ij42PC9yZWYtdHlwZT48ZGF0ZXM+PHllYXI+MjAwMDwveWVhcj48L2RhdGVzPjxyZWMtbnVtYmVy
PjYxNjI8L3JlYy1udW1iZXI+PHB1Ymxpc2hlcj5DVkNQIExvbmRvbjwvcHVibGlzaGVyPjxsYXN0
LXVwZGF0ZWQtZGF0ZSBmb3JtYXQ9InV0YyI+MTQ3ODcwODc0MjwvbGFzdC11cGRhdGVkLWRhdGU+
PC9yZWNvcmQ+PC9DaXRlPjxDaXRlPjxBdXRob3I+WmVsbG5lcjwvQXV0aG9yPjxZZWFyPjIwMDI8
L1llYXI+PElEVGV4dD5FdmFsdWF0aW5nIHRoZSBzb2NpYWwgZWNvbm9taWMgYmVuZWZpdHMgb2Yg
cHVibGljbHkgZnVuZGVkIGJhc2ljIHJlc2VhcmNoIHZpYSBzY2llbnRpc3RzJmFwb3M7IGNhcmVl
ciBtb2JpbGl0eTwvSURUZXh0PjxyZWNvcmQ+PHVybHM+PHJlbGF0ZWQtdXJscz48dXJsPmh0dHBz
Oi8vd3d3LnNjb3B1cy5jb20vaW53YXJkL3JlY29yZC51cmk/ZWlkPTItczIuMC0wMzQ1MTUzOTAz
JmFtcDtwYXJ0bmVySUQ9NDAmYW1wO21kNT05NjJlZGRjOTE1NjM3NGI1MTMzN2ZlMTY3NGMxZTIx
NjwvdXJsPjwvcmVsYXRlZC11cmxzPjwvdXJscz48d29yay10eXBlPkFydGljbGU8L3dvcmstdHlw
ZT48dGl0bGVzPjx0aXRsZT5FdmFsdWF0aW5nIHRoZSBzb2NpYWwgZWNvbm9taWMgYmVuZWZpdHMg
b2YgcHVibGljbHkgZnVuZGVkIGJhc2ljIHJlc2VhcmNoIHZpYSBzY2llbnRpc3RzJmFwb3M7IGNh
cmVlciBtb2JpbGl0eTwvdGl0bGU+PHNlY29uZGFyeS10aXRsZT5SZXNlYXJjaCBFdmFsdWF0aW9u
PC9zZWNvbmRhcnktdGl0bGU+PC90aXRsZXM+PHBhZ2VzPjI3LTM1PC9wYWdlcz48bnVtYmVyPjE8
L251bWJlcj48Y29udHJpYnV0b3JzPjxhdXRob3JzPjxhdXRob3I+WmVsbG5lciwgQy48L2F1dGhv
cj48L2F1dGhvcnM+PC9jb250cmlidXRvcnM+PGFkZGVkLWRhdGUgZm9ybWF0PSJ1dGMiPjE0NzI2
NzE4MjQ8L2FkZGVkLWRhdGU+PHJlZi10eXBlIG5hbWU9IkpvdXJuYWwgQXJ0aWNsZSI+MTc8L3Jl
Zi10eXBlPjxkYXRlcz48eWVhcj4yMDAyPC95ZWFyPjwvZGF0ZXM+PHJlYy1udW1iZXI+MzIxNDwv
cmVjLW51bWJlcj48bGFzdC11cGRhdGVkLWRhdGUgZm9ybWF0PSJ1dGMiPjE0NzI2NzE4MjQ8L2xh
c3QtdXBkYXRlZC1kYXRlPjx2b2x1bWU+MTE8L3ZvbHVtZT48cmVtb3RlLWRhdGFiYXNlLW5hbWU+
U2NvcHVzPC9yZW1vdGUtZGF0YWJhc2UtbmFtZT48L3JlY29yZD48L0NpdGU+PENpdGU+PEF1dGhv
cj5EaWFtb25kPC9BdXRob3I+PFllYXI+MjAxNDwvWWVhcj48SURUZXh0PkltcGFjdCBvZiBEb2N0
b3JhbCBDYXJlZXJzPC9JRFRleHQ+PHJlY29yZD48a2V5d29yZHM+PGtleXdvcmQ+YW5kIENvbmRp
dGlvbnM8L2tleXdvcmQ+PC9rZXl3b3Jkcz48dXJscz48cmVsYXRlZC11cmxzPjx1cmw+aHR0cDov
L3d3dy5yY3VrLmFjLnVrL3B1YmxpY2F0aW9ucy9yZXBvcnRzL2ltcGFjdC1vZi1kb2N0b3JhbC1j
YXJlZXJzLzwvdXJsPjwvcmVsYXRlZC11cmxzPjwvdXJscz48dGl0bGVzPjx0aXRsZT5JbXBhY3Qg
b2YgRG9jdG9yYWwgQ2FyZWVyczwvdGl0bGU+PC90aXRsZXM+PGNvbnRyaWJ1dG9ycz48YXV0aG9y
cz48YXV0aG9yPkRpYW1vbmQsIEFiaWdhaWw8L2F1dGhvcj48YXV0aG9yPkJhbGwsIENoYXJsaWU8
L2F1dGhvcj48YXV0aG9yPlZvcmxleSwgVGltPC9hdXRob3I+PGF1dGhvcj5IdWdoZXMsIFRyaXN0
cmFtPC9hdXRob3I+PGF1dGhvcj5Nb3JldG9uLCBSYWNoZWw8L2F1dGhvcj48YXV0aG9yPkhvd2Us
IFBldGVyPC9hdXRob3I+PGF1dGhvcj5OYXRod2FuaSwgVGVqPC9hdXRob3I+PC9hdXRob3JzPjwv
Y29udHJpYnV0b3JzPjxhZGRlZC1kYXRlIGZvcm1hdD0idXRjIj4xNDgwNDY1ODA3PC9hZGRlZC1k
YXRlPjxyZWYtdHlwZSBuYW1lPSJSZXBvcnQiPjI3PC9yZWYtdHlwZT48ZGF0ZXM+PHllYXI+MjAx
NDwveWVhcj48L2RhdGVzPjxyZWMtbnVtYmVyPjY0Mzk8L3JlYy1udW1iZXI+PGxhc3QtdXBkYXRl
ZC1kYXRlIGZvcm1hdD0idXRjIj4xNDgwNDY2MDM2PC9sYXN0LXVwZGF0ZWQtZGF0ZT48L3JlY29y
ZD48L0NpdGU+PENpdGU+PEF1dGhvcj5QYXZpdHQ8L0F1dGhvcj48WWVhcj4xOTk4PC9ZZWFyPjxJ
RFRleHQ+VGhlIHNvY2lhbCBzaGFwaW5nIG9mIHRoZSBuYXRpb25hbCBzY2llbmNlIGJhc2U8L0lE
VGV4dD48cmVjb3JkPjxrZXl3b3Jkcz48a2V5d29yZD5Jbm5vdmF0aW9uPC9rZXl3b3JkPjxrZXl3
b3JkPlRlY2huaWNhbCBDaGFuZ2U8L2tleXdvcmQ+PGtleXdvcmQ+TmF0aW9uYWwgU2NpZW5jZSBC
YXNlPC9rZXl3b3JkPjwva2V5d29yZHM+PGlzYm4+MDA0OC03MzMzPC9pc2JuPjx0aXRsZXM+PHRp
dGxlPlRoZSBzb2NpYWwgc2hhcGluZyBvZiB0aGUgbmF0aW9uYWwgc2NpZW5jZSBiYXNlPC90aXRs
ZT48c2Vjb25kYXJ5LXRpdGxlPlJlc2VhcmNoIFBvbGljeTwvc2Vjb25kYXJ5LXRpdGxlPjwvdGl0
bGVzPjxwYWdlcz43OTMtODA1PC9wYWdlcz48bnVtYmVyPjg8L251bWJlcj48Y29udHJpYnV0b3Jz
PjxhdXRob3JzPjxhdXRob3I+UGF2aXR0LCBLZWl0aDwvYXV0aG9yPjwvYXV0aG9ycz48L2NvbnRy
aWJ1dG9ycz48YWRkZWQtZGF0ZSBmb3JtYXQ9InV0YyI+MTQ4NjY3MDg5ODwvYWRkZWQtZGF0ZT48
cmVmLXR5cGUgbmFtZT0iSm91cm5hbCBBcnRpY2xlIj4xNzwvcmVmLXR5cGU+PGRhdGVzPjx5ZWFy
PjE5OTg8L3llYXI+PC9kYXRlcz48cmVjLW51bWJlcj42NjAwPC9yZWMtbnVtYmVyPjxsYXN0LXVw
ZGF0ZWQtZGF0ZSBmb3JtYXQ9InV0YyI+MTQ4NjY3MDg5ODwvbGFzdC11cGRhdGVkLWRhdGU+PGVs
ZWN0cm9uaWMtcmVzb3VyY2UtbnVtPjEwLjEwMTYvUzAwNDgtNzMzMyg5OCkwMDA5MS0yPC9lbGVj
dHJvbmljLXJlc291cmNlLW51bT48dm9sdW1lPjI3PC92b2x1bWU+PC9yZWNvcmQ+PC9DaXRlPjxD
aXRlPjxBdXRob3I+U2xhdWdodGVyPC9BdXRob3I+PFllYXI+MjAwMjwvWWVhcj48SURUZXh0PlRo
ZSDigJwgVHJhZmZpY+KAnSBpbiBHcmFkdWF0ZSBTdHVkZW50czogR3JhZHVhdGUgU3R1ZGVudHMg
YXMgVG9rZW5zIG9mIEV4Y2hhbmdlIGJldHdlZW4gQWNhZGVtZSBhbmQgSW5kdXN0cnk8L0lEVGV4
dD48cmVjb3JkPjxrZXl3b3Jkcz48a2V5d29yZD5TY2llbmNlcyAoR2VuZXJhbCk8L2tleXdvcmQ+
PC9rZXl3b3Jkcz48aXNibj4wMTYyLTI0Mzk8L2lzYm4+PHRpdGxlcz48dGl0bGU+VGhlIOKAnCBU
cmFmZmlj4oCdIGluIEdyYWR1YXRlIFN0dWRlbnRzOiBHcmFkdWF0ZSBTdHVkZW50cyBhcyBUb2tl
bnMgb2YgRXhjaGFuZ2UgYmV0d2VlbiBBY2FkZW1lIGFuZCBJbmR1c3RyeTwvdGl0bGU+PHNlY29u
ZGFyeS10aXRsZT5TY2llbmNlLCBUZWNobm9sb2d5LCAmYW1wOyBIdW1hbiBWYWx1ZXM8L3NlY29u
ZGFyeS10aXRsZT48L3RpdGxlcz48cGFnZXM+MjgyLTMxMjwvcGFnZXM+PG51bWJlcj4yPC9udW1i
ZXI+PGNvbnRyaWJ1dG9ycz48YXV0aG9ycz48YXV0aG9yPlNsYXVnaHRlciwgU2hlaWxhPC9hdXRo
b3I+PGF1dGhvcj5DYW1wYmVsbCwgVGVyZXNhPC9hdXRob3I+PGF1dGhvcj5Ib2xsZW1hbiwgTWFy
Z2FyZXQ8L2F1dGhvcj48YXV0aG9yPk1vcmdhbiwgRWR3YXJkPC9hdXRob3I+PC9hdXRob3JzPjwv
Y29udHJpYnV0b3JzPjxhZGRlZC1kYXRlIGZvcm1hdD0idXRjIj4xNTQ5OTkwMzA2PC9hZGRlZC1k
YXRlPjxwdWItbG9jYXRpb24+VGhvdXNhbmQgT2FrcywgQ0E8L3B1Yi1sb2NhdGlvbj48cmVmLXR5
cGUgbmFtZT0iSm91cm5hbCBBcnRpY2xlIj4xNzwvcmVmLXR5cGU+PGRhdGVzPjx5ZWFyPjIwMDI8
L3llYXI+PC9kYXRlcz48cmVjLW51bWJlcj43NzM2PC9yZWMtbnVtYmVyPjxsYXN0LXVwZGF0ZWQt
ZGF0ZSBmb3JtYXQ9InV0YyI+MTU0OTk5MDMwNjwvbGFzdC11cGRhdGVkLWRhdGU+PGVsZWN0cm9u
aWMtcmVzb3VyY2UtbnVtPjEwLjExNzcvMDE2MjI0MzkwMjAyNzAwMjA1PC9lbGVjdHJvbmljLXJl
c291cmNlLW51bT48dm9sdW1lPjI3PC92b2x1bWU+PC9yZWNvcmQ+PC9DaXRlPjxDaXRlPjxBdXRo
b3I+Q2xhcms8L0F1dGhvcj48WWVhcj4xOTk1PC9ZZWFyPjxJRFRleHQ+UGxhY2VzIG9mIGlucXVp
cnk6IHJlc2VhcmNoIGFuZCBhZHZhbmNlZCBlZHVjYXRpb24gaW4gbW9kZXJuIHVuaXZlcnNpdGll
czwvSURUZXh0PjxyZWNvcmQ+PGtleXdvcmRzPjxrZXl3b3JkPkVkdWNhdGlvbiwgSGlnaGVyIC0t
IEFpbXMgYW5kIG9iamVjdGl2ZXMgLS0gQ3Jvc3MtY3VsdHVyYWwgc3R1ZGllczwva2V5d29yZD48
a2V5d29yZD5Db2xsZWdlIHRlYWNoaW5nIC0tIENyb3NzLWN1bHR1cmFsIHN0dWRpZXM8L2tleXdv
cmQ+PGtleXdvcmQ+UmVzZWFyY2ggLS0gQ3Jvc3MtY3VsdHVyYWwgc3R1ZGllczwva2V5d29yZD48
a2V5d29yZD5Vbml2ZXJzaXRpZXMgYW5kIGNvbGxlZ2VzIC0tIEdyYWR1YXRlIHdvcmsgLS0gQ3Jv
c3MtY3VsdHVyYWwgc3R1ZGllczwva2V5d29yZD48a2V5d29yZD5Db2xsZWdlczwva2V5d29yZD48
a2V5d29yZD5EZWdyZWUtZ3JhbnRpbmcgaW5zdGl0dXRpb25zPC9rZXl3b3JkPjxrZXl3b3JkPkhp
Z2hlciBlZHVjYXRpb24gaW5zdGl0dXRpb25zPC9rZXl3b3JkPjxrZXl3b3JkPkhpZ2hlciBlZHVj
YXRpb24gcHJvdmlkZXJzPC9rZXl3b3JkPjxrZXl3b3JkPkluc3RpdHV0aW9ucyBvZiBoaWdoZXIg
ZWR1Y2F0aW9uPC9rZXl3b3JkPjxrZXl3b3JkPlBvc3RzZWNvbmRhcnkgaW5zdGl0dXRpb25zPC9r
ZXl3b3JkPjxrZXl3b3JkPlB1YmxpYyBpbnN0aXR1dGlvbnM8L2tleXdvcmQ+PGtleXdvcmQ+U2No
b29sczwva2V5d29yZD48a2V5d29yZD5FZHVjYXRpb24sIEhpZ2hlcjwva2V5d29yZD48a2V5d29y
ZD5TY2llbmNlIC0tIFJlc2VhcmNoPC9rZXl3b3JkPjxrZXl3b3JkPlNjaWVuY2UgcmVzZWFyY2g8
L2tleXdvcmQ+PGtleXdvcmQ+U2NpZW50aWZpYyByZXNlYXJjaDwva2V5d29yZD48a2V5d29yZD5J
bmZvcm1hdGlvbiBzZXJ2aWNlczwva2V5d29yZD48a2V5d29yZD5MZWFybmluZyBhbmQgc2Nob2xh
cnNoaXA8L2tleXdvcmQ+PGtleXdvcmQ+TWV0aG9kb2xvZ3k8L2tleXdvcmQ+PGtleXdvcmQ+UmVz
ZWFyY2ggdGVhbXM8L2tleXdvcmQ+PGtleXdvcmQ+VW5pdmVyc2l0eSB0ZWFjaGluZzwva2V5d29y
ZD48a2V5d29yZD5UZWFjaGluZzwva2V5d29yZD48a2V5d29yZD5Db2xsZWdlIHN0dWRlbnRzIC0t
IEVkdWNhdGlvbjwva2V5d29yZD48a2V5d29yZD5IaWdoZXIgZWR1Y2F0aW9uPC9rZXl3b3JkPjxr
ZXl3b3JkPlBvc3RzZWNvbmRhcnkgZWR1Y2F0aW9uPC9rZXl3b3JkPjxrZXl3b3JkPlVuaXZlcnNp
dGllcyBhbmQgY29sbGVnZXM8L2tleXdvcmQ+PC9rZXl3b3Jkcz48dGl0bGVzPjx0aXRsZT5QbGFj
ZXMgb2YgaW5xdWlyeTogcmVzZWFyY2ggYW5kIGFkdmFuY2VkIGVkdWNhdGlvbiBpbiBtb2Rlcm4g
dW5pdmVyc2l0aWVzPC90aXRsZT48L3RpdGxlcz48Y29udHJpYnV0b3JzPjxhdXRob3JzPjxhdXRo
b3I+Q2xhcmssIEJ1cnRvbiBSLjwvYXV0aG9yPjwvYXV0aG9ycz48L2NvbnRyaWJ1dG9ycz48YWRk
ZWQtZGF0ZSBmb3JtYXQ9InV0YyI+MTQ2NjE5ODEwOTwvYWRkZWQtZGF0ZT48cHViLWxvY2F0aW9u
PkxvbmRvbjwvcHViLWxvY2F0aW9uPjxyZWYtdHlwZSBuYW1lPSJCb29rIj42PC9yZWYtdHlwZT48
ZGF0ZXM+PHllYXI+MTk5NTwveWVhcj48L2RhdGVzPjxyZWMtbnVtYmVyPjM5NjwvcmVjLW51bWJl
cj48cHVibGlzaGVyPlVuaXZlcnNpdHkgb2YgQ2FsaWZvcm5pYSBQcmVzczwvcHVibGlzaGVyPjxs
YXN0LXVwZGF0ZWQtZGF0ZSBmb3JtYXQ9InV0YyI+MTQ3MTAxMTM2NTwvbGFzdC11cGRhdGVkLWRh
dGU+PC9yZWNvcmQ+PC9DaXRlPjxDaXRlPjxBdXRob3I+SHVnaGVzPC9BdXRob3I+PFllYXI+MjAx
MjwvWWVhcj48SURUZXh0PkVuaGFuY2luZyBJbXBhY3Q6IFRoZSBWYWx1ZSBvZiBQdWJsaWMgU2Vj
dG9yIFImYW1wO0Q8L0lEVGV4dD48cmVjb3JkPjx1cmxzPjxyZWxhdGVkLXVybHM+PHVybD5odHRw
Oi8vd3d3Lm5jdWIuY28udWsvaW1wYWN0PC91cmw+PC9yZWxhdGVkLXVybHM+PC91cmxzPjx0aXRs
ZXM+PHRpdGxlPkVuaGFuY2luZyBJbXBhY3Q6IFRoZSBWYWx1ZSBvZiBQdWJsaWMgU2VjdG9yIFIm
YW1wO0Q8L3RpdGxlPjxzZWNvbmRhcnktdGl0bGU+R3Jvd2luZyBWYWx1ZTwvc2Vjb25kYXJ5LXRp
dGxlPjwvdGl0bGVzPjxjb250cmlidXRvcnM+PGF1dGhvcnM+PGF1dGhvcj5IdWdoZXMsIEEuPC9h
dXRob3I+PGF1dGhvcj5NYXJ0aW4sIEIuPC9hdXRob3I+PC9hdXRob3JzPjwvY29udHJpYnV0b3Jz
PjxhZGRlZC1kYXRlIGZvcm1hdD0idXRjIj4xNDc1ODcxMzczPC9hZGRlZC1kYXRlPjxyZWYtdHlw
ZSBuYW1lPSJSZXBvcnQiPjI3PC9yZWYtdHlwZT48ZGF0ZXM+PHllYXI+MjAxMjwveWVhcj48L2Rh
dGVzPjxyZWMtbnVtYmVyPjYwMjI8L3JlYy1udW1iZXI+PHB1Ymxpc2hlcj5DSUhFJiN4QTtVSyBJ
bm5vdmF0aW9uIFJlc2VhcmNoIENlbnRyZTwvcHVibGlzaGVyPjxsYXN0LXVwZGF0ZWQtZGF0ZSBm
b3JtYXQ9InV0YyI+MTU1NzEyMzM2NjwvbGFzdC11cGRhdGVkLWRhdGU+PC9yZWNvcmQ+PC9DaXRl
PjxDaXRlPjxBdXRob3I+SHVnaGVzPC9BdXRob3I+PFllYXI+MjAxMjwvWWVhcj48SURUZXh0PlBh
dGh3YXlzIHRvIGltcGFjdCBhbmQgdGhlIHN0cmF0ZWdpYyByb2xlIG9mIHVuaXZlcnNpdGllczog
TmV3IGV2aWRlbmNlIG9uIHRoZSBicmVhZHRoIGFuZCBkZXB0aCBvZiB1bml2ZXJzaXR5IGtub3ds
ZWRnZSBleGNoYW5nZSBpbiB0aGUgVUsgYW5kIHRoZSBmYWN0b3JzIGNvbnN0cmFpbmluZyBpdHMg
ZGV2ZWxvcG1lbnQ8L0lEVGV4dD48cmVjb3JkPjx1cmxzPjxyZWxhdGVkLXVybHM+PHVybD5odHRw
czovL3d3dy5zY29wdXMuY29tL2lud2FyZC9yZWNvcmQudXJpP2VpZD0yLXMyLjAtODQ4NjExMzY2
ODQmYW1wO3BhcnRuZXJJRD00MCZhbXA7bWQ1PWI3NmY0Y2IyODJhMTIyMTZiZTBkOGI4Zjg3N2M1
YWUwPC91cmw+PC9yZWxhdGVkLXVybHM+PC91cmxzPjx3b3JrLXR5cGU+QXJ0aWNsZTwvd29yay10
eXBlPjx0aXRsZXM+PHRpdGxlPlBhdGh3YXlzIHRvIGltcGFjdCBhbmQgdGhlIHN0cmF0ZWdpYyBy
b2xlIG9mIHVuaXZlcnNpdGllczogTmV3IGV2aWRlbmNlIG9uIHRoZSBicmVhZHRoIGFuZCBkZXB0
aCBvZiB1bml2ZXJzaXR5IGtub3dsZWRnZSBleGNoYW5nZSBpbiB0aGUgVUsgYW5kIHRoZSBmYWN0
b3JzIGNvbnN0cmFpbmluZyBpdHMgZGV2ZWxvcG1lbnQ8L3RpdGxlPjxzZWNvbmRhcnktdGl0bGU+
Q2FtYnJpZGdlIEpvdXJuYWwgb2YgRWNvbm9taWNzPC9zZWNvbmRhcnktdGl0bGU+PC90aXRsZXM+
PHBhZ2VzPjcyMy03NTA8L3BhZ2VzPjxudW1iZXI+MzwvbnVtYmVyPjxjb250cmlidXRvcnM+PGF1
dGhvcnM+PGF1dGhvcj5IdWdoZXMsIEEuPC9hdXRob3I+PGF1dGhvcj5LaXRzb24sIE0uPC9hdXRo
b3I+PC9hdXRob3JzPjwvY29udHJpYnV0b3JzPjxhZGRlZC1kYXRlIGZvcm1hdD0idXRjIj4xNDcy
NjcxODE4PC9hZGRlZC1kYXRlPjxyZWYtdHlwZSBuYW1lPSJKb3VybmFsIEFydGljbGUiPjE3PC9y
ZWYtdHlwZT48ZGF0ZXM+PHllYXI+MjAxMjwveWVhcj48L2RhdGVzPjxyZWMtbnVtYmVyPjI4NTI8
L3JlYy1udW1iZXI+PGxhc3QtdXBkYXRlZC1kYXRlIGZvcm1hdD0idXRjIj4xNDkwMTI2MzMyPC9s
YXN0LXVwZGF0ZWQtZGF0ZT48ZWxlY3Ryb25pYy1yZXNvdXJjZS1udW0+MTAuMTA5My9jamUvYmVz
MDE3PC9lbGVjdHJvbmljLXJlc291cmNlLW51bT48dm9sdW1lPjM2PC92b2x1bWU+PHJlbW90ZS1k
YXRhYmFzZS1uYW1lPlNjb3B1czwvcmVtb3RlLWRhdGFiYXNlLW5hbWU+PC9yZWNvcmQ+PC9DaXRl
PjwvRW5kTm90ZT4A
</w:fldData>
        </w:fldChar>
      </w:r>
      <w:r w:rsidR="00D95A09">
        <w:rPr>
          <w:rFonts w:ascii="Times New Roman" w:hAnsi="Times New Roman"/>
          <w:sz w:val="24"/>
          <w:szCs w:val="24"/>
        </w:rPr>
        <w:instrText xml:space="preserve"> ADDIN EN.CITE </w:instrText>
      </w:r>
      <w:r w:rsidR="00D95A09">
        <w:rPr>
          <w:rFonts w:ascii="Times New Roman" w:hAnsi="Times New Roman"/>
          <w:sz w:val="24"/>
          <w:szCs w:val="24"/>
        </w:rPr>
        <w:fldChar w:fldCharType="begin">
          <w:fldData xml:space="preserve">PEVuZE5vdGU+PENpdGU+PEF1dGhvcj5SZWlkPC9BdXRob3I+PFllYXI+MjAxNDwvWWVhcj48SURU
ZXh0PldoeSBzaG91bGQgdGhlIHRheHBheWVyIGZ1bmQgc2NpZW5jZSAmYW1wOyByZXNlYXJjaD88
L0lEVGV4dD48RGlzcGxheVRleHQ+KEIuIFIuIENsYXJrLCAxOTk1OyBDb2FkIGV0IGFsLiwgMjAx
NDsgRGlhbW9uZCBldCBhbC4sIDIwMTQ7IEZyb250aWVyIEVjb25vbWljcywgMjAxNDsgSHVnaGVz
ICZhbXA7IEtpdHNvbiwgMjAxMjsgSHVnaGVzICZhbXA7IE1hcnRpbiwgMjAxMjsgUGF2aXR0LCAx
OTk4OyBSZWlkLCAyMDE0OyBTYWx0ZXIgZXQgYWwuLCAyMDAwOyBTbGF1Z2h0ZXIgZXQgYWwuLCAy
MDAyOyBaZWxsbmVyLCAyMDAyKTwvRGlzcGxheVRleHQ+PHJlY29yZD48dXJscz48cmVsYXRlZC11
cmxzPjx1cmw+aHR0cDovL3d3dy5uY3ViLmNvLnVrL3JlcG9ydHMvd2h5LXNjaWVuY2UuaHRtbDwv
dXJsPjwvcmVsYXRlZC11cmxzPjwvdXJscz48dGl0bGVzPjx0aXRsZT5XaHkgc2hvdWxkIHRoZSB0
YXhwYXllciBmdW5kIHNjaWVuY2UgJmFtcDsgcmVzZWFyY2g/PC90aXRsZT48c2Vjb25kYXJ5LXRp
dGxlPk5hdGlvbmFsIENlbnRyZSBmb3IgVW5pdmVyc2l0eSBhbmQgQnVzaW5lc3PCoDwvc2Vjb25k
YXJ5LXRpdGxlPjx0ZXJ0aWFyeS10aXRsZT5OQ1VCPC90ZXJ0aWFyeS10aXRsZT48L3RpdGxlcz48
Y29udHJpYnV0b3JzPjxhdXRob3JzPjxhdXRob3I+UmVpZCwgR3JhZW1lPC9hdXRob3I+PC9hdXRo
b3JzPjwvY29udHJpYnV0b3JzPjxhZGRlZC1kYXRlIGZvcm1hdD0idXRjIj4xNDcyMTI5NzMxPC9h
ZGRlZC1kYXRlPjxyZWYtdHlwZSBuYW1lPSJFbGVjdHJvbmljIEFydGljbGUiPjQzPC9yZWYtdHlw
ZT48ZGF0ZXM+PHllYXI+MjAxNDwveWVhcj48L2RhdGVzPjxyZWMtbnVtYmVyPjI1NTg8L3JlYy1u
dW1iZXI+PGxhc3QtdXBkYXRlZC1kYXRlIGZvcm1hdD0idXRjIj4xNDcyMTQzNTU5PC9sYXN0LXVw
ZGF0ZWQtZGF0ZT48L3JlY29yZD48L0NpdGU+PENpdGU+PEF1dGhvcj5Gcm9udGllciBFY29ub21p
Y3M8L0F1dGhvcj48WWVhcj4yMDE0PC9ZZWFyPjxyZWNvcmQ+PHVybHM+PHJlbGF0ZWQtdXJscz48
dXJsPmh0dHBzOi8vd3d3Lmdvdi51ay9nb3Zlcm5tZW50L3VwbG9hZHMvc3lzdGVtL3VwbG9hZHMv
YXR0YWNobWVudF9kYXRhL2ZpbGUvMzMzMDA2L2Jpcy0xNC05OTAtcmF0ZXMtb2YtcmV0dXJuLXRv
LWludmVzdG1lbnQtaW4tc2NpZW5jZS1hbmQtaW5ub3ZhdGlvbi1yZXZpc2VkLWZpbmFsLXJlcG9y
dC5wZGY8L3VybD48L3JlbGF0ZWQtdXJscz48L3VybHM+PHRpdGxlcz48c2Vjb25kYXJ5LXRpdGxl
PlJhdGVzIG9mIHJldHVybiB0byBpbnZlc3RtZW50IGluIHNjaWVuY2UgYW5kIGlubm92YXRpb246
IEEgcmVwb3J0IHByZXBhcmVkIGZvciB0aGUgRGVwYXJ0bWVudCBmb3IgQnVzaW5lc3MgSW5ub3Zh
dGlvbiBhbmQgU2tpbGxzIChCSVMpPC9zZWNvbmRhcnktdGl0bGU+PC90aXRsZXM+PGNvbnRyaWJ1
dG9ycz48YXV0aG9ycz48YXV0aG9yPkZyb250aWVyIEVjb25vbWljcyw8L2F1dGhvcj48L2F1dGhv
cnM+PC9jb250cmlidXRvcnM+PGFkZGVkLWRhdGUgZm9ybWF0PSJ1dGMiPjE0NzU4NTgxMjM8L2Fk
ZGVkLWRhdGU+PHJlZi10eXBlIG5hbWU9IkVsZWN0cm9uaWMgQXJ0aWNsZSI+NDM8L3JlZi10eXBl
PjxkYXRlcz48eWVhcj4yMDE0PC95ZWFyPjwvZGF0ZXM+PHJlYy1udW1iZXI+NjAyMzwvcmVjLW51
bWJlcj48bGFzdC11cGRhdGVkLWRhdGUgZm9ybWF0PSJ1dGMiPjE0Nzc2NjU0Njg8L2xhc3QtdXBk
YXRlZC1kYXRlPjwvcmVjb3JkPjwvQ2l0ZT48Q2l0ZT48QXV0aG9yPkNvYWQ8L0F1dGhvcj48WWVh
cj4yMDE0PC9ZZWFyPjxyZWNvcmQ+PHVybHM+PHJlbGF0ZWQtdXJscz48dXJsPmh0dHBzOi8vd3d3
Lmdvdi51ay9nb3Zlcm5tZW50L3VwbG9hZHMvc3lzdGVtL3VwbG9hZHMvYXR0YWNobWVudF9kYXRh
L2ZpbGUvMjg5MjM0L2Jpcy0xNC02NDMtdWstaW5ub3ZhdGlvbi1zdXJ2ZXktaGlnaGx5LWlubm92
YXRpdmUtZmlybXMtYW5kLWdyb3d0aC5wZGY8L3VybD48L3JlbGF0ZWQtdXJscz48L3VybHM+PHRp
dGxlcz48c2Vjb25kYXJ5LXRpdGxlPlVLIElubm92YXRpb24gU3VydmV5OiBJbm5vdmF0aXZlIEZp
cm1zIGFuZCBHcm93dGg8L3NlY29uZGFyeS10aXRsZT48L3RpdGxlcz48Y29udHJpYnV0b3JzPjxh
dXRob3JzPjxhdXRob3I+Q29hZCwgQWxleDwvYXV0aG9yPjxhdXRob3I+Q293bGluLCBNYXJjPC9h
dXRob3I+PGF1dGhvcj5OaWdodGluZ2FsZSwgUGF1bDwvYXV0aG9yPjxhdXRob3I+UGVsbGVncmlu
bywgR2FicmllbGU8L2F1dGhvcj48YXV0aG9yPlNhdm9uYSwgTWFyaWE8L2F1dGhvcj48YXV0aG9y
PlNpZXBlbCwgSm9zaDwvYXV0aG9yPjwvYXV0aG9ycz48L2NvbnRyaWJ1dG9ycz48YWRkZWQtZGF0
ZSBmb3JtYXQ9InV0YyI+MTQ3NTg1OTU2OTwvYWRkZWQtZGF0ZT48cmVmLXR5cGUgbmFtZT0iRWxl
Y3Ryb25pYyBBcnRpY2xlIj40MzwvcmVmLXR5cGU+PGRhdGVzPjx5ZWFyPjIwMTQ8L3llYXI+PC9k
YXRlcz48cmVjLW51bWJlcj42MDI0PC9yZWMtbnVtYmVyPjxsYXN0LXVwZGF0ZWQtZGF0ZSBmb3Jt
YXQ9InV0YyI+MTQ3NzY2NTQ2ODwvbGFzdC11cGRhdGVkLWRhdGU+PC9yZWNvcmQ+PC9DaXRlPjxD
aXRlPjxBdXRob3I+U2FsdGVyPC9BdXRob3I+PFllYXI+MjAwMDwvWWVhcj48SURUZXh0PlRhbGVu
dCwgbm90IFRlY2hub2xvZ3k6IFB1YmxpY2x5IGZ1bmRlZCByZXNlYXJjaCBhbmQgaW5ub3ZhdGlv
biBpbiB0aGUgVUs8L0lEVGV4dD48cmVjb3JkPjxpc2JuPjE4NDAzNjA0Mjk8L2lzYm4+PHRpdGxl
cz48dGl0bGU+VGFsZW50LCBub3QgVGVjaG5vbG9neTogUHVibGljbHkgZnVuZGVkIHJlc2VhcmNo
IGFuZCBpbm5vdmF0aW9uIGluIHRoZSBVSzwvdGl0bGU+PC90aXRsZXM+PGNvbnRyaWJ1dG9ycz48
YXV0aG9ycz48YXV0aG9yPlNhbHRlciwgQW1tb248L2F1dGhvcj48YXV0aG9yPkTigJlFc3RlLCBQ
YWJsbzwvYXV0aG9yPjxhdXRob3I+TWFydGluLCBCZW48L2F1dGhvcj48YXV0aG9yPkdldW5hLCBB
bGRvPC9hdXRob3I+PGF1dGhvcj5TY290dCwgQWxpc3RlcjwvYXV0aG9yPjxhdXRob3I+UGF2aXR0
LCBLZWl0aDwvYXV0aG9yPjxhdXRob3I+UGF0ZWwsIFBhcmk8L2F1dGhvcj48YXV0aG9yPk5pZ2h0
aW5nYWxlLCBQYXVsPC9hdXRob3I+PC9hdXRob3JzPjwvY29udHJpYnV0b3JzPjxhZGRlZC1kYXRl
IGZvcm1hdD0idXRjIj4xNDc4NzA4NzQyPC9hZGRlZC1kYXRlPjxyZWYtdHlwZSBuYW1lPSJCb29r
Ij42PC9yZWYtdHlwZT48ZGF0ZXM+PHllYXI+MjAwMDwveWVhcj48L2RhdGVzPjxyZWMtbnVtYmVy
PjYxNjI8L3JlYy1udW1iZXI+PHB1Ymxpc2hlcj5DVkNQIExvbmRvbjwvcHVibGlzaGVyPjxsYXN0
LXVwZGF0ZWQtZGF0ZSBmb3JtYXQ9InV0YyI+MTQ3ODcwODc0MjwvbGFzdC11cGRhdGVkLWRhdGU+
PC9yZWNvcmQ+PC9DaXRlPjxDaXRlPjxBdXRob3I+WmVsbG5lcjwvQXV0aG9yPjxZZWFyPjIwMDI8
L1llYXI+PElEVGV4dD5FdmFsdWF0aW5nIHRoZSBzb2NpYWwgZWNvbm9taWMgYmVuZWZpdHMgb2Yg
cHVibGljbHkgZnVuZGVkIGJhc2ljIHJlc2VhcmNoIHZpYSBzY2llbnRpc3RzJmFwb3M7IGNhcmVl
ciBtb2JpbGl0eTwvSURUZXh0PjxyZWNvcmQ+PHVybHM+PHJlbGF0ZWQtdXJscz48dXJsPmh0dHBz
Oi8vd3d3LnNjb3B1cy5jb20vaW53YXJkL3JlY29yZC51cmk/ZWlkPTItczIuMC0wMzQ1MTUzOTAz
JmFtcDtwYXJ0bmVySUQ9NDAmYW1wO21kNT05NjJlZGRjOTE1NjM3NGI1MTMzN2ZlMTY3NGMxZTIx
NjwvdXJsPjwvcmVsYXRlZC11cmxzPjwvdXJscz48d29yay10eXBlPkFydGljbGU8L3dvcmstdHlw
ZT48dGl0bGVzPjx0aXRsZT5FdmFsdWF0aW5nIHRoZSBzb2NpYWwgZWNvbm9taWMgYmVuZWZpdHMg
b2YgcHVibGljbHkgZnVuZGVkIGJhc2ljIHJlc2VhcmNoIHZpYSBzY2llbnRpc3RzJmFwb3M7IGNh
cmVlciBtb2JpbGl0eTwvdGl0bGU+PHNlY29uZGFyeS10aXRsZT5SZXNlYXJjaCBFdmFsdWF0aW9u
PC9zZWNvbmRhcnktdGl0bGU+PC90aXRsZXM+PHBhZ2VzPjI3LTM1PC9wYWdlcz48bnVtYmVyPjE8
L251bWJlcj48Y29udHJpYnV0b3JzPjxhdXRob3JzPjxhdXRob3I+WmVsbG5lciwgQy48L2F1dGhv
cj48L2F1dGhvcnM+PC9jb250cmlidXRvcnM+PGFkZGVkLWRhdGUgZm9ybWF0PSJ1dGMiPjE0NzI2
NzE4MjQ8L2FkZGVkLWRhdGU+PHJlZi10eXBlIG5hbWU9IkpvdXJuYWwgQXJ0aWNsZSI+MTc8L3Jl
Zi10eXBlPjxkYXRlcz48eWVhcj4yMDAyPC95ZWFyPjwvZGF0ZXM+PHJlYy1udW1iZXI+MzIxNDwv
cmVjLW51bWJlcj48bGFzdC11cGRhdGVkLWRhdGUgZm9ybWF0PSJ1dGMiPjE0NzI2NzE4MjQ8L2xh
c3QtdXBkYXRlZC1kYXRlPjx2b2x1bWU+MTE8L3ZvbHVtZT48cmVtb3RlLWRhdGFiYXNlLW5hbWU+
U2NvcHVzPC9yZW1vdGUtZGF0YWJhc2UtbmFtZT48L3JlY29yZD48L0NpdGU+PENpdGU+PEF1dGhv
cj5EaWFtb25kPC9BdXRob3I+PFllYXI+MjAxNDwvWWVhcj48SURUZXh0PkltcGFjdCBvZiBEb2N0
b3JhbCBDYXJlZXJzPC9JRFRleHQ+PHJlY29yZD48a2V5d29yZHM+PGtleXdvcmQ+YW5kIENvbmRp
dGlvbnM8L2tleXdvcmQ+PC9rZXl3b3Jkcz48dXJscz48cmVsYXRlZC11cmxzPjx1cmw+aHR0cDov
L3d3dy5yY3VrLmFjLnVrL3B1YmxpY2F0aW9ucy9yZXBvcnRzL2ltcGFjdC1vZi1kb2N0b3JhbC1j
YXJlZXJzLzwvdXJsPjwvcmVsYXRlZC11cmxzPjwvdXJscz48dGl0bGVzPjx0aXRsZT5JbXBhY3Qg
b2YgRG9jdG9yYWwgQ2FyZWVyczwvdGl0bGU+PC90aXRsZXM+PGNvbnRyaWJ1dG9ycz48YXV0aG9y
cz48YXV0aG9yPkRpYW1vbmQsIEFiaWdhaWw8L2F1dGhvcj48YXV0aG9yPkJhbGwsIENoYXJsaWU8
L2F1dGhvcj48YXV0aG9yPlZvcmxleSwgVGltPC9hdXRob3I+PGF1dGhvcj5IdWdoZXMsIFRyaXN0
cmFtPC9hdXRob3I+PGF1dGhvcj5Nb3JldG9uLCBSYWNoZWw8L2F1dGhvcj48YXV0aG9yPkhvd2Us
IFBldGVyPC9hdXRob3I+PGF1dGhvcj5OYXRod2FuaSwgVGVqPC9hdXRob3I+PC9hdXRob3JzPjwv
Y29udHJpYnV0b3JzPjxhZGRlZC1kYXRlIGZvcm1hdD0idXRjIj4xNDgwNDY1ODA3PC9hZGRlZC1k
YXRlPjxyZWYtdHlwZSBuYW1lPSJSZXBvcnQiPjI3PC9yZWYtdHlwZT48ZGF0ZXM+PHllYXI+MjAx
NDwveWVhcj48L2RhdGVzPjxyZWMtbnVtYmVyPjY0Mzk8L3JlYy1udW1iZXI+PGxhc3QtdXBkYXRl
ZC1kYXRlIGZvcm1hdD0idXRjIj4xNDgwNDY2MDM2PC9sYXN0LXVwZGF0ZWQtZGF0ZT48L3JlY29y
ZD48L0NpdGU+PENpdGU+PEF1dGhvcj5QYXZpdHQ8L0F1dGhvcj48WWVhcj4xOTk4PC9ZZWFyPjxJ
RFRleHQ+VGhlIHNvY2lhbCBzaGFwaW5nIG9mIHRoZSBuYXRpb25hbCBzY2llbmNlIGJhc2U8L0lE
VGV4dD48cmVjb3JkPjxrZXl3b3Jkcz48a2V5d29yZD5Jbm5vdmF0aW9uPC9rZXl3b3JkPjxrZXl3
b3JkPlRlY2huaWNhbCBDaGFuZ2U8L2tleXdvcmQ+PGtleXdvcmQ+TmF0aW9uYWwgU2NpZW5jZSBC
YXNlPC9rZXl3b3JkPjwva2V5d29yZHM+PGlzYm4+MDA0OC03MzMzPC9pc2JuPjx0aXRsZXM+PHRp
dGxlPlRoZSBzb2NpYWwgc2hhcGluZyBvZiB0aGUgbmF0aW9uYWwgc2NpZW5jZSBiYXNlPC90aXRs
ZT48c2Vjb25kYXJ5LXRpdGxlPlJlc2VhcmNoIFBvbGljeTwvc2Vjb25kYXJ5LXRpdGxlPjwvdGl0
bGVzPjxwYWdlcz43OTMtODA1PC9wYWdlcz48bnVtYmVyPjg8L251bWJlcj48Y29udHJpYnV0b3Jz
PjxhdXRob3JzPjxhdXRob3I+UGF2aXR0LCBLZWl0aDwvYXV0aG9yPjwvYXV0aG9ycz48L2NvbnRy
aWJ1dG9ycz48YWRkZWQtZGF0ZSBmb3JtYXQ9InV0YyI+MTQ4NjY3MDg5ODwvYWRkZWQtZGF0ZT48
cmVmLXR5cGUgbmFtZT0iSm91cm5hbCBBcnRpY2xlIj4xNzwvcmVmLXR5cGU+PGRhdGVzPjx5ZWFy
PjE5OTg8L3llYXI+PC9kYXRlcz48cmVjLW51bWJlcj42NjAwPC9yZWMtbnVtYmVyPjxsYXN0LXVw
ZGF0ZWQtZGF0ZSBmb3JtYXQ9InV0YyI+MTQ4NjY3MDg5ODwvbGFzdC11cGRhdGVkLWRhdGU+PGVs
ZWN0cm9uaWMtcmVzb3VyY2UtbnVtPjEwLjEwMTYvUzAwNDgtNzMzMyg5OCkwMDA5MS0yPC9lbGVj
dHJvbmljLXJlc291cmNlLW51bT48dm9sdW1lPjI3PC92b2x1bWU+PC9yZWNvcmQ+PC9DaXRlPjxD
aXRlPjxBdXRob3I+U2xhdWdodGVyPC9BdXRob3I+PFllYXI+MjAwMjwvWWVhcj48SURUZXh0PlRo
ZSDigJwgVHJhZmZpY+KAnSBpbiBHcmFkdWF0ZSBTdHVkZW50czogR3JhZHVhdGUgU3R1ZGVudHMg
YXMgVG9rZW5zIG9mIEV4Y2hhbmdlIGJldHdlZW4gQWNhZGVtZSBhbmQgSW5kdXN0cnk8L0lEVGV4
dD48cmVjb3JkPjxrZXl3b3Jkcz48a2V5d29yZD5TY2llbmNlcyAoR2VuZXJhbCk8L2tleXdvcmQ+
PC9rZXl3b3Jkcz48aXNibj4wMTYyLTI0Mzk8L2lzYm4+PHRpdGxlcz48dGl0bGU+VGhlIOKAnCBU
cmFmZmlj4oCdIGluIEdyYWR1YXRlIFN0dWRlbnRzOiBHcmFkdWF0ZSBTdHVkZW50cyBhcyBUb2tl
bnMgb2YgRXhjaGFuZ2UgYmV0d2VlbiBBY2FkZW1lIGFuZCBJbmR1c3RyeTwvdGl0bGU+PHNlY29u
ZGFyeS10aXRsZT5TY2llbmNlLCBUZWNobm9sb2d5LCAmYW1wOyBIdW1hbiBWYWx1ZXM8L3NlY29u
ZGFyeS10aXRsZT48L3RpdGxlcz48cGFnZXM+MjgyLTMxMjwvcGFnZXM+PG51bWJlcj4yPC9udW1i
ZXI+PGNvbnRyaWJ1dG9ycz48YXV0aG9ycz48YXV0aG9yPlNsYXVnaHRlciwgU2hlaWxhPC9hdXRo
b3I+PGF1dGhvcj5DYW1wYmVsbCwgVGVyZXNhPC9hdXRob3I+PGF1dGhvcj5Ib2xsZW1hbiwgTWFy
Z2FyZXQ8L2F1dGhvcj48YXV0aG9yPk1vcmdhbiwgRWR3YXJkPC9hdXRob3I+PC9hdXRob3JzPjwv
Y29udHJpYnV0b3JzPjxhZGRlZC1kYXRlIGZvcm1hdD0idXRjIj4xNTQ5OTkwMzA2PC9hZGRlZC1k
YXRlPjxwdWItbG9jYXRpb24+VGhvdXNhbmQgT2FrcywgQ0E8L3B1Yi1sb2NhdGlvbj48cmVmLXR5
cGUgbmFtZT0iSm91cm5hbCBBcnRpY2xlIj4xNzwvcmVmLXR5cGU+PGRhdGVzPjx5ZWFyPjIwMDI8
L3llYXI+PC9kYXRlcz48cmVjLW51bWJlcj43NzM2PC9yZWMtbnVtYmVyPjxsYXN0LXVwZGF0ZWQt
ZGF0ZSBmb3JtYXQ9InV0YyI+MTU0OTk5MDMwNjwvbGFzdC11cGRhdGVkLWRhdGU+PGVsZWN0cm9u
aWMtcmVzb3VyY2UtbnVtPjEwLjExNzcvMDE2MjI0MzkwMjAyNzAwMjA1PC9lbGVjdHJvbmljLXJl
c291cmNlLW51bT48dm9sdW1lPjI3PC92b2x1bWU+PC9yZWNvcmQ+PC9DaXRlPjxDaXRlPjxBdXRo
b3I+Q2xhcms8L0F1dGhvcj48WWVhcj4xOTk1PC9ZZWFyPjxJRFRleHQ+UGxhY2VzIG9mIGlucXVp
cnk6IHJlc2VhcmNoIGFuZCBhZHZhbmNlZCBlZHVjYXRpb24gaW4gbW9kZXJuIHVuaXZlcnNpdGll
czwvSURUZXh0PjxyZWNvcmQ+PGtleXdvcmRzPjxrZXl3b3JkPkVkdWNhdGlvbiwgSGlnaGVyIC0t
IEFpbXMgYW5kIG9iamVjdGl2ZXMgLS0gQ3Jvc3MtY3VsdHVyYWwgc3R1ZGllczwva2V5d29yZD48
a2V5d29yZD5Db2xsZWdlIHRlYWNoaW5nIC0tIENyb3NzLWN1bHR1cmFsIHN0dWRpZXM8L2tleXdv
cmQ+PGtleXdvcmQ+UmVzZWFyY2ggLS0gQ3Jvc3MtY3VsdHVyYWwgc3R1ZGllczwva2V5d29yZD48
a2V5d29yZD5Vbml2ZXJzaXRpZXMgYW5kIGNvbGxlZ2VzIC0tIEdyYWR1YXRlIHdvcmsgLS0gQ3Jv
c3MtY3VsdHVyYWwgc3R1ZGllczwva2V5d29yZD48a2V5d29yZD5Db2xsZWdlczwva2V5d29yZD48
a2V5d29yZD5EZWdyZWUtZ3JhbnRpbmcgaW5zdGl0dXRpb25zPC9rZXl3b3JkPjxrZXl3b3JkPkhp
Z2hlciBlZHVjYXRpb24gaW5zdGl0dXRpb25zPC9rZXl3b3JkPjxrZXl3b3JkPkhpZ2hlciBlZHVj
YXRpb24gcHJvdmlkZXJzPC9rZXl3b3JkPjxrZXl3b3JkPkluc3RpdHV0aW9ucyBvZiBoaWdoZXIg
ZWR1Y2F0aW9uPC9rZXl3b3JkPjxrZXl3b3JkPlBvc3RzZWNvbmRhcnkgaW5zdGl0dXRpb25zPC9r
ZXl3b3JkPjxrZXl3b3JkPlB1YmxpYyBpbnN0aXR1dGlvbnM8L2tleXdvcmQ+PGtleXdvcmQ+U2No
b29sczwva2V5d29yZD48a2V5d29yZD5FZHVjYXRpb24sIEhpZ2hlcjwva2V5d29yZD48a2V5d29y
ZD5TY2llbmNlIC0tIFJlc2VhcmNoPC9rZXl3b3JkPjxrZXl3b3JkPlNjaWVuY2UgcmVzZWFyY2g8
L2tleXdvcmQ+PGtleXdvcmQ+U2NpZW50aWZpYyByZXNlYXJjaDwva2V5d29yZD48a2V5d29yZD5J
bmZvcm1hdGlvbiBzZXJ2aWNlczwva2V5d29yZD48a2V5d29yZD5MZWFybmluZyBhbmQgc2Nob2xh
cnNoaXA8L2tleXdvcmQ+PGtleXdvcmQ+TWV0aG9kb2xvZ3k8L2tleXdvcmQ+PGtleXdvcmQ+UmVz
ZWFyY2ggdGVhbXM8L2tleXdvcmQ+PGtleXdvcmQ+VW5pdmVyc2l0eSB0ZWFjaGluZzwva2V5d29y
ZD48a2V5d29yZD5UZWFjaGluZzwva2V5d29yZD48a2V5d29yZD5Db2xsZWdlIHN0dWRlbnRzIC0t
IEVkdWNhdGlvbjwva2V5d29yZD48a2V5d29yZD5IaWdoZXIgZWR1Y2F0aW9uPC9rZXl3b3JkPjxr
ZXl3b3JkPlBvc3RzZWNvbmRhcnkgZWR1Y2F0aW9uPC9rZXl3b3JkPjxrZXl3b3JkPlVuaXZlcnNp
dGllcyBhbmQgY29sbGVnZXM8L2tleXdvcmQ+PC9rZXl3b3Jkcz48dGl0bGVzPjx0aXRsZT5QbGFj
ZXMgb2YgaW5xdWlyeTogcmVzZWFyY2ggYW5kIGFkdmFuY2VkIGVkdWNhdGlvbiBpbiBtb2Rlcm4g
dW5pdmVyc2l0aWVzPC90aXRsZT48L3RpdGxlcz48Y29udHJpYnV0b3JzPjxhdXRob3JzPjxhdXRo
b3I+Q2xhcmssIEJ1cnRvbiBSLjwvYXV0aG9yPjwvYXV0aG9ycz48L2NvbnRyaWJ1dG9ycz48YWRk
ZWQtZGF0ZSBmb3JtYXQ9InV0YyI+MTQ2NjE5ODEwOTwvYWRkZWQtZGF0ZT48cHViLWxvY2F0aW9u
PkxvbmRvbjwvcHViLWxvY2F0aW9uPjxyZWYtdHlwZSBuYW1lPSJCb29rIj42PC9yZWYtdHlwZT48
ZGF0ZXM+PHllYXI+MTk5NTwveWVhcj48L2RhdGVzPjxyZWMtbnVtYmVyPjM5NjwvcmVjLW51bWJl
cj48cHVibGlzaGVyPlVuaXZlcnNpdHkgb2YgQ2FsaWZvcm5pYSBQcmVzczwvcHVibGlzaGVyPjxs
YXN0LXVwZGF0ZWQtZGF0ZSBmb3JtYXQ9InV0YyI+MTQ3MTAxMTM2NTwvbGFzdC11cGRhdGVkLWRh
dGU+PC9yZWNvcmQ+PC9DaXRlPjxDaXRlPjxBdXRob3I+SHVnaGVzPC9BdXRob3I+PFllYXI+MjAx
MjwvWWVhcj48SURUZXh0PkVuaGFuY2luZyBJbXBhY3Q6IFRoZSBWYWx1ZSBvZiBQdWJsaWMgU2Vj
dG9yIFImYW1wO0Q8L0lEVGV4dD48cmVjb3JkPjx1cmxzPjxyZWxhdGVkLXVybHM+PHVybD5odHRw
Oi8vd3d3Lm5jdWIuY28udWsvaW1wYWN0PC91cmw+PC9yZWxhdGVkLXVybHM+PC91cmxzPjx0aXRs
ZXM+PHRpdGxlPkVuaGFuY2luZyBJbXBhY3Q6IFRoZSBWYWx1ZSBvZiBQdWJsaWMgU2VjdG9yIFIm
YW1wO0Q8L3RpdGxlPjxzZWNvbmRhcnktdGl0bGU+R3Jvd2luZyBWYWx1ZTwvc2Vjb25kYXJ5LXRp
dGxlPjwvdGl0bGVzPjxjb250cmlidXRvcnM+PGF1dGhvcnM+PGF1dGhvcj5IdWdoZXMsIEEuPC9h
dXRob3I+PGF1dGhvcj5NYXJ0aW4sIEIuPC9hdXRob3I+PC9hdXRob3JzPjwvY29udHJpYnV0b3Jz
PjxhZGRlZC1kYXRlIGZvcm1hdD0idXRjIj4xNDc1ODcxMzczPC9hZGRlZC1kYXRlPjxyZWYtdHlw
ZSBuYW1lPSJSZXBvcnQiPjI3PC9yZWYtdHlwZT48ZGF0ZXM+PHllYXI+MjAxMjwveWVhcj48L2Rh
dGVzPjxyZWMtbnVtYmVyPjYwMjI8L3JlYy1udW1iZXI+PHB1Ymxpc2hlcj5DSUhFJiN4QTtVSyBJ
bm5vdmF0aW9uIFJlc2VhcmNoIENlbnRyZTwvcHVibGlzaGVyPjxsYXN0LXVwZGF0ZWQtZGF0ZSBm
b3JtYXQ9InV0YyI+MTU1NzEyMzM2NjwvbGFzdC11cGRhdGVkLWRhdGU+PC9yZWNvcmQ+PC9DaXRl
PjxDaXRlPjxBdXRob3I+SHVnaGVzPC9BdXRob3I+PFllYXI+MjAxMjwvWWVhcj48SURUZXh0PlBh
dGh3YXlzIHRvIGltcGFjdCBhbmQgdGhlIHN0cmF0ZWdpYyByb2xlIG9mIHVuaXZlcnNpdGllczog
TmV3IGV2aWRlbmNlIG9uIHRoZSBicmVhZHRoIGFuZCBkZXB0aCBvZiB1bml2ZXJzaXR5IGtub3ds
ZWRnZSBleGNoYW5nZSBpbiB0aGUgVUsgYW5kIHRoZSBmYWN0b3JzIGNvbnN0cmFpbmluZyBpdHMg
ZGV2ZWxvcG1lbnQ8L0lEVGV4dD48cmVjb3JkPjx1cmxzPjxyZWxhdGVkLXVybHM+PHVybD5odHRw
czovL3d3dy5zY29wdXMuY29tL2lud2FyZC9yZWNvcmQudXJpP2VpZD0yLXMyLjAtODQ4NjExMzY2
ODQmYW1wO3BhcnRuZXJJRD00MCZhbXA7bWQ1PWI3NmY0Y2IyODJhMTIyMTZiZTBkOGI4Zjg3N2M1
YWUwPC91cmw+PC9yZWxhdGVkLXVybHM+PC91cmxzPjx3b3JrLXR5cGU+QXJ0aWNsZTwvd29yay10
eXBlPjx0aXRsZXM+PHRpdGxlPlBhdGh3YXlzIHRvIGltcGFjdCBhbmQgdGhlIHN0cmF0ZWdpYyBy
b2xlIG9mIHVuaXZlcnNpdGllczogTmV3IGV2aWRlbmNlIG9uIHRoZSBicmVhZHRoIGFuZCBkZXB0
aCBvZiB1bml2ZXJzaXR5IGtub3dsZWRnZSBleGNoYW5nZSBpbiB0aGUgVUsgYW5kIHRoZSBmYWN0
b3JzIGNvbnN0cmFpbmluZyBpdHMgZGV2ZWxvcG1lbnQ8L3RpdGxlPjxzZWNvbmRhcnktdGl0bGU+
Q2FtYnJpZGdlIEpvdXJuYWwgb2YgRWNvbm9taWNzPC9zZWNvbmRhcnktdGl0bGU+PC90aXRsZXM+
PHBhZ2VzPjcyMy03NTA8L3BhZ2VzPjxudW1iZXI+MzwvbnVtYmVyPjxjb250cmlidXRvcnM+PGF1
dGhvcnM+PGF1dGhvcj5IdWdoZXMsIEEuPC9hdXRob3I+PGF1dGhvcj5LaXRzb24sIE0uPC9hdXRo
b3I+PC9hdXRob3JzPjwvY29udHJpYnV0b3JzPjxhZGRlZC1kYXRlIGZvcm1hdD0idXRjIj4xNDcy
NjcxODE4PC9hZGRlZC1kYXRlPjxyZWYtdHlwZSBuYW1lPSJKb3VybmFsIEFydGljbGUiPjE3PC9y
ZWYtdHlwZT48ZGF0ZXM+PHllYXI+MjAxMjwveWVhcj48L2RhdGVzPjxyZWMtbnVtYmVyPjI4NTI8
L3JlYy1udW1iZXI+PGxhc3QtdXBkYXRlZC1kYXRlIGZvcm1hdD0idXRjIj4xNDkwMTI2MzMyPC9s
YXN0LXVwZGF0ZWQtZGF0ZT48ZWxlY3Ryb25pYy1yZXNvdXJjZS1udW0+MTAuMTA5My9jamUvYmVz
MDE3PC9lbGVjdHJvbmljLXJlc291cmNlLW51bT48dm9sdW1lPjM2PC92b2x1bWU+PHJlbW90ZS1k
YXRhYmFzZS1uYW1lPlNjb3B1czwvcmVtb3RlLWRhdGFiYXNlLW5hbWU+PC9yZWNvcmQ+PC9DaXRl
PjwvRW5kTm90ZT4A
</w:fldData>
        </w:fldChar>
      </w:r>
      <w:r w:rsidR="00D95A09">
        <w:rPr>
          <w:rFonts w:ascii="Times New Roman" w:hAnsi="Times New Roman"/>
          <w:sz w:val="24"/>
          <w:szCs w:val="24"/>
        </w:rPr>
        <w:instrText xml:space="preserve"> ADDIN EN.CITE.DATA </w:instrText>
      </w:r>
      <w:r w:rsidR="00D95A09">
        <w:rPr>
          <w:rFonts w:ascii="Times New Roman" w:hAnsi="Times New Roman"/>
          <w:sz w:val="24"/>
          <w:szCs w:val="24"/>
        </w:rPr>
      </w:r>
      <w:r w:rsidR="00D95A09">
        <w:rPr>
          <w:rFonts w:ascii="Times New Roman" w:hAnsi="Times New Roman"/>
          <w:sz w:val="24"/>
          <w:szCs w:val="24"/>
        </w:rPr>
        <w:fldChar w:fldCharType="end"/>
      </w:r>
      <w:r w:rsidRPr="005A703E">
        <w:rPr>
          <w:rFonts w:ascii="Times New Roman" w:hAnsi="Times New Roman"/>
          <w:sz w:val="24"/>
          <w:szCs w:val="24"/>
        </w:rPr>
      </w:r>
      <w:r w:rsidRPr="005A703E">
        <w:rPr>
          <w:rFonts w:ascii="Times New Roman" w:hAnsi="Times New Roman"/>
          <w:sz w:val="24"/>
          <w:szCs w:val="24"/>
        </w:rPr>
        <w:fldChar w:fldCharType="separate"/>
      </w:r>
      <w:r w:rsidR="00D95A09">
        <w:rPr>
          <w:rFonts w:ascii="Times New Roman" w:hAnsi="Times New Roman"/>
          <w:noProof/>
          <w:sz w:val="24"/>
          <w:szCs w:val="24"/>
        </w:rPr>
        <w:t>(B. R. Clark, 1995; Coad et al., 2014; Diamond et al., 2014; Frontier Economics, 2014; Hughes &amp; Kitson, 2012; Hughes &amp; Martin, 2012; Pavitt, 1998; Reid, 2014; Salter et al., 2000; Slaughter et al., 2002; Zellner, 2002)</w:t>
      </w:r>
      <w:r w:rsidRPr="005A703E">
        <w:rPr>
          <w:rFonts w:ascii="Times New Roman" w:hAnsi="Times New Roman"/>
          <w:sz w:val="24"/>
          <w:szCs w:val="24"/>
        </w:rPr>
        <w:fldChar w:fldCharType="end"/>
      </w:r>
      <w:r w:rsidRPr="005A703E">
        <w:rPr>
          <w:rFonts w:ascii="Times New Roman" w:hAnsi="Times New Roman"/>
          <w:sz w:val="24"/>
          <w:szCs w:val="24"/>
        </w:rPr>
        <w:t xml:space="preserve">. </w:t>
      </w:r>
      <w:r>
        <w:rPr>
          <w:rFonts w:ascii="Times New Roman" w:hAnsi="Times New Roman"/>
          <w:sz w:val="24"/>
          <w:szCs w:val="24"/>
        </w:rPr>
        <w:t xml:space="preserve">That </w:t>
      </w:r>
      <w:r w:rsidRPr="005A703E">
        <w:rPr>
          <w:rFonts w:ascii="Times New Roman" w:hAnsi="Times New Roman"/>
          <w:sz w:val="24"/>
          <w:szCs w:val="24"/>
        </w:rPr>
        <w:t>“students represent an important potential resource” (CERI, 1982, p. 74) for</w:t>
      </w:r>
      <w:r>
        <w:rPr>
          <w:rFonts w:ascii="Times New Roman" w:hAnsi="Times New Roman"/>
          <w:sz w:val="24"/>
          <w:szCs w:val="24"/>
        </w:rPr>
        <w:t xml:space="preserve"> advancing</w:t>
      </w:r>
      <w:r w:rsidRPr="005A703E">
        <w:rPr>
          <w:rFonts w:ascii="Times New Roman" w:hAnsi="Times New Roman"/>
          <w:sz w:val="24"/>
          <w:szCs w:val="24"/>
        </w:rPr>
        <w:t xml:space="preserve"> </w:t>
      </w:r>
      <w:r>
        <w:rPr>
          <w:rFonts w:ascii="Times New Roman" w:hAnsi="Times New Roman"/>
          <w:sz w:val="24"/>
          <w:szCs w:val="24"/>
        </w:rPr>
        <w:t xml:space="preserve">universities’ third mission goals has long been acknowledged. </w:t>
      </w:r>
      <w:r w:rsidRPr="00920426">
        <w:rPr>
          <w:rFonts w:ascii="Times New Roman" w:hAnsi="Times New Roman"/>
          <w:color w:val="000000"/>
          <w:sz w:val="24"/>
          <w:szCs w:val="24"/>
        </w:rPr>
        <w:t>Most STEMM students do not go onto academic careers</w:t>
      </w:r>
      <w:r w:rsidR="007D1A89">
        <w:rPr>
          <w:rFonts w:ascii="Times New Roman" w:hAnsi="Times New Roman"/>
          <w:color w:val="000000"/>
          <w:sz w:val="24"/>
          <w:szCs w:val="24"/>
        </w:rPr>
        <w:t xml:space="preserve"> – e</w:t>
      </w:r>
      <w:r w:rsidRPr="00920426">
        <w:rPr>
          <w:rFonts w:ascii="Times New Roman" w:hAnsi="Times New Roman"/>
          <w:color w:val="000000"/>
          <w:sz w:val="24"/>
          <w:szCs w:val="24"/>
        </w:rPr>
        <w:t>ven at the level of STEMM PhD graduates, the majority</w:t>
      </w:r>
      <w:r w:rsidR="000A3C43">
        <w:rPr>
          <w:rFonts w:ascii="Times New Roman" w:hAnsi="Times New Roman"/>
          <w:color w:val="000000"/>
          <w:sz w:val="24"/>
          <w:szCs w:val="24"/>
        </w:rPr>
        <w:t xml:space="preserve"> </w:t>
      </w:r>
      <w:r w:rsidRPr="00920426">
        <w:rPr>
          <w:rFonts w:ascii="Times New Roman" w:hAnsi="Times New Roman"/>
          <w:color w:val="000000"/>
          <w:sz w:val="24"/>
          <w:szCs w:val="24"/>
        </w:rPr>
        <w:t xml:space="preserve">exit academia and predominantly work in knowledge-intensive areas of scientific application </w:t>
      </w:r>
      <w:r w:rsidRPr="00920426">
        <w:rPr>
          <w:rFonts w:ascii="Times New Roman" w:hAnsi="Times New Roman"/>
          <w:color w:val="000000"/>
          <w:sz w:val="24"/>
          <w:szCs w:val="24"/>
        </w:rPr>
        <w:fldChar w:fldCharType="begin"/>
      </w:r>
      <w:r w:rsidRPr="00920426">
        <w:rPr>
          <w:rFonts w:ascii="Times New Roman" w:hAnsi="Times New Roman"/>
          <w:color w:val="000000"/>
          <w:sz w:val="24"/>
          <w:szCs w:val="24"/>
        </w:rPr>
        <w:instrText xml:space="preserve"> ADDIN EN.CITE &lt;EndNote&gt;&lt;Cite&gt;&lt;Author&gt;Royal Society&lt;/Author&gt;&lt;Year&gt;2010&lt;/Year&gt;&lt;IDText&gt;The Scientific Century: securing our future prosperity&lt;/IDText&gt;&lt;DisplayText&gt;(Royal Society, 2010)&lt;/DisplayText&gt;&lt;record&gt;&lt;urls&gt;&lt;related-urls&gt;&lt;url&gt;https://royalsociety.org/~/media/Royal_Society_Content/policy/publications/2010/4294970126.pdf&lt;/url&gt;&lt;/related-urls&gt;&lt;/urls&gt;&lt;isbn&gt;9780854038183&lt;/isbn&gt;&lt;titles&gt;&lt;title&gt;The Scientific Century: securing our future prosperity&lt;/title&gt;&lt;/titles&gt;&lt;urls&gt;&lt;pdf-urls&gt;&lt;url&gt;file:///C:/Users/eliel_000/Documents/Academic/PhD/VP/reports/Royal Society (2010).pdf&lt;/url&gt;&lt;/pdf-urls&gt;&lt;/urls&gt;&lt;contributors&gt;&lt;authors&gt;&lt;author&gt;Royal Society,&lt;/author&gt;&lt;/authors&gt;&lt;/contributors&gt;&lt;added-date format="utc"&gt;1452722424&lt;/added-date&gt;&lt;ref-type name="Report"&gt;27&lt;/ref-type&gt;&lt;dates&gt;&lt;year&gt;2010&lt;/year&gt;&lt;/dates&gt;&lt;rec-number&gt;131&lt;/rec-number&gt;&lt;publisher&gt;Royal Society&lt;/publisher&gt;&lt;last-updated-date format="utc"&gt;1484627367&lt;/last-updated-date&gt;&lt;/record&gt;&lt;/Cite&gt;&lt;/EndNote&gt;</w:instrText>
      </w:r>
      <w:r w:rsidRPr="00920426">
        <w:rPr>
          <w:rFonts w:ascii="Times New Roman" w:hAnsi="Times New Roman"/>
          <w:color w:val="000000"/>
          <w:sz w:val="24"/>
          <w:szCs w:val="24"/>
        </w:rPr>
        <w:fldChar w:fldCharType="separate"/>
      </w:r>
      <w:r w:rsidRPr="00920426">
        <w:rPr>
          <w:rFonts w:ascii="Times New Roman" w:hAnsi="Times New Roman"/>
          <w:noProof/>
          <w:color w:val="000000"/>
          <w:sz w:val="24"/>
          <w:szCs w:val="24"/>
        </w:rPr>
        <w:t>(Royal Society, 2010)</w:t>
      </w:r>
      <w:r w:rsidRPr="00920426">
        <w:rPr>
          <w:rFonts w:ascii="Times New Roman" w:hAnsi="Times New Roman"/>
          <w:color w:val="000000"/>
          <w:sz w:val="24"/>
          <w:szCs w:val="24"/>
        </w:rPr>
        <w:fldChar w:fldCharType="end"/>
      </w:r>
      <w:r w:rsidRPr="00920426">
        <w:rPr>
          <w:rFonts w:ascii="Times New Roman" w:hAnsi="Times New Roman"/>
          <w:color w:val="000000"/>
          <w:sz w:val="24"/>
          <w:szCs w:val="24"/>
        </w:rPr>
        <w:t xml:space="preserve">. This means that academic researchers who are involved in STEMM higher education, particularly the training of doctoral students, are likely to have significant personal connections with individuals in a range of knowledge-intensive organisations who represent potential collaborators, users and even sponsors of academic research. In their analysis of such boundary transactions, Slaughter et al. (2002) find graduate students to be analytically akin to “tokens of exchange” </w:t>
      </w:r>
      <w:r w:rsidRPr="00920426">
        <w:rPr>
          <w:rFonts w:ascii="Times New Roman" w:hAnsi="Times New Roman"/>
          <w:color w:val="000000"/>
          <w:sz w:val="24"/>
          <w:szCs w:val="24"/>
        </w:rPr>
        <w:fldChar w:fldCharType="begin"/>
      </w:r>
      <w:r w:rsidRPr="00920426">
        <w:rPr>
          <w:rFonts w:ascii="Times New Roman" w:hAnsi="Times New Roman"/>
          <w:color w:val="000000"/>
          <w:sz w:val="24"/>
          <w:szCs w:val="24"/>
        </w:rPr>
        <w:instrText xml:space="preserve"> ADDIN EN.CITE &lt;EndNote&gt;&lt;Cite ExcludeAuth="1" ExcludeYear="1"&gt;&lt;Author&gt;Slaughter&lt;/Author&gt;&lt;Year&gt;2002&lt;/Year&gt;&lt;IDText&gt;The “ Traffic” in Graduate Students: Graduate Students as Tokens of Exchange between Academe and Industry&lt;/IDText&gt;&lt;Pages&gt;305&lt;/Pages&gt;&lt;DisplayText&gt;(p. 305)&lt;/DisplayText&gt;&lt;record&gt;&lt;keywords&gt;&lt;keyword&gt;Sciences (General)&lt;/keyword&gt;&lt;/keywords&gt;&lt;isbn&gt;0162-2439&lt;/isbn&gt;&lt;titles&gt;&lt;title&gt;The “ Traffic” in Graduate Students: Graduate Students as Tokens of Exchange between Academe and Industry&lt;/title&gt;&lt;secondary-title&gt;Science, Technology, &amp;amp; Human Values&lt;/secondary-title&gt;&lt;/titles&gt;&lt;pages&gt;282-312&lt;/pages&gt;&lt;number&gt;2&lt;/number&gt;&lt;contributors&gt;&lt;authors&gt;&lt;author&gt;Slaughter, Sheila&lt;/author&gt;&lt;author&gt;Campbell, Teresa&lt;/author&gt;&lt;author&gt;Holleman, Margaret&lt;/author&gt;&lt;author&gt;Morgan, Edward&lt;/author&gt;&lt;/authors&gt;&lt;/contributors&gt;&lt;added-date format="utc"&gt;1549990306&lt;/added-date&gt;&lt;pub-location&gt;Thousand Oaks, CA&lt;/pub-location&gt;&lt;ref-type name="Journal Article"&gt;17&lt;/ref-type&gt;&lt;dates&gt;&lt;year&gt;2002&lt;/year&gt;&lt;/dates&gt;&lt;rec-number&gt;7736&lt;/rec-number&gt;&lt;last-updated-date format="utc"&gt;1549990306&lt;/last-updated-date&gt;&lt;electronic-resource-num&gt;10.1177/016224390202700205&lt;/electronic-resource-num&gt;&lt;volume&gt;27&lt;/volume&gt;&lt;/record&gt;&lt;/Cite&gt;&lt;/EndNote&gt;</w:instrText>
      </w:r>
      <w:r w:rsidRPr="00920426">
        <w:rPr>
          <w:rFonts w:ascii="Times New Roman" w:hAnsi="Times New Roman"/>
          <w:color w:val="000000"/>
          <w:sz w:val="24"/>
          <w:szCs w:val="24"/>
        </w:rPr>
        <w:fldChar w:fldCharType="separate"/>
      </w:r>
      <w:r w:rsidRPr="00920426">
        <w:rPr>
          <w:rFonts w:ascii="Times New Roman" w:hAnsi="Times New Roman"/>
          <w:noProof/>
          <w:color w:val="000000"/>
          <w:sz w:val="24"/>
          <w:szCs w:val="24"/>
        </w:rPr>
        <w:t>(p. 305)</w:t>
      </w:r>
      <w:r w:rsidRPr="00920426">
        <w:rPr>
          <w:rFonts w:ascii="Times New Roman" w:hAnsi="Times New Roman"/>
          <w:color w:val="000000"/>
          <w:sz w:val="24"/>
          <w:szCs w:val="24"/>
        </w:rPr>
        <w:fldChar w:fldCharType="end"/>
      </w:r>
      <w:r w:rsidR="001F2B1C">
        <w:rPr>
          <w:rFonts w:ascii="Times New Roman" w:hAnsi="Times New Roman"/>
          <w:color w:val="000000"/>
          <w:sz w:val="24"/>
          <w:szCs w:val="24"/>
        </w:rPr>
        <w:t>:</w:t>
      </w:r>
    </w:p>
    <w:p w14:paraId="5F23AA36" w14:textId="43A3CBB3" w:rsidR="00DC7B41" w:rsidRPr="00673AF2" w:rsidRDefault="00DC7B41" w:rsidP="001F5DB2">
      <w:pPr>
        <w:autoSpaceDE w:val="0"/>
        <w:autoSpaceDN w:val="0"/>
        <w:adjustRightInd w:val="0"/>
        <w:spacing w:after="120" w:line="240" w:lineRule="auto"/>
        <w:ind w:left="720"/>
        <w:rPr>
          <w:iCs/>
          <w:sz w:val="24"/>
          <w:szCs w:val="24"/>
        </w:rPr>
      </w:pPr>
      <w:r>
        <w:rPr>
          <w:sz w:val="24"/>
          <w:szCs w:val="24"/>
        </w:rPr>
        <w:t>“Former students employed by large corporations sometimes continued their involvement with their professors and departments by serving as consulting faculty members and visiting university labs as frequently as once a week, allowing the former students to keep current on research and identify future employees... Former students frequently sat on university or college industrial advisory boards and sometimes in that capacity assisted in designing new graduate courses... When professors wrote proposals to industry, they listed the graduates presently working at the company to show a nondeliverable benefit to the corporation that was valued as highly as any research...”  (Slaughter et al., 2002, p. 305).</w:t>
      </w:r>
    </w:p>
    <w:p w14:paraId="7645B95F" w14:textId="6DF2D97D" w:rsidR="00DC7B41" w:rsidRDefault="00DC7B41" w:rsidP="00DC7B41">
      <w:pPr>
        <w:autoSpaceDE w:val="0"/>
        <w:autoSpaceDN w:val="0"/>
        <w:adjustRightInd w:val="0"/>
        <w:spacing w:after="120" w:line="360" w:lineRule="auto"/>
        <w:rPr>
          <w:sz w:val="24"/>
          <w:szCs w:val="24"/>
        </w:rPr>
      </w:pPr>
      <w:r>
        <w:rPr>
          <w:sz w:val="24"/>
          <w:szCs w:val="24"/>
        </w:rPr>
        <w:t>Of course, STEMM students and graduates can often play a more active rather than merely passive boundary-spanning role. For example, research has revealed doctoral students managing their own boundary-spanning career trajectory and research profile by “</w:t>
      </w:r>
      <w:r w:rsidRPr="00714251">
        <w:rPr>
          <w:i/>
          <w:sz w:val="24"/>
          <w:szCs w:val="24"/>
        </w:rPr>
        <w:t>exporting</w:t>
      </w:r>
      <w:r>
        <w:rPr>
          <w:sz w:val="24"/>
          <w:szCs w:val="24"/>
        </w:rPr>
        <w:t xml:space="preserve"> parts of their academic science to industry while simultaneously </w:t>
      </w:r>
      <w:r w:rsidRPr="00714251">
        <w:rPr>
          <w:i/>
          <w:sz w:val="24"/>
          <w:szCs w:val="24"/>
        </w:rPr>
        <w:t>importing</w:t>
      </w:r>
      <w:r>
        <w:rPr>
          <w:sz w:val="24"/>
          <w:szCs w:val="24"/>
        </w:rPr>
        <w:t xml:space="preserve"> commercially-derived practices to the lab” (Hoffman, 2011, p. 50, emphasis added). Research into the experience of doctoral students involved in join</w:t>
      </w:r>
      <w:r w:rsidR="00FF7727">
        <w:rPr>
          <w:sz w:val="24"/>
          <w:szCs w:val="24"/>
        </w:rPr>
        <w:t>t</w:t>
      </w:r>
      <w:r>
        <w:rPr>
          <w:sz w:val="24"/>
          <w:szCs w:val="24"/>
        </w:rPr>
        <w:t xml:space="preserve"> industry-academia doctoral study goes into greater depth about the interplay of structure and agency and the conditions for effective doctoral education and boundary-spanning. While such programmes can offer value to all parties in some cases, in other cases, the student is prevented from playing this role effectively, for example due to unequal investment in the student and their project from the industrial or academic side; disagreements (amongst potentially all three parties) over appropriate topics; a lack of staff time being allocated to the dedicated education and training of the student, particularly occurring where the doctoral supervisor also had a joint academic and industry role, thereby suggesting that boundary-spanners may not be best-placed to train future boundary-spanners (Mendoza, 2007; Wallgren &amp; Dahlgren, 2007). </w:t>
      </w:r>
    </w:p>
    <w:p w14:paraId="6BE576F5" w14:textId="16EA1FC0" w:rsidR="00DC7B41" w:rsidRDefault="00EE32C4" w:rsidP="00DC7B41">
      <w:pPr>
        <w:autoSpaceDE w:val="0"/>
        <w:autoSpaceDN w:val="0"/>
        <w:adjustRightInd w:val="0"/>
        <w:spacing w:after="120" w:line="360" w:lineRule="auto"/>
        <w:rPr>
          <w:iCs/>
          <w:sz w:val="24"/>
          <w:szCs w:val="24"/>
        </w:rPr>
      </w:pPr>
      <w:r>
        <w:rPr>
          <w:sz w:val="24"/>
          <w:szCs w:val="24"/>
        </w:rPr>
        <w:t>Nonetheless, t</w:t>
      </w:r>
      <w:r w:rsidR="00DC7B41">
        <w:rPr>
          <w:sz w:val="24"/>
          <w:szCs w:val="24"/>
        </w:rPr>
        <w:t>he</w:t>
      </w:r>
      <w:r>
        <w:rPr>
          <w:sz w:val="24"/>
          <w:szCs w:val="24"/>
        </w:rPr>
        <w:t xml:space="preserve"> evidence supports the view that</w:t>
      </w:r>
      <w:r w:rsidR="00DC7B41">
        <w:rPr>
          <w:sz w:val="24"/>
          <w:szCs w:val="24"/>
        </w:rPr>
        <w:t xml:space="preserve"> demand amongst knowledge-intensive sectors for academic research knowledge is both enabled by and reinforces </w:t>
      </w:r>
      <w:r w:rsidR="00DC7B41">
        <w:rPr>
          <w:iCs/>
          <w:sz w:val="24"/>
          <w:szCs w:val="24"/>
        </w:rPr>
        <w:t xml:space="preserve">the university’s key distinctive feature, that is the “flow-through of human capital” </w:t>
      </w:r>
      <w:r w:rsidR="00DC7B41">
        <w:rPr>
          <w:iCs/>
          <w:sz w:val="24"/>
          <w:szCs w:val="24"/>
        </w:rPr>
        <w:fldChar w:fldCharType="begin">
          <w:fldData xml:space="preserve">PEVuZE5vdGU+PENpdGU+PEF1dGhvcj5FdHprb3dpdHo8L0F1dGhvcj48WWVhcj4yMDA4PC9ZZWFy
PjxJRFRleHQ+VGhlIHRyaXBsZSBoZWxpeDogdW5pdmVyc2l0eS1pbmR1c3RyeS1nb3Zlcm5tZW50
IGlubm92YXRpb24gaW4gYWN0aW9uPC9JRFRleHQ+PFBhZ2VzPjE8L1BhZ2VzPjxEaXNwbGF5VGV4
dD4oRXR6a293aXR6LCAyMDA4LCBwLiAxKTwvRGlzcGxheVRleHQ+PHJlY29yZD48a2V5d29yZHM+
PGtleXdvcmQ+QWNhZGVtaWMtaW5kdXN0cmlhbCBjb2xsYWJvcmF0aW9uPC9rZXl3b3JkPjxrZXl3
b3JkPlB1YmxpYy1wcml2YXRlIHNlY3RvciBjb29wZXJhdGlvbjwva2V5d29yZD48a2V5d29yZD5S
ZXNlYXJjaCBhbmQgZGV2ZWxvcG1lbnQgcGFydG5lcnNoaXA8L2tleXdvcmQ+PGtleXdvcmQ+VGVj
aG5vbG9naWNhbCBpbm5vdmF0aW9uczwva2V5d29yZD48a2V5d29yZD5UZWNobm9sb2d5IHRyYW5z
ZmVyPC9rZXl3b3JkPjxrZXl3b3JkPlRlY2hub2xvZ2ljYWwgdHJhbnNmZXI8L2tleXdvcmQ+PGtl
eXdvcmQ+VHJhbnNmZXIgb2YgdGVjaG5vbG9neTwva2V5d29yZD48a2V5d29yZD5nIERpZmZ1c2lv
biBvZiBpbm5vdmF0aW9uczwva2V5d29yZD48a2V5d29yZD5nIEludmVudGlvbnM8L2tleXdvcmQ+
PGtleXdvcmQ+ZyBSZXNlYXJjaCwgSW5kdXN0cmlhbDwva2V5d29yZD48a2V5d29yZD5nIFRlY2hu
b2xvZ3kgYW5kIGludGVybmF0aW9uYWwgcmVsYXRpb25zPC9rZXl3b3JkPjxrZXl3b3JkPkZvcmVp
Z24gbGljZW5zaW5nIGFncmVlbWVudHM8L2tleXdvcmQ+PGtleXdvcmQ+VGVjaG5vbG9naWNhbCBm
b3JlY2FzdGluZzwva2V5d29yZD48a2V5d29yZD5UZWNobm9sb2dpY2FsIGlubm92YXRpb25zPC9r
ZXl3b3JkPjxrZXl3b3JkPlRlY2hub2xvZ3kgLS0gSW50ZXJuYXRpb25hbCBjb29wZXJhdGlvbjwv
a2V5d29yZD48a2V5d29yZD5CcmVha3Rocm91Z2hzLCBUZWNobm9sb2dpY2FsPC9rZXl3b3JkPjxr
ZXl3b3JkPklubm92YXRpb25zLCBJbmR1c3RyaWFsPC9rZXl3b3JkPjxrZXl3b3JkPklubm92YXRp
b25zLCBUZWNobm9sb2dpY2FsPC9rZXl3b3JkPjxrZXl3b3JkPlRlY2huaWNhbCBpbm5vdmF0aW9u
czwva2V5d29yZD48a2V5d29yZD5UZWNobm9sb2dpY2FsIGJyZWFrdGhyb3VnaHM8L2tleXdvcmQ+
PGtleXdvcmQ+VGVjaG5vbG9naWNhbCBjaGFuZ2U8L2tleXdvcmQ+PGtleXdvcmQ+ZyBDcmVhdGl2
ZSBhYmlsaXR5IGluIHRlY2hub2xvZ3k8L2tleXdvcmQ+PGtleXdvcmQ+ZyBJbnZlbnRpb25zPC9r
ZXl3b3JkPjxrZXl3b3JkPkRvbWVzdGljYXRpb24gb2YgdGVjaG5vbG9neTwva2V5d29yZD48a2V5
d29yZD5Jbm5vdmF0aW9uIHJlbGF5IGNlbnRlcnM8L2tleXdvcmQ+PGtleXdvcmQ+UmVzZWFyY2gs
IEluZHVzdHJpYWw8L2tleXdvcmQ+PGtleXdvcmQ+VGVjaG5vbG9neSB0cmFuc2Zlcjwva2V5d29y
ZD48a2V5d29yZD5EZXZlbG9wbWVudCBhbmQgcmVzZWFyY2ggcGFydG5lcnNoaXA8L2tleXdvcmQ+
PGtleXdvcmQ+UGFydG5lcnNoaXAsIFJlc2VhcmNoIGFuZCBkZXZlbG9wbWVudDwva2V5d29yZD48
a2V5d29yZD5nIExpbWl0ZWQgcGFydG5lcnNoaXA8L2tleXdvcmQ+PGtleXdvcmQ+UHJpdmF0ZS1w
dWJsaWMgcGFydG5lcnNoaXBzPC9rZXl3b3JkPjxrZXl3b3JkPlByaXZhdGUtcHVibGljIHNlY3Rv
ciBjb29wZXJhdGlvbjwva2V5d29yZD48a2V5d29yZD5QdWJsaWMtcHJpdmF0ZSBwYXJ0bmVyc2hp
cHM8L2tleXdvcmQ+PGtleXdvcmQ+UHVibGljLXByaXZhdGUgc2VjdG9yIGNvbGxhYm9yYXRpb248
L2tleXdvcmQ+PGtleXdvcmQ+ZyBDb29wZXJhdGlvbjwva2V5d29yZD48a2V5d29yZD5Db2xsYWJv
cmF0aW9uLCBBY2FkZW1pYy1pbmR1c3RyaWFsPC9rZXl3b3JkPjxrZXl3b3JkPkNvbGxhYm9yYXRp
b24sIEluZHVzdHJpYWwtYWNhZGVtaWM8L2tleXdvcmQ+PGtleXdvcmQ+SW5kdXN0cmlhbC1hY2Fk
ZW1pYyBjb2xsYWJvcmF0aW9uPC9rZXl3b3JkPjxrZXl3b3JkPkluZHVzdHJpYWwtdW5pdmVyc2l0
eSBjb2xsYWJvcmF0aW9uPC9rZXl3b3JkPjxrZXl3b3JkPlVuaXZlcnNpdHktaW5kdXN0cmlhbCBj
b2xsYWJvcmF0aW9uPC9rZXl3b3JkPjxrZXl3b3JkPmcgQnVzaW5lc3MgYW5kIGVkdWNhdGlvbjwv
a2V5d29yZD48L2tleXdvcmRzPjx0aXRsZXM+PHRpdGxlPlRoZSB0cmlwbGUgaGVsaXg6IHVuaXZl
cnNpdHktaW5kdXN0cnktZ292ZXJubWVudCBpbm5vdmF0aW9uIGluIGFjdGlvbjwvdGl0bGU+PC90
aXRsZXM+PGNvbnRyaWJ1dG9ycz48YXV0aG9ycz48YXV0aG9yPkV0emtvd2l0eiwgSGVucnk8L2F1
dGhvcj48L2F1dGhvcnM+PC9jb250cmlidXRvcnM+PGFkZGVkLWRhdGUgZm9ybWF0PSJ1dGMiPjE0
NjMzNDk1Njg8L2FkZGVkLWRhdGU+PHB1Yi1sb2NhdGlvbj5OZXcgWW9yazwvcHViLWxvY2F0aW9u
PjxyZWYtdHlwZSBuYW1lPSJCb29rIj42PC9yZWYtdHlwZT48ZGF0ZXM+PHllYXI+MjAwODwveWVh
cj48L2RhdGVzPjxyZWMtbnVtYmVyPjM4NTwvcmVjLW51bWJlcj48cHVibGlzaGVyPlJvdXRsZWRn
ZTwvcHVibGlzaGVyPjxsYXN0LXVwZGF0ZWQtZGF0ZSBmb3JtYXQ9InV0YyI+MTQ3Nzc4MDcyMDwv
bGFzdC11cGRhdGVkLWRhdGU+PC9yZWNvcmQ+PC9DaXRlPjwvRW5kTm90ZT4A
</w:fldData>
        </w:fldChar>
      </w:r>
      <w:r w:rsidR="00DC7B41">
        <w:rPr>
          <w:iCs/>
          <w:sz w:val="24"/>
          <w:szCs w:val="24"/>
        </w:rPr>
        <w:instrText xml:space="preserve"> ADDIN EN.CITE </w:instrText>
      </w:r>
      <w:r w:rsidR="00DC7B41">
        <w:rPr>
          <w:iCs/>
          <w:sz w:val="24"/>
          <w:szCs w:val="24"/>
        </w:rPr>
        <w:fldChar w:fldCharType="begin">
          <w:fldData xml:space="preserve">PEVuZE5vdGU+PENpdGU+PEF1dGhvcj5FdHprb3dpdHo8L0F1dGhvcj48WWVhcj4yMDA4PC9ZZWFy
PjxJRFRleHQ+VGhlIHRyaXBsZSBoZWxpeDogdW5pdmVyc2l0eS1pbmR1c3RyeS1nb3Zlcm5tZW50
IGlubm92YXRpb24gaW4gYWN0aW9uPC9JRFRleHQ+PFBhZ2VzPjE8L1BhZ2VzPjxEaXNwbGF5VGV4
dD4oRXR6a293aXR6LCAyMDA4LCBwLiAxKTwvRGlzcGxheVRleHQ+PHJlY29yZD48a2V5d29yZHM+
PGtleXdvcmQ+QWNhZGVtaWMtaW5kdXN0cmlhbCBjb2xsYWJvcmF0aW9uPC9rZXl3b3JkPjxrZXl3
b3JkPlB1YmxpYy1wcml2YXRlIHNlY3RvciBjb29wZXJhdGlvbjwva2V5d29yZD48a2V5d29yZD5S
ZXNlYXJjaCBhbmQgZGV2ZWxvcG1lbnQgcGFydG5lcnNoaXA8L2tleXdvcmQ+PGtleXdvcmQ+VGVj
aG5vbG9naWNhbCBpbm5vdmF0aW9uczwva2V5d29yZD48a2V5d29yZD5UZWNobm9sb2d5IHRyYW5z
ZmVyPC9rZXl3b3JkPjxrZXl3b3JkPlRlY2hub2xvZ2ljYWwgdHJhbnNmZXI8L2tleXdvcmQ+PGtl
eXdvcmQ+VHJhbnNmZXIgb2YgdGVjaG5vbG9neTwva2V5d29yZD48a2V5d29yZD5nIERpZmZ1c2lv
biBvZiBpbm5vdmF0aW9uczwva2V5d29yZD48a2V5d29yZD5nIEludmVudGlvbnM8L2tleXdvcmQ+
PGtleXdvcmQ+ZyBSZXNlYXJjaCwgSW5kdXN0cmlhbDwva2V5d29yZD48a2V5d29yZD5nIFRlY2hu
b2xvZ3kgYW5kIGludGVybmF0aW9uYWwgcmVsYXRpb25zPC9rZXl3b3JkPjxrZXl3b3JkPkZvcmVp
Z24gbGljZW5zaW5nIGFncmVlbWVudHM8L2tleXdvcmQ+PGtleXdvcmQ+VGVjaG5vbG9naWNhbCBm
b3JlY2FzdGluZzwva2V5d29yZD48a2V5d29yZD5UZWNobm9sb2dpY2FsIGlubm92YXRpb25zPC9r
ZXl3b3JkPjxrZXl3b3JkPlRlY2hub2xvZ3kgLS0gSW50ZXJuYXRpb25hbCBjb29wZXJhdGlvbjwv
a2V5d29yZD48a2V5d29yZD5CcmVha3Rocm91Z2hzLCBUZWNobm9sb2dpY2FsPC9rZXl3b3JkPjxr
ZXl3b3JkPklubm92YXRpb25zLCBJbmR1c3RyaWFsPC9rZXl3b3JkPjxrZXl3b3JkPklubm92YXRp
b25zLCBUZWNobm9sb2dpY2FsPC9rZXl3b3JkPjxrZXl3b3JkPlRlY2huaWNhbCBpbm5vdmF0aW9u
czwva2V5d29yZD48a2V5d29yZD5UZWNobm9sb2dpY2FsIGJyZWFrdGhyb3VnaHM8L2tleXdvcmQ+
PGtleXdvcmQ+VGVjaG5vbG9naWNhbCBjaGFuZ2U8L2tleXdvcmQ+PGtleXdvcmQ+ZyBDcmVhdGl2
ZSBhYmlsaXR5IGluIHRlY2hub2xvZ3k8L2tleXdvcmQ+PGtleXdvcmQ+ZyBJbnZlbnRpb25zPC9r
ZXl3b3JkPjxrZXl3b3JkPkRvbWVzdGljYXRpb24gb2YgdGVjaG5vbG9neTwva2V5d29yZD48a2V5
d29yZD5Jbm5vdmF0aW9uIHJlbGF5IGNlbnRlcnM8L2tleXdvcmQ+PGtleXdvcmQ+UmVzZWFyY2gs
IEluZHVzdHJpYWw8L2tleXdvcmQ+PGtleXdvcmQ+VGVjaG5vbG9neSB0cmFuc2Zlcjwva2V5d29y
ZD48a2V5d29yZD5EZXZlbG9wbWVudCBhbmQgcmVzZWFyY2ggcGFydG5lcnNoaXA8L2tleXdvcmQ+
PGtleXdvcmQ+UGFydG5lcnNoaXAsIFJlc2VhcmNoIGFuZCBkZXZlbG9wbWVudDwva2V5d29yZD48
a2V5d29yZD5nIExpbWl0ZWQgcGFydG5lcnNoaXA8L2tleXdvcmQ+PGtleXdvcmQ+UHJpdmF0ZS1w
dWJsaWMgcGFydG5lcnNoaXBzPC9rZXl3b3JkPjxrZXl3b3JkPlByaXZhdGUtcHVibGljIHNlY3Rv
ciBjb29wZXJhdGlvbjwva2V5d29yZD48a2V5d29yZD5QdWJsaWMtcHJpdmF0ZSBwYXJ0bmVyc2hp
cHM8L2tleXdvcmQ+PGtleXdvcmQ+UHVibGljLXByaXZhdGUgc2VjdG9yIGNvbGxhYm9yYXRpb248
L2tleXdvcmQ+PGtleXdvcmQ+ZyBDb29wZXJhdGlvbjwva2V5d29yZD48a2V5d29yZD5Db2xsYWJv
cmF0aW9uLCBBY2FkZW1pYy1pbmR1c3RyaWFsPC9rZXl3b3JkPjxrZXl3b3JkPkNvbGxhYm9yYXRp
b24sIEluZHVzdHJpYWwtYWNhZGVtaWM8L2tleXdvcmQ+PGtleXdvcmQ+SW5kdXN0cmlhbC1hY2Fk
ZW1pYyBjb2xsYWJvcmF0aW9uPC9rZXl3b3JkPjxrZXl3b3JkPkluZHVzdHJpYWwtdW5pdmVyc2l0
eSBjb2xsYWJvcmF0aW9uPC9rZXl3b3JkPjxrZXl3b3JkPlVuaXZlcnNpdHktaW5kdXN0cmlhbCBj
b2xsYWJvcmF0aW9uPC9rZXl3b3JkPjxrZXl3b3JkPmcgQnVzaW5lc3MgYW5kIGVkdWNhdGlvbjwv
a2V5d29yZD48L2tleXdvcmRzPjx0aXRsZXM+PHRpdGxlPlRoZSB0cmlwbGUgaGVsaXg6IHVuaXZl
cnNpdHktaW5kdXN0cnktZ292ZXJubWVudCBpbm5vdmF0aW9uIGluIGFjdGlvbjwvdGl0bGU+PC90
aXRsZXM+PGNvbnRyaWJ1dG9ycz48YXV0aG9ycz48YXV0aG9yPkV0emtvd2l0eiwgSGVucnk8L2F1
dGhvcj48L2F1dGhvcnM+PC9jb250cmlidXRvcnM+PGFkZGVkLWRhdGUgZm9ybWF0PSJ1dGMiPjE0
NjMzNDk1Njg8L2FkZGVkLWRhdGU+PHB1Yi1sb2NhdGlvbj5OZXcgWW9yazwvcHViLWxvY2F0aW9u
PjxyZWYtdHlwZSBuYW1lPSJCb29rIj42PC9yZWYtdHlwZT48ZGF0ZXM+PHllYXI+MjAwODwveWVh
cj48L2RhdGVzPjxyZWMtbnVtYmVyPjM4NTwvcmVjLW51bWJlcj48cHVibGlzaGVyPlJvdXRsZWRn
ZTwvcHVibGlzaGVyPjxsYXN0LXVwZGF0ZWQtZGF0ZSBmb3JtYXQ9InV0YyI+MTQ3Nzc4MDcyMDwv
bGFzdC11cGRhdGVkLWRhdGU+PC9yZWNvcmQ+PC9DaXRlPjwvRW5kTm90ZT4A
</w:fldData>
        </w:fldChar>
      </w:r>
      <w:r w:rsidR="00DC7B41">
        <w:rPr>
          <w:iCs/>
          <w:sz w:val="24"/>
          <w:szCs w:val="24"/>
        </w:rPr>
        <w:instrText xml:space="preserve"> ADDIN EN.CITE.DATA </w:instrText>
      </w:r>
      <w:r w:rsidR="00DC7B41">
        <w:rPr>
          <w:iCs/>
          <w:sz w:val="24"/>
          <w:szCs w:val="24"/>
        </w:rPr>
      </w:r>
      <w:r w:rsidR="00DC7B41">
        <w:rPr>
          <w:iCs/>
          <w:sz w:val="24"/>
          <w:szCs w:val="24"/>
        </w:rPr>
        <w:fldChar w:fldCharType="end"/>
      </w:r>
      <w:r w:rsidR="00DC7B41">
        <w:rPr>
          <w:iCs/>
          <w:sz w:val="24"/>
          <w:szCs w:val="24"/>
        </w:rPr>
      </w:r>
      <w:r w:rsidR="00DC7B41">
        <w:rPr>
          <w:iCs/>
          <w:sz w:val="24"/>
          <w:szCs w:val="24"/>
        </w:rPr>
        <w:fldChar w:fldCharType="separate"/>
      </w:r>
      <w:r w:rsidR="00DC7B41">
        <w:rPr>
          <w:iCs/>
          <w:noProof/>
          <w:sz w:val="24"/>
          <w:szCs w:val="24"/>
        </w:rPr>
        <w:t>(Etzkowitz, 2008, p. 1)</w:t>
      </w:r>
      <w:r w:rsidR="00DC7B41">
        <w:rPr>
          <w:iCs/>
          <w:sz w:val="24"/>
          <w:szCs w:val="24"/>
        </w:rPr>
        <w:fldChar w:fldCharType="end"/>
      </w:r>
      <w:r w:rsidR="00DC7B41">
        <w:rPr>
          <w:iCs/>
          <w:sz w:val="24"/>
          <w:szCs w:val="24"/>
        </w:rPr>
        <w:t xml:space="preserve"> in the form of students.</w:t>
      </w:r>
      <w:r>
        <w:rPr>
          <w:iCs/>
          <w:sz w:val="24"/>
          <w:szCs w:val="24"/>
        </w:rPr>
        <w:t xml:space="preserve"> Quantitative analysis on the relationship between US academics, students and industry shows convincingly that students “constitute a bridging component in the establishment, maintenance and expansion of university-industry collaborations” </w:t>
      </w:r>
      <w:r w:rsidR="000C334C">
        <w:rPr>
          <w:iCs/>
          <w:sz w:val="24"/>
          <w:szCs w:val="24"/>
        </w:rPr>
        <w:fldChar w:fldCharType="begin"/>
      </w:r>
      <w:r w:rsidR="00E909DF">
        <w:rPr>
          <w:iCs/>
          <w:sz w:val="24"/>
          <w:szCs w:val="24"/>
        </w:rPr>
        <w:instrText xml:space="preserve"> ADDIN EN.CITE &lt;EndNote&gt;&lt;Cite&gt;&lt;Author&gt;Ponomariov&lt;/Author&gt;&lt;Year&gt;2009&lt;/Year&gt;&lt;IDText&gt;Student Centrality in University- Industry Interactions&lt;/IDText&gt;&lt;Pages&gt;61&lt;/Pages&gt;&lt;DisplayText&gt;(Ponomariov, 2009, p. 61)&lt;/DisplayText&gt;&lt;record&gt;&lt;keywords&gt;&lt;keyword&gt;School Business Relationship&lt;/keyword&gt;&lt;keyword&gt;Scientists&lt;/keyword&gt;&lt;keyword&gt;Private Sector&lt;/keyword&gt;&lt;keyword&gt;Industry&lt;/keyword&gt;&lt;keyword&gt;Interaction&lt;/keyword&gt;&lt;keyword&gt;Probability&lt;/keyword&gt;&lt;keyword&gt;Graduate Students&lt;/keyword&gt;&lt;keyword&gt;Student Role&lt;/keyword&gt;&lt;keyword&gt;College Faculty&lt;/keyword&gt;&lt;keyword&gt;Attitudes&lt;/keyword&gt;&lt;keyword&gt;Technology Transfer&lt;/keyword&gt;&lt;keyword&gt;Grants&lt;/keyword&gt;&lt;keyword&gt;Cooperation&lt;/keyword&gt;&lt;keyword&gt;Mentors&lt;/keyword&gt;&lt;keyword&gt;Policy&lt;/keyword&gt;&lt;/keywords&gt;&lt;isbn&gt;0950-4222&lt;/isbn&gt;&lt;titles&gt;&lt;title&gt;Student Centrality in University- Industry Interactions&lt;/title&gt;&lt;secondary-title&gt;Industry and Higher Education&lt;/secondary-title&gt;&lt;/titles&gt;&lt;pages&gt;50-62&lt;/pages&gt;&lt;number&gt;1&lt;/number&gt;&lt;contributors&gt;&lt;authors&gt;&lt;author&gt;Ponomariov, B.&lt;/author&gt;&lt;/authors&gt;&lt;/contributors&gt;&lt;added-date format="utc"&gt;1522345529&lt;/added-date&gt;&lt;ref-type name="Journal Article"&gt;17&lt;/ref-type&gt;&lt;dates&gt;&lt;year&gt;2009&lt;/year&gt;&lt;/dates&gt;&lt;rec-number&gt;7435&lt;/rec-number&gt;&lt;last-updated-date format="utc"&gt;1559077582&lt;/last-updated-date&gt;&lt;electronic-resource-num&gt;10.1630/0326785041834748&lt;/electronic-resource-num&gt;&lt;volume&gt;23&lt;/volume&gt;&lt;/record&gt;&lt;/Cite&gt;&lt;/EndNote&gt;</w:instrText>
      </w:r>
      <w:r w:rsidR="000C334C">
        <w:rPr>
          <w:iCs/>
          <w:sz w:val="24"/>
          <w:szCs w:val="24"/>
        </w:rPr>
        <w:fldChar w:fldCharType="separate"/>
      </w:r>
      <w:r w:rsidR="00E909DF">
        <w:rPr>
          <w:iCs/>
          <w:noProof/>
          <w:sz w:val="24"/>
          <w:szCs w:val="24"/>
        </w:rPr>
        <w:t>(Ponomariov, 2009, p. 61)</w:t>
      </w:r>
      <w:r w:rsidR="000C334C">
        <w:rPr>
          <w:iCs/>
          <w:sz w:val="24"/>
          <w:szCs w:val="24"/>
        </w:rPr>
        <w:fldChar w:fldCharType="end"/>
      </w:r>
      <w:r w:rsidR="002E7E5C">
        <w:rPr>
          <w:iCs/>
          <w:sz w:val="24"/>
          <w:szCs w:val="24"/>
        </w:rPr>
        <w:t xml:space="preserve">. </w:t>
      </w:r>
      <w:r w:rsidR="00DC7B41">
        <w:rPr>
          <w:iCs/>
          <w:sz w:val="24"/>
          <w:szCs w:val="24"/>
        </w:rPr>
        <w:t xml:space="preserve">However, it also puts new pressures upon universities. </w:t>
      </w:r>
      <w:r w:rsidR="00DC7B41">
        <w:rPr>
          <w:color w:val="000000"/>
          <w:sz w:val="24"/>
          <w:szCs w:val="24"/>
        </w:rPr>
        <w:t xml:space="preserve">For example, the </w:t>
      </w:r>
      <w:r w:rsidR="00DC7B41">
        <w:rPr>
          <w:iCs/>
          <w:sz w:val="24"/>
          <w:szCs w:val="24"/>
        </w:rPr>
        <w:t xml:space="preserve">increased prominence of boundary-spanning roles of graduates has prompted shifts in higher education curricula, including at doctoral level, towards more ‘generic’ skills rather than focused solely on disciplinary training </w:t>
      </w:r>
      <w:r w:rsidR="00DC7B41">
        <w:rPr>
          <w:iCs/>
          <w:sz w:val="24"/>
          <w:szCs w:val="24"/>
        </w:rPr>
        <w:fldChar w:fldCharType="begin">
          <w:fldData xml:space="preserve">PEVuZE5vdGU+PENpdGU+PEF1dGhvcj5BZGtpbnM8L0F1dGhvcj48WWVhcj4yMDA5PC9ZZWFyPjxJ
RFRleHQ+UGhEIFBlZGFnb2d5IGFuZCB0aGUgQ2hhbmdpbmcgS25vd2xlZGdlIExhbmRzY2FwZXMg
b2YgVW5pdmVyc2l0aWVzPC9JRFRleHQ+PERpc3BsYXlUZXh0PihBZGtpbnMsIDIwMDk7IEhhbmNv
Y2ssIEh1Z2hlcywgJmFtcDsgV2Fsc2gsIDIwMTc7IEhhbmNvY2sgJmFtcDsgV2Fsc2gsIDIwMTQ7
IEhlbmtlbCwgMjAwNDsgTWVuZG96YSwgMjAwNzsgVGh1bmUsIDIwMTApPC9EaXNwbGF5VGV4dD48
cmVjb3JkPjxrZXl3b3Jkcz48a2V5d29yZD5Tb2NpYWwgU2NpZW5jZXM8L2tleXdvcmQ+PGtleXdv
cmQ+UG9saXRpY3MgT2YgRWR1Y2F0aW9uPC9rZXl3b3JkPjxrZXl3b3JkPkh1bWFuaXRpZXM8L2tl
eXdvcmQ+PGtleXdvcmQ+RG9jdG9yYWwgRGVncmVlczwva2V5d29yZD48a2V5d29yZD5Eb2N0b3Jh
bCBQcm9ncmFtczwva2V5d29yZD48a2V5d29yZD5FZHVjYXRpb25hbCBDaGFuZ2U8L2tleXdvcmQ+
PGtleXdvcmQ+SW50ZXJkaXNjaXBsaW5hcnkgQXBwcm9hY2g8L2tleXdvcmQ+PGtleXdvcmQ+U3Vw
ZXJ2aXNpb248L2tleXdvcmQ+PGtleXdvcmQ+U3VwZXJ2aXNvciBTdXBlcnZpc2VlIFJlbGF0aW9u
c2hpcDwva2V5d29yZD48a2V5d29yZD5TY2hvbGFyc2hpcDwva2V5d29yZD48a2V5d29yZD5Qb3N0
c2Vjb25kYXJ5IEVkdWNhdGlvbiBBcyBBIEZpZWxkIE9mIFN0dWR5PC9rZXl3b3JkPjxrZXl3b3Jk
PkZ1c2VkIEN1cnJpY3VsdW08L2tleXdvcmQ+PGtleXdvcmQ+Rm9yZWlnbiBDb3VudHJpZXM8L2tl
eXdvcmQ+PC9rZXl3b3Jkcz48aXNibj4wNzI5LTQzNjA8L2lzYm4+PHRpdGxlcz48dGl0bGU+UGhE
IFBlZGFnb2d5IGFuZCB0aGUgQ2hhbmdpbmcgS25vd2xlZGdlIExhbmRzY2FwZXMgb2YgVW5pdmVy
c2l0aWVzPC90aXRsZT48c2Vjb25kYXJ5LXRpdGxlPkhpZ2hlciBFZHVjYXRpb24gUmVzZWFyY2gg
YW5kIERldmVsb3BtZW50PC9zZWNvbmRhcnktdGl0bGU+PC90aXRsZXM+PHBhZ2VzPjE2NS0xNzc8
L3BhZ2VzPjxudW1iZXI+MjwvbnVtYmVyPjxjb250cmlidXRvcnM+PGF1dGhvcnM+PGF1dGhvcj5B
ZGtpbnMsIEJhcmJhcmE8L2F1dGhvcj48L2F1dGhvcnM+PC9jb250cmlidXRvcnM+PGFkZGVkLWRh
dGUgZm9ybWF0PSJ1dGMiPjE1Mjc3ODkzNjk8L2FkZGVkLWRhdGU+PHJlZi10eXBlIG5hbWU9Ikpv
dXJuYWwgQXJ0aWNsZSI+MTc8L3JlZi10eXBlPjxkYXRlcz48eWVhcj4yMDA5PC95ZWFyPjwvZGF0
ZXM+PHJlYy1udW1iZXI+NzUzNjwvcmVjLW51bWJlcj48bGFzdC11cGRhdGVkLWRhdGUgZm9ybWF0
PSJ1dGMiPjE1Mjc3ODkzNjk8L2xhc3QtdXBkYXRlZC1kYXRlPjxlbGVjdHJvbmljLXJlc291cmNl
LW51bT4xMC4xMDgwLzA3Mjk0MzYwOTAyNzI1MDQxPC9lbGVjdHJvbmljLXJlc291cmNlLW51bT48
dm9sdW1lPjI4PC92b2x1bWU+PC9yZWNvcmQ+PC9DaXRlPjxDaXRlPjxBdXRob3I+SGFuY29jazwv
QXV0aG9yPjxZZWFyPjIwMTQ8L1llYXI+PElEVGV4dD5CZXlvbmQga25vd2xlZGdlIGFuZCBza2ls
bHM6IHJldGhpbmtpbmcgdGhlIGRldmVsb3BtZW50IG9mIHByb2Zlc3Npb25hbCBpZGVudGl0eSBk
dXJpbmcgdGhlIFNURU0gZG9jdG9yYXRlPC9JRFRleHQ+PHJlY29yZD48a2V5d29yZHM+PGtleXdv
cmQ+U1RFTSBQaEQ8L2tleXdvcmQ+PGtleXdvcmQ+a25vd2xlZGdlIGVjb25vbXk8L2tleXdvcmQ+
PGtleXdvcmQ+cHJvZmVzc2lvbmFsIGlkZW50aXR5PC9rZXl3b3JkPjxrZXl3b3JkPnNjaWVuY2U8
L2tleXdvcmQ+PGtleXdvcmQ+dHJhbnNmZXJhYmxlIHNraWxsczwva2V5d29yZD48L2tleXdvcmRz
Pjx1cmxzPjxyZWxhdGVkLXVybHM+PHVybD5odHRwOi8vd3d3LnNjb3B1cy5jb20vaW53YXJkL3Jl
Y29yZC51cmw/ZWlkPTItczIuMC04NDkwMjc0MTAzNiZhbXA7cGFydG5lcklEPXRaT3R4M3kxPC91
cmw+PC9yZWxhdGVkLXVybHM+PC91cmxzPjx0aXRsZXM+PHRpdGxlPkJleW9uZCBrbm93bGVkZ2Ug
YW5kIHNraWxsczogcmV0aGlua2luZyB0aGUgZGV2ZWxvcG1lbnQgb2YgcHJvZmVzc2lvbmFsIGlk
ZW50aXR5IGR1cmluZyB0aGUgU1RFTSBkb2N0b3JhdGU8L3RpdGxlPjxzZWNvbmRhcnktdGl0bGU+
U3R1ZGllcyBpbiBIaWdoZXIgRWR1Y2F0aW9uPC9zZWNvbmRhcnktdGl0bGU+PC90aXRsZXM+PHBh
Z2VzPjEtMTQ8L3BhZ2VzPjx1cmxzPjxwZGYtdXJscz48dXJsPmZpbGU6Ly8vQzovVXNlcnMvZWxp
ZWxfMDAwL0RvY3VtZW50cy9BY2FkZW1pYy9QaEQvU1RFTS9TVEVNIFBoRCBpZGVudGl0eS5wZGY8
L3VybD48L3BkZi11cmxzPjwvdXJscz48bnVtYmVyPkZlYnJ1YXJ5IDIwMTU8L251bWJlcj48Y29u
dHJpYnV0b3JzPjxhdXRob3JzPjxhdXRob3I+SGFuY29jaywgU2FsbHk8L2F1dGhvcj48YXV0aG9y
PldhbHNoLCBFbGFpbmU8L2F1dGhvcj48L2F1dGhvcnM+PC9jb250cmlidXRvcnM+PGFkZGVkLWRh
dGUgZm9ybWF0PSJ1dGMiPjE0NTI3MjI0MjQ8L2FkZGVkLWRhdGU+PHJlZi10eXBlIG5hbWU9Ikpv
dXJuYWwgQXJ0aWNsZSI+MTc8L3JlZi10eXBlPjxkYXRlcz48eWVhcj4yMDE0PC95ZWFyPjwvZGF0
ZXM+PHJlYy1udW1iZXI+NzE8L3JlYy1udW1iZXI+PGxhc3QtdXBkYXRlZC1kYXRlIGZvcm1hdD0i
dXRjIj4xNDY5MjI5ODY4PC9sYXN0LXVwZGF0ZWQtZGF0ZT48ZWxlY3Ryb25pYy1yZXNvdXJjZS1u
dW0+MTAuMTA4MC8wMzA3NTA3OS4yMDE0LjkxNTMwMTwvZWxlY3Ryb25pYy1yZXNvdXJjZS1udW0+
PHZvbHVtZT41MDc5PC92b2x1bWU+PC9yZWNvcmQ+PC9DaXRlPjxDaXRlPjxBdXRob3I+SGFuY29j
azwvQXV0aG9yPjxZZWFyPjIwMTc8L1llYXI+PElEVGV4dD5QdXJpc3Qgb3IgcHJhZ21hdGlzdD8g
VUsgZG9jdG9yYWwgc2NpZW50aXN0c+KAmSBtb3JhbCBwb3NpdGlvbnMgb24gdGhlIGtub3dsZWRn
ZSBlY29ub215PC9JRFRleHQ+PHJlY29yZD48a2V5d29yZHM+PGtleXdvcmQ+QXJ0aWNsZTwva2V5
d29yZD48a2V5d29yZD5Eb2N0b3JhdGU8L2tleXdvcmQ+PGtleXdvcmQ+S25vd2xlZGdlIEVjb25v
bXk8L2tleXdvcmQ+PGtleXdvcmQ+U2NpZW5jZSBDYXJlZXJzPC9rZXl3b3JkPjxrZXl3b3JkPlBv
c3RncmFkdWF0ZXM8L2tleXdvcmQ+PGtleXdvcmQ+QWNhZGVtaWMgSWRlbnRpdHk8L2tleXdvcmQ+
PC9rZXl3b3Jkcz48aXNibj4wMzA3LTUwNzk8L2lzYm4+PHRpdGxlcz48dGl0bGU+UHVyaXN0IG9y
IHByYWdtYXRpc3Q/IFVLIGRvY3RvcmFsIHNjaWVudGlzdHPigJkgbW9yYWwgcG9zaXRpb25zIG9u
IHRoZSBrbm93bGVkZ2UgZWNvbm9teTwvdGl0bGU+PHNlY29uZGFyeS10aXRsZT5TdHVkaWVzIGlu
IEhpZ2hlciBFZHVjYXRpb248L3NlY29uZGFyeS10aXRsZT48L3RpdGxlcz48cGFnZXM+MTI0NC0x
MjU4PC9wYWdlcz48bnVtYmVyPjc8L251bWJlcj48Y29udHJpYnV0b3JzPjxhdXRob3JzPjxhdXRo
b3I+SGFuY29jaywgU2FsbHk8L2F1dGhvcj48YXV0aG9yPkh1Z2hlcywgR3d5bmV0aDwvYXV0aG9y
PjxhdXRob3I+V2Fsc2gsIEVsYWluZTwvYXV0aG9yPjwvYXV0aG9ycz48L2NvbnRyaWJ1dG9ycz48
YWRkZWQtZGF0ZSBmb3JtYXQ9InV0YyI+MTU1MDc0NzUyODwvYWRkZWQtZGF0ZT48cmVmLXR5cGUg
bmFtZT0iSm91cm5hbCBBcnRpY2xlIj4xNzwvcmVmLXR5cGU+PGRhdGVzPjx5ZWFyPjIwMTc8L3ll
YXI+PC9kYXRlcz48cmVjLW51bWJlcj43NzU0PC9yZWMtbnVtYmVyPjxwdWJsaXNoZXI+Um91dGxl
ZGdlPC9wdWJsaXNoZXI+PGxhc3QtdXBkYXRlZC1kYXRlIGZvcm1hdD0idXRjIj4xNTUwNzQ3NTI4
PC9sYXN0LXVwZGF0ZWQtZGF0ZT48ZWxlY3Ryb25pYy1yZXNvdXJjZS1udW0+MTAuMTA4MC8wMzA3
NTA3OS4yMDE1LjEwODc5OTQ8L2VsZWN0cm9uaWMtcmVzb3VyY2UtbnVtPjx2b2x1bWU+NDI8L3Zv
bHVtZT48L3JlY29yZD48L0NpdGU+PENpdGU+PEF1dGhvcj5NZW5kb3phPC9BdXRob3I+PFllYXI+
MjAwNzwvWWVhcj48SURUZXh0PkFjYWRlbWljIENhcGl0YWxpc20gYW5kIERvY3RvcmFsIFN0dWRl
bnQgU29jaWFsaXphdGlvbjogQSBDYXNlIFN0dWR5PC9JRFRleHQ+PHJlY29yZD48a2V5d29yZHM+
PGtleXdvcmQ+R3JhZHVhdGUgU3R1ZGVudHMgLS0gVW5pdGVkIFN0YXRlcyAtLSBBdHRpdHVkZXM8
L2tleXdvcmQ+PGtleXdvcmQ+UHJvZmVzc2lvbmFsIFNvY2lhbGl6YXRpb24gLS0gVW5pdGVkIFN0
YXRlczwva2V5d29yZD48a2V5d29yZD5BY2FkZW1pYy1JbmR1c3RyaWFsIENvbGxhYm9yYXRpb24g
LS0gVW5pdGVkIFN0YXRlczwva2V5d29yZD48L2tleXdvcmRzPjxpc2JuPjAwMjItMTU0NjwvaXNi
bj48dGl0bGVzPjx0aXRsZT5BY2FkZW1pYyBDYXBpdGFsaXNtIGFuZCBEb2N0b3JhbCBTdHVkZW50
IFNvY2lhbGl6YXRpb246IEEgQ2FzZSBTdHVkeTwvdGl0bGU+PHNlY29uZGFyeS10aXRsZT5UaGUg
Sm91cm5hbCBvZiBIaWdoZXIgRWR1Y2F0aW9uPC9zZWNvbmRhcnktdGl0bGU+PC90aXRsZXM+PHBh
Z2VzPjcxLTk2PC9wYWdlcz48bnVtYmVyPjE8L251bWJlcj48Y29udHJpYnV0b3JzPjxhdXRob3Jz
PjxhdXRob3I+TWVuZG96YSwgUGlsYXI8L2F1dGhvcj48L2F1dGhvcnM+PC9jb250cmlidXRvcnM+
PGFkZGVkLWRhdGUgZm9ybWF0PSJ1dGMiPjE0NTg2ODg5MzE8L2FkZGVkLWRhdGU+PHJlZi10eXBl
IG5hbWU9IkpvdXJuYWwgQXJ0aWNsZSI+MTc8L3JlZi10eXBlPjxkYXRlcz48eWVhcj4yMDA3PC95
ZWFyPjwvZGF0ZXM+PHJlYy1udW1iZXI+MzE2PC9yZWMtbnVtYmVyPjxsYXN0LXVwZGF0ZWQtZGF0
ZSBmb3JtYXQ9InV0YyI+MTQ2OTIyOTg2ODwvbGFzdC11cGRhdGVkLWRhdGU+PHZvbHVtZT43ODwv
dm9sdW1lPjwvcmVjb3JkPjwvQ2l0ZT48Q2l0ZT48QXV0aG9yPkhlbmtlbDwvQXV0aG9yPjxZZWFy
PjIwMDQ8L1llYXI+PElEVGV4dD5DdXJyZW50IFNjaWVuY2UgUG9saWNpZXMgYW5kIHRoZWlyIElt
cGxpY2F0aW9ucyBmb3IgdGhlIEZvcm1hdGlvbiBhbmQgTWFpbnRlbmFuY2Ugb2YgQWNhZGVtaWMg
SWRlbnRpdHk8L0lEVGV4dD48cmVjb3JkPjxpc2JuPjA5NTItODczMzwvaXNibj48dGl0bGVzPjx0
aXRsZT5DdXJyZW50IFNjaWVuY2UgUG9saWNpZXMgYW5kIHRoZWlyIEltcGxpY2F0aW9ucyBmb3Ig
dGhlIEZvcm1hdGlvbiBhbmQgTWFpbnRlbmFuY2Ugb2YgQWNhZGVtaWMgSWRlbnRpdHk8L3RpdGxl
PjxzZWNvbmRhcnktdGl0bGU+SGlnaGVyIEVkdWNhdGlvbiBQb2xpY3k8L3NlY29uZGFyeS10aXRs
ZT48L3RpdGxlcz48cGFnZXM+MTY3PC9wYWdlcz48bnVtYmVyPjI8L251bWJlcj48Y29udHJpYnV0
b3JzPjxhdXRob3JzPjxhdXRob3I+SGVua2VsLCBNYXJ5PC9hdXRob3I+PC9hdXRob3JzPjwvY29u
dHJpYnV0b3JzPjxhZGRlZC1kYXRlIGZvcm1hdD0idXRjIj4xNTI2MDc2NDY1PC9hZGRlZC1kYXRl
PjxyZWYtdHlwZSBuYW1lPSJKb3VybmFsIEFydGljbGUiPjE3PC9yZWYtdHlwZT48ZGF0ZXM+PHll
YXI+MjAwNDwveWVhcj48L2RhdGVzPjxyZWMtbnVtYmVyPjc1MTk8L3JlYy1udW1iZXI+PGxhc3Qt
dXBkYXRlZC1kYXRlIGZvcm1hdD0idXRjIj4xNTI2MDc3MTY0PC9sYXN0LXVwZGF0ZWQtZGF0ZT48
ZWxlY3Ryb25pYy1yZXNvdXJjZS1udW0+MTAuMTA1Ny9wYWxncmF2ZS5oZXAuODMwMDA0OTwvZWxl
Y3Ryb25pYy1yZXNvdXJjZS1udW0+PHZvbHVtZT4xNzwvdm9sdW1lPjwvcmVjb3JkPjwvQ2l0ZT48
Q2l0ZT48QXV0aG9yPkFka2luczwvQXV0aG9yPjxZZWFyPjIwMDk8L1llYXI+PElEVGV4dD5QaEQg
UGVkYWdvZ3kgYW5kIHRoZSBDaGFuZ2luZyBLbm93bGVkZ2UgTGFuZHNjYXBlcyBvZiBVbml2ZXJz
aXRpZXM8L0lEVGV4dD48cmVjb3JkPjxrZXl3b3Jkcz48a2V5d29yZD5Tb2NpYWwgU2NpZW5jZXM8
L2tleXdvcmQ+PGtleXdvcmQ+UG9saXRpY3MgT2YgRWR1Y2F0aW9uPC9rZXl3b3JkPjxrZXl3b3Jk
Pkh1bWFuaXRpZXM8L2tleXdvcmQ+PGtleXdvcmQ+RG9jdG9yYWwgRGVncmVlczwva2V5d29yZD48
a2V5d29yZD5Eb2N0b3JhbCBQcm9ncmFtczwva2V5d29yZD48a2V5d29yZD5FZHVjYXRpb25hbCBD
aGFuZ2U8L2tleXdvcmQ+PGtleXdvcmQ+SW50ZXJkaXNjaXBsaW5hcnkgQXBwcm9hY2g8L2tleXdv
cmQ+PGtleXdvcmQ+U3VwZXJ2aXNpb248L2tleXdvcmQ+PGtleXdvcmQ+U3VwZXJ2aXNvciBTdXBl
cnZpc2VlIFJlbGF0aW9uc2hpcDwva2V5d29yZD48a2V5d29yZD5TY2hvbGFyc2hpcDwva2V5d29y
ZD48a2V5d29yZD5Qb3N0c2Vjb25kYXJ5IEVkdWNhdGlvbiBBcyBBIEZpZWxkIE9mIFN0dWR5PC9r
ZXl3b3JkPjxrZXl3b3JkPkZ1c2VkIEN1cnJpY3VsdW08L2tleXdvcmQ+PGtleXdvcmQ+Rm9yZWln
biBDb3VudHJpZXM8L2tleXdvcmQ+PC9rZXl3b3Jkcz48aXNibj4wNzI5LTQzNjA8L2lzYm4+PHRp
dGxlcz48dGl0bGU+UGhEIFBlZGFnb2d5IGFuZCB0aGUgQ2hhbmdpbmcgS25vd2xlZGdlIExhbmRz
Y2FwZXMgb2YgVW5pdmVyc2l0aWVzPC90aXRsZT48c2Vjb25kYXJ5LXRpdGxlPkhpZ2hlciBFZHVj
YXRpb24gUmVzZWFyY2ggYW5kIERldmVsb3BtZW50PC9zZWNvbmRhcnktdGl0bGU+PC90aXRsZXM+
PHBhZ2VzPjE2NS0xNzc8L3BhZ2VzPjxudW1iZXI+MjwvbnVtYmVyPjxjb250cmlidXRvcnM+PGF1
dGhvcnM+PGF1dGhvcj5BZGtpbnMsIEJhcmJhcmE8L2F1dGhvcj48L2F1dGhvcnM+PC9jb250cmli
dXRvcnM+PGFkZGVkLWRhdGUgZm9ybWF0PSJ1dGMiPjE1Mjc3ODkzNjk8L2FkZGVkLWRhdGU+PHJl
Zi10eXBlIG5hbWU9IkpvdXJuYWwgQXJ0aWNsZSI+MTc8L3JlZi10eXBlPjxkYXRlcz48eWVhcj4y
MDA5PC95ZWFyPjwvZGF0ZXM+PHJlYy1udW1iZXI+NzUzNjwvcmVjLW51bWJlcj48bGFzdC11cGRh
dGVkLWRhdGUgZm9ybWF0PSJ1dGMiPjE1Mjc3ODkzNjk8L2xhc3QtdXBkYXRlZC1kYXRlPjxlbGVj
dHJvbmljLXJlc291cmNlLW51bT4xMC4xMDgwLzA3Mjk0MzYwOTAyNzI1MDQxPC9lbGVjdHJvbmlj
LXJlc291cmNlLW51bT48dm9sdW1lPjI4PC92b2x1bWU+PC9yZWNvcmQ+PC9DaXRlPjxDaXRlPjxB
dXRob3I+VGh1bmU8L0F1dGhvcj48WWVhcj4yMDEwPC9ZZWFyPjxJRFRleHQ+VGhlIFRyYWluaW5n
IG9mICZxdW90O1RyaXBsZSBIZWxpeCBXb3JrZXJzJnF1b3Q7PyBEb2N0b3JhbCBTdHVkZW50cyBp
biBVbml2ZXJzaXR5LUluZHVzdHJ5LUdvdmVybm1lbnQgQ29sbGFib3JhdGlvbnM8L0lEVGV4dD48
cmVjb3JkPjxrZXl3b3Jkcz48a2V5d29yZD5HcmFkdWF0ZSBTdHVkZW50czwva2V5d29yZD48a2V5
d29yZD5Eb2N0b3JhbCBQcm9ncmFtczwva2V5d29yZD48a2V5d29yZD5Db21wZXRlbmNlPC9rZXl3
b3JkPjxrZXl3b3JkPlNjaWVudGlzdHM8L2tleXdvcmQ+PGtleXdvcmQ+UmVzZWFyY2hlcnM8L2tl
eXdvcmQ+PGtleXdvcmQ+U2Nob29sIEJ1c2luZXNzIFJlbGF0aW9uc2hpcDwva2V5d29yZD48a2V5
d29yZD5Hb3Zlcm5tZW50IFNjaG9vbCBSZWxhdGlvbnNoaXA8L2tleXdvcmQ+PGtleXdvcmQ+Q29v
cGVyYXRpb248L2tleXdvcmQ+PGtleXdvcmQ+UmVzZWFyY2ggQW5kIERldmVsb3BtZW50PC9rZXl3
b3JkPjwva2V5d29yZHM+PGlzYm4+MDAyNi00Njk1PC9pc2JuPjx0aXRsZXM+PHRpdGxlPlRoZSBU
cmFpbmluZyBvZiAmcXVvdDtUcmlwbGUgSGVsaXggV29ya2VycyZxdW90Oz8gRG9jdG9yYWwgU3R1
ZGVudHMgaW4gVW5pdmVyc2l0eS1JbmR1c3RyeS1Hb3Zlcm5tZW50IENvbGxhYm9yYXRpb25zPC90
aXRsZT48c2Vjb25kYXJ5LXRpdGxlPk1pbmVydmE6IEEgUmV2aWV3IG9mIFNjaWVuY2UsIExlYXJu
aW5nIGFuZCBQb2xpY3k8L3NlY29uZGFyeS10aXRsZT48L3RpdGxlcz48cGFnZXM+NDYzLTQ4Mzwv
cGFnZXM+PG51bWJlcj40PC9udW1iZXI+PGNvbnRyaWJ1dG9ycz48YXV0aG9ycz48YXV0aG9yPlRo
dW5lLCBUYXJhbjwvYXV0aG9yPjwvYXV0aG9ycz48L2NvbnRyaWJ1dG9ycz48YWRkZWQtZGF0ZSBm
b3JtYXQ9InV0YyI+MTUyMjM0NDQ3NzwvYWRkZWQtZGF0ZT48cmVmLXR5cGUgbmFtZT0iSm91cm5h
bCBBcnRpY2xlIj4xNzwvcmVmLXR5cGU+PGRhdGVzPjx5ZWFyPjIwMTA8L3llYXI+PC9kYXRlcz48
cmVjLW51bWJlcj43NDI1PC9yZWMtbnVtYmVyPjxsYXN0LXVwZGF0ZWQtZGF0ZSBmb3JtYXQ9InV0
YyI+MTUyMjM0NDQ3NzwvbGFzdC11cGRhdGVkLWRhdGU+PGVsZWN0cm9uaWMtcmVzb3VyY2UtbnVt
PjEwLjEwMDcvczExMDI0LTAxMC05MTU4LTc8L2VsZWN0cm9uaWMtcmVzb3VyY2UtbnVtPjx2b2x1
bWU+NDg8L3ZvbHVtZT48L3JlY29yZD48L0NpdGU+PC9FbmROb3RlPgB=
</w:fldData>
        </w:fldChar>
      </w:r>
      <w:r w:rsidR="00AF7243">
        <w:rPr>
          <w:iCs/>
          <w:sz w:val="24"/>
          <w:szCs w:val="24"/>
        </w:rPr>
        <w:instrText xml:space="preserve"> ADDIN EN.CITE </w:instrText>
      </w:r>
      <w:r w:rsidR="00AF7243">
        <w:rPr>
          <w:iCs/>
          <w:sz w:val="24"/>
          <w:szCs w:val="24"/>
        </w:rPr>
        <w:fldChar w:fldCharType="begin">
          <w:fldData xml:space="preserve">PEVuZE5vdGU+PENpdGU+PEF1dGhvcj5BZGtpbnM8L0F1dGhvcj48WWVhcj4yMDA5PC9ZZWFyPjxJ
RFRleHQ+UGhEIFBlZGFnb2d5IGFuZCB0aGUgQ2hhbmdpbmcgS25vd2xlZGdlIExhbmRzY2FwZXMg
b2YgVW5pdmVyc2l0aWVzPC9JRFRleHQ+PERpc3BsYXlUZXh0PihBZGtpbnMsIDIwMDk7IEhhbmNv
Y2ssIEh1Z2hlcywgJmFtcDsgV2Fsc2gsIDIwMTc7IEhhbmNvY2sgJmFtcDsgV2Fsc2gsIDIwMTQ7
IEhlbmtlbCwgMjAwNDsgTWVuZG96YSwgMjAwNzsgVGh1bmUsIDIwMTApPC9EaXNwbGF5VGV4dD48
cmVjb3JkPjxrZXl3b3Jkcz48a2V5d29yZD5Tb2NpYWwgU2NpZW5jZXM8L2tleXdvcmQ+PGtleXdv
cmQ+UG9saXRpY3MgT2YgRWR1Y2F0aW9uPC9rZXl3b3JkPjxrZXl3b3JkPkh1bWFuaXRpZXM8L2tl
eXdvcmQ+PGtleXdvcmQ+RG9jdG9yYWwgRGVncmVlczwva2V5d29yZD48a2V5d29yZD5Eb2N0b3Jh
bCBQcm9ncmFtczwva2V5d29yZD48a2V5d29yZD5FZHVjYXRpb25hbCBDaGFuZ2U8L2tleXdvcmQ+
PGtleXdvcmQ+SW50ZXJkaXNjaXBsaW5hcnkgQXBwcm9hY2g8L2tleXdvcmQ+PGtleXdvcmQ+U3Vw
ZXJ2aXNpb248L2tleXdvcmQ+PGtleXdvcmQ+U3VwZXJ2aXNvciBTdXBlcnZpc2VlIFJlbGF0aW9u
c2hpcDwva2V5d29yZD48a2V5d29yZD5TY2hvbGFyc2hpcDwva2V5d29yZD48a2V5d29yZD5Qb3N0
c2Vjb25kYXJ5IEVkdWNhdGlvbiBBcyBBIEZpZWxkIE9mIFN0dWR5PC9rZXl3b3JkPjxrZXl3b3Jk
PkZ1c2VkIEN1cnJpY3VsdW08L2tleXdvcmQ+PGtleXdvcmQ+Rm9yZWlnbiBDb3VudHJpZXM8L2tl
eXdvcmQ+PC9rZXl3b3Jkcz48aXNibj4wNzI5LTQzNjA8L2lzYm4+PHRpdGxlcz48dGl0bGU+UGhE
IFBlZGFnb2d5IGFuZCB0aGUgQ2hhbmdpbmcgS25vd2xlZGdlIExhbmRzY2FwZXMgb2YgVW5pdmVy
c2l0aWVzPC90aXRsZT48c2Vjb25kYXJ5LXRpdGxlPkhpZ2hlciBFZHVjYXRpb24gUmVzZWFyY2gg
YW5kIERldmVsb3BtZW50PC9zZWNvbmRhcnktdGl0bGU+PC90aXRsZXM+PHBhZ2VzPjE2NS0xNzc8
L3BhZ2VzPjxudW1iZXI+MjwvbnVtYmVyPjxjb250cmlidXRvcnM+PGF1dGhvcnM+PGF1dGhvcj5B
ZGtpbnMsIEJhcmJhcmE8L2F1dGhvcj48L2F1dGhvcnM+PC9jb250cmlidXRvcnM+PGFkZGVkLWRh
dGUgZm9ybWF0PSJ1dGMiPjE1Mjc3ODkzNjk8L2FkZGVkLWRhdGU+PHJlZi10eXBlIG5hbWU9Ikpv
dXJuYWwgQXJ0aWNsZSI+MTc8L3JlZi10eXBlPjxkYXRlcz48eWVhcj4yMDA5PC95ZWFyPjwvZGF0
ZXM+PHJlYy1udW1iZXI+NzUzNjwvcmVjLW51bWJlcj48bGFzdC11cGRhdGVkLWRhdGUgZm9ybWF0
PSJ1dGMiPjE1Mjc3ODkzNjk8L2xhc3QtdXBkYXRlZC1kYXRlPjxlbGVjdHJvbmljLXJlc291cmNl
LW51bT4xMC4xMDgwLzA3Mjk0MzYwOTAyNzI1MDQxPC9lbGVjdHJvbmljLXJlc291cmNlLW51bT48
dm9sdW1lPjI4PC92b2x1bWU+PC9yZWNvcmQ+PC9DaXRlPjxDaXRlPjxBdXRob3I+SGFuY29jazwv
QXV0aG9yPjxZZWFyPjIwMTQ8L1llYXI+PElEVGV4dD5CZXlvbmQga25vd2xlZGdlIGFuZCBza2ls
bHM6IHJldGhpbmtpbmcgdGhlIGRldmVsb3BtZW50IG9mIHByb2Zlc3Npb25hbCBpZGVudGl0eSBk
dXJpbmcgdGhlIFNURU0gZG9jdG9yYXRlPC9JRFRleHQ+PHJlY29yZD48a2V5d29yZHM+PGtleXdv
cmQ+U1RFTSBQaEQ8L2tleXdvcmQ+PGtleXdvcmQ+a25vd2xlZGdlIGVjb25vbXk8L2tleXdvcmQ+
PGtleXdvcmQ+cHJvZmVzc2lvbmFsIGlkZW50aXR5PC9rZXl3b3JkPjxrZXl3b3JkPnNjaWVuY2U8
L2tleXdvcmQ+PGtleXdvcmQ+dHJhbnNmZXJhYmxlIHNraWxsczwva2V5d29yZD48L2tleXdvcmRz
Pjx1cmxzPjxyZWxhdGVkLXVybHM+PHVybD5odHRwOi8vd3d3LnNjb3B1cy5jb20vaW53YXJkL3Jl
Y29yZC51cmw/ZWlkPTItczIuMC04NDkwMjc0MTAzNiZhbXA7cGFydG5lcklEPXRaT3R4M3kxPC91
cmw+PC9yZWxhdGVkLXVybHM+PC91cmxzPjx0aXRsZXM+PHRpdGxlPkJleW9uZCBrbm93bGVkZ2Ug
YW5kIHNraWxsczogcmV0aGlua2luZyB0aGUgZGV2ZWxvcG1lbnQgb2YgcHJvZmVzc2lvbmFsIGlk
ZW50aXR5IGR1cmluZyB0aGUgU1RFTSBkb2N0b3JhdGU8L3RpdGxlPjxzZWNvbmRhcnktdGl0bGU+
U3R1ZGllcyBpbiBIaWdoZXIgRWR1Y2F0aW9uPC9zZWNvbmRhcnktdGl0bGU+PC90aXRsZXM+PHBh
Z2VzPjEtMTQ8L3BhZ2VzPjx1cmxzPjxwZGYtdXJscz48dXJsPmZpbGU6Ly8vQzovVXNlcnMvZWxp
ZWxfMDAwL0RvY3VtZW50cy9BY2FkZW1pYy9QaEQvU1RFTS9TVEVNIFBoRCBpZGVudGl0eS5wZGY8
L3VybD48L3BkZi11cmxzPjwvdXJscz48bnVtYmVyPkZlYnJ1YXJ5IDIwMTU8L251bWJlcj48Y29u
dHJpYnV0b3JzPjxhdXRob3JzPjxhdXRob3I+SGFuY29jaywgU2FsbHk8L2F1dGhvcj48YXV0aG9y
PldhbHNoLCBFbGFpbmU8L2F1dGhvcj48L2F1dGhvcnM+PC9jb250cmlidXRvcnM+PGFkZGVkLWRh
dGUgZm9ybWF0PSJ1dGMiPjE0NTI3MjI0MjQ8L2FkZGVkLWRhdGU+PHJlZi10eXBlIG5hbWU9Ikpv
dXJuYWwgQXJ0aWNsZSI+MTc8L3JlZi10eXBlPjxkYXRlcz48eWVhcj4yMDE0PC95ZWFyPjwvZGF0
ZXM+PHJlYy1udW1iZXI+NzE8L3JlYy1udW1iZXI+PGxhc3QtdXBkYXRlZC1kYXRlIGZvcm1hdD0i
dXRjIj4xNDY5MjI5ODY4PC9sYXN0LXVwZGF0ZWQtZGF0ZT48ZWxlY3Ryb25pYy1yZXNvdXJjZS1u
dW0+MTAuMTA4MC8wMzA3NTA3OS4yMDE0LjkxNTMwMTwvZWxlY3Ryb25pYy1yZXNvdXJjZS1udW0+
PHZvbHVtZT41MDc5PC92b2x1bWU+PC9yZWNvcmQ+PC9DaXRlPjxDaXRlPjxBdXRob3I+SGFuY29j
azwvQXV0aG9yPjxZZWFyPjIwMTc8L1llYXI+PElEVGV4dD5QdXJpc3Qgb3IgcHJhZ21hdGlzdD8g
VUsgZG9jdG9yYWwgc2NpZW50aXN0c+KAmSBtb3JhbCBwb3NpdGlvbnMgb24gdGhlIGtub3dsZWRn
ZSBlY29ub215PC9JRFRleHQ+PHJlY29yZD48a2V5d29yZHM+PGtleXdvcmQ+QXJ0aWNsZTwva2V5
d29yZD48a2V5d29yZD5Eb2N0b3JhdGU8L2tleXdvcmQ+PGtleXdvcmQ+S25vd2xlZGdlIEVjb25v
bXk8L2tleXdvcmQ+PGtleXdvcmQ+U2NpZW5jZSBDYXJlZXJzPC9rZXl3b3JkPjxrZXl3b3JkPlBv
c3RncmFkdWF0ZXM8L2tleXdvcmQ+PGtleXdvcmQ+QWNhZGVtaWMgSWRlbnRpdHk8L2tleXdvcmQ+
PC9rZXl3b3Jkcz48aXNibj4wMzA3LTUwNzk8L2lzYm4+PHRpdGxlcz48dGl0bGU+UHVyaXN0IG9y
IHByYWdtYXRpc3Q/IFVLIGRvY3RvcmFsIHNjaWVudGlzdHPigJkgbW9yYWwgcG9zaXRpb25zIG9u
IHRoZSBrbm93bGVkZ2UgZWNvbm9teTwvdGl0bGU+PHNlY29uZGFyeS10aXRsZT5TdHVkaWVzIGlu
IEhpZ2hlciBFZHVjYXRpb248L3NlY29uZGFyeS10aXRsZT48L3RpdGxlcz48cGFnZXM+MTI0NC0x
MjU4PC9wYWdlcz48bnVtYmVyPjc8L251bWJlcj48Y29udHJpYnV0b3JzPjxhdXRob3JzPjxhdXRo
b3I+SGFuY29jaywgU2FsbHk8L2F1dGhvcj48YXV0aG9yPkh1Z2hlcywgR3d5bmV0aDwvYXV0aG9y
PjxhdXRob3I+V2Fsc2gsIEVsYWluZTwvYXV0aG9yPjwvYXV0aG9ycz48L2NvbnRyaWJ1dG9ycz48
YWRkZWQtZGF0ZSBmb3JtYXQ9InV0YyI+MTU1MDc0NzUyODwvYWRkZWQtZGF0ZT48cmVmLXR5cGUg
bmFtZT0iSm91cm5hbCBBcnRpY2xlIj4xNzwvcmVmLXR5cGU+PGRhdGVzPjx5ZWFyPjIwMTc8L3ll
YXI+PC9kYXRlcz48cmVjLW51bWJlcj43NzU0PC9yZWMtbnVtYmVyPjxwdWJsaXNoZXI+Um91dGxl
ZGdlPC9wdWJsaXNoZXI+PGxhc3QtdXBkYXRlZC1kYXRlIGZvcm1hdD0idXRjIj4xNTUwNzQ3NTI4
PC9sYXN0LXVwZGF0ZWQtZGF0ZT48ZWxlY3Ryb25pYy1yZXNvdXJjZS1udW0+MTAuMTA4MC8wMzA3
NTA3OS4yMDE1LjEwODc5OTQ8L2VsZWN0cm9uaWMtcmVzb3VyY2UtbnVtPjx2b2x1bWU+NDI8L3Zv
bHVtZT48L3JlY29yZD48L0NpdGU+PENpdGU+PEF1dGhvcj5NZW5kb3phPC9BdXRob3I+PFllYXI+
MjAwNzwvWWVhcj48SURUZXh0PkFjYWRlbWljIENhcGl0YWxpc20gYW5kIERvY3RvcmFsIFN0dWRl
bnQgU29jaWFsaXphdGlvbjogQSBDYXNlIFN0dWR5PC9JRFRleHQ+PHJlY29yZD48a2V5d29yZHM+
PGtleXdvcmQ+R3JhZHVhdGUgU3R1ZGVudHMgLS0gVW5pdGVkIFN0YXRlcyAtLSBBdHRpdHVkZXM8
L2tleXdvcmQ+PGtleXdvcmQ+UHJvZmVzc2lvbmFsIFNvY2lhbGl6YXRpb24gLS0gVW5pdGVkIFN0
YXRlczwva2V5d29yZD48a2V5d29yZD5BY2FkZW1pYy1JbmR1c3RyaWFsIENvbGxhYm9yYXRpb24g
LS0gVW5pdGVkIFN0YXRlczwva2V5d29yZD48L2tleXdvcmRzPjxpc2JuPjAwMjItMTU0NjwvaXNi
bj48dGl0bGVzPjx0aXRsZT5BY2FkZW1pYyBDYXBpdGFsaXNtIGFuZCBEb2N0b3JhbCBTdHVkZW50
IFNvY2lhbGl6YXRpb246IEEgQ2FzZSBTdHVkeTwvdGl0bGU+PHNlY29uZGFyeS10aXRsZT5UaGUg
Sm91cm5hbCBvZiBIaWdoZXIgRWR1Y2F0aW9uPC9zZWNvbmRhcnktdGl0bGU+PC90aXRsZXM+PHBh
Z2VzPjcxLTk2PC9wYWdlcz48bnVtYmVyPjE8L251bWJlcj48Y29udHJpYnV0b3JzPjxhdXRob3Jz
PjxhdXRob3I+TWVuZG96YSwgUGlsYXI8L2F1dGhvcj48L2F1dGhvcnM+PC9jb250cmlidXRvcnM+
PGFkZGVkLWRhdGUgZm9ybWF0PSJ1dGMiPjE0NTg2ODg5MzE8L2FkZGVkLWRhdGU+PHJlZi10eXBl
IG5hbWU9IkpvdXJuYWwgQXJ0aWNsZSI+MTc8L3JlZi10eXBlPjxkYXRlcz48eWVhcj4yMDA3PC95
ZWFyPjwvZGF0ZXM+PHJlYy1udW1iZXI+MzE2PC9yZWMtbnVtYmVyPjxsYXN0LXVwZGF0ZWQtZGF0
ZSBmb3JtYXQ9InV0YyI+MTQ2OTIyOTg2ODwvbGFzdC11cGRhdGVkLWRhdGU+PHZvbHVtZT43ODwv
dm9sdW1lPjwvcmVjb3JkPjwvQ2l0ZT48Q2l0ZT48QXV0aG9yPkhlbmtlbDwvQXV0aG9yPjxZZWFy
PjIwMDQ8L1llYXI+PElEVGV4dD5DdXJyZW50IFNjaWVuY2UgUG9saWNpZXMgYW5kIHRoZWlyIElt
cGxpY2F0aW9ucyBmb3IgdGhlIEZvcm1hdGlvbiBhbmQgTWFpbnRlbmFuY2Ugb2YgQWNhZGVtaWMg
SWRlbnRpdHk8L0lEVGV4dD48cmVjb3JkPjxpc2JuPjA5NTItODczMzwvaXNibj48dGl0bGVzPjx0
aXRsZT5DdXJyZW50IFNjaWVuY2UgUG9saWNpZXMgYW5kIHRoZWlyIEltcGxpY2F0aW9ucyBmb3Ig
dGhlIEZvcm1hdGlvbiBhbmQgTWFpbnRlbmFuY2Ugb2YgQWNhZGVtaWMgSWRlbnRpdHk8L3RpdGxl
PjxzZWNvbmRhcnktdGl0bGU+SGlnaGVyIEVkdWNhdGlvbiBQb2xpY3k8L3NlY29uZGFyeS10aXRs
ZT48L3RpdGxlcz48cGFnZXM+MTY3PC9wYWdlcz48bnVtYmVyPjI8L251bWJlcj48Y29udHJpYnV0
b3JzPjxhdXRob3JzPjxhdXRob3I+SGVua2VsLCBNYXJ5PC9hdXRob3I+PC9hdXRob3JzPjwvY29u
dHJpYnV0b3JzPjxhZGRlZC1kYXRlIGZvcm1hdD0idXRjIj4xNTI2MDc2NDY1PC9hZGRlZC1kYXRl
PjxyZWYtdHlwZSBuYW1lPSJKb3VybmFsIEFydGljbGUiPjE3PC9yZWYtdHlwZT48ZGF0ZXM+PHll
YXI+MjAwNDwveWVhcj48L2RhdGVzPjxyZWMtbnVtYmVyPjc1MTk8L3JlYy1udW1iZXI+PGxhc3Qt
dXBkYXRlZC1kYXRlIGZvcm1hdD0idXRjIj4xNTI2MDc3MTY0PC9sYXN0LXVwZGF0ZWQtZGF0ZT48
ZWxlY3Ryb25pYy1yZXNvdXJjZS1udW0+MTAuMTA1Ny9wYWxncmF2ZS5oZXAuODMwMDA0OTwvZWxl
Y3Ryb25pYy1yZXNvdXJjZS1udW0+PHZvbHVtZT4xNzwvdm9sdW1lPjwvcmVjb3JkPjwvQ2l0ZT48
Q2l0ZT48QXV0aG9yPkFka2luczwvQXV0aG9yPjxZZWFyPjIwMDk8L1llYXI+PElEVGV4dD5QaEQg
UGVkYWdvZ3kgYW5kIHRoZSBDaGFuZ2luZyBLbm93bGVkZ2UgTGFuZHNjYXBlcyBvZiBVbml2ZXJz
aXRpZXM8L0lEVGV4dD48cmVjb3JkPjxrZXl3b3Jkcz48a2V5d29yZD5Tb2NpYWwgU2NpZW5jZXM8
L2tleXdvcmQ+PGtleXdvcmQ+UG9saXRpY3MgT2YgRWR1Y2F0aW9uPC9rZXl3b3JkPjxrZXl3b3Jk
Pkh1bWFuaXRpZXM8L2tleXdvcmQ+PGtleXdvcmQ+RG9jdG9yYWwgRGVncmVlczwva2V5d29yZD48
a2V5d29yZD5Eb2N0b3JhbCBQcm9ncmFtczwva2V5d29yZD48a2V5d29yZD5FZHVjYXRpb25hbCBD
aGFuZ2U8L2tleXdvcmQ+PGtleXdvcmQ+SW50ZXJkaXNjaXBsaW5hcnkgQXBwcm9hY2g8L2tleXdv
cmQ+PGtleXdvcmQ+U3VwZXJ2aXNpb248L2tleXdvcmQ+PGtleXdvcmQ+U3VwZXJ2aXNvciBTdXBl
cnZpc2VlIFJlbGF0aW9uc2hpcDwva2V5d29yZD48a2V5d29yZD5TY2hvbGFyc2hpcDwva2V5d29y
ZD48a2V5d29yZD5Qb3N0c2Vjb25kYXJ5IEVkdWNhdGlvbiBBcyBBIEZpZWxkIE9mIFN0dWR5PC9r
ZXl3b3JkPjxrZXl3b3JkPkZ1c2VkIEN1cnJpY3VsdW08L2tleXdvcmQ+PGtleXdvcmQ+Rm9yZWln
biBDb3VudHJpZXM8L2tleXdvcmQ+PC9rZXl3b3Jkcz48aXNibj4wNzI5LTQzNjA8L2lzYm4+PHRp
dGxlcz48dGl0bGU+UGhEIFBlZGFnb2d5IGFuZCB0aGUgQ2hhbmdpbmcgS25vd2xlZGdlIExhbmRz
Y2FwZXMgb2YgVW5pdmVyc2l0aWVzPC90aXRsZT48c2Vjb25kYXJ5LXRpdGxlPkhpZ2hlciBFZHVj
YXRpb24gUmVzZWFyY2ggYW5kIERldmVsb3BtZW50PC9zZWNvbmRhcnktdGl0bGU+PC90aXRsZXM+
PHBhZ2VzPjE2NS0xNzc8L3BhZ2VzPjxudW1iZXI+MjwvbnVtYmVyPjxjb250cmlidXRvcnM+PGF1
dGhvcnM+PGF1dGhvcj5BZGtpbnMsIEJhcmJhcmE8L2F1dGhvcj48L2F1dGhvcnM+PC9jb250cmli
dXRvcnM+PGFkZGVkLWRhdGUgZm9ybWF0PSJ1dGMiPjE1Mjc3ODkzNjk8L2FkZGVkLWRhdGU+PHJl
Zi10eXBlIG5hbWU9IkpvdXJuYWwgQXJ0aWNsZSI+MTc8L3JlZi10eXBlPjxkYXRlcz48eWVhcj4y
MDA5PC95ZWFyPjwvZGF0ZXM+PHJlYy1udW1iZXI+NzUzNjwvcmVjLW51bWJlcj48bGFzdC11cGRh
dGVkLWRhdGUgZm9ybWF0PSJ1dGMiPjE1Mjc3ODkzNjk8L2xhc3QtdXBkYXRlZC1kYXRlPjxlbGVj
dHJvbmljLXJlc291cmNlLW51bT4xMC4xMDgwLzA3Mjk0MzYwOTAyNzI1MDQxPC9lbGVjdHJvbmlj
LXJlc291cmNlLW51bT48dm9sdW1lPjI4PC92b2x1bWU+PC9yZWNvcmQ+PC9DaXRlPjxDaXRlPjxB
dXRob3I+VGh1bmU8L0F1dGhvcj48WWVhcj4yMDEwPC9ZZWFyPjxJRFRleHQ+VGhlIFRyYWluaW5n
IG9mICZxdW90O1RyaXBsZSBIZWxpeCBXb3JrZXJzJnF1b3Q7PyBEb2N0b3JhbCBTdHVkZW50cyBp
biBVbml2ZXJzaXR5LUluZHVzdHJ5LUdvdmVybm1lbnQgQ29sbGFib3JhdGlvbnM8L0lEVGV4dD48
cmVjb3JkPjxrZXl3b3Jkcz48a2V5d29yZD5HcmFkdWF0ZSBTdHVkZW50czwva2V5d29yZD48a2V5
d29yZD5Eb2N0b3JhbCBQcm9ncmFtczwva2V5d29yZD48a2V5d29yZD5Db21wZXRlbmNlPC9rZXl3
b3JkPjxrZXl3b3JkPlNjaWVudGlzdHM8L2tleXdvcmQ+PGtleXdvcmQ+UmVzZWFyY2hlcnM8L2tl
eXdvcmQ+PGtleXdvcmQ+U2Nob29sIEJ1c2luZXNzIFJlbGF0aW9uc2hpcDwva2V5d29yZD48a2V5
d29yZD5Hb3Zlcm5tZW50IFNjaG9vbCBSZWxhdGlvbnNoaXA8L2tleXdvcmQ+PGtleXdvcmQ+Q29v
cGVyYXRpb248L2tleXdvcmQ+PGtleXdvcmQ+UmVzZWFyY2ggQW5kIERldmVsb3BtZW50PC9rZXl3
b3JkPjwva2V5d29yZHM+PGlzYm4+MDAyNi00Njk1PC9pc2JuPjx0aXRsZXM+PHRpdGxlPlRoZSBU
cmFpbmluZyBvZiAmcXVvdDtUcmlwbGUgSGVsaXggV29ya2VycyZxdW90Oz8gRG9jdG9yYWwgU3R1
ZGVudHMgaW4gVW5pdmVyc2l0eS1JbmR1c3RyeS1Hb3Zlcm5tZW50IENvbGxhYm9yYXRpb25zPC90
aXRsZT48c2Vjb25kYXJ5LXRpdGxlPk1pbmVydmE6IEEgUmV2aWV3IG9mIFNjaWVuY2UsIExlYXJu
aW5nIGFuZCBQb2xpY3k8L3NlY29uZGFyeS10aXRsZT48L3RpdGxlcz48cGFnZXM+NDYzLTQ4Mzwv
cGFnZXM+PG51bWJlcj40PC9udW1iZXI+PGNvbnRyaWJ1dG9ycz48YXV0aG9ycz48YXV0aG9yPlRo
dW5lLCBUYXJhbjwvYXV0aG9yPjwvYXV0aG9ycz48L2NvbnRyaWJ1dG9ycz48YWRkZWQtZGF0ZSBm
b3JtYXQ9InV0YyI+MTUyMjM0NDQ3NzwvYWRkZWQtZGF0ZT48cmVmLXR5cGUgbmFtZT0iSm91cm5h
bCBBcnRpY2xlIj4xNzwvcmVmLXR5cGU+PGRhdGVzPjx5ZWFyPjIwMTA8L3llYXI+PC9kYXRlcz48
cmVjLW51bWJlcj43NDI1PC9yZWMtbnVtYmVyPjxsYXN0LXVwZGF0ZWQtZGF0ZSBmb3JtYXQ9InV0
YyI+MTUyMjM0NDQ3NzwvbGFzdC11cGRhdGVkLWRhdGU+PGVsZWN0cm9uaWMtcmVzb3VyY2UtbnVt
PjEwLjEwMDcvczExMDI0LTAxMC05MTU4LTc8L2VsZWN0cm9uaWMtcmVzb3VyY2UtbnVtPjx2b2x1
bWU+NDg8L3ZvbHVtZT48L3JlY29yZD48L0NpdGU+PC9FbmROb3RlPgB=
</w:fldData>
        </w:fldChar>
      </w:r>
      <w:r w:rsidR="00AF7243">
        <w:rPr>
          <w:iCs/>
          <w:sz w:val="24"/>
          <w:szCs w:val="24"/>
        </w:rPr>
        <w:instrText xml:space="preserve"> ADDIN EN.CITE.DATA </w:instrText>
      </w:r>
      <w:r w:rsidR="00AF7243">
        <w:rPr>
          <w:iCs/>
          <w:sz w:val="24"/>
          <w:szCs w:val="24"/>
        </w:rPr>
      </w:r>
      <w:r w:rsidR="00AF7243">
        <w:rPr>
          <w:iCs/>
          <w:sz w:val="24"/>
          <w:szCs w:val="24"/>
        </w:rPr>
        <w:fldChar w:fldCharType="end"/>
      </w:r>
      <w:r w:rsidR="00DC7B41">
        <w:rPr>
          <w:iCs/>
          <w:sz w:val="24"/>
          <w:szCs w:val="24"/>
        </w:rPr>
      </w:r>
      <w:r w:rsidR="00DC7B41">
        <w:rPr>
          <w:iCs/>
          <w:sz w:val="24"/>
          <w:szCs w:val="24"/>
        </w:rPr>
        <w:fldChar w:fldCharType="separate"/>
      </w:r>
      <w:r w:rsidR="00AF7243">
        <w:rPr>
          <w:iCs/>
          <w:noProof/>
          <w:sz w:val="24"/>
          <w:szCs w:val="24"/>
        </w:rPr>
        <w:t>(Adkins, 2009; Hancock, Hughes, &amp; Walsh, 2017; Hancock &amp; Walsh, 2014; Henkel, 2004; Mendoza, 2007; Thune, 2010)</w:t>
      </w:r>
      <w:r w:rsidR="00DC7B41">
        <w:rPr>
          <w:iCs/>
          <w:sz w:val="24"/>
          <w:szCs w:val="24"/>
        </w:rPr>
        <w:fldChar w:fldCharType="end"/>
      </w:r>
      <w:r w:rsidR="00DC7B41">
        <w:rPr>
          <w:iCs/>
          <w:sz w:val="24"/>
          <w:szCs w:val="24"/>
        </w:rPr>
        <w:t>, as students are having</w:t>
      </w:r>
      <w:r w:rsidR="00DC7B41" w:rsidRPr="00741D87">
        <w:rPr>
          <w:iCs/>
          <w:sz w:val="24"/>
          <w:szCs w:val="24"/>
        </w:rPr>
        <w:t xml:space="preserve"> </w:t>
      </w:r>
      <w:r w:rsidR="00DC7B41" w:rsidRPr="00741D87">
        <w:rPr>
          <w:color w:val="000000"/>
          <w:sz w:val="24"/>
          <w:szCs w:val="24"/>
        </w:rPr>
        <w:t xml:space="preserve">“entrepreneurial” </w:t>
      </w:r>
      <w:r w:rsidR="00DC7B41" w:rsidRPr="00741D87">
        <w:rPr>
          <w:color w:val="000000"/>
          <w:sz w:val="24"/>
          <w:szCs w:val="24"/>
        </w:rPr>
        <w:fldChar w:fldCharType="begin"/>
      </w:r>
      <w:r w:rsidR="002E0C3D">
        <w:rPr>
          <w:color w:val="000000"/>
          <w:sz w:val="24"/>
          <w:szCs w:val="24"/>
        </w:rPr>
        <w:instrText xml:space="preserve"> ADDIN EN.CITE &lt;EndNote&gt;&lt;Cite&gt;&lt;Author&gt;Papatsiba&lt;/Author&gt;&lt;Year&gt;2013&lt;/Year&gt;&lt;IDText&gt;Policy Goals of European Integration and Competitiveness in Academic Collaborations: An Examination of Joint Master&amp;apos;s and Erasmus Mundus Programmes&lt;/IDText&gt;&lt;Pages&gt;58&lt;/Pages&gt;&lt;DisplayText&gt;(Papatsiba, 2013a, p. 58)&lt;/DisplayText&gt;&lt;record&gt;&lt;keywords&gt;&lt;keyword&gt;competitiveness&lt;/keyword&gt;&lt;keyword&gt;convergence&lt;/keyword&gt;&lt;keyword&gt;european integration&lt;/keyword&gt;&lt;keyword&gt;internationalisation&lt;/keyword&gt;&lt;keyword&gt;joint master&lt;/keyword&gt;&lt;keyword&gt;s programmes&lt;/keyword&gt;&lt;/keywords&gt;&lt;urls&gt;&lt;related-urls&gt;&lt;url&gt;http://dx.doi.org/10.1057/hep.2013.13&lt;/url&gt;&lt;/related-urls&gt;&lt;/urls&gt;&lt;titles&gt;&lt;title&gt;Policy Goals of European Integration and Competitiveness in Academic Collaborations: An Examination of Joint Master&amp;apos;s and Erasmus Mundus Programmes&lt;/title&gt;&lt;secondary-title&gt;Higher Education Policy&lt;/secondary-title&gt;&lt;/titles&gt;&lt;pages&gt;43-64&lt;/pages&gt;&lt;number&gt;1&lt;/number&gt;&lt;contributors&gt;&lt;authors&gt;&lt;author&gt;Papatsiba, Vassiliki&lt;/author&gt;&lt;/authors&gt;&lt;/contributors&gt;&lt;added-date format="utc"&gt;1452722424&lt;/added-date&gt;&lt;ref-type name="Journal Article"&gt;17&lt;/ref-type&gt;&lt;dates&gt;&lt;year&gt;2013&lt;/year&gt;&lt;/dates&gt;&lt;rec-number&gt;110&lt;/rec-number&gt;&lt;publisher&gt;Nature Publishing Group&lt;/publisher&gt;&lt;last-updated-date format="utc"&gt;1553900909&lt;/last-updated-date&gt;&lt;electronic-resource-num&gt;10.1057/hep.2013.13&lt;/electronic-resource-num&gt;&lt;volume&gt;27&lt;/volume&gt;&lt;/record&gt;&lt;/Cite&gt;&lt;/EndNote&gt;</w:instrText>
      </w:r>
      <w:r w:rsidR="00DC7B41" w:rsidRPr="00741D87">
        <w:rPr>
          <w:color w:val="000000"/>
          <w:sz w:val="24"/>
          <w:szCs w:val="24"/>
        </w:rPr>
        <w:fldChar w:fldCharType="separate"/>
      </w:r>
      <w:r w:rsidR="002E0C3D">
        <w:rPr>
          <w:noProof/>
          <w:color w:val="000000"/>
          <w:sz w:val="24"/>
          <w:szCs w:val="24"/>
        </w:rPr>
        <w:t>(Papatsiba, 2013a, p. 58)</w:t>
      </w:r>
      <w:r w:rsidR="00DC7B41" w:rsidRPr="00741D87">
        <w:rPr>
          <w:color w:val="000000"/>
          <w:sz w:val="24"/>
          <w:szCs w:val="24"/>
        </w:rPr>
        <w:fldChar w:fldCharType="end"/>
      </w:r>
      <w:r w:rsidR="00DC7B41" w:rsidRPr="00741D87">
        <w:rPr>
          <w:color w:val="000000"/>
          <w:sz w:val="24"/>
          <w:szCs w:val="24"/>
        </w:rPr>
        <w:t xml:space="preserve"> identities </w:t>
      </w:r>
      <w:r w:rsidR="004F1E70">
        <w:rPr>
          <w:color w:val="000000"/>
          <w:sz w:val="24"/>
          <w:szCs w:val="24"/>
        </w:rPr>
        <w:t>impos</w:t>
      </w:r>
      <w:r w:rsidR="00DC7B41" w:rsidRPr="00741D87">
        <w:rPr>
          <w:color w:val="000000"/>
          <w:sz w:val="24"/>
          <w:szCs w:val="24"/>
        </w:rPr>
        <w:t xml:space="preserve">ed upon them by national </w:t>
      </w:r>
      <w:r w:rsidR="00DC7B41">
        <w:rPr>
          <w:color w:val="000000"/>
          <w:sz w:val="24"/>
          <w:szCs w:val="24"/>
        </w:rPr>
        <w:t xml:space="preserve">and supranational policy agendas. </w:t>
      </w:r>
      <w:r w:rsidR="00DC7B41">
        <w:rPr>
          <w:iCs/>
          <w:sz w:val="24"/>
          <w:szCs w:val="24"/>
        </w:rPr>
        <w:t xml:space="preserve">While some see this as an important and legitimate goal of doctoral education given the reality that most doctoral graduates leave academia (Hancock, Hughes &amp; Walsh, 2017; Hancock &amp; Walsh, 2014), critics argue that such ‘genericism’ could diminish the distinctive scientific value of  higher education and, therefore, have a perverse effect on the stock of human knowledge and the criticality and innovativeness of graduates (Beck &amp; Young, 2005; Young, 2008). </w:t>
      </w:r>
    </w:p>
    <w:p w14:paraId="07F09402" w14:textId="7C609E77" w:rsidR="004D2809" w:rsidRDefault="00DC7B41" w:rsidP="00C400A7">
      <w:pPr>
        <w:pStyle w:val="Standard"/>
        <w:widowControl w:val="0"/>
        <w:spacing w:after="120" w:line="360" w:lineRule="auto"/>
        <w:rPr>
          <w:sz w:val="24"/>
          <w:szCs w:val="24"/>
        </w:rPr>
      </w:pPr>
      <w:r>
        <w:rPr>
          <w:rFonts w:ascii="Times New Roman" w:hAnsi="Times New Roman"/>
          <w:sz w:val="24"/>
          <w:szCs w:val="24"/>
        </w:rPr>
        <w:t>The role of boundary-spanners therefore throws up several of the same issues and tensions of other of the forms of boundary transactions discussed above. But these are heightened when students come to take on the role of (potential) boundary-spanners</w:t>
      </w:r>
      <w:r w:rsidR="000E522A">
        <w:rPr>
          <w:rFonts w:ascii="Times New Roman" w:hAnsi="Times New Roman"/>
          <w:sz w:val="24"/>
          <w:szCs w:val="24"/>
        </w:rPr>
        <w:t xml:space="preserve"> and the effects of research-related boundary transactions come to impact upon the university’s teaching mission. </w:t>
      </w:r>
      <w:r>
        <w:rPr>
          <w:rFonts w:ascii="Times New Roman" w:hAnsi="Times New Roman"/>
          <w:sz w:val="24"/>
          <w:szCs w:val="24"/>
        </w:rPr>
        <w:t xml:space="preserve"> </w:t>
      </w:r>
    </w:p>
    <w:p w14:paraId="3DF8BDC4" w14:textId="4F68AD38" w:rsidR="00245647" w:rsidRDefault="00FD2D27" w:rsidP="008705A8">
      <w:pPr>
        <w:pStyle w:val="Heading2"/>
      </w:pPr>
      <w:bookmarkStart w:id="42" w:name="_Toc536717929"/>
      <w:bookmarkStart w:id="43" w:name="_Toc31701954"/>
      <w:r>
        <w:t>B</w:t>
      </w:r>
      <w:r w:rsidR="0062253F">
        <w:t>oundary transaction</w:t>
      </w:r>
      <w:r w:rsidR="00C16C17">
        <w:t>s</w:t>
      </w:r>
      <w:r w:rsidR="0062253F">
        <w:t xml:space="preserve"> in</w:t>
      </w:r>
      <w:r>
        <w:t xml:space="preserve"> context:</w:t>
      </w:r>
      <w:r w:rsidR="008D3C32">
        <w:t xml:space="preserve"> </w:t>
      </w:r>
      <w:r>
        <w:t>the</w:t>
      </w:r>
      <w:r w:rsidR="0062253F">
        <w:t xml:space="preserve"> multi-dimensional</w:t>
      </w:r>
      <w:r>
        <w:t>ity of research</w:t>
      </w:r>
      <w:bookmarkEnd w:id="43"/>
    </w:p>
    <w:p w14:paraId="271460CC" w14:textId="16FB094D" w:rsidR="00C0331C" w:rsidRPr="00C0331C" w:rsidRDefault="00C0331C" w:rsidP="00C0331C">
      <w:pPr>
        <w:pStyle w:val="Heading3"/>
      </w:pPr>
      <w:bookmarkStart w:id="44" w:name="_Toc31701955"/>
      <w:r>
        <w:t>The complexity of</w:t>
      </w:r>
      <w:r w:rsidR="00135D56">
        <w:t xml:space="preserve"> research</w:t>
      </w:r>
      <w:r>
        <w:t xml:space="preserve"> </w:t>
      </w:r>
      <w:r w:rsidR="005F7095">
        <w:t>and research knowledge</w:t>
      </w:r>
      <w:bookmarkEnd w:id="44"/>
    </w:p>
    <w:p w14:paraId="10AF926D" w14:textId="7852DA35" w:rsidR="00BA2A2A" w:rsidRDefault="00FB3F88" w:rsidP="00D00EBB">
      <w:pPr>
        <w:autoSpaceDE w:val="0"/>
        <w:autoSpaceDN w:val="0"/>
        <w:adjustRightInd w:val="0"/>
        <w:spacing w:before="120" w:after="120" w:line="360" w:lineRule="auto"/>
        <w:rPr>
          <w:sz w:val="24"/>
          <w:szCs w:val="24"/>
        </w:rPr>
      </w:pPr>
      <w:r>
        <w:rPr>
          <w:sz w:val="24"/>
          <w:szCs w:val="24"/>
        </w:rPr>
        <w:t>R</w:t>
      </w:r>
      <w:r w:rsidR="00A058F7">
        <w:rPr>
          <w:sz w:val="24"/>
          <w:szCs w:val="24"/>
        </w:rPr>
        <w:t>esearch is complex and “multi-dimensional” (McNie et al. 2016, p. 885).</w:t>
      </w:r>
      <w:r w:rsidR="008B4B77">
        <w:rPr>
          <w:sz w:val="24"/>
          <w:szCs w:val="24"/>
        </w:rPr>
        <w:t xml:space="preserve"> </w:t>
      </w:r>
      <w:r w:rsidR="00896658">
        <w:rPr>
          <w:sz w:val="24"/>
          <w:szCs w:val="24"/>
        </w:rPr>
        <w:t xml:space="preserve">At root, this complexity is derived from </w:t>
      </w:r>
      <w:r w:rsidR="008B4B77">
        <w:rPr>
          <w:sz w:val="24"/>
          <w:szCs w:val="24"/>
        </w:rPr>
        <w:t>the “polyvalence” of knowledge</w:t>
      </w:r>
      <w:r w:rsidR="000C2EF9">
        <w:rPr>
          <w:sz w:val="24"/>
          <w:szCs w:val="24"/>
        </w:rPr>
        <w:t xml:space="preserve"> </w:t>
      </w:r>
      <w:r w:rsidR="000C2EF9">
        <w:rPr>
          <w:sz w:val="24"/>
          <w:szCs w:val="24"/>
        </w:rPr>
        <w:fldChar w:fldCharType="begin"/>
      </w:r>
      <w:r w:rsidR="000C2EF9">
        <w:rPr>
          <w:sz w:val="24"/>
          <w:szCs w:val="24"/>
        </w:rPr>
        <w:instrText xml:space="preserve"> ADDIN EN.CITE &lt;EndNote&gt;&lt;Cite&gt;&lt;Author&gt;Etzkowitz&lt;/Author&gt;&lt;Year&gt;2010&lt;/Year&gt;&lt;IDText&gt;Polyvalent Knowledge and the Entrepreneurial University: A Third Academic Revolution?&lt;/IDText&gt;&lt;Pages&gt;596&lt;/Pages&gt;&lt;DisplayText&gt;(Etzkowitz &amp;amp; Viale, 2010, p. 596)&lt;/DisplayText&gt;&lt;record&gt;&lt;keywords&gt;&lt;keyword&gt;Entrepreneurial Scientist&lt;/keyword&gt;&lt;keyword&gt;Entrepreneurial University&lt;/keyword&gt;&lt;keyword&gt;Industrial Revolutions&lt;/keyword&gt;&lt;keyword&gt;Polyvalent Knowledge&lt;/keyword&gt;&lt;keyword&gt;Triple Helix&lt;/keyword&gt;&lt;keyword&gt;Sociology &amp;amp; Social History&lt;/keyword&gt;&lt;/keywords&gt;&lt;isbn&gt;0896-9205&lt;/isbn&gt;&lt;titles&gt;&lt;title&gt;Polyvalent Knowledge and the Entrepreneurial University: A Third Academic Revolution?&lt;/title&gt;&lt;secondary-title&gt;Critical Sociology&lt;/secondary-title&gt;&lt;/titles&gt;&lt;pages&gt;595-609&lt;/pages&gt;&lt;number&gt;4&lt;/number&gt;&lt;contributors&gt;&lt;authors&gt;&lt;author&gt;Etzkowitz, Henry&lt;/author&gt;&lt;author&gt;Viale, Riccardo&lt;/author&gt;&lt;/authors&gt;&lt;/contributors&gt;&lt;added-date format="utc"&gt;1555607925&lt;/added-date&gt;&lt;pub-location&gt;London, England&lt;/pub-location&gt;&lt;ref-type name="Journal Article"&gt;17&lt;/ref-type&gt;&lt;dates&gt;&lt;year&gt;2010&lt;/year&gt;&lt;/dates&gt;&lt;rec-number&gt;7767&lt;/rec-number&gt;&lt;last-updated-date format="utc"&gt;1555607925&lt;/last-updated-date&gt;&lt;electronic-resource-num&gt;10.1177/0896920510365921&lt;/electronic-resource-num&gt;&lt;volume&gt;36&lt;/volume&gt;&lt;/record&gt;&lt;/Cite&gt;&lt;/EndNote&gt;</w:instrText>
      </w:r>
      <w:r w:rsidR="000C2EF9">
        <w:rPr>
          <w:sz w:val="24"/>
          <w:szCs w:val="24"/>
        </w:rPr>
        <w:fldChar w:fldCharType="separate"/>
      </w:r>
      <w:r w:rsidR="000C2EF9">
        <w:rPr>
          <w:noProof/>
          <w:sz w:val="24"/>
          <w:szCs w:val="24"/>
        </w:rPr>
        <w:t>(Etzkowitz &amp; Viale, 2010, p. 596)</w:t>
      </w:r>
      <w:r w:rsidR="000C2EF9">
        <w:rPr>
          <w:sz w:val="24"/>
          <w:szCs w:val="24"/>
        </w:rPr>
        <w:fldChar w:fldCharType="end"/>
      </w:r>
      <w:r w:rsidR="006161A5">
        <w:rPr>
          <w:sz w:val="24"/>
          <w:szCs w:val="24"/>
        </w:rPr>
        <w:t>.</w:t>
      </w:r>
      <w:r w:rsidR="00DF2C82">
        <w:rPr>
          <w:sz w:val="24"/>
          <w:szCs w:val="24"/>
        </w:rPr>
        <w:t xml:space="preserve"> </w:t>
      </w:r>
      <w:r w:rsidR="006E46F2">
        <w:rPr>
          <w:sz w:val="24"/>
          <w:szCs w:val="24"/>
        </w:rPr>
        <w:t xml:space="preserve">Research knowledge </w:t>
      </w:r>
      <w:r w:rsidR="00DF2C82">
        <w:rPr>
          <w:sz w:val="24"/>
          <w:szCs w:val="24"/>
        </w:rPr>
        <w:t>does not belong only to the individual or organisational context in which it is generated</w:t>
      </w:r>
      <w:r w:rsidR="00EA7439">
        <w:rPr>
          <w:sz w:val="24"/>
          <w:szCs w:val="24"/>
        </w:rPr>
        <w:t>,</w:t>
      </w:r>
      <w:r w:rsidR="006F75D0">
        <w:rPr>
          <w:sz w:val="24"/>
          <w:szCs w:val="24"/>
        </w:rPr>
        <w:t xml:space="preserve"> and </w:t>
      </w:r>
      <w:r w:rsidR="006E46F2">
        <w:rPr>
          <w:sz w:val="24"/>
          <w:szCs w:val="24"/>
        </w:rPr>
        <w:t xml:space="preserve">it </w:t>
      </w:r>
      <w:r w:rsidR="00DF2C82">
        <w:rPr>
          <w:sz w:val="24"/>
          <w:szCs w:val="24"/>
        </w:rPr>
        <w:t xml:space="preserve">can be conceptualised in terms of both </w:t>
      </w:r>
      <w:r w:rsidR="00294915">
        <w:rPr>
          <w:sz w:val="24"/>
          <w:szCs w:val="24"/>
        </w:rPr>
        <w:t xml:space="preserve">its </w:t>
      </w:r>
      <w:r w:rsidR="00DF2C82">
        <w:rPr>
          <w:sz w:val="24"/>
          <w:szCs w:val="24"/>
        </w:rPr>
        <w:t>theoretical and</w:t>
      </w:r>
      <w:r w:rsidR="00294915">
        <w:rPr>
          <w:sz w:val="24"/>
          <w:szCs w:val="24"/>
        </w:rPr>
        <w:t xml:space="preserve"> potential</w:t>
      </w:r>
      <w:r w:rsidR="00DF2C82">
        <w:rPr>
          <w:sz w:val="24"/>
          <w:szCs w:val="24"/>
        </w:rPr>
        <w:t xml:space="preserve"> practical relevance</w:t>
      </w:r>
      <w:r w:rsidR="00294915">
        <w:rPr>
          <w:sz w:val="24"/>
          <w:szCs w:val="24"/>
        </w:rPr>
        <w:t xml:space="preserve"> (however distant either of these may first appear)</w:t>
      </w:r>
      <w:r w:rsidR="00425FA2">
        <w:rPr>
          <w:sz w:val="24"/>
          <w:szCs w:val="24"/>
        </w:rPr>
        <w:t xml:space="preserve"> </w:t>
      </w:r>
      <w:r w:rsidR="00B47DB7">
        <w:rPr>
          <w:sz w:val="24"/>
          <w:szCs w:val="24"/>
        </w:rPr>
        <w:fldChar w:fldCharType="begin"/>
      </w:r>
      <w:r w:rsidR="00AF2FD5">
        <w:rPr>
          <w:sz w:val="24"/>
          <w:szCs w:val="24"/>
        </w:rPr>
        <w:instrText xml:space="preserve"> ADDIN EN.CITE &lt;EndNote&gt;&lt;Cite&gt;&lt;Author&gt;Brennan&lt;/Author&gt;&lt;Year&gt;2016&lt;/Year&gt;&lt;IDText&gt;Diversity of Higher Education Institutions in Networked Knowledge Societies: A Comparative Examination&lt;/IDText&gt;&lt;DisplayText&gt;(Brennan et al., 2016)&lt;/DisplayText&gt;&lt;record&gt;&lt;titles&gt;&lt;title&gt;Diversity of Higher Education Institutions in Networked Knowledge Societies: A Comparative Examination&lt;/title&gt;&lt;secondary-title&gt;Re-becoming universities?: higher education institutions in networked knowledge societies&lt;/secondary-title&gt;&lt;/titles&gt;&lt;contributors&gt;&lt;authors&gt;&lt;author&gt;Brennan, John&lt;/author&gt;&lt;author&gt;Papatsiba, Vassiliki&lt;/author&gt;&lt;author&gt;Sousa, Sofia Branco&lt;/author&gt;&lt;author&gt;Hoffman, David&lt;/author&gt;&lt;/authors&gt;&lt;/contributors&gt;&lt;added-date format="utc"&gt;1458844676&lt;/added-date&gt;&lt;pub-location&gt;Dordrecht&lt;/pub-location&gt;&lt;ref-type name="Book Section"&gt;5&lt;/ref-type&gt;&lt;dates&gt;&lt;year&gt;2016&lt;/year&gt;&lt;/dates&gt;&lt;rec-number&gt;323&lt;/rec-number&gt;&lt;publisher&gt;Springer&lt;/publisher&gt;&lt;last-updated-date format="utc"&gt;1560727286&lt;/last-updated-date&gt;&lt;contributors&gt;&lt;secondary-authors&gt;&lt;author&gt;Hoffman, David M.&lt;/author&gt;&lt;author&gt;Välimaa, Jussi&lt;/author&gt;&lt;/secondary-authors&gt;&lt;/contributors&gt;&lt;/record&gt;&lt;/Cite&gt;&lt;/EndNote&gt;</w:instrText>
      </w:r>
      <w:r w:rsidR="00B47DB7">
        <w:rPr>
          <w:sz w:val="24"/>
          <w:szCs w:val="24"/>
        </w:rPr>
        <w:fldChar w:fldCharType="separate"/>
      </w:r>
      <w:r w:rsidR="00AF2FD5">
        <w:rPr>
          <w:noProof/>
          <w:sz w:val="24"/>
          <w:szCs w:val="24"/>
        </w:rPr>
        <w:t>(Brennan et al., 2016)</w:t>
      </w:r>
      <w:r w:rsidR="00B47DB7">
        <w:rPr>
          <w:sz w:val="24"/>
          <w:szCs w:val="24"/>
        </w:rPr>
        <w:fldChar w:fldCharType="end"/>
      </w:r>
      <w:r w:rsidR="000A4983">
        <w:rPr>
          <w:sz w:val="24"/>
          <w:szCs w:val="24"/>
        </w:rPr>
        <w:t>;</w:t>
      </w:r>
      <w:r w:rsidR="00047945">
        <w:rPr>
          <w:sz w:val="24"/>
          <w:szCs w:val="24"/>
        </w:rPr>
        <w:t xml:space="preserve"> knowledge generated in one discipline or context can have meaning and relevance elsewhere;</w:t>
      </w:r>
      <w:r w:rsidR="000A4983">
        <w:rPr>
          <w:sz w:val="24"/>
          <w:szCs w:val="24"/>
        </w:rPr>
        <w:t xml:space="preserve"> </w:t>
      </w:r>
      <w:r w:rsidR="003D07AE">
        <w:rPr>
          <w:sz w:val="24"/>
          <w:szCs w:val="24"/>
        </w:rPr>
        <w:t>knowledge can</w:t>
      </w:r>
      <w:r w:rsidR="00F16661">
        <w:rPr>
          <w:sz w:val="24"/>
          <w:szCs w:val="24"/>
        </w:rPr>
        <w:t xml:space="preserve"> have multiple outputs and forms, and can be more-or-less</w:t>
      </w:r>
      <w:r w:rsidR="00047945">
        <w:rPr>
          <w:sz w:val="24"/>
          <w:szCs w:val="24"/>
        </w:rPr>
        <w:t xml:space="preserve"> codified, but this</w:t>
      </w:r>
      <w:r w:rsidR="00F16661">
        <w:rPr>
          <w:sz w:val="24"/>
          <w:szCs w:val="24"/>
        </w:rPr>
        <w:t xml:space="preserve"> often</w:t>
      </w:r>
      <w:r w:rsidR="00047945">
        <w:rPr>
          <w:sz w:val="24"/>
          <w:szCs w:val="24"/>
        </w:rPr>
        <w:t xml:space="preserve"> changes </w:t>
      </w:r>
      <w:r w:rsidR="00F16661">
        <w:rPr>
          <w:sz w:val="24"/>
          <w:szCs w:val="24"/>
        </w:rPr>
        <w:t xml:space="preserve">and potentially reduces the </w:t>
      </w:r>
      <w:r w:rsidR="00047945">
        <w:rPr>
          <w:sz w:val="24"/>
          <w:szCs w:val="24"/>
        </w:rPr>
        <w:t>richness of ‘tacit’ knowledge</w:t>
      </w:r>
      <w:r w:rsidR="00A27954">
        <w:rPr>
          <w:sz w:val="24"/>
          <w:szCs w:val="24"/>
        </w:rPr>
        <w:t xml:space="preserve"> </w:t>
      </w:r>
      <w:r w:rsidR="00A27954">
        <w:rPr>
          <w:sz w:val="24"/>
          <w:szCs w:val="24"/>
        </w:rPr>
        <w:fldChar w:fldCharType="begin">
          <w:fldData xml:space="preserve">PEVuZE5vdGU+PENpdGU+PEF1dGhvcj5Eb25vdmFuPC9BdXRob3I+PFllYXI+MjAxMTwvWWVhcj48
SURUZXh0PlRoZSDigJggUGF5YmFjayBGcmFtZXdvcmvigJkgZXhwbGFpbmVkPC9JRFRleHQ+PERp
c3BsYXlUZXh0PihEb25vdmFuICZhbXA7IEhhbm5leSwgMjAxMTsgRXR6a293aXR6ICZhbXA7IFZp
YWxlLCAyMDEwOyBNY05pZSBldCBhbC4sIDIwMTYpPC9EaXNwbGF5VGV4dD48cmVjb3JkPjxpc2Ju
PjA5NTgtMjAyOTwvaXNibj48dGl0bGVzPjx0aXRsZT5UaGUg4oCYIFBheWJhY2sgRnJhbWV3b3Jr
4oCZIGV4cGxhaW5lZDwvdGl0bGU+PHNlY29uZGFyeS10aXRsZT5SZXNlYXJjaCBFdmFsdWF0aW9u
PC9zZWNvbmRhcnktdGl0bGU+PC90aXRsZXM+PHBhZ2VzPjE4MS0xODM8L3BhZ2VzPjxudW1iZXI+
MzwvbnVtYmVyPjxjb250cmlidXRvcnM+PGF1dGhvcnM+PGF1dGhvcj5Eb25vdmFuLCBDbGFpcmU8
L2F1dGhvcj48YXV0aG9yPkhhbm5leSwgU3RlcGhlbjwvYXV0aG9yPjwvYXV0aG9ycz48L2NvbnRy
aWJ1dG9ycz48YWRkZWQtZGF0ZSBmb3JtYXQ9InV0YyI+MTU1NzMwODY2NjwvYWRkZWQtZGF0ZT48
cmVmLXR5cGUgbmFtZT0iSm91cm5hbCBBcnRpY2xlIj4xNzwvcmVmLXR5cGU+PGRhdGVzPjx5ZWFy
PjIwMTE8L3llYXI+PC9kYXRlcz48cmVjLW51bWJlcj43NzgzPC9yZWMtbnVtYmVyPjxsYXN0LXVw
ZGF0ZWQtZGF0ZSBmb3JtYXQ9InV0YyI+MTU1NzMwODY2NjwvbGFzdC11cGRhdGVkLWRhdGU+PGVs
ZWN0cm9uaWMtcmVzb3VyY2UtbnVtPjEwLjMxNTIvMDk1ODIwMjExWDEzMTE4NTgzNjM1NzU2PC9l
bGVjdHJvbmljLXJlc291cmNlLW51bT48dm9sdW1lPjIwPC92b2x1bWU+PC9yZWNvcmQ+PC9DaXRl
PjxDaXRlPjxBdXRob3I+RXR6a293aXR6PC9BdXRob3I+PFllYXI+MjAxMDwvWWVhcj48SURUZXh0
PlBvbHl2YWxlbnQgS25vd2xlZGdlIGFuZCB0aGUgRW50cmVwcmVuZXVyaWFsIFVuaXZlcnNpdHk6
IEEgVGhpcmQgQWNhZGVtaWMgUmV2b2x1dGlvbj88L0lEVGV4dD48cmVjb3JkPjxrZXl3b3Jkcz48
a2V5d29yZD5FbnRyZXByZW5ldXJpYWwgU2NpZW50aXN0PC9rZXl3b3JkPjxrZXl3b3JkPkVudHJl
cHJlbmV1cmlhbCBVbml2ZXJzaXR5PC9rZXl3b3JkPjxrZXl3b3JkPkluZHVzdHJpYWwgUmV2b2x1
dGlvbnM8L2tleXdvcmQ+PGtleXdvcmQ+UG9seXZhbGVudCBLbm93bGVkZ2U8L2tleXdvcmQ+PGtl
eXdvcmQ+VHJpcGxlIEhlbGl4PC9rZXl3b3JkPjxrZXl3b3JkPlNvY2lvbG9neSAmYW1wOyBTb2Np
YWwgSGlzdG9yeTwva2V5d29yZD48L2tleXdvcmRzPjxpc2JuPjA4OTYtOTIwNTwvaXNibj48dGl0
bGVzPjx0aXRsZT5Qb2x5dmFsZW50IEtub3dsZWRnZSBhbmQgdGhlIEVudHJlcHJlbmV1cmlhbCBV
bml2ZXJzaXR5OiBBIFRoaXJkIEFjYWRlbWljIFJldm9sdXRpb24/PC90aXRsZT48c2Vjb25kYXJ5
LXRpdGxlPkNyaXRpY2FsIFNvY2lvbG9neTwvc2Vjb25kYXJ5LXRpdGxlPjwvdGl0bGVzPjxwYWdl
cz41OTUtNjA5PC9wYWdlcz48bnVtYmVyPjQ8L251bWJlcj48Y29udHJpYnV0b3JzPjxhdXRob3Jz
PjxhdXRob3I+RXR6a293aXR6LCBIZW5yeTwvYXV0aG9yPjxhdXRob3I+VmlhbGUsIFJpY2NhcmRv
PC9hdXRob3I+PC9hdXRob3JzPjwvY29udHJpYnV0b3JzPjxhZGRlZC1kYXRlIGZvcm1hdD0idXRj
Ij4xNTU1NjA3OTI1PC9hZGRlZC1kYXRlPjxwdWItbG9jYXRpb24+TG9uZG9uLCBFbmdsYW5kPC9w
dWItbG9jYXRpb24+PHJlZi10eXBlIG5hbWU9IkpvdXJuYWwgQXJ0aWNsZSI+MTc8L3JlZi10eXBl
PjxkYXRlcz48eWVhcj4yMDEwPC95ZWFyPjwvZGF0ZXM+PHJlYy1udW1iZXI+Nzc2NzwvcmVjLW51
bWJlcj48bGFzdC11cGRhdGVkLWRhdGUgZm9ybWF0PSJ1dGMiPjE1NTU2MDc5MjU8L2xhc3QtdXBk
YXRlZC1kYXRlPjxlbGVjdHJvbmljLXJlc291cmNlLW51bT4xMC4xMTc3LzA4OTY5MjA1MTAzNjU5
MjE8L2VsZWN0cm9uaWMtcmVzb3VyY2UtbnVtPjx2b2x1bWU+MzY8L3ZvbHVtZT48L3JlY29yZD48
L0NpdGU+PENpdGU+PEF1dGhvcj5NY05pZTwvQXV0aG9yPjxZZWFyPjIwMTY8L1llYXI+PElEVGV4
dD5JbXByb3ZpbmcgdGhlIHB1YmxpYyB2YWx1ZSBvZiBzY2llbmNlOiBBIHR5cG9sb2d5IHRvIGlu
Zm9ybSBkaXNjdXNzaW9uLCBkZXNpZ24gYW5kIGltcGxlbWVudGF0aW9uIG9mIHJlc2VhcmNoPC9J
RFRleHQ+PHJlY29yZD48dXJscz48cmVsYXRlZC11cmxzPjx1cmw+aHR0cHM6Ly93d3cuc2NvcHVz
LmNvbS9pbndhcmQvcmVjb3JkLnVyaT9laWQ9Mi1zMi4wLTg0OTU5NDMxOTI0JmFtcDtwYXJ0bmVy
SUQ9NDAmYW1wO21kNT02ZTRmYzAxZDE5ZDFiNjFiMDkwODRlNmQ2YWEyNDRkYjwvdXJsPjwvcmVs
YXRlZC11cmxzPjwvdXJscz48d29yay10eXBlPkFydGljbGU8L3dvcmstdHlwZT48dGl0bGVzPjx0
aXRsZT5JbXByb3ZpbmcgdGhlIHB1YmxpYyB2YWx1ZSBvZiBzY2llbmNlOiBBIHR5cG9sb2d5IHRv
IGluZm9ybSBkaXNjdXNzaW9uLCBkZXNpZ24gYW5kIGltcGxlbWVudGF0aW9uIG9mIHJlc2VhcmNo
PC90aXRsZT48c2Vjb25kYXJ5LXRpdGxlPlJlc2VhcmNoIFBvbGljeTwvc2Vjb25kYXJ5LXRpdGxl
PjwvdGl0bGVzPjxwYWdlcz44ODQtODk1PC9wYWdlcz48bnVtYmVyPjQ8L251bWJlcj48Y29udHJp
YnV0b3JzPjxhdXRob3JzPjxhdXRob3I+TWNOaWUsIEUuIEMuPC9hdXRob3I+PGF1dGhvcj5QYXJy
aXMsIEEuPC9hdXRob3I+PGF1dGhvcj5TYXJld2l0eiwgRC48L2F1dGhvcj48L2F1dGhvcnM+PC9j
b250cmlidXRvcnM+PGFkZGVkLWRhdGUgZm9ybWF0PSJ1dGMiPjE0NzM3MTkyMzc8L2FkZGVkLWRh
dGU+PHJlZi10eXBlIG5hbWU9IkpvdXJuYWwgQXJ0aWNsZSI+MTc8L3JlZi10eXBlPjxkYXRlcz48
eWVhcj4yMDE2PC95ZWFyPjwvZGF0ZXM+PHJlYy1udW1iZXI+MzQ4NDwvcmVjLW51bWJlcj48bGFz
dC11cGRhdGVkLWRhdGUgZm9ybWF0PSJ1dGMiPjE0NzM3MTkyMzc8L2xhc3QtdXBkYXRlZC1kYXRl
PjxlbGVjdHJvbmljLXJlc291cmNlLW51bT4xMC4xMDE2L2oucmVzcG9sLjIwMTYuMDEuMDA0PC9l
bGVjdHJvbmljLXJlc291cmNlLW51bT48dm9sdW1lPjQ1PC92b2x1bWU+PHJlbW90ZS1kYXRhYmFz
ZS1uYW1lPlNjb3B1czwvcmVtb3RlLWRhdGFiYXNlLW5hbWU+PC9yZWNvcmQ+PC9DaXRlPjwvRW5k
Tm90ZT5=
</w:fldData>
        </w:fldChar>
      </w:r>
      <w:r w:rsidR="000C2EF9">
        <w:rPr>
          <w:sz w:val="24"/>
          <w:szCs w:val="24"/>
        </w:rPr>
        <w:instrText xml:space="preserve"> ADDIN EN.CITE </w:instrText>
      </w:r>
      <w:r w:rsidR="000C2EF9">
        <w:rPr>
          <w:sz w:val="24"/>
          <w:szCs w:val="24"/>
        </w:rPr>
        <w:fldChar w:fldCharType="begin">
          <w:fldData xml:space="preserve">PEVuZE5vdGU+PENpdGU+PEF1dGhvcj5Eb25vdmFuPC9BdXRob3I+PFllYXI+MjAxMTwvWWVhcj48
SURUZXh0PlRoZSDigJggUGF5YmFjayBGcmFtZXdvcmvigJkgZXhwbGFpbmVkPC9JRFRleHQ+PERp
c3BsYXlUZXh0PihEb25vdmFuICZhbXA7IEhhbm5leSwgMjAxMTsgRXR6a293aXR6ICZhbXA7IFZp
YWxlLCAyMDEwOyBNY05pZSBldCBhbC4sIDIwMTYpPC9EaXNwbGF5VGV4dD48cmVjb3JkPjxpc2Ju
PjA5NTgtMjAyOTwvaXNibj48dGl0bGVzPjx0aXRsZT5UaGUg4oCYIFBheWJhY2sgRnJhbWV3b3Jr
4oCZIGV4cGxhaW5lZDwvdGl0bGU+PHNlY29uZGFyeS10aXRsZT5SZXNlYXJjaCBFdmFsdWF0aW9u
PC9zZWNvbmRhcnktdGl0bGU+PC90aXRsZXM+PHBhZ2VzPjE4MS0xODM8L3BhZ2VzPjxudW1iZXI+
MzwvbnVtYmVyPjxjb250cmlidXRvcnM+PGF1dGhvcnM+PGF1dGhvcj5Eb25vdmFuLCBDbGFpcmU8
L2F1dGhvcj48YXV0aG9yPkhhbm5leSwgU3RlcGhlbjwvYXV0aG9yPjwvYXV0aG9ycz48L2NvbnRy
aWJ1dG9ycz48YWRkZWQtZGF0ZSBmb3JtYXQ9InV0YyI+MTU1NzMwODY2NjwvYWRkZWQtZGF0ZT48
cmVmLXR5cGUgbmFtZT0iSm91cm5hbCBBcnRpY2xlIj4xNzwvcmVmLXR5cGU+PGRhdGVzPjx5ZWFy
PjIwMTE8L3llYXI+PC9kYXRlcz48cmVjLW51bWJlcj43NzgzPC9yZWMtbnVtYmVyPjxsYXN0LXVw
ZGF0ZWQtZGF0ZSBmb3JtYXQ9InV0YyI+MTU1NzMwODY2NjwvbGFzdC11cGRhdGVkLWRhdGU+PGVs
ZWN0cm9uaWMtcmVzb3VyY2UtbnVtPjEwLjMxNTIvMDk1ODIwMjExWDEzMTE4NTgzNjM1NzU2PC9l
bGVjdHJvbmljLXJlc291cmNlLW51bT48dm9sdW1lPjIwPC92b2x1bWU+PC9yZWNvcmQ+PC9DaXRl
PjxDaXRlPjxBdXRob3I+RXR6a293aXR6PC9BdXRob3I+PFllYXI+MjAxMDwvWWVhcj48SURUZXh0
PlBvbHl2YWxlbnQgS25vd2xlZGdlIGFuZCB0aGUgRW50cmVwcmVuZXVyaWFsIFVuaXZlcnNpdHk6
IEEgVGhpcmQgQWNhZGVtaWMgUmV2b2x1dGlvbj88L0lEVGV4dD48cmVjb3JkPjxrZXl3b3Jkcz48
a2V5d29yZD5FbnRyZXByZW5ldXJpYWwgU2NpZW50aXN0PC9rZXl3b3JkPjxrZXl3b3JkPkVudHJl
cHJlbmV1cmlhbCBVbml2ZXJzaXR5PC9rZXl3b3JkPjxrZXl3b3JkPkluZHVzdHJpYWwgUmV2b2x1
dGlvbnM8L2tleXdvcmQ+PGtleXdvcmQ+UG9seXZhbGVudCBLbm93bGVkZ2U8L2tleXdvcmQ+PGtl
eXdvcmQ+VHJpcGxlIEhlbGl4PC9rZXl3b3JkPjxrZXl3b3JkPlNvY2lvbG9neSAmYW1wOyBTb2Np
YWwgSGlzdG9yeTwva2V5d29yZD48L2tleXdvcmRzPjxpc2JuPjA4OTYtOTIwNTwvaXNibj48dGl0
bGVzPjx0aXRsZT5Qb2x5dmFsZW50IEtub3dsZWRnZSBhbmQgdGhlIEVudHJlcHJlbmV1cmlhbCBV
bml2ZXJzaXR5OiBBIFRoaXJkIEFjYWRlbWljIFJldm9sdXRpb24/PC90aXRsZT48c2Vjb25kYXJ5
LXRpdGxlPkNyaXRpY2FsIFNvY2lvbG9neTwvc2Vjb25kYXJ5LXRpdGxlPjwvdGl0bGVzPjxwYWdl
cz41OTUtNjA5PC9wYWdlcz48bnVtYmVyPjQ8L251bWJlcj48Y29udHJpYnV0b3JzPjxhdXRob3Jz
PjxhdXRob3I+RXR6a293aXR6LCBIZW5yeTwvYXV0aG9yPjxhdXRob3I+VmlhbGUsIFJpY2NhcmRv
PC9hdXRob3I+PC9hdXRob3JzPjwvY29udHJpYnV0b3JzPjxhZGRlZC1kYXRlIGZvcm1hdD0idXRj
Ij4xNTU1NjA3OTI1PC9hZGRlZC1kYXRlPjxwdWItbG9jYXRpb24+TG9uZG9uLCBFbmdsYW5kPC9w
dWItbG9jYXRpb24+PHJlZi10eXBlIG5hbWU9IkpvdXJuYWwgQXJ0aWNsZSI+MTc8L3JlZi10eXBl
PjxkYXRlcz48eWVhcj4yMDEwPC95ZWFyPjwvZGF0ZXM+PHJlYy1udW1iZXI+Nzc2NzwvcmVjLW51
bWJlcj48bGFzdC11cGRhdGVkLWRhdGUgZm9ybWF0PSJ1dGMiPjE1NTU2MDc5MjU8L2xhc3QtdXBk
YXRlZC1kYXRlPjxlbGVjdHJvbmljLXJlc291cmNlLW51bT4xMC4xMTc3LzA4OTY5MjA1MTAzNjU5
MjE8L2VsZWN0cm9uaWMtcmVzb3VyY2UtbnVtPjx2b2x1bWU+MzY8L3ZvbHVtZT48L3JlY29yZD48
L0NpdGU+PENpdGU+PEF1dGhvcj5NY05pZTwvQXV0aG9yPjxZZWFyPjIwMTY8L1llYXI+PElEVGV4
dD5JbXByb3ZpbmcgdGhlIHB1YmxpYyB2YWx1ZSBvZiBzY2llbmNlOiBBIHR5cG9sb2d5IHRvIGlu
Zm9ybSBkaXNjdXNzaW9uLCBkZXNpZ24gYW5kIGltcGxlbWVudGF0aW9uIG9mIHJlc2VhcmNoPC9J
RFRleHQ+PHJlY29yZD48dXJscz48cmVsYXRlZC11cmxzPjx1cmw+aHR0cHM6Ly93d3cuc2NvcHVz
LmNvbS9pbndhcmQvcmVjb3JkLnVyaT9laWQ9Mi1zMi4wLTg0OTU5NDMxOTI0JmFtcDtwYXJ0bmVy
SUQ9NDAmYW1wO21kNT02ZTRmYzAxZDE5ZDFiNjFiMDkwODRlNmQ2YWEyNDRkYjwvdXJsPjwvcmVs
YXRlZC11cmxzPjwvdXJscz48d29yay10eXBlPkFydGljbGU8L3dvcmstdHlwZT48dGl0bGVzPjx0
aXRsZT5JbXByb3ZpbmcgdGhlIHB1YmxpYyB2YWx1ZSBvZiBzY2llbmNlOiBBIHR5cG9sb2d5IHRv
IGluZm9ybSBkaXNjdXNzaW9uLCBkZXNpZ24gYW5kIGltcGxlbWVudGF0aW9uIG9mIHJlc2VhcmNo
PC90aXRsZT48c2Vjb25kYXJ5LXRpdGxlPlJlc2VhcmNoIFBvbGljeTwvc2Vjb25kYXJ5LXRpdGxl
PjwvdGl0bGVzPjxwYWdlcz44ODQtODk1PC9wYWdlcz48bnVtYmVyPjQ8L251bWJlcj48Y29udHJp
YnV0b3JzPjxhdXRob3JzPjxhdXRob3I+TWNOaWUsIEUuIEMuPC9hdXRob3I+PGF1dGhvcj5QYXJy
aXMsIEEuPC9hdXRob3I+PGF1dGhvcj5TYXJld2l0eiwgRC48L2F1dGhvcj48L2F1dGhvcnM+PC9j
b250cmlidXRvcnM+PGFkZGVkLWRhdGUgZm9ybWF0PSJ1dGMiPjE0NzM3MTkyMzc8L2FkZGVkLWRh
dGU+PHJlZi10eXBlIG5hbWU9IkpvdXJuYWwgQXJ0aWNsZSI+MTc8L3JlZi10eXBlPjxkYXRlcz48
eWVhcj4yMDE2PC95ZWFyPjwvZGF0ZXM+PHJlYy1udW1iZXI+MzQ4NDwvcmVjLW51bWJlcj48bGFz
dC11cGRhdGVkLWRhdGUgZm9ybWF0PSJ1dGMiPjE0NzM3MTkyMzc8L2xhc3QtdXBkYXRlZC1kYXRl
PjxlbGVjdHJvbmljLXJlc291cmNlLW51bT4xMC4xMDE2L2oucmVzcG9sLjIwMTYuMDEuMDA0PC9l
bGVjdHJvbmljLXJlc291cmNlLW51bT48dm9sdW1lPjQ1PC92b2x1bWU+PHJlbW90ZS1kYXRhYmFz
ZS1uYW1lPlNjb3B1czwvcmVtb3RlLWRhdGFiYXNlLW5hbWU+PC9yZWNvcmQ+PC9DaXRlPjwvRW5k
Tm90ZT5=
</w:fldData>
        </w:fldChar>
      </w:r>
      <w:r w:rsidR="000C2EF9">
        <w:rPr>
          <w:sz w:val="24"/>
          <w:szCs w:val="24"/>
        </w:rPr>
        <w:instrText xml:space="preserve"> ADDIN EN.CITE.DATA </w:instrText>
      </w:r>
      <w:r w:rsidR="000C2EF9">
        <w:rPr>
          <w:sz w:val="24"/>
          <w:szCs w:val="24"/>
        </w:rPr>
      </w:r>
      <w:r w:rsidR="000C2EF9">
        <w:rPr>
          <w:sz w:val="24"/>
          <w:szCs w:val="24"/>
        </w:rPr>
        <w:fldChar w:fldCharType="end"/>
      </w:r>
      <w:r w:rsidR="00A27954">
        <w:rPr>
          <w:sz w:val="24"/>
          <w:szCs w:val="24"/>
        </w:rPr>
      </w:r>
      <w:r w:rsidR="00A27954">
        <w:rPr>
          <w:sz w:val="24"/>
          <w:szCs w:val="24"/>
        </w:rPr>
        <w:fldChar w:fldCharType="separate"/>
      </w:r>
      <w:r w:rsidR="000C2EF9">
        <w:rPr>
          <w:noProof/>
          <w:sz w:val="24"/>
          <w:szCs w:val="24"/>
        </w:rPr>
        <w:t>(Donovan &amp; Hanney, 2011; Etzkowitz &amp; Viale, 2010; McNie et al., 2016)</w:t>
      </w:r>
      <w:r w:rsidR="00A27954">
        <w:rPr>
          <w:sz w:val="24"/>
          <w:szCs w:val="24"/>
        </w:rPr>
        <w:fldChar w:fldCharType="end"/>
      </w:r>
      <w:r w:rsidR="008C4D9A">
        <w:rPr>
          <w:sz w:val="24"/>
          <w:szCs w:val="24"/>
        </w:rPr>
        <w:t>.</w:t>
      </w:r>
      <w:r w:rsidR="00945CC7">
        <w:rPr>
          <w:sz w:val="24"/>
          <w:szCs w:val="24"/>
        </w:rPr>
        <w:t xml:space="preserve"> </w:t>
      </w:r>
      <w:r w:rsidR="00E35A2F">
        <w:rPr>
          <w:sz w:val="24"/>
          <w:szCs w:val="24"/>
        </w:rPr>
        <w:t>The</w:t>
      </w:r>
      <w:r w:rsidR="006161A5">
        <w:rPr>
          <w:sz w:val="24"/>
          <w:szCs w:val="24"/>
        </w:rPr>
        <w:t xml:space="preserve"> complexity of the research process is only heightened when </w:t>
      </w:r>
      <w:r w:rsidR="008C4D9A">
        <w:rPr>
          <w:sz w:val="24"/>
          <w:szCs w:val="24"/>
        </w:rPr>
        <w:t>attempting to fully capture the interdependence</w:t>
      </w:r>
      <w:r w:rsidR="006161A5">
        <w:rPr>
          <w:sz w:val="24"/>
          <w:szCs w:val="24"/>
        </w:rPr>
        <w:t xml:space="preserve"> between </w:t>
      </w:r>
      <w:r w:rsidR="008C4D9A">
        <w:rPr>
          <w:sz w:val="24"/>
          <w:szCs w:val="24"/>
        </w:rPr>
        <w:t>the context of knowledge production and wider</w:t>
      </w:r>
      <w:r w:rsidR="006161A5">
        <w:rPr>
          <w:sz w:val="24"/>
          <w:szCs w:val="24"/>
        </w:rPr>
        <w:t xml:space="preserve"> society</w:t>
      </w:r>
      <w:r w:rsidR="00A27954">
        <w:rPr>
          <w:sz w:val="24"/>
          <w:szCs w:val="24"/>
        </w:rPr>
        <w:t xml:space="preserve"> </w:t>
      </w:r>
      <w:r w:rsidR="00A27954">
        <w:rPr>
          <w:sz w:val="24"/>
          <w:szCs w:val="24"/>
        </w:rPr>
        <w:fldChar w:fldCharType="begin">
          <w:fldData xml:space="preserve">PEVuZE5vdGU+PENpdGU+PEF1dGhvcj5TaW1vbjwvQXV0aG9yPjxZZWFyPjIwMTU8L1llYXI+PElE
VGV4dD5Dcm9zc2luZyBib3VuZGFyaWVzOiBDb21wbGV4IHN5c3RlbXMsIHRyYW5zZGlzY2lwbGlu
YXJpdHkgYW5kIGFwcGxpZWQgaW1wYWN0IGFnZW5kYXM8L0lEVGV4dD48RGlzcGxheVRleHQ+KFJl
ZWQgZXQgYWwuLCAyMDE4OyBTaW1vbiAmYW1wOyBTY2hpZW1lciwgMjAxNSk8L0Rpc3BsYXlUZXh0
PjxyZWNvcmQ+PHVybHM+PHJlbGF0ZWQtdXJscz48dXJsPmh0dHBzOi8vd3d3LnNjb3B1cy5jb20v
aW53YXJkL3JlY29yZC51cmk/ZWlkPTItczIuMC04NDkwNjc0ODI5NSZhbXA7cGFydG5lcklEPTQw
JmFtcDttZDU9MjViMGZlMGVlM2U3MGM2MmQyMDBhNGE4YmIxNzNlNmI8L3VybD48L3JlbGF0ZWQt
dXJscz48L3VybHM+PHdvcmstdHlwZT5SZXZpZXc8L3dvcmstdHlwZT48dGl0bGVzPjx0aXRsZT5D
cm9zc2luZyBib3VuZGFyaWVzOiBDb21wbGV4IHN5c3RlbXMsIHRyYW5zZGlzY2lwbGluYXJpdHkg
YW5kIGFwcGxpZWQgaW1wYWN0IGFnZW5kYXM8L3RpdGxlPjxzZWNvbmRhcnktdGl0bGU+Q3VycmVu
dCBPcGluaW9uIGluIEVudmlyb25tZW50YWwgU3VzdGFpbmFiaWxpdHk8L3NlY29uZGFyeS10aXRs
ZT48L3RpdGxlcz48cGFnZXM+Ni0xMTwvcGFnZXM+PGNvbnRyaWJ1dG9ycz48YXV0aG9ycz48YXV0
aG9yPlNpbW9uLCBELjwvYXV0aG9yPjxhdXRob3I+U2NoaWVtZXIsIEYuPC9hdXRob3I+PC9hdXRo
b3JzPjwvY29udHJpYnV0b3JzPjxhZGRlZC1kYXRlIGZvcm1hdD0idXRjIj4xNDcyNjcxODE0PC9h
ZGRlZC1kYXRlPjxyZWYtdHlwZSBuYW1lPSJKb3VybmFsIEFydGljbGUiPjE3PC9yZWYtdHlwZT48
ZGF0ZXM+PHllYXI+MjAxNTwveWVhcj48L2RhdGVzPjxyZWMtbnVtYmVyPjI2MjE8L3JlYy1udW1i
ZXI+PGxhc3QtdXBkYXRlZC1kYXRlIGZvcm1hdD0idXRjIj4xNDcyNjcxODE0PC9sYXN0LXVwZGF0
ZWQtZGF0ZT48ZWxlY3Ryb25pYy1yZXNvdXJjZS1udW0+MTAuMTAxNi9qLmNvc3VzdC4yMDE0LjA4
LjAwNzwvZWxlY3Ryb25pYy1yZXNvdXJjZS1udW0+PHZvbHVtZT4xMjwvdm9sdW1lPjxyZW1vdGUt
ZGF0YWJhc2UtbmFtZT5TY29wdXM8L3JlbW90ZS1kYXRhYmFzZS1uYW1lPjwvcmVjb3JkPjwvQ2l0
ZT48Q2l0ZT48QXV0aG9yPlJlZWQ8L0F1dGhvcj48WWVhcj4yMDE4PC9ZZWFyPjxJRFRleHQ+UGF0
aHdheXMgdG8gcG9saWN5IGltcGFjdDogYSBuZXcgYXBwcm9hY2ggZm9yIHBsYW5uaW5nIGFuZCBl
dmlkZW5jaW5nIHJlc2VhcmNoIGltcGFjdDwvSURUZXh0PjxyZWNvcmQ+PGlzYm4+MTc0NC0yNjQ4
PC9pc2JuPjx0aXRsZXM+PHRpdGxlPlBhdGh3YXlzIHRvIHBvbGljeSBpbXBhY3Q6IGEgbmV3IGFw
cHJvYWNoIGZvciBwbGFubmluZyBhbmQgZXZpZGVuY2luZyByZXNlYXJjaCBpbXBhY3Q8L3RpdGxl
PjxzZWNvbmRhcnktdGl0bGU+RXZpZGVuY2UgJmFtcDsgcG9saWN5IDogYSBqb3VybmFsIG9mIHJl
c2VhcmNoLCBkZWJhdGUgYW5kIHByYWN0aWNlLjwvc2Vjb25kYXJ5LXRpdGxlPjwvdGl0bGVzPjxw
YWdlcz40MzEtNDU4PC9wYWdlcz48bnVtYmVyPjM8L251bWJlcj48Y29udHJpYnV0b3JzPjxhdXRo
b3JzPjxhdXRob3I+UmVlZCwgTWFyazwvYXV0aG9yPjxhdXRob3I+QnJ5Y2UsIFJvc2FsaW5kPC9h
dXRob3I+PGF1dGhvcj5NYWNoZW4sIFJ1dGg8L2F1dGhvcj48L2F1dGhvcnM+PC9jb250cmlidXRv
cnM+PGFkZGVkLWRhdGUgZm9ybWF0PSJ1dGMiPjE1NTcyMjk0OTc8L2FkZGVkLWRhdGU+PHB1Yi1s
b2NhdGlvbj5CcmlzdG9sLCBVSyA6PC9wdWItbG9jYXRpb24+PHJlZi10eXBlIG5hbWU9IkpvdXJu
YWwgQXJ0aWNsZSI+MTc8L3JlZi10eXBlPjxkYXRlcz48eWVhcj4yMDE4PC95ZWFyPjwvZGF0ZXM+
PHJlYy1udW1iZXI+Nzc4MTwvcmVjLW51bWJlcj48bGFzdC11cGRhdGVkLWRhdGUgZm9ybWF0PSJ1
dGMiPjE1NTkwNzMyNTM8L2xhc3QtdXBkYXRlZC1kYXRlPjxlbGVjdHJvbmljLXJlc291cmNlLW51
bT4xMC4xMzMyLzE3NDQyNjQxOFgxNTMyNjk2NzU0NzI0MjwvZWxlY3Ryb25pYy1yZXNvdXJjZS1u
dW0+PHZvbHVtZT4xNDwvdm9sdW1lPjwvcmVjb3JkPjwvQ2l0ZT48L0VuZE5vdGU+
</w:fldData>
        </w:fldChar>
      </w:r>
      <w:r w:rsidR="008F0B0A">
        <w:rPr>
          <w:sz w:val="24"/>
          <w:szCs w:val="24"/>
        </w:rPr>
        <w:instrText xml:space="preserve"> ADDIN EN.CITE </w:instrText>
      </w:r>
      <w:r w:rsidR="008F0B0A">
        <w:rPr>
          <w:sz w:val="24"/>
          <w:szCs w:val="24"/>
        </w:rPr>
        <w:fldChar w:fldCharType="begin">
          <w:fldData xml:space="preserve">PEVuZE5vdGU+PENpdGU+PEF1dGhvcj5TaW1vbjwvQXV0aG9yPjxZZWFyPjIwMTU8L1llYXI+PElE
VGV4dD5Dcm9zc2luZyBib3VuZGFyaWVzOiBDb21wbGV4IHN5c3RlbXMsIHRyYW5zZGlzY2lwbGlu
YXJpdHkgYW5kIGFwcGxpZWQgaW1wYWN0IGFnZW5kYXM8L0lEVGV4dD48RGlzcGxheVRleHQ+KFJl
ZWQgZXQgYWwuLCAyMDE4OyBTaW1vbiAmYW1wOyBTY2hpZW1lciwgMjAxNSk8L0Rpc3BsYXlUZXh0
PjxyZWNvcmQ+PHVybHM+PHJlbGF0ZWQtdXJscz48dXJsPmh0dHBzOi8vd3d3LnNjb3B1cy5jb20v
aW53YXJkL3JlY29yZC51cmk/ZWlkPTItczIuMC04NDkwNjc0ODI5NSZhbXA7cGFydG5lcklEPTQw
JmFtcDttZDU9MjViMGZlMGVlM2U3MGM2MmQyMDBhNGE4YmIxNzNlNmI8L3VybD48L3JlbGF0ZWQt
dXJscz48L3VybHM+PHdvcmstdHlwZT5SZXZpZXc8L3dvcmstdHlwZT48dGl0bGVzPjx0aXRsZT5D
cm9zc2luZyBib3VuZGFyaWVzOiBDb21wbGV4IHN5c3RlbXMsIHRyYW5zZGlzY2lwbGluYXJpdHkg
YW5kIGFwcGxpZWQgaW1wYWN0IGFnZW5kYXM8L3RpdGxlPjxzZWNvbmRhcnktdGl0bGU+Q3VycmVu
dCBPcGluaW9uIGluIEVudmlyb25tZW50YWwgU3VzdGFpbmFiaWxpdHk8L3NlY29uZGFyeS10aXRs
ZT48L3RpdGxlcz48cGFnZXM+Ni0xMTwvcGFnZXM+PGNvbnRyaWJ1dG9ycz48YXV0aG9ycz48YXV0
aG9yPlNpbW9uLCBELjwvYXV0aG9yPjxhdXRob3I+U2NoaWVtZXIsIEYuPC9hdXRob3I+PC9hdXRo
b3JzPjwvY29udHJpYnV0b3JzPjxhZGRlZC1kYXRlIGZvcm1hdD0idXRjIj4xNDcyNjcxODE0PC9h
ZGRlZC1kYXRlPjxyZWYtdHlwZSBuYW1lPSJKb3VybmFsIEFydGljbGUiPjE3PC9yZWYtdHlwZT48
ZGF0ZXM+PHllYXI+MjAxNTwveWVhcj48L2RhdGVzPjxyZWMtbnVtYmVyPjI2MjE8L3JlYy1udW1i
ZXI+PGxhc3QtdXBkYXRlZC1kYXRlIGZvcm1hdD0idXRjIj4xNDcyNjcxODE0PC9sYXN0LXVwZGF0
ZWQtZGF0ZT48ZWxlY3Ryb25pYy1yZXNvdXJjZS1udW0+MTAuMTAxNi9qLmNvc3VzdC4yMDE0LjA4
LjAwNzwvZWxlY3Ryb25pYy1yZXNvdXJjZS1udW0+PHZvbHVtZT4xMjwvdm9sdW1lPjxyZW1vdGUt
ZGF0YWJhc2UtbmFtZT5TY29wdXM8L3JlbW90ZS1kYXRhYmFzZS1uYW1lPjwvcmVjb3JkPjwvQ2l0
ZT48Q2l0ZT48QXV0aG9yPlJlZWQ8L0F1dGhvcj48WWVhcj4yMDE4PC9ZZWFyPjxJRFRleHQ+UGF0
aHdheXMgdG8gcG9saWN5IGltcGFjdDogYSBuZXcgYXBwcm9hY2ggZm9yIHBsYW5uaW5nIGFuZCBl
dmlkZW5jaW5nIHJlc2VhcmNoIGltcGFjdDwvSURUZXh0PjxyZWNvcmQ+PGlzYm4+MTc0NC0yNjQ4
PC9pc2JuPjx0aXRsZXM+PHRpdGxlPlBhdGh3YXlzIHRvIHBvbGljeSBpbXBhY3Q6IGEgbmV3IGFw
cHJvYWNoIGZvciBwbGFubmluZyBhbmQgZXZpZGVuY2luZyByZXNlYXJjaCBpbXBhY3Q8L3RpdGxl
PjxzZWNvbmRhcnktdGl0bGU+RXZpZGVuY2UgJmFtcDsgcG9saWN5IDogYSBqb3VybmFsIG9mIHJl
c2VhcmNoLCBkZWJhdGUgYW5kIHByYWN0aWNlLjwvc2Vjb25kYXJ5LXRpdGxlPjwvdGl0bGVzPjxw
YWdlcz40MzEtNDU4PC9wYWdlcz48bnVtYmVyPjM8L251bWJlcj48Y29udHJpYnV0b3JzPjxhdXRo
b3JzPjxhdXRob3I+UmVlZCwgTWFyazwvYXV0aG9yPjxhdXRob3I+QnJ5Y2UsIFJvc2FsaW5kPC9h
dXRob3I+PGF1dGhvcj5NYWNoZW4sIFJ1dGg8L2F1dGhvcj48L2F1dGhvcnM+PC9jb250cmlidXRv
cnM+PGFkZGVkLWRhdGUgZm9ybWF0PSJ1dGMiPjE1NTcyMjk0OTc8L2FkZGVkLWRhdGU+PHB1Yi1s
b2NhdGlvbj5CcmlzdG9sLCBVSyA6PC9wdWItbG9jYXRpb24+PHJlZi10eXBlIG5hbWU9IkpvdXJu
YWwgQXJ0aWNsZSI+MTc8L3JlZi10eXBlPjxkYXRlcz48eWVhcj4yMDE4PC95ZWFyPjwvZGF0ZXM+
PHJlYy1udW1iZXI+Nzc4MTwvcmVjLW51bWJlcj48bGFzdC11cGRhdGVkLWRhdGUgZm9ybWF0PSJ1
dGMiPjE1NTkwNzMyNTM8L2xhc3QtdXBkYXRlZC1kYXRlPjxlbGVjdHJvbmljLXJlc291cmNlLW51
bT4xMC4xMzMyLzE3NDQyNjQxOFgxNTMyNjk2NzU0NzI0MjwvZWxlY3Ryb25pYy1yZXNvdXJjZS1u
dW0+PHZvbHVtZT4xNDwvdm9sdW1lPjwvcmVjb3JkPjwvQ2l0ZT48L0VuZE5vdGU+
</w:fldData>
        </w:fldChar>
      </w:r>
      <w:r w:rsidR="008F0B0A">
        <w:rPr>
          <w:sz w:val="24"/>
          <w:szCs w:val="24"/>
        </w:rPr>
        <w:instrText xml:space="preserve"> ADDIN EN.CITE.DATA </w:instrText>
      </w:r>
      <w:r w:rsidR="008F0B0A">
        <w:rPr>
          <w:sz w:val="24"/>
          <w:szCs w:val="24"/>
        </w:rPr>
      </w:r>
      <w:r w:rsidR="008F0B0A">
        <w:rPr>
          <w:sz w:val="24"/>
          <w:szCs w:val="24"/>
        </w:rPr>
        <w:fldChar w:fldCharType="end"/>
      </w:r>
      <w:r w:rsidR="00A27954">
        <w:rPr>
          <w:sz w:val="24"/>
          <w:szCs w:val="24"/>
        </w:rPr>
      </w:r>
      <w:r w:rsidR="00A27954">
        <w:rPr>
          <w:sz w:val="24"/>
          <w:szCs w:val="24"/>
        </w:rPr>
        <w:fldChar w:fldCharType="separate"/>
      </w:r>
      <w:r w:rsidR="008F0B0A">
        <w:rPr>
          <w:noProof/>
          <w:sz w:val="24"/>
          <w:szCs w:val="24"/>
        </w:rPr>
        <w:t>(Reed et al., 2018; Simon &amp; Schiemer, 2015)</w:t>
      </w:r>
      <w:r w:rsidR="00A27954">
        <w:rPr>
          <w:sz w:val="24"/>
          <w:szCs w:val="24"/>
        </w:rPr>
        <w:fldChar w:fldCharType="end"/>
      </w:r>
      <w:r w:rsidR="000C2EF9">
        <w:rPr>
          <w:sz w:val="24"/>
          <w:szCs w:val="24"/>
        </w:rPr>
        <w:t xml:space="preserve">. </w:t>
      </w:r>
      <w:r w:rsidR="00F21C1D">
        <w:rPr>
          <w:sz w:val="24"/>
          <w:szCs w:val="24"/>
        </w:rPr>
        <w:t xml:space="preserve">And this multi-dimensional complexity is reflected in the structural organisation of universities </w:t>
      </w:r>
      <w:r w:rsidR="00F21C1D">
        <w:rPr>
          <w:sz w:val="24"/>
          <w:szCs w:val="24"/>
        </w:rPr>
        <w:fldChar w:fldCharType="begin"/>
      </w:r>
      <w:r w:rsidR="00F21C1D">
        <w:rPr>
          <w:sz w:val="24"/>
          <w:szCs w:val="24"/>
        </w:rPr>
        <w:instrText xml:space="preserve"> ADDIN EN.CITE &lt;EndNote&gt;&lt;Cite&gt;&lt;Author&gt;Gumport&lt;/Author&gt;&lt;Year&gt;2002&lt;/Year&gt;&lt;IDText&gt;The Formal Organization of Knowledge: An Analysis of Academic Structure&lt;/IDText&gt;&lt;DisplayText&gt;(Gumport &amp;amp; Snydman, 2002)&lt;/DisplayText&gt;&lt;record&gt;&lt;keywords&gt;&lt;keyword&gt;Universities And Colleges -- California -- San Jose -- Departments&lt;/keyword&gt;&lt;keyword&gt;Higher Education And State -- California -- San Jose -- History&lt;/keyword&gt;&lt;keyword&gt;Knowledge, Sociology Of&lt;/keyword&gt;&lt;/keywords&gt;&lt;isbn&gt;0022-1546&lt;/isbn&gt;&lt;titles&gt;&lt;title&gt;The Formal Organization of Knowledge: An Analysis of Academic Structure&lt;/title&gt;&lt;secondary-title&gt;The Journal of Higher Education&lt;/secondary-title&gt;&lt;/titles&gt;&lt;pages&gt;375-408&lt;/pages&gt;&lt;number&gt;3&lt;/number&gt;&lt;contributors&gt;&lt;authors&gt;&lt;author&gt;Gumport, Patricia J.&lt;/author&gt;&lt;author&gt;Snydman, Stuart K.&lt;/author&gt;&lt;/authors&gt;&lt;/contributors&gt;&lt;added-date format="utc"&gt;1490750807&lt;/added-date&gt;&lt;ref-type name="Journal Article"&gt;17&lt;/ref-type&gt;&lt;dates&gt;&lt;year&gt;2002&lt;/year&gt;&lt;/dates&gt;&lt;rec-number&gt;6685&lt;/rec-number&gt;&lt;last-updated-date format="utc"&gt;1505394016&lt;/last-updated-date&gt;&lt;volume&gt;73&lt;/volume&gt;&lt;/record&gt;&lt;/Cite&gt;&lt;/EndNote&gt;</w:instrText>
      </w:r>
      <w:r w:rsidR="00F21C1D">
        <w:rPr>
          <w:sz w:val="24"/>
          <w:szCs w:val="24"/>
        </w:rPr>
        <w:fldChar w:fldCharType="separate"/>
      </w:r>
      <w:r w:rsidR="00F21C1D">
        <w:rPr>
          <w:noProof/>
          <w:sz w:val="24"/>
          <w:szCs w:val="24"/>
        </w:rPr>
        <w:t>(Gumport &amp; Snydman, 2002)</w:t>
      </w:r>
      <w:r w:rsidR="00F21C1D">
        <w:rPr>
          <w:sz w:val="24"/>
          <w:szCs w:val="24"/>
        </w:rPr>
        <w:fldChar w:fldCharType="end"/>
      </w:r>
      <w:r w:rsidR="00F21C1D">
        <w:rPr>
          <w:sz w:val="24"/>
          <w:szCs w:val="24"/>
        </w:rPr>
        <w:t xml:space="preserve">, as evidenced </w:t>
      </w:r>
      <w:r w:rsidR="00BA2A2A">
        <w:rPr>
          <w:sz w:val="24"/>
          <w:szCs w:val="24"/>
        </w:rPr>
        <w:t>by</w:t>
      </w:r>
      <w:r w:rsidR="00F21C1D">
        <w:rPr>
          <w:sz w:val="24"/>
          <w:szCs w:val="24"/>
        </w:rPr>
        <w:t xml:space="preserve"> the proliferation of novel ‘boundary structures’ discussed above, associated with the ‘entrepreneurial’ university </w:t>
      </w:r>
      <w:r w:rsidR="00F21C1D">
        <w:rPr>
          <w:sz w:val="24"/>
          <w:szCs w:val="24"/>
        </w:rPr>
        <w:fldChar w:fldCharType="begin"/>
      </w:r>
      <w:r w:rsidR="003A0D1B">
        <w:rPr>
          <w:sz w:val="24"/>
          <w:szCs w:val="24"/>
        </w:rPr>
        <w:instrText xml:space="preserve"> ADDIN EN.CITE &lt;EndNote&gt;&lt;Cite&gt;&lt;Author&gt;Clark&lt;/Author&gt;&lt;Year&gt;2004&lt;/Year&gt;&lt;IDText&gt;Delineating the Character of the Entrepreneurial University&lt;/IDText&gt;&lt;DisplayText&gt;(B. R. Clark, 2004a; Etzkowitz, 2013)&lt;/DisplayText&gt;&lt;record&gt;&lt;isbn&gt;0952-8733&lt;/isbn&gt;&lt;titles&gt;&lt;title&gt;Delineating the Character of the Entrepreneurial University&lt;/title&gt;&lt;secondary-title&gt;Higher Education Policy&lt;/secondary-title&gt;&lt;/titles&gt;&lt;pages&gt;355&lt;/pages&gt;&lt;number&gt;4&lt;/number&gt;&lt;contributors&gt;&lt;authors&gt;&lt;author&gt;Clark, Burton R.&lt;/author&gt;&lt;/authors&gt;&lt;/contributors&gt;&lt;added-date format="utc"&gt;1458154204&lt;/added-date&gt;&lt;ref-type name="Journal Article"&gt;17&lt;/ref-type&gt;&lt;dates&gt;&lt;year&gt;2004&lt;/year&gt;&lt;/dates&gt;&lt;rec-number&gt;297&lt;/rec-number&gt;&lt;last-updated-date format="utc"&gt;1469229868&lt;/last-updated-date&gt;&lt;electronic-resource-num&gt;10.1057/palgrave.hep.8300062&lt;/electronic-resource-num&gt;&lt;volume&gt;17&lt;/volume&gt;&lt;/record&gt;&lt;/Cite&gt;&lt;Cite&gt;&lt;Author&gt;Etzkowitz&lt;/Author&gt;&lt;Year&gt;2013&lt;/Year&gt;&lt;IDText&gt;Anatomy of the entrepreneurial university&lt;/IDText&gt;&lt;record&gt;&lt;keywords&gt;&lt;keyword&gt;Entrepreneurship&lt;/keyword&gt;&lt;keyword&gt;Universities&lt;/keyword&gt;&lt;keyword&gt;Teaching&lt;/keyword&gt;&lt;keyword&gt;Values&lt;/keyword&gt;&lt;keyword&gt;Technology Transfer&lt;/keyword&gt;&lt;keyword&gt;Participation&lt;/keyword&gt;&lt;keyword&gt;Economic Development&lt;/keyword&gt;&lt;keyword&gt;Regional Development&lt;/keyword&gt;&lt;keyword&gt;Politics and Society&lt;/keyword&gt;&lt;keyword&gt;Politics and Society&lt;/keyword&gt;&lt;keyword&gt;Entrepreneurial University Second Academic Revolution Spin-Off Firms Triple Helix&lt;/keyword&gt;&lt;keyword&gt;Article&lt;/keyword&gt;&lt;/keywords&gt;&lt;isbn&gt;0539-0184&lt;/isbn&gt;&lt;titles&gt;&lt;title&gt;Anatomy of the entrepreneurial university&lt;/title&gt;&lt;secondary-title&gt;Social Science Information&lt;/secondary-title&gt;&lt;/titles&gt;&lt;pages&gt;486-511&lt;/pages&gt;&lt;number&gt;3&lt;/number&gt;&lt;contributors&gt;&lt;authors&gt;&lt;author&gt;Etzkowitz, Henry&lt;/author&gt;&lt;/authors&gt;&lt;/contributors&gt;&lt;added-date format="utc"&gt;1499101899&lt;/added-date&gt;&lt;ref-type name="Journal Article"&gt;17&lt;/ref-type&gt;&lt;dates&gt;&lt;year&gt;2013&lt;/year&gt;&lt;/dates&gt;&lt;rec-number&gt;7085&lt;/rec-number&gt;&lt;last-updated-date format="utc"&gt;1499219056&lt;/last-updated-date&gt;&lt;electronic-resource-num&gt;10.1177/0539018413485832&lt;/electronic-resource-num&gt;&lt;volume&gt;52&lt;/volume&gt;&lt;/record&gt;&lt;/Cite&gt;&lt;/EndNote&gt;</w:instrText>
      </w:r>
      <w:r w:rsidR="00F21C1D">
        <w:rPr>
          <w:sz w:val="24"/>
          <w:szCs w:val="24"/>
        </w:rPr>
        <w:fldChar w:fldCharType="separate"/>
      </w:r>
      <w:r w:rsidR="003A0D1B">
        <w:rPr>
          <w:noProof/>
          <w:sz w:val="24"/>
          <w:szCs w:val="24"/>
        </w:rPr>
        <w:t>(B. R. Clark, 2004a; Etzkowitz, 2013)</w:t>
      </w:r>
      <w:r w:rsidR="00F21C1D">
        <w:rPr>
          <w:sz w:val="24"/>
          <w:szCs w:val="24"/>
        </w:rPr>
        <w:fldChar w:fldCharType="end"/>
      </w:r>
      <w:r w:rsidR="00F21C1D">
        <w:rPr>
          <w:sz w:val="24"/>
          <w:szCs w:val="24"/>
        </w:rPr>
        <w:t xml:space="preserve">. </w:t>
      </w:r>
    </w:p>
    <w:p w14:paraId="37D7C927" w14:textId="5C91E42E" w:rsidR="00D00EBB" w:rsidRDefault="00BD2859" w:rsidP="00D00EBB">
      <w:pPr>
        <w:autoSpaceDE w:val="0"/>
        <w:autoSpaceDN w:val="0"/>
        <w:adjustRightInd w:val="0"/>
        <w:spacing w:before="120" w:after="120" w:line="360" w:lineRule="auto"/>
        <w:rPr>
          <w:sz w:val="24"/>
          <w:szCs w:val="24"/>
        </w:rPr>
      </w:pPr>
      <w:r>
        <w:rPr>
          <w:sz w:val="24"/>
          <w:szCs w:val="24"/>
        </w:rPr>
        <w:t xml:space="preserve">McNie et al. (2016) </w:t>
      </w:r>
      <w:r w:rsidR="0010294D">
        <w:rPr>
          <w:sz w:val="24"/>
          <w:szCs w:val="24"/>
        </w:rPr>
        <w:t>are</w:t>
      </w:r>
      <w:r w:rsidR="009324D0">
        <w:rPr>
          <w:sz w:val="24"/>
          <w:szCs w:val="24"/>
        </w:rPr>
        <w:t xml:space="preserve"> interested in specifying the multiple elements of this complex multi-dimensionality, and particularly doing so in a way which acknowledges the sometimes subtle and indirect way that ‘users’ or the ‘context of use’ i</w:t>
      </w:r>
      <w:r w:rsidR="0068018A">
        <w:rPr>
          <w:sz w:val="24"/>
          <w:szCs w:val="24"/>
        </w:rPr>
        <w:t>nfluence</w:t>
      </w:r>
      <w:r w:rsidR="009324D0">
        <w:rPr>
          <w:sz w:val="24"/>
          <w:szCs w:val="24"/>
        </w:rPr>
        <w:t xml:space="preserve"> research. </w:t>
      </w:r>
      <w:r w:rsidR="005C3434">
        <w:rPr>
          <w:sz w:val="24"/>
          <w:szCs w:val="24"/>
        </w:rPr>
        <w:t>In order to capture this, they</w:t>
      </w:r>
      <w:r w:rsidR="006375E1">
        <w:rPr>
          <w:sz w:val="24"/>
          <w:szCs w:val="24"/>
        </w:rPr>
        <w:t xml:space="preserve"> constructed a</w:t>
      </w:r>
      <w:r w:rsidR="00A6465F">
        <w:rPr>
          <w:sz w:val="24"/>
          <w:szCs w:val="24"/>
        </w:rPr>
        <w:t xml:space="preserve"> “multi-dimensional typology” for “[u]nderstanding the characteristics of, and processes related to ... research” and in particular for </w:t>
      </w:r>
      <w:r w:rsidR="00A6465F" w:rsidRPr="002D6870">
        <w:rPr>
          <w:sz w:val="24"/>
          <w:szCs w:val="24"/>
        </w:rPr>
        <w:t>understanding the “role of the user” in influencing the “research” (p</w:t>
      </w:r>
      <w:r w:rsidR="00345377">
        <w:rPr>
          <w:sz w:val="24"/>
          <w:szCs w:val="24"/>
        </w:rPr>
        <w:t>p. 885,</w:t>
      </w:r>
      <w:r w:rsidR="00A6465F" w:rsidRPr="002D6870">
        <w:rPr>
          <w:sz w:val="24"/>
          <w:szCs w:val="24"/>
        </w:rPr>
        <w:t xml:space="preserve"> 886). </w:t>
      </w:r>
      <w:r w:rsidR="00663A67">
        <w:rPr>
          <w:sz w:val="24"/>
          <w:szCs w:val="24"/>
        </w:rPr>
        <w:t xml:space="preserve">The typology synthesises the authors’ extensive literature review and experience as researchers and decision makers of science policy (primarily in North America). </w:t>
      </w:r>
      <w:r w:rsidR="006375E1">
        <w:rPr>
          <w:sz w:val="24"/>
          <w:szCs w:val="24"/>
        </w:rPr>
        <w:t>The</w:t>
      </w:r>
      <w:r w:rsidR="009E142F">
        <w:rPr>
          <w:sz w:val="24"/>
          <w:szCs w:val="24"/>
        </w:rPr>
        <w:t xml:space="preserve"> </w:t>
      </w:r>
      <w:r w:rsidR="006375E1">
        <w:rPr>
          <w:sz w:val="24"/>
          <w:szCs w:val="24"/>
        </w:rPr>
        <w:t>typology distils the multi-dimensionality of research into</w:t>
      </w:r>
      <w:r w:rsidR="00663A67">
        <w:rPr>
          <w:sz w:val="24"/>
          <w:szCs w:val="24"/>
        </w:rPr>
        <w:t xml:space="preserve"> fifteen ‘attributes’ and ‘activities’ associated with a given </w:t>
      </w:r>
      <w:r w:rsidR="00207BD9">
        <w:rPr>
          <w:sz w:val="24"/>
          <w:szCs w:val="24"/>
        </w:rPr>
        <w:t>research project or</w:t>
      </w:r>
      <w:r w:rsidR="00663A67">
        <w:rPr>
          <w:sz w:val="24"/>
          <w:szCs w:val="24"/>
        </w:rPr>
        <w:t xml:space="preserve"> body of research. </w:t>
      </w:r>
      <w:r w:rsidR="00207BD9">
        <w:rPr>
          <w:sz w:val="24"/>
          <w:szCs w:val="24"/>
        </w:rPr>
        <w:t>From my perspective, capturing this complex multi-dimensionality is important, as it highlights that there are many possible ‘moments’ of research in which academic boundaries can be crossed and confronted.</w:t>
      </w:r>
      <w:r w:rsidR="008035E5">
        <w:rPr>
          <w:sz w:val="24"/>
          <w:szCs w:val="24"/>
        </w:rPr>
        <w:t xml:space="preserve"> I therefore slightly adapt the typology by conceptualising it through the ‘boundary’ lens adopted in this thesis, such that the typology </w:t>
      </w:r>
      <w:r w:rsidR="00FC2F09">
        <w:rPr>
          <w:sz w:val="24"/>
          <w:szCs w:val="24"/>
        </w:rPr>
        <w:t xml:space="preserve">becomes </w:t>
      </w:r>
      <w:r w:rsidR="00FC2F09">
        <w:rPr>
          <w:sz w:val="24"/>
          <w:szCs w:val="24"/>
          <w:lang w:eastAsia="zh-TW"/>
        </w:rPr>
        <w:t xml:space="preserve">“a heuristic” </w:t>
      </w:r>
      <w:r w:rsidR="00FC2F09">
        <w:rPr>
          <w:sz w:val="24"/>
          <w:szCs w:val="24"/>
          <w:lang w:eastAsia="zh-TW"/>
        </w:rPr>
        <w:fldChar w:fldCharType="begin"/>
      </w:r>
      <w:r w:rsidR="00FC2F09">
        <w:rPr>
          <w:sz w:val="24"/>
          <w:szCs w:val="24"/>
          <w:lang w:eastAsia="zh-TW"/>
        </w:rPr>
        <w:instrText xml:space="preserve"> ADDIN EN.CITE &lt;EndNote&gt;&lt;Cite&gt;&lt;Author&gt;McNie&lt;/Author&gt;&lt;Year&gt;2016&lt;/Year&gt;&lt;IDText&gt;Improving the public value of science: A typology to inform discussion, design and implementation of research&lt;/IDText&gt;&lt;Pages&gt;893&lt;/Pages&gt;&lt;DisplayText&gt;(McNie et al., 2016, p. 893)&lt;/DisplayText&gt;&lt;record&gt;&lt;urls&gt;&lt;related-urls&gt;&lt;url&gt;https://www.scopus.com/inward/record.uri?eid=2-s2.0-84959431924&amp;amp;partnerID=40&amp;amp;md5=6e4fc01d19d1b61b09084e6d6aa244db&lt;/url&gt;&lt;/related-urls&gt;&lt;/urls&gt;&lt;work-type&gt;Article&lt;/work-type&gt;&lt;titles&gt;&lt;title&gt;Improving the public value of science: A typology to inform discussion, design and implementation of research&lt;/title&gt;&lt;secondary-title&gt;Research Policy&lt;/secondary-title&gt;&lt;/titles&gt;&lt;pages&gt;884-895&lt;/pages&gt;&lt;number&gt;4&lt;/number&gt;&lt;contributors&gt;&lt;authors&gt;&lt;author&gt;McNie, E. C.&lt;/author&gt;&lt;author&gt;Parris, A.&lt;/author&gt;&lt;author&gt;Sarewitz, D.&lt;/author&gt;&lt;/authors&gt;&lt;/contributors&gt;&lt;added-date format="utc"&gt;1473704837&lt;/added-date&gt;&lt;ref-type name="Journal Article"&gt;17&lt;/ref-type&gt;&lt;dates&gt;&lt;year&gt;2016&lt;/year&gt;&lt;/dates&gt;&lt;rec-number&gt;3484&lt;/rec-number&gt;&lt;last-updated-date format="utc"&gt;1473704837&lt;/last-updated-date&gt;&lt;electronic-resource-num&gt;10.1016/j.respol.2016.01.004&lt;/electronic-resource-num&gt;&lt;volume&gt;45&lt;/volume&gt;&lt;remote-database-name&gt;Scopus&lt;/remote-database-name&gt;&lt;/record&gt;&lt;/Cite&gt;&lt;/EndNote&gt;</w:instrText>
      </w:r>
      <w:r w:rsidR="00FC2F09">
        <w:rPr>
          <w:sz w:val="24"/>
          <w:szCs w:val="24"/>
          <w:lang w:eastAsia="zh-TW"/>
        </w:rPr>
        <w:fldChar w:fldCharType="separate"/>
      </w:r>
      <w:r w:rsidR="00FC2F09">
        <w:rPr>
          <w:noProof/>
          <w:sz w:val="24"/>
          <w:szCs w:val="24"/>
          <w:lang w:eastAsia="zh-TW"/>
        </w:rPr>
        <w:t>(McNie et al., 2016, p. 893)</w:t>
      </w:r>
      <w:r w:rsidR="00FC2F09">
        <w:rPr>
          <w:sz w:val="24"/>
          <w:szCs w:val="24"/>
          <w:lang w:eastAsia="zh-TW"/>
        </w:rPr>
        <w:fldChar w:fldCharType="end"/>
      </w:r>
      <w:r w:rsidR="00FC2F09">
        <w:rPr>
          <w:sz w:val="24"/>
          <w:szCs w:val="24"/>
          <w:lang w:eastAsia="zh-TW"/>
        </w:rPr>
        <w:t xml:space="preserve"> </w:t>
      </w:r>
      <w:r w:rsidR="007809A3">
        <w:rPr>
          <w:sz w:val="24"/>
          <w:szCs w:val="24"/>
          <w:lang w:eastAsia="zh-TW"/>
        </w:rPr>
        <w:t xml:space="preserve">tool for </w:t>
      </w:r>
      <w:r w:rsidR="008035E5">
        <w:rPr>
          <w:sz w:val="24"/>
          <w:szCs w:val="24"/>
        </w:rPr>
        <w:t>captur</w:t>
      </w:r>
      <w:r w:rsidR="007809A3">
        <w:rPr>
          <w:sz w:val="24"/>
          <w:szCs w:val="24"/>
        </w:rPr>
        <w:t>ing</w:t>
      </w:r>
      <w:r w:rsidR="008035E5">
        <w:rPr>
          <w:sz w:val="24"/>
          <w:szCs w:val="24"/>
        </w:rPr>
        <w:t xml:space="preserve"> insights into the ‘boundedness’ of different aspects (‘activities’ and ‘attributes’) of</w:t>
      </w:r>
      <w:r w:rsidR="007809A3">
        <w:rPr>
          <w:sz w:val="24"/>
          <w:szCs w:val="24"/>
        </w:rPr>
        <w:t xml:space="preserve"> the sampled</w:t>
      </w:r>
      <w:r w:rsidR="008035E5">
        <w:rPr>
          <w:sz w:val="24"/>
          <w:szCs w:val="24"/>
        </w:rPr>
        <w:t xml:space="preserve"> research.</w:t>
      </w:r>
      <w:r w:rsidR="00F52B86">
        <w:rPr>
          <w:sz w:val="24"/>
          <w:szCs w:val="24"/>
        </w:rPr>
        <w:t xml:space="preserve"> </w:t>
      </w:r>
      <w:r w:rsidR="00DF1D0D">
        <w:rPr>
          <w:sz w:val="24"/>
          <w:szCs w:val="24"/>
        </w:rPr>
        <w:t xml:space="preserve">The (adapted) typology and its relevance to my interest in the ‘boundedness’ of research is presented below. The precise way in which I apply the typology for analytical purposes will be specified in the final section of this chapter (under the ‘Analysis’ sub-heading). </w:t>
      </w:r>
    </w:p>
    <w:p w14:paraId="11122E7C" w14:textId="454529B6" w:rsidR="00647D6B" w:rsidRDefault="00B07F87" w:rsidP="00202AC8">
      <w:pPr>
        <w:pStyle w:val="Heading3"/>
        <w:rPr>
          <w:lang w:eastAsia="zh-TW"/>
        </w:rPr>
      </w:pPr>
      <w:bookmarkStart w:id="45" w:name="_Toc31701956"/>
      <w:r>
        <w:rPr>
          <w:lang w:eastAsia="zh-TW"/>
        </w:rPr>
        <w:t>The t</w:t>
      </w:r>
      <w:r w:rsidR="00CD3BB8">
        <w:rPr>
          <w:lang w:eastAsia="zh-TW"/>
        </w:rPr>
        <w:t xml:space="preserve">ypology: </w:t>
      </w:r>
      <w:r w:rsidR="00647D6B">
        <w:rPr>
          <w:lang w:eastAsia="zh-TW"/>
        </w:rPr>
        <w:t>fifteen attributes and activities</w:t>
      </w:r>
      <w:r w:rsidR="00CD3BB8">
        <w:rPr>
          <w:lang w:eastAsia="zh-TW"/>
        </w:rPr>
        <w:t xml:space="preserve"> of research and their boundary implications</w:t>
      </w:r>
      <w:bookmarkEnd w:id="45"/>
    </w:p>
    <w:p w14:paraId="1352FB4E" w14:textId="20B8FE07" w:rsidR="006C64D3" w:rsidRDefault="007A0384" w:rsidP="005734FF">
      <w:pPr>
        <w:autoSpaceDE w:val="0"/>
        <w:autoSpaceDN w:val="0"/>
        <w:adjustRightInd w:val="0"/>
        <w:spacing w:after="120" w:line="360" w:lineRule="auto"/>
        <w:rPr>
          <w:sz w:val="24"/>
          <w:szCs w:val="24"/>
          <w:lang w:eastAsia="zh-TW"/>
        </w:rPr>
      </w:pPr>
      <w:r w:rsidRPr="00EE58A5">
        <w:rPr>
          <w:sz w:val="24"/>
          <w:szCs w:val="24"/>
          <w:lang w:eastAsia="zh-TW"/>
        </w:rPr>
        <w:fldChar w:fldCharType="begin"/>
      </w:r>
      <w:r w:rsidRPr="00EE58A5">
        <w:rPr>
          <w:sz w:val="24"/>
          <w:szCs w:val="24"/>
          <w:lang w:eastAsia="zh-TW"/>
        </w:rPr>
        <w:instrText xml:space="preserve"> REF _Ref7182115 \h </w:instrText>
      </w:r>
      <w:r>
        <w:rPr>
          <w:sz w:val="24"/>
          <w:szCs w:val="24"/>
          <w:lang w:eastAsia="zh-TW"/>
        </w:rPr>
        <w:instrText xml:space="preserve"> \* MERGEFORMAT </w:instrText>
      </w:r>
      <w:r w:rsidRPr="00EE58A5">
        <w:rPr>
          <w:sz w:val="24"/>
          <w:szCs w:val="24"/>
          <w:lang w:eastAsia="zh-TW"/>
        </w:rPr>
      </w:r>
      <w:r w:rsidRPr="00EE58A5">
        <w:rPr>
          <w:sz w:val="24"/>
          <w:szCs w:val="24"/>
          <w:lang w:eastAsia="zh-TW"/>
        </w:rPr>
        <w:fldChar w:fldCharType="separate"/>
      </w:r>
      <w:r w:rsidR="0011424E" w:rsidRPr="0011424E">
        <w:rPr>
          <w:sz w:val="24"/>
          <w:szCs w:val="24"/>
        </w:rPr>
        <w:t xml:space="preserve">Table </w:t>
      </w:r>
      <w:r w:rsidR="0011424E" w:rsidRPr="0011424E">
        <w:rPr>
          <w:noProof/>
          <w:sz w:val="24"/>
          <w:szCs w:val="24"/>
        </w:rPr>
        <w:t>2</w:t>
      </w:r>
      <w:r w:rsidRPr="00EE58A5">
        <w:rPr>
          <w:sz w:val="24"/>
          <w:szCs w:val="24"/>
          <w:lang w:eastAsia="zh-TW"/>
        </w:rPr>
        <w:fldChar w:fldCharType="end"/>
      </w:r>
      <w:r>
        <w:rPr>
          <w:sz w:val="24"/>
          <w:szCs w:val="24"/>
          <w:lang w:eastAsia="zh-TW"/>
        </w:rPr>
        <w:t xml:space="preserve"> summarises McNie et al.’s (2016) fifteen attributes/activities</w:t>
      </w:r>
      <w:r w:rsidR="002E48A5">
        <w:rPr>
          <w:sz w:val="24"/>
          <w:szCs w:val="24"/>
          <w:lang w:eastAsia="zh-TW"/>
        </w:rPr>
        <w:t xml:space="preserve"> which, they argue, combine to generate a full characterisation of a body of research. </w:t>
      </w:r>
      <w:r w:rsidR="00B149E6">
        <w:rPr>
          <w:sz w:val="24"/>
          <w:szCs w:val="24"/>
          <w:lang w:eastAsia="zh-TW"/>
        </w:rPr>
        <w:t xml:space="preserve">Given the interest that I and the typology’s authors’ </w:t>
      </w:r>
      <w:r w:rsidR="00607080">
        <w:rPr>
          <w:sz w:val="24"/>
          <w:szCs w:val="24"/>
          <w:lang w:eastAsia="zh-TW"/>
        </w:rPr>
        <w:t xml:space="preserve">share in the complex relations and ‘transactions’ between the context of academic knowledge production and that of wider society, </w:t>
      </w:r>
      <w:r w:rsidR="00607080" w:rsidRPr="00EE58A5">
        <w:rPr>
          <w:sz w:val="24"/>
          <w:szCs w:val="24"/>
          <w:lang w:eastAsia="zh-TW"/>
        </w:rPr>
        <w:fldChar w:fldCharType="begin"/>
      </w:r>
      <w:r w:rsidR="00607080" w:rsidRPr="00EE58A5">
        <w:rPr>
          <w:sz w:val="24"/>
          <w:szCs w:val="24"/>
          <w:lang w:eastAsia="zh-TW"/>
        </w:rPr>
        <w:instrText xml:space="preserve"> REF _Ref7182115 \h </w:instrText>
      </w:r>
      <w:r w:rsidR="00607080">
        <w:rPr>
          <w:sz w:val="24"/>
          <w:szCs w:val="24"/>
          <w:lang w:eastAsia="zh-TW"/>
        </w:rPr>
        <w:instrText xml:space="preserve"> \* MERGEFORMAT </w:instrText>
      </w:r>
      <w:r w:rsidR="00607080" w:rsidRPr="00EE58A5">
        <w:rPr>
          <w:sz w:val="24"/>
          <w:szCs w:val="24"/>
          <w:lang w:eastAsia="zh-TW"/>
        </w:rPr>
      </w:r>
      <w:r w:rsidR="00607080" w:rsidRPr="00EE58A5">
        <w:rPr>
          <w:sz w:val="24"/>
          <w:szCs w:val="24"/>
          <w:lang w:eastAsia="zh-TW"/>
        </w:rPr>
        <w:fldChar w:fldCharType="separate"/>
      </w:r>
      <w:r w:rsidR="0011424E" w:rsidRPr="0011424E">
        <w:rPr>
          <w:sz w:val="24"/>
          <w:szCs w:val="24"/>
        </w:rPr>
        <w:t xml:space="preserve">Table </w:t>
      </w:r>
      <w:r w:rsidR="0011424E" w:rsidRPr="0011424E">
        <w:rPr>
          <w:noProof/>
          <w:sz w:val="24"/>
          <w:szCs w:val="24"/>
        </w:rPr>
        <w:t>2</w:t>
      </w:r>
      <w:r w:rsidR="00607080" w:rsidRPr="00EE58A5">
        <w:rPr>
          <w:sz w:val="24"/>
          <w:szCs w:val="24"/>
          <w:lang w:eastAsia="zh-TW"/>
        </w:rPr>
        <w:fldChar w:fldCharType="end"/>
      </w:r>
      <w:r w:rsidR="00607080">
        <w:rPr>
          <w:sz w:val="24"/>
          <w:szCs w:val="24"/>
          <w:lang w:eastAsia="zh-TW"/>
        </w:rPr>
        <w:t xml:space="preserve"> provides two summary descriptors of each attribute/activity: the table’s middle column</w:t>
      </w:r>
      <w:r w:rsidR="00DA5FC7">
        <w:rPr>
          <w:sz w:val="24"/>
          <w:szCs w:val="24"/>
          <w:lang w:eastAsia="zh-TW"/>
        </w:rPr>
        <w:t xml:space="preserve"> (‘bounded’ research)</w:t>
      </w:r>
      <w:r w:rsidR="00607080">
        <w:rPr>
          <w:sz w:val="24"/>
          <w:szCs w:val="24"/>
          <w:lang w:eastAsia="zh-TW"/>
        </w:rPr>
        <w:t xml:space="preserve"> provides a description of the attribute/activity in the context of a body of research which is strongly focused on working within and contributing to knowledge confined within the boundaries of academia, therefore taking negligible, if any, influence from actors, interests or objectives from beyond those boundaries; by contrast, the right-hand column </w:t>
      </w:r>
      <w:r w:rsidR="009639D0">
        <w:rPr>
          <w:sz w:val="24"/>
          <w:szCs w:val="24"/>
          <w:lang w:eastAsia="zh-TW"/>
        </w:rPr>
        <w:t xml:space="preserve">(‘unbounded’ research) </w:t>
      </w:r>
      <w:r w:rsidR="00607080">
        <w:rPr>
          <w:sz w:val="24"/>
          <w:szCs w:val="24"/>
          <w:lang w:eastAsia="zh-TW"/>
        </w:rPr>
        <w:t>provides a description of the attribute/activity in the context of a body of research which engages with and pays strong attention to this external context.</w:t>
      </w:r>
      <w:r w:rsidR="00170730">
        <w:rPr>
          <w:sz w:val="24"/>
          <w:szCs w:val="24"/>
          <w:lang w:eastAsia="zh-TW"/>
        </w:rPr>
        <w:t xml:space="preserve"> Of course, in reality, much research would fall between the extremes.</w:t>
      </w:r>
      <w:r w:rsidR="00607080">
        <w:rPr>
          <w:sz w:val="24"/>
          <w:szCs w:val="24"/>
          <w:lang w:eastAsia="zh-TW"/>
        </w:rPr>
        <w:t xml:space="preserve"> The descriptions in </w:t>
      </w:r>
      <w:r w:rsidR="00607080" w:rsidRPr="00EE58A5">
        <w:rPr>
          <w:sz w:val="24"/>
          <w:szCs w:val="24"/>
          <w:lang w:eastAsia="zh-TW"/>
        </w:rPr>
        <w:fldChar w:fldCharType="begin"/>
      </w:r>
      <w:r w:rsidR="00607080" w:rsidRPr="00EE58A5">
        <w:rPr>
          <w:sz w:val="24"/>
          <w:szCs w:val="24"/>
          <w:lang w:eastAsia="zh-TW"/>
        </w:rPr>
        <w:instrText xml:space="preserve"> REF _Ref7182115 \h </w:instrText>
      </w:r>
      <w:r w:rsidR="00607080">
        <w:rPr>
          <w:sz w:val="24"/>
          <w:szCs w:val="24"/>
          <w:lang w:eastAsia="zh-TW"/>
        </w:rPr>
        <w:instrText xml:space="preserve"> \* MERGEFORMAT </w:instrText>
      </w:r>
      <w:r w:rsidR="00607080" w:rsidRPr="00EE58A5">
        <w:rPr>
          <w:sz w:val="24"/>
          <w:szCs w:val="24"/>
          <w:lang w:eastAsia="zh-TW"/>
        </w:rPr>
      </w:r>
      <w:r w:rsidR="00607080" w:rsidRPr="00EE58A5">
        <w:rPr>
          <w:sz w:val="24"/>
          <w:szCs w:val="24"/>
          <w:lang w:eastAsia="zh-TW"/>
        </w:rPr>
        <w:fldChar w:fldCharType="separate"/>
      </w:r>
      <w:r w:rsidR="0011424E" w:rsidRPr="0011424E">
        <w:rPr>
          <w:sz w:val="24"/>
          <w:szCs w:val="24"/>
        </w:rPr>
        <w:t xml:space="preserve">Table </w:t>
      </w:r>
      <w:r w:rsidR="0011424E" w:rsidRPr="0011424E">
        <w:rPr>
          <w:noProof/>
          <w:sz w:val="24"/>
          <w:szCs w:val="24"/>
        </w:rPr>
        <w:t>2</w:t>
      </w:r>
      <w:r w:rsidR="00607080" w:rsidRPr="00EE58A5">
        <w:rPr>
          <w:sz w:val="24"/>
          <w:szCs w:val="24"/>
          <w:lang w:eastAsia="zh-TW"/>
        </w:rPr>
        <w:fldChar w:fldCharType="end"/>
      </w:r>
      <w:r w:rsidR="00607080">
        <w:rPr>
          <w:sz w:val="24"/>
          <w:szCs w:val="24"/>
          <w:lang w:eastAsia="zh-TW"/>
        </w:rPr>
        <w:t xml:space="preserve"> are </w:t>
      </w:r>
      <w:r w:rsidR="00170730">
        <w:rPr>
          <w:sz w:val="24"/>
          <w:szCs w:val="24"/>
          <w:lang w:eastAsia="zh-TW"/>
        </w:rPr>
        <w:t xml:space="preserve">therefore </w:t>
      </w:r>
      <w:r w:rsidR="00607080">
        <w:rPr>
          <w:sz w:val="24"/>
          <w:szCs w:val="24"/>
          <w:lang w:eastAsia="zh-TW"/>
        </w:rPr>
        <w:t xml:space="preserve">further elaborated upon below. </w:t>
      </w:r>
    </w:p>
    <w:p w14:paraId="4F13E5B0" w14:textId="77777777" w:rsidR="006C1DFC" w:rsidRDefault="006C1DFC" w:rsidP="006C1DFC">
      <w:pPr>
        <w:pStyle w:val="Heading4"/>
        <w:rPr>
          <w:lang w:eastAsia="zh-TW"/>
        </w:rPr>
      </w:pPr>
      <w:r>
        <w:rPr>
          <w:lang w:eastAsia="zh-TW"/>
        </w:rPr>
        <w:t>Goals</w:t>
      </w:r>
    </w:p>
    <w:p w14:paraId="603A60D6" w14:textId="52CFE0C6" w:rsidR="006C1DFC" w:rsidRDefault="006C1DFC" w:rsidP="001F5DB2">
      <w:pPr>
        <w:autoSpaceDE w:val="0"/>
        <w:autoSpaceDN w:val="0"/>
        <w:adjustRightInd w:val="0"/>
        <w:spacing w:after="120" w:line="360" w:lineRule="auto"/>
        <w:rPr>
          <w:sz w:val="24"/>
          <w:szCs w:val="24"/>
          <w:lang w:eastAsia="zh-TW"/>
        </w:rPr>
      </w:pPr>
      <w:r>
        <w:rPr>
          <w:sz w:val="24"/>
          <w:szCs w:val="24"/>
          <w:lang w:eastAsia="zh-TW"/>
        </w:rPr>
        <w:t xml:space="preserve">Academic research ranges from being highly theoretical, abstract, and curiosity-driven, with no preference for what the findings may be other than that they be accurate (‘bounded’ research), to being very applied, in some cases even being oriented towards achieving a specific outcome for some aspect of the social world (‘unbounded’ research), such as improved health, increased revenue, improving the effectiveness of a policy, etc (McNie et al., 2016, p. 888). Today, a new norm or middle-ground for academic research is what has been characterised as ‘use-inspired basic’ research (Hughes et al., 2016; Stokes, 1997), that is, research which is oriented towards producing knowledge of general relevance to the issues facing society, but does this by producing basic knowledge rather than by conducting research which has direct social outcomes. The goals of the research can be traced and ascertained through the outputs and structures associated with it.  </w:t>
      </w:r>
    </w:p>
    <w:p w14:paraId="0BEEDB22" w14:textId="65595A9A" w:rsidR="008C4748" w:rsidRDefault="008C4748" w:rsidP="001F5DB2">
      <w:pPr>
        <w:autoSpaceDE w:val="0"/>
        <w:autoSpaceDN w:val="0"/>
        <w:adjustRightInd w:val="0"/>
        <w:spacing w:after="120" w:line="360" w:lineRule="auto"/>
        <w:rPr>
          <w:sz w:val="24"/>
          <w:szCs w:val="24"/>
          <w:lang w:eastAsia="zh-TW"/>
        </w:rPr>
      </w:pPr>
    </w:p>
    <w:p w14:paraId="2FF5A914" w14:textId="77777777" w:rsidR="008C4748" w:rsidRDefault="008C4748" w:rsidP="001F5DB2">
      <w:pPr>
        <w:autoSpaceDE w:val="0"/>
        <w:autoSpaceDN w:val="0"/>
        <w:adjustRightInd w:val="0"/>
        <w:spacing w:after="120" w:line="360" w:lineRule="auto"/>
        <w:rPr>
          <w:sz w:val="24"/>
          <w:szCs w:val="24"/>
          <w:lang w:eastAsia="zh-TW"/>
        </w:rPr>
      </w:pPr>
    </w:p>
    <w:tbl>
      <w:tblPr>
        <w:tblW w:w="9016" w:type="dxa"/>
        <w:tblLook w:val="04A0" w:firstRow="1" w:lastRow="0" w:firstColumn="1" w:lastColumn="0" w:noHBand="0" w:noVBand="1"/>
      </w:tblPr>
      <w:tblGrid>
        <w:gridCol w:w="2088"/>
        <w:gridCol w:w="3555"/>
        <w:gridCol w:w="3373"/>
      </w:tblGrid>
      <w:tr w:rsidR="00835F74" w14:paraId="27FEEE39" w14:textId="77777777" w:rsidTr="00607080">
        <w:tc>
          <w:tcPr>
            <w:tcW w:w="2074" w:type="dxa"/>
            <w:tcBorders>
              <w:top w:val="single" w:sz="4" w:space="0" w:color="auto"/>
              <w:left w:val="single" w:sz="4" w:space="0" w:color="auto"/>
              <w:bottom w:val="single" w:sz="4" w:space="0" w:color="auto"/>
              <w:right w:val="single" w:sz="4" w:space="0" w:color="auto"/>
            </w:tcBorders>
          </w:tcPr>
          <w:p w14:paraId="6119CC00" w14:textId="4F42FEEE" w:rsidR="00835F74" w:rsidRPr="007A7A1A" w:rsidRDefault="00BD05E8" w:rsidP="00F232AA">
            <w:pPr>
              <w:spacing w:after="0" w:line="240" w:lineRule="auto"/>
              <w:rPr>
                <w:b/>
                <w:sz w:val="22"/>
                <w:szCs w:val="22"/>
              </w:rPr>
            </w:pPr>
            <w:r>
              <w:rPr>
                <w:b/>
                <w:sz w:val="24"/>
                <w:szCs w:val="24"/>
                <w:lang w:eastAsia="zh-TW"/>
              </w:rPr>
              <w:t>A</w:t>
            </w:r>
            <w:r w:rsidR="00835F74" w:rsidRPr="007A7A1A">
              <w:rPr>
                <w:b/>
                <w:sz w:val="22"/>
                <w:szCs w:val="22"/>
              </w:rPr>
              <w:t>ttribute</w:t>
            </w:r>
            <w:r w:rsidR="007A0384">
              <w:rPr>
                <w:b/>
                <w:sz w:val="22"/>
                <w:szCs w:val="22"/>
              </w:rPr>
              <w:t>s/activities</w:t>
            </w:r>
          </w:p>
        </w:tc>
        <w:tc>
          <w:tcPr>
            <w:tcW w:w="3562" w:type="dxa"/>
            <w:tcBorders>
              <w:top w:val="single" w:sz="4" w:space="0" w:color="auto"/>
              <w:left w:val="single" w:sz="4" w:space="0" w:color="auto"/>
              <w:bottom w:val="single" w:sz="4" w:space="0" w:color="auto"/>
              <w:right w:val="single" w:sz="4" w:space="0" w:color="auto"/>
            </w:tcBorders>
          </w:tcPr>
          <w:p w14:paraId="35B4032D" w14:textId="60E41FD5" w:rsidR="00835F74" w:rsidRPr="007A7A1A" w:rsidRDefault="009639D0" w:rsidP="00F232AA">
            <w:pPr>
              <w:spacing w:after="0" w:line="240" w:lineRule="auto"/>
              <w:jc w:val="center"/>
              <w:rPr>
                <w:b/>
                <w:sz w:val="22"/>
                <w:szCs w:val="22"/>
              </w:rPr>
            </w:pPr>
            <w:r>
              <w:rPr>
                <w:b/>
                <w:sz w:val="22"/>
                <w:szCs w:val="22"/>
              </w:rPr>
              <w:t>‘Bounde</w:t>
            </w:r>
            <w:r w:rsidR="00CC7A48">
              <w:rPr>
                <w:b/>
                <w:sz w:val="22"/>
                <w:szCs w:val="22"/>
              </w:rPr>
              <w:t>d</w:t>
            </w:r>
            <w:r>
              <w:rPr>
                <w:b/>
                <w:sz w:val="22"/>
                <w:szCs w:val="22"/>
              </w:rPr>
              <w:t>’ academic research</w:t>
            </w:r>
          </w:p>
        </w:tc>
        <w:tc>
          <w:tcPr>
            <w:tcW w:w="3380" w:type="dxa"/>
            <w:tcBorders>
              <w:top w:val="single" w:sz="4" w:space="0" w:color="auto"/>
              <w:left w:val="single" w:sz="4" w:space="0" w:color="auto"/>
              <w:bottom w:val="single" w:sz="4" w:space="0" w:color="auto"/>
              <w:right w:val="single" w:sz="4" w:space="0" w:color="auto"/>
            </w:tcBorders>
          </w:tcPr>
          <w:p w14:paraId="55EAB3C2" w14:textId="3736282E" w:rsidR="00835F74" w:rsidRPr="007A7A1A" w:rsidRDefault="00835F74" w:rsidP="00F232AA">
            <w:pPr>
              <w:spacing w:after="0" w:line="240" w:lineRule="auto"/>
              <w:jc w:val="center"/>
              <w:rPr>
                <w:b/>
                <w:sz w:val="22"/>
                <w:szCs w:val="22"/>
              </w:rPr>
            </w:pPr>
            <w:r>
              <w:rPr>
                <w:b/>
                <w:sz w:val="22"/>
                <w:szCs w:val="22"/>
              </w:rPr>
              <w:t>‘</w:t>
            </w:r>
            <w:r w:rsidR="009639D0">
              <w:rPr>
                <w:b/>
                <w:sz w:val="22"/>
                <w:szCs w:val="22"/>
              </w:rPr>
              <w:t>Unbounded’ academic research</w:t>
            </w:r>
          </w:p>
        </w:tc>
      </w:tr>
      <w:tr w:rsidR="00835F74" w14:paraId="4348359B" w14:textId="77777777" w:rsidTr="00607080">
        <w:tc>
          <w:tcPr>
            <w:tcW w:w="2074" w:type="dxa"/>
            <w:tcBorders>
              <w:top w:val="single" w:sz="4" w:space="0" w:color="auto"/>
              <w:left w:val="single" w:sz="4" w:space="0" w:color="auto"/>
              <w:bottom w:val="single" w:sz="4" w:space="0" w:color="auto"/>
              <w:right w:val="single" w:sz="4" w:space="0" w:color="auto"/>
            </w:tcBorders>
          </w:tcPr>
          <w:p w14:paraId="7A05C4E3" w14:textId="77777777" w:rsidR="00835F74" w:rsidRPr="007A7A1A" w:rsidRDefault="00835F74" w:rsidP="00F232AA">
            <w:pPr>
              <w:spacing w:after="0" w:line="240" w:lineRule="auto"/>
              <w:rPr>
                <w:sz w:val="22"/>
                <w:szCs w:val="22"/>
              </w:rPr>
            </w:pPr>
            <w:r w:rsidRPr="007A7A1A">
              <w:rPr>
                <w:sz w:val="22"/>
                <w:szCs w:val="22"/>
              </w:rPr>
              <w:t>Goals</w:t>
            </w:r>
          </w:p>
        </w:tc>
        <w:tc>
          <w:tcPr>
            <w:tcW w:w="3562" w:type="dxa"/>
            <w:tcBorders>
              <w:top w:val="single" w:sz="4" w:space="0" w:color="auto"/>
              <w:left w:val="single" w:sz="4" w:space="0" w:color="auto"/>
              <w:bottom w:val="single" w:sz="4" w:space="0" w:color="auto"/>
              <w:right w:val="single" w:sz="4" w:space="0" w:color="auto"/>
            </w:tcBorders>
          </w:tcPr>
          <w:p w14:paraId="4A5F43E8" w14:textId="126832DB" w:rsidR="00835F74" w:rsidRPr="007A7A1A" w:rsidRDefault="00835F74" w:rsidP="00F232AA">
            <w:pPr>
              <w:spacing w:after="0" w:line="240" w:lineRule="auto"/>
              <w:rPr>
                <w:sz w:val="22"/>
                <w:szCs w:val="22"/>
              </w:rPr>
            </w:pPr>
            <w:r>
              <w:rPr>
                <w:sz w:val="22"/>
                <w:szCs w:val="22"/>
              </w:rPr>
              <w:t>The goal is</w:t>
            </w:r>
            <w:r w:rsidR="008A4F38">
              <w:rPr>
                <w:sz w:val="22"/>
                <w:szCs w:val="22"/>
              </w:rPr>
              <w:t xml:space="preserve"> to</w:t>
            </w:r>
            <w:r>
              <w:rPr>
                <w:sz w:val="22"/>
                <w:szCs w:val="22"/>
              </w:rPr>
              <w:t xml:space="preserve"> </w:t>
            </w:r>
            <w:r w:rsidRPr="008A0BF5">
              <w:rPr>
                <w:i/>
                <w:sz w:val="22"/>
                <w:szCs w:val="22"/>
              </w:rPr>
              <w:t>understand</w:t>
            </w:r>
            <w:r w:rsidR="008A4F38">
              <w:rPr>
                <w:sz w:val="22"/>
                <w:szCs w:val="22"/>
              </w:rPr>
              <w:t>; research is not constrained by</w:t>
            </w:r>
            <w:r>
              <w:rPr>
                <w:sz w:val="22"/>
                <w:szCs w:val="22"/>
              </w:rPr>
              <w:t xml:space="preserve"> specific outcomes. </w:t>
            </w:r>
          </w:p>
        </w:tc>
        <w:tc>
          <w:tcPr>
            <w:tcW w:w="3380" w:type="dxa"/>
            <w:tcBorders>
              <w:top w:val="single" w:sz="4" w:space="0" w:color="auto"/>
              <w:left w:val="single" w:sz="4" w:space="0" w:color="auto"/>
              <w:bottom w:val="single" w:sz="4" w:space="0" w:color="auto"/>
              <w:right w:val="single" w:sz="4" w:space="0" w:color="auto"/>
            </w:tcBorders>
          </w:tcPr>
          <w:p w14:paraId="43BCF678" w14:textId="77777777" w:rsidR="00835F74" w:rsidRPr="007A7A1A" w:rsidRDefault="00835F74" w:rsidP="00F232AA">
            <w:pPr>
              <w:spacing w:after="0" w:line="240" w:lineRule="auto"/>
              <w:rPr>
                <w:sz w:val="22"/>
                <w:szCs w:val="22"/>
              </w:rPr>
            </w:pPr>
            <w:r>
              <w:rPr>
                <w:sz w:val="22"/>
                <w:szCs w:val="22"/>
              </w:rPr>
              <w:t>Research is focused on achieving prespecified outcomes or impacts.</w:t>
            </w:r>
          </w:p>
        </w:tc>
      </w:tr>
      <w:tr w:rsidR="00835F74" w14:paraId="68905B05" w14:textId="77777777" w:rsidTr="00607080">
        <w:tc>
          <w:tcPr>
            <w:tcW w:w="2074" w:type="dxa"/>
            <w:tcBorders>
              <w:top w:val="single" w:sz="4" w:space="0" w:color="auto"/>
              <w:left w:val="single" w:sz="4" w:space="0" w:color="auto"/>
              <w:bottom w:val="single" w:sz="4" w:space="0" w:color="auto"/>
              <w:right w:val="single" w:sz="4" w:space="0" w:color="auto"/>
            </w:tcBorders>
          </w:tcPr>
          <w:p w14:paraId="443D573F" w14:textId="77777777" w:rsidR="00835F74" w:rsidRPr="007A7A1A" w:rsidRDefault="00835F74" w:rsidP="00F232AA">
            <w:pPr>
              <w:spacing w:after="0" w:line="240" w:lineRule="auto"/>
              <w:rPr>
                <w:sz w:val="22"/>
                <w:szCs w:val="22"/>
              </w:rPr>
            </w:pPr>
            <w:r w:rsidRPr="007A7A1A">
              <w:rPr>
                <w:sz w:val="22"/>
                <w:szCs w:val="22"/>
              </w:rPr>
              <w:t>Relevance</w:t>
            </w:r>
          </w:p>
        </w:tc>
        <w:tc>
          <w:tcPr>
            <w:tcW w:w="3562" w:type="dxa"/>
            <w:tcBorders>
              <w:top w:val="single" w:sz="4" w:space="0" w:color="auto"/>
              <w:left w:val="single" w:sz="4" w:space="0" w:color="auto"/>
              <w:bottom w:val="single" w:sz="4" w:space="0" w:color="auto"/>
              <w:right w:val="single" w:sz="4" w:space="0" w:color="auto"/>
            </w:tcBorders>
          </w:tcPr>
          <w:p w14:paraId="0048E0DC" w14:textId="77777777" w:rsidR="00835F74" w:rsidRPr="007A7A1A" w:rsidRDefault="00835F74" w:rsidP="00F232AA">
            <w:pPr>
              <w:spacing w:after="0" w:line="240" w:lineRule="auto"/>
              <w:rPr>
                <w:sz w:val="22"/>
                <w:szCs w:val="22"/>
              </w:rPr>
            </w:pPr>
            <w:r>
              <w:rPr>
                <w:sz w:val="22"/>
                <w:szCs w:val="22"/>
              </w:rPr>
              <w:t xml:space="preserve">Knowledge is broadly generalisable and has significant scientific implications.    </w:t>
            </w:r>
          </w:p>
        </w:tc>
        <w:tc>
          <w:tcPr>
            <w:tcW w:w="3380" w:type="dxa"/>
            <w:tcBorders>
              <w:top w:val="single" w:sz="4" w:space="0" w:color="auto"/>
              <w:left w:val="single" w:sz="4" w:space="0" w:color="auto"/>
              <w:bottom w:val="single" w:sz="4" w:space="0" w:color="auto"/>
              <w:right w:val="single" w:sz="4" w:space="0" w:color="auto"/>
            </w:tcBorders>
          </w:tcPr>
          <w:p w14:paraId="06E70AA7" w14:textId="25669CAA" w:rsidR="00835F74" w:rsidRPr="007A7A1A" w:rsidRDefault="00835F74" w:rsidP="00F232AA">
            <w:pPr>
              <w:spacing w:after="0" w:line="240" w:lineRule="auto"/>
              <w:rPr>
                <w:sz w:val="22"/>
                <w:szCs w:val="22"/>
              </w:rPr>
            </w:pPr>
            <w:r>
              <w:rPr>
                <w:sz w:val="22"/>
                <w:szCs w:val="22"/>
              </w:rPr>
              <w:t xml:space="preserve">Relevance is limited to </w:t>
            </w:r>
            <w:r w:rsidR="00CB1338">
              <w:rPr>
                <w:sz w:val="22"/>
                <w:szCs w:val="22"/>
              </w:rPr>
              <w:t>specific, often localised,</w:t>
            </w:r>
            <w:r>
              <w:rPr>
                <w:sz w:val="22"/>
                <w:szCs w:val="22"/>
              </w:rPr>
              <w:t xml:space="preserve"> contexts of application. </w:t>
            </w:r>
          </w:p>
        </w:tc>
      </w:tr>
      <w:tr w:rsidR="00835F74" w14:paraId="3E6E0291" w14:textId="77777777" w:rsidTr="00607080">
        <w:tc>
          <w:tcPr>
            <w:tcW w:w="2074" w:type="dxa"/>
            <w:tcBorders>
              <w:top w:val="single" w:sz="4" w:space="0" w:color="auto"/>
              <w:left w:val="single" w:sz="4" w:space="0" w:color="auto"/>
              <w:bottom w:val="single" w:sz="4" w:space="0" w:color="auto"/>
              <w:right w:val="single" w:sz="4" w:space="0" w:color="auto"/>
            </w:tcBorders>
          </w:tcPr>
          <w:p w14:paraId="0500B96F" w14:textId="77777777" w:rsidR="00835F74" w:rsidRPr="007A7A1A" w:rsidRDefault="00835F74" w:rsidP="00F232AA">
            <w:pPr>
              <w:spacing w:after="0" w:line="240" w:lineRule="auto"/>
              <w:rPr>
                <w:sz w:val="22"/>
                <w:szCs w:val="22"/>
              </w:rPr>
            </w:pPr>
            <w:r w:rsidRPr="007A7A1A">
              <w:rPr>
                <w:sz w:val="22"/>
                <w:szCs w:val="22"/>
              </w:rPr>
              <w:t>Evaluation</w:t>
            </w:r>
          </w:p>
        </w:tc>
        <w:tc>
          <w:tcPr>
            <w:tcW w:w="3562" w:type="dxa"/>
            <w:tcBorders>
              <w:top w:val="single" w:sz="4" w:space="0" w:color="auto"/>
              <w:left w:val="single" w:sz="4" w:space="0" w:color="auto"/>
              <w:bottom w:val="single" w:sz="4" w:space="0" w:color="auto"/>
              <w:right w:val="single" w:sz="4" w:space="0" w:color="auto"/>
            </w:tcBorders>
          </w:tcPr>
          <w:p w14:paraId="07D68DBA" w14:textId="77777777" w:rsidR="00835F74" w:rsidRPr="007A7A1A" w:rsidRDefault="00835F74" w:rsidP="00F232AA">
            <w:pPr>
              <w:spacing w:after="0" w:line="240" w:lineRule="auto"/>
              <w:rPr>
                <w:sz w:val="22"/>
                <w:szCs w:val="22"/>
              </w:rPr>
            </w:pPr>
            <w:r>
              <w:rPr>
                <w:sz w:val="22"/>
                <w:szCs w:val="22"/>
              </w:rPr>
              <w:t>Success is to be judged by scientific criteria (i.e. journal prestige, citations).</w:t>
            </w:r>
          </w:p>
        </w:tc>
        <w:tc>
          <w:tcPr>
            <w:tcW w:w="3380" w:type="dxa"/>
            <w:tcBorders>
              <w:top w:val="single" w:sz="4" w:space="0" w:color="auto"/>
              <w:left w:val="single" w:sz="4" w:space="0" w:color="auto"/>
              <w:bottom w:val="single" w:sz="4" w:space="0" w:color="auto"/>
              <w:right w:val="single" w:sz="4" w:space="0" w:color="auto"/>
            </w:tcBorders>
          </w:tcPr>
          <w:p w14:paraId="4D07C71A" w14:textId="77777777" w:rsidR="00835F74" w:rsidRPr="007A7A1A" w:rsidRDefault="00835F74" w:rsidP="00F232AA">
            <w:pPr>
              <w:spacing w:after="0" w:line="240" w:lineRule="auto"/>
              <w:rPr>
                <w:sz w:val="22"/>
                <w:szCs w:val="22"/>
              </w:rPr>
            </w:pPr>
            <w:r>
              <w:rPr>
                <w:sz w:val="22"/>
                <w:szCs w:val="22"/>
              </w:rPr>
              <w:t>Success is to be judged in terms of the public value of research outcomes.</w:t>
            </w:r>
          </w:p>
        </w:tc>
      </w:tr>
      <w:tr w:rsidR="00835F74" w14:paraId="79376C49" w14:textId="77777777" w:rsidTr="00607080">
        <w:tc>
          <w:tcPr>
            <w:tcW w:w="2074" w:type="dxa"/>
            <w:tcBorders>
              <w:top w:val="single" w:sz="4" w:space="0" w:color="auto"/>
              <w:left w:val="single" w:sz="4" w:space="0" w:color="auto"/>
              <w:bottom w:val="single" w:sz="4" w:space="0" w:color="auto"/>
              <w:right w:val="single" w:sz="4" w:space="0" w:color="auto"/>
            </w:tcBorders>
          </w:tcPr>
          <w:p w14:paraId="1D655184" w14:textId="77777777" w:rsidR="00835F74" w:rsidRPr="007A7A1A" w:rsidRDefault="00835F74" w:rsidP="00F232AA">
            <w:pPr>
              <w:spacing w:after="0" w:line="240" w:lineRule="auto"/>
              <w:rPr>
                <w:sz w:val="22"/>
                <w:szCs w:val="22"/>
              </w:rPr>
            </w:pPr>
            <w:r w:rsidRPr="007A7A1A">
              <w:rPr>
                <w:sz w:val="22"/>
                <w:szCs w:val="22"/>
              </w:rPr>
              <w:t>Outputs and outcomes</w:t>
            </w:r>
          </w:p>
        </w:tc>
        <w:tc>
          <w:tcPr>
            <w:tcW w:w="3562" w:type="dxa"/>
            <w:tcBorders>
              <w:top w:val="single" w:sz="4" w:space="0" w:color="auto"/>
              <w:left w:val="single" w:sz="4" w:space="0" w:color="auto"/>
              <w:bottom w:val="single" w:sz="4" w:space="0" w:color="auto"/>
              <w:right w:val="single" w:sz="4" w:space="0" w:color="auto"/>
            </w:tcBorders>
          </w:tcPr>
          <w:p w14:paraId="52F4EA73" w14:textId="0EFD423B" w:rsidR="00835F74" w:rsidRPr="007A7A1A" w:rsidRDefault="00835F74" w:rsidP="00F232AA">
            <w:pPr>
              <w:tabs>
                <w:tab w:val="left" w:pos="1002"/>
              </w:tabs>
              <w:spacing w:after="0" w:line="240" w:lineRule="auto"/>
              <w:rPr>
                <w:sz w:val="22"/>
                <w:szCs w:val="22"/>
              </w:rPr>
            </w:pPr>
            <w:r>
              <w:rPr>
                <w:sz w:val="22"/>
                <w:szCs w:val="22"/>
              </w:rPr>
              <w:t>Traditional scientific outputs predominate</w:t>
            </w:r>
            <w:r w:rsidR="003C2D16">
              <w:rPr>
                <w:sz w:val="22"/>
                <w:szCs w:val="22"/>
              </w:rPr>
              <w:t>, i.e. journal articles.</w:t>
            </w:r>
          </w:p>
        </w:tc>
        <w:tc>
          <w:tcPr>
            <w:tcW w:w="3380" w:type="dxa"/>
            <w:tcBorders>
              <w:top w:val="single" w:sz="4" w:space="0" w:color="auto"/>
              <w:left w:val="single" w:sz="4" w:space="0" w:color="auto"/>
              <w:bottom w:val="single" w:sz="4" w:space="0" w:color="auto"/>
              <w:right w:val="single" w:sz="4" w:space="0" w:color="auto"/>
            </w:tcBorders>
          </w:tcPr>
          <w:p w14:paraId="18D33225" w14:textId="77777777" w:rsidR="00835F74" w:rsidRPr="007A7A1A" w:rsidRDefault="00835F74" w:rsidP="00F232AA">
            <w:pPr>
              <w:tabs>
                <w:tab w:val="left" w:pos="1002"/>
              </w:tabs>
              <w:spacing w:after="0" w:line="240" w:lineRule="auto"/>
              <w:rPr>
                <w:sz w:val="22"/>
                <w:szCs w:val="22"/>
              </w:rPr>
            </w:pPr>
            <w:r>
              <w:rPr>
                <w:sz w:val="22"/>
                <w:szCs w:val="22"/>
              </w:rPr>
              <w:t xml:space="preserve">Outcomes directly engage wider publics, stakeholders and users.   </w:t>
            </w:r>
          </w:p>
        </w:tc>
      </w:tr>
      <w:tr w:rsidR="00835F74" w14:paraId="1533C90D" w14:textId="77777777" w:rsidTr="00607080">
        <w:tc>
          <w:tcPr>
            <w:tcW w:w="2074" w:type="dxa"/>
            <w:tcBorders>
              <w:top w:val="single" w:sz="4" w:space="0" w:color="auto"/>
              <w:left w:val="single" w:sz="4" w:space="0" w:color="auto"/>
              <w:bottom w:val="single" w:sz="4" w:space="0" w:color="auto"/>
              <w:right w:val="single" w:sz="4" w:space="0" w:color="auto"/>
            </w:tcBorders>
          </w:tcPr>
          <w:p w14:paraId="5E422B39" w14:textId="77777777" w:rsidR="00835F74" w:rsidRPr="007A7A1A" w:rsidRDefault="00835F74" w:rsidP="00F232AA">
            <w:pPr>
              <w:spacing w:after="0" w:line="240" w:lineRule="auto"/>
              <w:rPr>
                <w:sz w:val="22"/>
                <w:szCs w:val="22"/>
              </w:rPr>
            </w:pPr>
            <w:r w:rsidRPr="007A7A1A">
              <w:rPr>
                <w:sz w:val="22"/>
                <w:szCs w:val="22"/>
              </w:rPr>
              <w:t>Uncertainty</w:t>
            </w:r>
          </w:p>
        </w:tc>
        <w:tc>
          <w:tcPr>
            <w:tcW w:w="3562" w:type="dxa"/>
            <w:tcBorders>
              <w:top w:val="single" w:sz="4" w:space="0" w:color="auto"/>
              <w:left w:val="single" w:sz="4" w:space="0" w:color="auto"/>
              <w:bottom w:val="single" w:sz="4" w:space="0" w:color="auto"/>
              <w:right w:val="single" w:sz="4" w:space="0" w:color="auto"/>
            </w:tcBorders>
          </w:tcPr>
          <w:p w14:paraId="2B81098B" w14:textId="77777777" w:rsidR="00835F74" w:rsidRPr="007A7A1A" w:rsidRDefault="00835F74" w:rsidP="00F232AA">
            <w:pPr>
              <w:spacing w:after="0" w:line="240" w:lineRule="auto"/>
              <w:rPr>
                <w:sz w:val="22"/>
                <w:szCs w:val="22"/>
              </w:rPr>
            </w:pPr>
            <w:r>
              <w:rPr>
                <w:sz w:val="22"/>
                <w:szCs w:val="22"/>
              </w:rPr>
              <w:t>Reduce uncertainty by maximising precision and detail of understanding.</w:t>
            </w:r>
          </w:p>
        </w:tc>
        <w:tc>
          <w:tcPr>
            <w:tcW w:w="3380" w:type="dxa"/>
            <w:tcBorders>
              <w:top w:val="single" w:sz="4" w:space="0" w:color="auto"/>
              <w:left w:val="single" w:sz="4" w:space="0" w:color="auto"/>
              <w:bottom w:val="single" w:sz="4" w:space="0" w:color="auto"/>
              <w:right w:val="single" w:sz="4" w:space="0" w:color="auto"/>
            </w:tcBorders>
          </w:tcPr>
          <w:p w14:paraId="1057D930" w14:textId="77777777" w:rsidR="00835F74" w:rsidRPr="007A7A1A" w:rsidRDefault="00835F74" w:rsidP="00F232AA">
            <w:pPr>
              <w:spacing w:after="0" w:line="240" w:lineRule="auto"/>
              <w:rPr>
                <w:sz w:val="22"/>
                <w:szCs w:val="22"/>
              </w:rPr>
            </w:pPr>
            <w:r>
              <w:rPr>
                <w:sz w:val="22"/>
                <w:szCs w:val="22"/>
              </w:rPr>
              <w:t>Adopt a ‘what works’ approach and accept that uncertainties will remain.</w:t>
            </w:r>
          </w:p>
        </w:tc>
      </w:tr>
      <w:tr w:rsidR="00835F74" w14:paraId="1C890D39" w14:textId="77777777" w:rsidTr="00607080">
        <w:tc>
          <w:tcPr>
            <w:tcW w:w="2074" w:type="dxa"/>
            <w:tcBorders>
              <w:top w:val="single" w:sz="4" w:space="0" w:color="auto"/>
              <w:left w:val="single" w:sz="4" w:space="0" w:color="auto"/>
              <w:bottom w:val="single" w:sz="4" w:space="0" w:color="auto"/>
              <w:right w:val="single" w:sz="4" w:space="0" w:color="auto"/>
            </w:tcBorders>
          </w:tcPr>
          <w:p w14:paraId="7EB4BD8D" w14:textId="16AD06FC" w:rsidR="00835F74" w:rsidRPr="007A7A1A" w:rsidRDefault="00835F74" w:rsidP="00835F74">
            <w:pPr>
              <w:spacing w:after="0" w:line="240" w:lineRule="auto"/>
              <w:rPr>
                <w:sz w:val="22"/>
                <w:szCs w:val="22"/>
              </w:rPr>
            </w:pPr>
            <w:r w:rsidRPr="007A7A1A">
              <w:rPr>
                <w:sz w:val="22"/>
                <w:szCs w:val="22"/>
              </w:rPr>
              <w:t>Knowledge exchange</w:t>
            </w:r>
          </w:p>
        </w:tc>
        <w:tc>
          <w:tcPr>
            <w:tcW w:w="3562" w:type="dxa"/>
            <w:tcBorders>
              <w:top w:val="single" w:sz="4" w:space="0" w:color="auto"/>
              <w:left w:val="single" w:sz="4" w:space="0" w:color="auto"/>
              <w:bottom w:val="single" w:sz="4" w:space="0" w:color="auto"/>
              <w:right w:val="single" w:sz="4" w:space="0" w:color="auto"/>
            </w:tcBorders>
          </w:tcPr>
          <w:p w14:paraId="76D8D583" w14:textId="06F19EA8" w:rsidR="00835F74" w:rsidRPr="007A7A1A" w:rsidRDefault="00835F74" w:rsidP="00835F74">
            <w:pPr>
              <w:spacing w:after="0" w:line="240" w:lineRule="auto"/>
              <w:rPr>
                <w:sz w:val="22"/>
                <w:szCs w:val="22"/>
              </w:rPr>
            </w:pPr>
            <w:r>
              <w:rPr>
                <w:sz w:val="22"/>
                <w:szCs w:val="22"/>
              </w:rPr>
              <w:t>Knowledge disseminated almost exclusively through scientific channels.</w:t>
            </w:r>
          </w:p>
        </w:tc>
        <w:tc>
          <w:tcPr>
            <w:tcW w:w="3380" w:type="dxa"/>
            <w:tcBorders>
              <w:top w:val="single" w:sz="4" w:space="0" w:color="auto"/>
              <w:left w:val="single" w:sz="4" w:space="0" w:color="auto"/>
              <w:bottom w:val="single" w:sz="4" w:space="0" w:color="auto"/>
              <w:right w:val="single" w:sz="4" w:space="0" w:color="auto"/>
            </w:tcBorders>
          </w:tcPr>
          <w:p w14:paraId="7783F633" w14:textId="7E6053D7" w:rsidR="00835F74" w:rsidRPr="007A7A1A" w:rsidRDefault="00835F74" w:rsidP="00835F74">
            <w:pPr>
              <w:spacing w:after="0" w:line="240" w:lineRule="auto"/>
              <w:rPr>
                <w:sz w:val="22"/>
                <w:szCs w:val="22"/>
              </w:rPr>
            </w:pPr>
            <w:r>
              <w:rPr>
                <w:sz w:val="22"/>
                <w:szCs w:val="22"/>
              </w:rPr>
              <w:t>The sharing of knowledge with users is embedded in the research process.</w:t>
            </w:r>
          </w:p>
        </w:tc>
      </w:tr>
      <w:tr w:rsidR="00835F74" w14:paraId="6C6ADE3A" w14:textId="77777777" w:rsidTr="00607080">
        <w:tc>
          <w:tcPr>
            <w:tcW w:w="2074" w:type="dxa"/>
            <w:tcBorders>
              <w:top w:val="single" w:sz="4" w:space="0" w:color="auto"/>
              <w:left w:val="single" w:sz="4" w:space="0" w:color="auto"/>
              <w:bottom w:val="single" w:sz="4" w:space="0" w:color="auto"/>
              <w:right w:val="single" w:sz="4" w:space="0" w:color="auto"/>
            </w:tcBorders>
          </w:tcPr>
          <w:p w14:paraId="50CCFF93" w14:textId="4CAE4C1E" w:rsidR="00835F74" w:rsidRPr="007A7A1A" w:rsidRDefault="00835F74" w:rsidP="00835F74">
            <w:pPr>
              <w:spacing w:after="0" w:line="240" w:lineRule="auto"/>
              <w:rPr>
                <w:sz w:val="22"/>
                <w:szCs w:val="22"/>
              </w:rPr>
            </w:pPr>
            <w:r w:rsidRPr="007A7A1A">
              <w:rPr>
                <w:sz w:val="22"/>
                <w:szCs w:val="22"/>
              </w:rPr>
              <w:t>Accessibility</w:t>
            </w:r>
          </w:p>
        </w:tc>
        <w:tc>
          <w:tcPr>
            <w:tcW w:w="3562" w:type="dxa"/>
            <w:tcBorders>
              <w:top w:val="single" w:sz="4" w:space="0" w:color="auto"/>
              <w:left w:val="single" w:sz="4" w:space="0" w:color="auto"/>
              <w:bottom w:val="single" w:sz="4" w:space="0" w:color="auto"/>
              <w:right w:val="single" w:sz="4" w:space="0" w:color="auto"/>
            </w:tcBorders>
          </w:tcPr>
          <w:p w14:paraId="63758942" w14:textId="55AAFB7B" w:rsidR="00835F74" w:rsidRPr="007A7A1A" w:rsidRDefault="00835F74" w:rsidP="00835F74">
            <w:pPr>
              <w:spacing w:after="0" w:line="240" w:lineRule="auto"/>
              <w:rPr>
                <w:sz w:val="22"/>
                <w:szCs w:val="22"/>
              </w:rPr>
            </w:pPr>
            <w:r>
              <w:rPr>
                <w:sz w:val="22"/>
                <w:szCs w:val="22"/>
              </w:rPr>
              <w:t>Stakeholders outside traditional academic networks lack access.</w:t>
            </w:r>
          </w:p>
        </w:tc>
        <w:tc>
          <w:tcPr>
            <w:tcW w:w="3380" w:type="dxa"/>
            <w:tcBorders>
              <w:top w:val="single" w:sz="4" w:space="0" w:color="auto"/>
              <w:left w:val="single" w:sz="4" w:space="0" w:color="auto"/>
              <w:bottom w:val="single" w:sz="4" w:space="0" w:color="auto"/>
              <w:right w:val="single" w:sz="4" w:space="0" w:color="auto"/>
            </w:tcBorders>
          </w:tcPr>
          <w:p w14:paraId="2F1FA788" w14:textId="1B7E7CB2" w:rsidR="00835F74" w:rsidRPr="007A7A1A" w:rsidRDefault="00835F74" w:rsidP="00835F74">
            <w:pPr>
              <w:spacing w:after="0" w:line="240" w:lineRule="auto"/>
              <w:rPr>
                <w:sz w:val="22"/>
                <w:szCs w:val="22"/>
              </w:rPr>
            </w:pPr>
            <w:r>
              <w:rPr>
                <w:sz w:val="22"/>
                <w:szCs w:val="22"/>
              </w:rPr>
              <w:t xml:space="preserve">Researchers aim to be accessible to multiple stakeholders and users. </w:t>
            </w:r>
          </w:p>
        </w:tc>
      </w:tr>
      <w:tr w:rsidR="00835F74" w14:paraId="1EAA068B" w14:textId="77777777" w:rsidTr="00607080">
        <w:tc>
          <w:tcPr>
            <w:tcW w:w="2074" w:type="dxa"/>
            <w:tcBorders>
              <w:top w:val="single" w:sz="4" w:space="0" w:color="auto"/>
              <w:left w:val="single" w:sz="4" w:space="0" w:color="auto"/>
              <w:bottom w:val="single" w:sz="4" w:space="0" w:color="auto"/>
              <w:right w:val="single" w:sz="4" w:space="0" w:color="auto"/>
            </w:tcBorders>
          </w:tcPr>
          <w:p w14:paraId="5ADC3E65" w14:textId="3CF1799F" w:rsidR="00835F74" w:rsidRPr="007A7A1A" w:rsidRDefault="00835F74" w:rsidP="00835F74">
            <w:pPr>
              <w:spacing w:after="0" w:line="240" w:lineRule="auto"/>
              <w:rPr>
                <w:sz w:val="22"/>
                <w:szCs w:val="22"/>
              </w:rPr>
            </w:pPr>
            <w:r w:rsidRPr="007A7A1A">
              <w:rPr>
                <w:sz w:val="22"/>
                <w:szCs w:val="22"/>
              </w:rPr>
              <w:t>Boundary management</w:t>
            </w:r>
          </w:p>
        </w:tc>
        <w:tc>
          <w:tcPr>
            <w:tcW w:w="3562" w:type="dxa"/>
            <w:tcBorders>
              <w:top w:val="single" w:sz="4" w:space="0" w:color="auto"/>
              <w:left w:val="single" w:sz="4" w:space="0" w:color="auto"/>
              <w:bottom w:val="single" w:sz="4" w:space="0" w:color="auto"/>
              <w:right w:val="single" w:sz="4" w:space="0" w:color="auto"/>
            </w:tcBorders>
          </w:tcPr>
          <w:p w14:paraId="4E52951D" w14:textId="16D3927E" w:rsidR="00835F74" w:rsidRPr="007A7A1A" w:rsidRDefault="00835F74" w:rsidP="00835F74">
            <w:pPr>
              <w:spacing w:after="0" w:line="240" w:lineRule="auto"/>
              <w:rPr>
                <w:sz w:val="22"/>
                <w:szCs w:val="22"/>
              </w:rPr>
            </w:pPr>
            <w:r>
              <w:rPr>
                <w:sz w:val="22"/>
                <w:szCs w:val="22"/>
              </w:rPr>
              <w:t>Research proceeds within confines of traditional academic boundaries.</w:t>
            </w:r>
          </w:p>
        </w:tc>
        <w:tc>
          <w:tcPr>
            <w:tcW w:w="3380" w:type="dxa"/>
            <w:tcBorders>
              <w:top w:val="single" w:sz="4" w:space="0" w:color="auto"/>
              <w:left w:val="single" w:sz="4" w:space="0" w:color="auto"/>
              <w:bottom w:val="single" w:sz="4" w:space="0" w:color="auto"/>
              <w:right w:val="single" w:sz="4" w:space="0" w:color="auto"/>
            </w:tcBorders>
          </w:tcPr>
          <w:p w14:paraId="512F4D01" w14:textId="4DA7BB6C" w:rsidR="00835F74" w:rsidRPr="007A7A1A" w:rsidRDefault="00835F74" w:rsidP="00835F74">
            <w:pPr>
              <w:spacing w:after="0" w:line="240" w:lineRule="auto"/>
              <w:rPr>
                <w:sz w:val="22"/>
                <w:szCs w:val="22"/>
              </w:rPr>
            </w:pPr>
            <w:r>
              <w:rPr>
                <w:sz w:val="22"/>
                <w:szCs w:val="22"/>
              </w:rPr>
              <w:t>The need to cross boundaries raises boundary-management challenges.</w:t>
            </w:r>
          </w:p>
        </w:tc>
      </w:tr>
      <w:tr w:rsidR="00835F74" w14:paraId="48B54DB4" w14:textId="77777777" w:rsidTr="00607080">
        <w:tc>
          <w:tcPr>
            <w:tcW w:w="2074" w:type="dxa"/>
            <w:tcBorders>
              <w:top w:val="single" w:sz="4" w:space="0" w:color="auto"/>
              <w:left w:val="single" w:sz="4" w:space="0" w:color="auto"/>
              <w:bottom w:val="single" w:sz="4" w:space="0" w:color="auto"/>
              <w:right w:val="single" w:sz="4" w:space="0" w:color="auto"/>
            </w:tcBorders>
          </w:tcPr>
          <w:p w14:paraId="7BC9BA8A" w14:textId="148B6198" w:rsidR="00835F74" w:rsidRPr="007A7A1A" w:rsidRDefault="00835F74" w:rsidP="00835F74">
            <w:pPr>
              <w:spacing w:after="0" w:line="240" w:lineRule="auto"/>
              <w:rPr>
                <w:sz w:val="22"/>
                <w:szCs w:val="22"/>
              </w:rPr>
            </w:pPr>
            <w:r w:rsidRPr="007A7A1A">
              <w:rPr>
                <w:sz w:val="22"/>
                <w:szCs w:val="22"/>
              </w:rPr>
              <w:t>Network</w:t>
            </w:r>
          </w:p>
        </w:tc>
        <w:tc>
          <w:tcPr>
            <w:tcW w:w="3562" w:type="dxa"/>
            <w:tcBorders>
              <w:top w:val="single" w:sz="4" w:space="0" w:color="auto"/>
              <w:left w:val="single" w:sz="4" w:space="0" w:color="auto"/>
              <w:bottom w:val="single" w:sz="4" w:space="0" w:color="auto"/>
              <w:right w:val="single" w:sz="4" w:space="0" w:color="auto"/>
            </w:tcBorders>
          </w:tcPr>
          <w:p w14:paraId="05063B3E" w14:textId="422BCD46" w:rsidR="00835F74" w:rsidRPr="007A7A1A" w:rsidRDefault="00835F74" w:rsidP="00835F74">
            <w:pPr>
              <w:tabs>
                <w:tab w:val="left" w:pos="1240"/>
              </w:tabs>
              <w:spacing w:after="0" w:line="240" w:lineRule="auto"/>
              <w:rPr>
                <w:sz w:val="22"/>
                <w:szCs w:val="22"/>
              </w:rPr>
            </w:pPr>
            <w:r>
              <w:rPr>
                <w:sz w:val="22"/>
                <w:szCs w:val="22"/>
              </w:rPr>
              <w:t>Networks are exclusively scientific.</w:t>
            </w:r>
          </w:p>
        </w:tc>
        <w:tc>
          <w:tcPr>
            <w:tcW w:w="3380" w:type="dxa"/>
            <w:tcBorders>
              <w:top w:val="single" w:sz="4" w:space="0" w:color="auto"/>
              <w:left w:val="single" w:sz="4" w:space="0" w:color="auto"/>
              <w:bottom w:val="single" w:sz="4" w:space="0" w:color="auto"/>
              <w:right w:val="single" w:sz="4" w:space="0" w:color="auto"/>
            </w:tcBorders>
          </w:tcPr>
          <w:p w14:paraId="5B1B7DC8" w14:textId="256ED418" w:rsidR="00835F74" w:rsidRPr="007A7A1A" w:rsidRDefault="00835F74" w:rsidP="00835F74">
            <w:pPr>
              <w:tabs>
                <w:tab w:val="left" w:pos="1240"/>
              </w:tabs>
              <w:spacing w:after="0" w:line="240" w:lineRule="auto"/>
              <w:rPr>
                <w:sz w:val="22"/>
                <w:szCs w:val="22"/>
              </w:rPr>
            </w:pPr>
            <w:r>
              <w:rPr>
                <w:sz w:val="22"/>
                <w:szCs w:val="22"/>
              </w:rPr>
              <w:t>Networks span non-academic and non-expert groups and stakeholders.</w:t>
            </w:r>
          </w:p>
        </w:tc>
      </w:tr>
      <w:tr w:rsidR="00835F74" w14:paraId="4946690C" w14:textId="77777777" w:rsidTr="00607080">
        <w:tc>
          <w:tcPr>
            <w:tcW w:w="2074" w:type="dxa"/>
            <w:tcBorders>
              <w:top w:val="single" w:sz="4" w:space="0" w:color="auto"/>
              <w:left w:val="single" w:sz="4" w:space="0" w:color="auto"/>
              <w:bottom w:val="single" w:sz="4" w:space="0" w:color="auto"/>
              <w:right w:val="single" w:sz="4" w:space="0" w:color="auto"/>
            </w:tcBorders>
          </w:tcPr>
          <w:p w14:paraId="6E72C961" w14:textId="6458ECB0" w:rsidR="00835F74" w:rsidRPr="007A7A1A" w:rsidRDefault="00835F74" w:rsidP="00835F74">
            <w:pPr>
              <w:spacing w:after="0" w:line="240" w:lineRule="auto"/>
              <w:rPr>
                <w:sz w:val="22"/>
                <w:szCs w:val="22"/>
              </w:rPr>
            </w:pPr>
            <w:r w:rsidRPr="007A7A1A">
              <w:rPr>
                <w:sz w:val="22"/>
                <w:szCs w:val="22"/>
              </w:rPr>
              <w:t>Flexibility</w:t>
            </w:r>
          </w:p>
        </w:tc>
        <w:tc>
          <w:tcPr>
            <w:tcW w:w="3562" w:type="dxa"/>
            <w:tcBorders>
              <w:top w:val="single" w:sz="4" w:space="0" w:color="auto"/>
              <w:left w:val="single" w:sz="4" w:space="0" w:color="auto"/>
              <w:bottom w:val="single" w:sz="4" w:space="0" w:color="auto"/>
              <w:right w:val="single" w:sz="4" w:space="0" w:color="auto"/>
            </w:tcBorders>
          </w:tcPr>
          <w:p w14:paraId="44A48A05" w14:textId="427D037D" w:rsidR="00835F74" w:rsidRPr="007A7A1A" w:rsidRDefault="00835F74" w:rsidP="00835F74">
            <w:pPr>
              <w:spacing w:after="0" w:line="240" w:lineRule="auto"/>
              <w:rPr>
                <w:sz w:val="22"/>
                <w:szCs w:val="22"/>
              </w:rPr>
            </w:pPr>
            <w:r>
              <w:rPr>
                <w:sz w:val="22"/>
                <w:szCs w:val="22"/>
              </w:rPr>
              <w:t>Research proceeds through traditional and unchanged organisational structures.</w:t>
            </w:r>
          </w:p>
        </w:tc>
        <w:tc>
          <w:tcPr>
            <w:tcW w:w="3380" w:type="dxa"/>
            <w:tcBorders>
              <w:top w:val="single" w:sz="4" w:space="0" w:color="auto"/>
              <w:left w:val="single" w:sz="4" w:space="0" w:color="auto"/>
              <w:bottom w:val="single" w:sz="4" w:space="0" w:color="auto"/>
              <w:right w:val="single" w:sz="4" w:space="0" w:color="auto"/>
            </w:tcBorders>
          </w:tcPr>
          <w:p w14:paraId="774FBE5A" w14:textId="50FBAD4C" w:rsidR="00835F74" w:rsidRPr="007A7A1A" w:rsidRDefault="00835F74" w:rsidP="00835F74">
            <w:pPr>
              <w:spacing w:after="0" w:line="240" w:lineRule="auto"/>
              <w:rPr>
                <w:sz w:val="22"/>
                <w:szCs w:val="22"/>
              </w:rPr>
            </w:pPr>
            <w:r>
              <w:rPr>
                <w:sz w:val="22"/>
                <w:szCs w:val="22"/>
              </w:rPr>
              <w:t>Research requires much flexibility to respond to external needs and events.</w:t>
            </w:r>
          </w:p>
        </w:tc>
      </w:tr>
      <w:tr w:rsidR="00835F74" w14:paraId="28A5F83E" w14:textId="77777777" w:rsidTr="00607080">
        <w:tc>
          <w:tcPr>
            <w:tcW w:w="2074" w:type="dxa"/>
            <w:tcBorders>
              <w:top w:val="single" w:sz="4" w:space="0" w:color="auto"/>
              <w:left w:val="single" w:sz="4" w:space="0" w:color="auto"/>
              <w:bottom w:val="single" w:sz="4" w:space="0" w:color="auto"/>
              <w:right w:val="single" w:sz="4" w:space="0" w:color="auto"/>
            </w:tcBorders>
          </w:tcPr>
          <w:p w14:paraId="558C6FE5" w14:textId="0ACFC0FC" w:rsidR="00835F74" w:rsidRPr="007A7A1A" w:rsidRDefault="00835F74" w:rsidP="00835F74">
            <w:pPr>
              <w:spacing w:after="0" w:line="240" w:lineRule="auto"/>
              <w:rPr>
                <w:sz w:val="22"/>
                <w:szCs w:val="22"/>
              </w:rPr>
            </w:pPr>
            <w:r w:rsidRPr="007A7A1A">
              <w:rPr>
                <w:sz w:val="22"/>
                <w:szCs w:val="22"/>
              </w:rPr>
              <w:t>Disciplinary focus</w:t>
            </w:r>
          </w:p>
        </w:tc>
        <w:tc>
          <w:tcPr>
            <w:tcW w:w="3562" w:type="dxa"/>
            <w:tcBorders>
              <w:top w:val="single" w:sz="4" w:space="0" w:color="auto"/>
              <w:left w:val="single" w:sz="4" w:space="0" w:color="auto"/>
              <w:bottom w:val="single" w:sz="4" w:space="0" w:color="auto"/>
              <w:right w:val="single" w:sz="4" w:space="0" w:color="auto"/>
            </w:tcBorders>
          </w:tcPr>
          <w:p w14:paraId="07AD8AFF" w14:textId="5F2B48A1" w:rsidR="00835F74" w:rsidRPr="007A7A1A" w:rsidRDefault="00835F74" w:rsidP="00835F74">
            <w:pPr>
              <w:spacing w:after="0" w:line="240" w:lineRule="auto"/>
              <w:rPr>
                <w:sz w:val="22"/>
                <w:szCs w:val="22"/>
              </w:rPr>
            </w:pPr>
            <w:r>
              <w:rPr>
                <w:sz w:val="22"/>
                <w:szCs w:val="22"/>
              </w:rPr>
              <w:t>Research problems and networks are anchored to scientific disciplines.</w:t>
            </w:r>
          </w:p>
        </w:tc>
        <w:tc>
          <w:tcPr>
            <w:tcW w:w="3380" w:type="dxa"/>
            <w:tcBorders>
              <w:top w:val="single" w:sz="4" w:space="0" w:color="auto"/>
              <w:left w:val="single" w:sz="4" w:space="0" w:color="auto"/>
              <w:bottom w:val="single" w:sz="4" w:space="0" w:color="auto"/>
              <w:right w:val="single" w:sz="4" w:space="0" w:color="auto"/>
            </w:tcBorders>
          </w:tcPr>
          <w:p w14:paraId="27BA1435" w14:textId="1A8E3476" w:rsidR="00835F74" w:rsidRPr="007A7A1A" w:rsidRDefault="00835F74" w:rsidP="00835F74">
            <w:pPr>
              <w:spacing w:after="0" w:line="240" w:lineRule="auto"/>
              <w:rPr>
                <w:sz w:val="22"/>
                <w:szCs w:val="22"/>
              </w:rPr>
            </w:pPr>
            <w:r>
              <w:rPr>
                <w:sz w:val="22"/>
                <w:szCs w:val="22"/>
              </w:rPr>
              <w:t xml:space="preserve">Research problems and networks are defined by contexts of application.  </w:t>
            </w:r>
          </w:p>
        </w:tc>
      </w:tr>
      <w:tr w:rsidR="00835F74" w14:paraId="6958C8C0" w14:textId="77777777" w:rsidTr="00607080">
        <w:tc>
          <w:tcPr>
            <w:tcW w:w="2074" w:type="dxa"/>
            <w:tcBorders>
              <w:top w:val="single" w:sz="4" w:space="0" w:color="auto"/>
              <w:left w:val="single" w:sz="4" w:space="0" w:color="auto"/>
              <w:bottom w:val="single" w:sz="4" w:space="0" w:color="auto"/>
              <w:right w:val="single" w:sz="4" w:space="0" w:color="auto"/>
            </w:tcBorders>
          </w:tcPr>
          <w:p w14:paraId="023124D7" w14:textId="170E92A0" w:rsidR="00835F74" w:rsidRPr="007A7A1A" w:rsidRDefault="00835F74" w:rsidP="00835F74">
            <w:pPr>
              <w:spacing w:after="0" w:line="240" w:lineRule="auto"/>
              <w:rPr>
                <w:sz w:val="22"/>
                <w:szCs w:val="22"/>
              </w:rPr>
            </w:pPr>
            <w:r w:rsidRPr="007A7A1A">
              <w:rPr>
                <w:sz w:val="22"/>
                <w:szCs w:val="22"/>
              </w:rPr>
              <w:t>Social capital</w:t>
            </w:r>
          </w:p>
        </w:tc>
        <w:tc>
          <w:tcPr>
            <w:tcW w:w="3562" w:type="dxa"/>
            <w:tcBorders>
              <w:top w:val="single" w:sz="4" w:space="0" w:color="auto"/>
              <w:left w:val="single" w:sz="4" w:space="0" w:color="auto"/>
              <w:bottom w:val="single" w:sz="4" w:space="0" w:color="auto"/>
              <w:right w:val="single" w:sz="4" w:space="0" w:color="auto"/>
            </w:tcBorders>
          </w:tcPr>
          <w:p w14:paraId="325EF611" w14:textId="251BB97A" w:rsidR="00835F74" w:rsidRPr="007A7A1A" w:rsidRDefault="00835F74" w:rsidP="00835F74">
            <w:pPr>
              <w:spacing w:after="0" w:line="240" w:lineRule="auto"/>
              <w:rPr>
                <w:sz w:val="22"/>
                <w:szCs w:val="22"/>
              </w:rPr>
            </w:pPr>
            <w:r>
              <w:rPr>
                <w:sz w:val="22"/>
                <w:szCs w:val="22"/>
              </w:rPr>
              <w:t xml:space="preserve">Unnecessary to mobilise social capital; legitimacy derives from scientific rigour. </w:t>
            </w:r>
          </w:p>
        </w:tc>
        <w:tc>
          <w:tcPr>
            <w:tcW w:w="3380" w:type="dxa"/>
            <w:tcBorders>
              <w:top w:val="single" w:sz="4" w:space="0" w:color="auto"/>
              <w:left w:val="single" w:sz="4" w:space="0" w:color="auto"/>
              <w:bottom w:val="single" w:sz="4" w:space="0" w:color="auto"/>
              <w:right w:val="single" w:sz="4" w:space="0" w:color="auto"/>
            </w:tcBorders>
          </w:tcPr>
          <w:p w14:paraId="0012B93B" w14:textId="33A73D63" w:rsidR="00835F74" w:rsidRPr="007A7A1A" w:rsidRDefault="00835F74" w:rsidP="00835F74">
            <w:pPr>
              <w:spacing w:after="0" w:line="240" w:lineRule="auto"/>
              <w:rPr>
                <w:sz w:val="22"/>
                <w:szCs w:val="22"/>
              </w:rPr>
            </w:pPr>
            <w:r>
              <w:rPr>
                <w:sz w:val="22"/>
                <w:szCs w:val="22"/>
              </w:rPr>
              <w:t xml:space="preserve">Mobilising social capital to build trust and legitimacy is key to research. </w:t>
            </w:r>
          </w:p>
        </w:tc>
      </w:tr>
      <w:tr w:rsidR="00835F74" w14:paraId="14D24891" w14:textId="77777777" w:rsidTr="00607080">
        <w:tc>
          <w:tcPr>
            <w:tcW w:w="2074" w:type="dxa"/>
            <w:tcBorders>
              <w:top w:val="single" w:sz="4" w:space="0" w:color="auto"/>
              <w:left w:val="single" w:sz="4" w:space="0" w:color="auto"/>
              <w:bottom w:val="single" w:sz="4" w:space="0" w:color="auto"/>
              <w:right w:val="single" w:sz="4" w:space="0" w:color="auto"/>
            </w:tcBorders>
          </w:tcPr>
          <w:p w14:paraId="0E1A5010" w14:textId="77777777" w:rsidR="00835F74" w:rsidRPr="007A7A1A" w:rsidRDefault="00835F74" w:rsidP="00835F74">
            <w:pPr>
              <w:spacing w:after="0" w:line="240" w:lineRule="auto"/>
              <w:rPr>
                <w:sz w:val="22"/>
                <w:szCs w:val="22"/>
              </w:rPr>
            </w:pPr>
            <w:r w:rsidRPr="007A7A1A">
              <w:rPr>
                <w:sz w:val="22"/>
                <w:szCs w:val="22"/>
              </w:rPr>
              <w:t>Expertise</w:t>
            </w:r>
          </w:p>
        </w:tc>
        <w:tc>
          <w:tcPr>
            <w:tcW w:w="3562" w:type="dxa"/>
            <w:tcBorders>
              <w:top w:val="single" w:sz="4" w:space="0" w:color="auto"/>
              <w:left w:val="single" w:sz="4" w:space="0" w:color="auto"/>
              <w:bottom w:val="single" w:sz="4" w:space="0" w:color="auto"/>
              <w:right w:val="single" w:sz="4" w:space="0" w:color="auto"/>
            </w:tcBorders>
          </w:tcPr>
          <w:p w14:paraId="227E1C8D" w14:textId="77777777" w:rsidR="00835F74" w:rsidRPr="007A7A1A" w:rsidRDefault="00835F74" w:rsidP="00835F74">
            <w:pPr>
              <w:spacing w:after="0" w:line="240" w:lineRule="auto"/>
              <w:rPr>
                <w:sz w:val="22"/>
                <w:szCs w:val="22"/>
              </w:rPr>
            </w:pPr>
            <w:r w:rsidRPr="007A7A1A">
              <w:rPr>
                <w:sz w:val="22"/>
                <w:szCs w:val="22"/>
              </w:rPr>
              <w:t>Scientific expertise dominates</w:t>
            </w:r>
            <w:r>
              <w:rPr>
                <w:sz w:val="22"/>
                <w:szCs w:val="22"/>
              </w:rPr>
              <w:t>; little/</w:t>
            </w:r>
            <w:r w:rsidRPr="007A7A1A">
              <w:rPr>
                <w:sz w:val="22"/>
                <w:szCs w:val="22"/>
              </w:rPr>
              <w:t xml:space="preserve">no involvement of </w:t>
            </w:r>
            <w:r>
              <w:rPr>
                <w:sz w:val="22"/>
                <w:szCs w:val="22"/>
              </w:rPr>
              <w:t xml:space="preserve">other kinds of experts. </w:t>
            </w:r>
          </w:p>
        </w:tc>
        <w:tc>
          <w:tcPr>
            <w:tcW w:w="3380" w:type="dxa"/>
            <w:tcBorders>
              <w:top w:val="single" w:sz="4" w:space="0" w:color="auto"/>
              <w:left w:val="single" w:sz="4" w:space="0" w:color="auto"/>
              <w:bottom w:val="single" w:sz="4" w:space="0" w:color="auto"/>
              <w:right w:val="single" w:sz="4" w:space="0" w:color="auto"/>
            </w:tcBorders>
          </w:tcPr>
          <w:p w14:paraId="5B1A238A" w14:textId="77777777" w:rsidR="00835F74" w:rsidRPr="007A7A1A" w:rsidRDefault="00835F74" w:rsidP="00835F74">
            <w:pPr>
              <w:spacing w:after="0" w:line="240" w:lineRule="auto"/>
              <w:rPr>
                <w:sz w:val="22"/>
                <w:szCs w:val="22"/>
              </w:rPr>
            </w:pPr>
            <w:r>
              <w:rPr>
                <w:sz w:val="22"/>
                <w:szCs w:val="22"/>
              </w:rPr>
              <w:t xml:space="preserve">Non-academic expertise is key to the success of the BoR. </w:t>
            </w:r>
          </w:p>
        </w:tc>
      </w:tr>
      <w:tr w:rsidR="00835F74" w14:paraId="3B5B9637" w14:textId="77777777" w:rsidTr="00607080">
        <w:tc>
          <w:tcPr>
            <w:tcW w:w="2074" w:type="dxa"/>
            <w:tcBorders>
              <w:top w:val="single" w:sz="4" w:space="0" w:color="auto"/>
              <w:left w:val="single" w:sz="4" w:space="0" w:color="auto"/>
              <w:bottom w:val="single" w:sz="4" w:space="0" w:color="auto"/>
              <w:right w:val="single" w:sz="4" w:space="0" w:color="auto"/>
            </w:tcBorders>
          </w:tcPr>
          <w:p w14:paraId="62369793" w14:textId="77777777" w:rsidR="00835F74" w:rsidRPr="007A7A1A" w:rsidRDefault="00835F74" w:rsidP="004659B5">
            <w:pPr>
              <w:spacing w:after="0" w:line="240" w:lineRule="auto"/>
              <w:rPr>
                <w:sz w:val="22"/>
                <w:szCs w:val="22"/>
              </w:rPr>
            </w:pPr>
            <w:r w:rsidRPr="007A7A1A">
              <w:rPr>
                <w:sz w:val="22"/>
                <w:szCs w:val="22"/>
              </w:rPr>
              <w:t>Learning</w:t>
            </w:r>
          </w:p>
        </w:tc>
        <w:tc>
          <w:tcPr>
            <w:tcW w:w="3562" w:type="dxa"/>
            <w:tcBorders>
              <w:top w:val="single" w:sz="4" w:space="0" w:color="auto"/>
              <w:left w:val="single" w:sz="4" w:space="0" w:color="auto"/>
              <w:bottom w:val="single" w:sz="4" w:space="0" w:color="auto"/>
              <w:right w:val="single" w:sz="4" w:space="0" w:color="auto"/>
            </w:tcBorders>
          </w:tcPr>
          <w:p w14:paraId="6361C561" w14:textId="77777777" w:rsidR="00835F74" w:rsidRPr="007A7A1A" w:rsidRDefault="00835F74" w:rsidP="00835F74">
            <w:pPr>
              <w:keepNext/>
              <w:spacing w:after="0" w:line="240" w:lineRule="auto"/>
              <w:rPr>
                <w:sz w:val="22"/>
                <w:szCs w:val="22"/>
              </w:rPr>
            </w:pPr>
            <w:r>
              <w:rPr>
                <w:sz w:val="22"/>
                <w:szCs w:val="22"/>
              </w:rPr>
              <w:t xml:space="preserve">What is learned is ‘theoretical’, explicit and can be codified. </w:t>
            </w:r>
          </w:p>
        </w:tc>
        <w:tc>
          <w:tcPr>
            <w:tcW w:w="3380" w:type="dxa"/>
            <w:tcBorders>
              <w:top w:val="single" w:sz="4" w:space="0" w:color="auto"/>
              <w:left w:val="single" w:sz="4" w:space="0" w:color="auto"/>
              <w:bottom w:val="single" w:sz="4" w:space="0" w:color="auto"/>
              <w:right w:val="single" w:sz="4" w:space="0" w:color="auto"/>
            </w:tcBorders>
          </w:tcPr>
          <w:p w14:paraId="38DE186B" w14:textId="77777777" w:rsidR="00835F74" w:rsidRPr="007A7A1A" w:rsidRDefault="00835F74" w:rsidP="00835F74">
            <w:pPr>
              <w:keepNext/>
              <w:spacing w:after="0" w:line="240" w:lineRule="auto"/>
              <w:rPr>
                <w:sz w:val="22"/>
                <w:szCs w:val="22"/>
              </w:rPr>
            </w:pPr>
            <w:r>
              <w:rPr>
                <w:sz w:val="22"/>
                <w:szCs w:val="22"/>
              </w:rPr>
              <w:t xml:space="preserve">What is learned is practical, tacit or interpersonal. </w:t>
            </w:r>
          </w:p>
        </w:tc>
      </w:tr>
      <w:tr w:rsidR="00835F74" w14:paraId="256A5D25" w14:textId="77777777" w:rsidTr="00607080">
        <w:tc>
          <w:tcPr>
            <w:tcW w:w="2074" w:type="dxa"/>
            <w:tcBorders>
              <w:top w:val="single" w:sz="4" w:space="0" w:color="auto"/>
              <w:left w:val="single" w:sz="4" w:space="0" w:color="auto"/>
              <w:bottom w:val="single" w:sz="4" w:space="0" w:color="auto"/>
              <w:right w:val="single" w:sz="4" w:space="0" w:color="auto"/>
            </w:tcBorders>
          </w:tcPr>
          <w:p w14:paraId="439E918C" w14:textId="77777777" w:rsidR="00835F74" w:rsidRPr="007A7A1A" w:rsidRDefault="00835F74" w:rsidP="00835F74">
            <w:pPr>
              <w:spacing w:after="0" w:line="240" w:lineRule="auto"/>
              <w:rPr>
                <w:sz w:val="22"/>
                <w:szCs w:val="22"/>
              </w:rPr>
            </w:pPr>
            <w:r w:rsidRPr="007A7A1A">
              <w:rPr>
                <w:sz w:val="22"/>
                <w:szCs w:val="22"/>
              </w:rPr>
              <w:t>Human capital</w:t>
            </w:r>
          </w:p>
        </w:tc>
        <w:tc>
          <w:tcPr>
            <w:tcW w:w="3562" w:type="dxa"/>
            <w:tcBorders>
              <w:top w:val="single" w:sz="4" w:space="0" w:color="auto"/>
              <w:left w:val="single" w:sz="4" w:space="0" w:color="auto"/>
              <w:bottom w:val="single" w:sz="4" w:space="0" w:color="auto"/>
              <w:right w:val="single" w:sz="4" w:space="0" w:color="auto"/>
            </w:tcBorders>
          </w:tcPr>
          <w:p w14:paraId="35429255" w14:textId="77777777" w:rsidR="00835F74" w:rsidRDefault="00835F74" w:rsidP="00835F74">
            <w:pPr>
              <w:keepNext/>
              <w:spacing w:after="0" w:line="240" w:lineRule="auto"/>
              <w:rPr>
                <w:sz w:val="22"/>
                <w:szCs w:val="22"/>
              </w:rPr>
            </w:pPr>
            <w:r>
              <w:rPr>
                <w:sz w:val="22"/>
                <w:szCs w:val="22"/>
              </w:rPr>
              <w:t xml:space="preserve">Specialised scientific skills and qualifications predominate. </w:t>
            </w:r>
          </w:p>
        </w:tc>
        <w:tc>
          <w:tcPr>
            <w:tcW w:w="3380" w:type="dxa"/>
            <w:tcBorders>
              <w:top w:val="single" w:sz="4" w:space="0" w:color="auto"/>
              <w:left w:val="single" w:sz="4" w:space="0" w:color="auto"/>
              <w:bottom w:val="single" w:sz="4" w:space="0" w:color="auto"/>
              <w:right w:val="single" w:sz="4" w:space="0" w:color="auto"/>
            </w:tcBorders>
          </w:tcPr>
          <w:p w14:paraId="55F4A4FD" w14:textId="77777777" w:rsidR="00835F74" w:rsidRDefault="00835F74" w:rsidP="00A427AC">
            <w:pPr>
              <w:keepNext/>
              <w:spacing w:after="0" w:line="240" w:lineRule="auto"/>
              <w:rPr>
                <w:sz w:val="22"/>
                <w:szCs w:val="22"/>
              </w:rPr>
            </w:pPr>
            <w:r>
              <w:rPr>
                <w:sz w:val="22"/>
                <w:szCs w:val="22"/>
              </w:rPr>
              <w:t xml:space="preserve">‘Soft’ skills and non-scientific skills and training are also important. </w:t>
            </w:r>
          </w:p>
        </w:tc>
      </w:tr>
    </w:tbl>
    <w:p w14:paraId="447F4228" w14:textId="624D4B5D" w:rsidR="00835F74" w:rsidRDefault="00A427AC" w:rsidP="00A427AC">
      <w:pPr>
        <w:pStyle w:val="Caption"/>
        <w:rPr>
          <w:sz w:val="24"/>
          <w:szCs w:val="24"/>
        </w:rPr>
      </w:pPr>
      <w:bookmarkStart w:id="46" w:name="_Ref7182115"/>
      <w:bookmarkStart w:id="47" w:name="_Ref11355250"/>
      <w:bookmarkStart w:id="48" w:name="_Toc31702031"/>
      <w:r>
        <w:t xml:space="preserve">Table </w:t>
      </w:r>
      <w:r w:rsidR="00A56355">
        <w:fldChar w:fldCharType="begin"/>
      </w:r>
      <w:r w:rsidR="00A56355">
        <w:instrText xml:space="preserve"> SEQ Table \* ARABIC </w:instrText>
      </w:r>
      <w:r w:rsidR="00A56355">
        <w:fldChar w:fldCharType="separate"/>
      </w:r>
      <w:r w:rsidR="0011424E">
        <w:rPr>
          <w:noProof/>
        </w:rPr>
        <w:t>2</w:t>
      </w:r>
      <w:r w:rsidR="00A56355">
        <w:rPr>
          <w:noProof/>
        </w:rPr>
        <w:fldChar w:fldCharType="end"/>
      </w:r>
      <w:bookmarkEnd w:id="46"/>
      <w:r>
        <w:t>. ‘Low’ and ‘high’ value descriptors</w:t>
      </w:r>
      <w:r w:rsidR="00EF1284">
        <w:t xml:space="preserve"> adapted from McNie et al.’s (2016)</w:t>
      </w:r>
      <w:r>
        <w:t xml:space="preserve"> typology</w:t>
      </w:r>
      <w:bookmarkEnd w:id="47"/>
      <w:bookmarkEnd w:id="48"/>
    </w:p>
    <w:p w14:paraId="57D35EE4" w14:textId="6B127B59" w:rsidR="00627E1B" w:rsidRDefault="00627E1B" w:rsidP="000901C9">
      <w:pPr>
        <w:pStyle w:val="Heading4"/>
        <w:rPr>
          <w:lang w:eastAsia="zh-TW"/>
        </w:rPr>
      </w:pPr>
      <w:r>
        <w:rPr>
          <w:lang w:eastAsia="zh-TW"/>
        </w:rPr>
        <w:t>Relevance</w:t>
      </w:r>
    </w:p>
    <w:p w14:paraId="3F12EEE8" w14:textId="72B1E9AF" w:rsidR="00575C55" w:rsidRPr="00A02DE2" w:rsidRDefault="00D95177" w:rsidP="00390E31">
      <w:pPr>
        <w:autoSpaceDE w:val="0"/>
        <w:autoSpaceDN w:val="0"/>
        <w:adjustRightInd w:val="0"/>
        <w:spacing w:after="120" w:line="360" w:lineRule="auto"/>
        <w:rPr>
          <w:sz w:val="24"/>
          <w:szCs w:val="24"/>
          <w:lang w:eastAsia="zh-TW"/>
        </w:rPr>
      </w:pPr>
      <w:r>
        <w:rPr>
          <w:sz w:val="24"/>
          <w:szCs w:val="24"/>
          <w:lang w:eastAsia="zh-TW"/>
        </w:rPr>
        <w:t>‘Bounded’ research tends to focus only o</w:t>
      </w:r>
      <w:r w:rsidR="008046B3">
        <w:rPr>
          <w:sz w:val="24"/>
          <w:szCs w:val="24"/>
          <w:lang w:eastAsia="zh-TW"/>
        </w:rPr>
        <w:t>n</w:t>
      </w:r>
      <w:r w:rsidR="00A02DE2">
        <w:rPr>
          <w:sz w:val="24"/>
          <w:szCs w:val="24"/>
          <w:lang w:eastAsia="zh-TW"/>
        </w:rPr>
        <w:t xml:space="preserve"> expand</w:t>
      </w:r>
      <w:r w:rsidR="008046B3">
        <w:rPr>
          <w:sz w:val="24"/>
          <w:szCs w:val="24"/>
          <w:lang w:eastAsia="zh-TW"/>
        </w:rPr>
        <w:t>ing</w:t>
      </w:r>
      <w:r w:rsidR="00A02DE2">
        <w:rPr>
          <w:sz w:val="24"/>
          <w:szCs w:val="24"/>
          <w:lang w:eastAsia="zh-TW"/>
        </w:rPr>
        <w:t xml:space="preserve"> the generalisability of </w:t>
      </w:r>
      <w:r>
        <w:rPr>
          <w:sz w:val="24"/>
          <w:szCs w:val="24"/>
          <w:lang w:eastAsia="zh-TW"/>
        </w:rPr>
        <w:t>an academic</w:t>
      </w:r>
      <w:r w:rsidR="00F16D0F">
        <w:rPr>
          <w:sz w:val="24"/>
          <w:szCs w:val="24"/>
          <w:lang w:eastAsia="zh-TW"/>
        </w:rPr>
        <w:t xml:space="preserve"> discipline’s</w:t>
      </w:r>
      <w:r w:rsidR="00A02DE2">
        <w:rPr>
          <w:sz w:val="24"/>
          <w:szCs w:val="24"/>
          <w:lang w:eastAsia="zh-TW"/>
        </w:rPr>
        <w:t xml:space="preserve"> knowledge claims. </w:t>
      </w:r>
      <w:r w:rsidR="008046B3">
        <w:rPr>
          <w:sz w:val="24"/>
          <w:szCs w:val="24"/>
          <w:lang w:eastAsia="zh-TW"/>
        </w:rPr>
        <w:t>Such research normally has “the aim of informing t</w:t>
      </w:r>
      <w:r w:rsidR="00A02DE2">
        <w:rPr>
          <w:sz w:val="24"/>
          <w:szCs w:val="24"/>
          <w:lang w:eastAsia="zh-TW"/>
        </w:rPr>
        <w:t xml:space="preserve">heories” rather than “solving a specific problem” </w:t>
      </w:r>
      <w:r w:rsidR="008046B3">
        <w:rPr>
          <w:sz w:val="24"/>
          <w:szCs w:val="24"/>
          <w:lang w:eastAsia="zh-TW"/>
        </w:rPr>
        <w:t xml:space="preserve">and therefore tends towards </w:t>
      </w:r>
      <w:r w:rsidR="00B4241A">
        <w:rPr>
          <w:sz w:val="24"/>
          <w:szCs w:val="24"/>
          <w:lang w:eastAsia="zh-TW"/>
        </w:rPr>
        <w:t xml:space="preserve">abstract </w:t>
      </w:r>
      <w:r w:rsidR="008046B3">
        <w:rPr>
          <w:sz w:val="24"/>
          <w:szCs w:val="24"/>
          <w:lang w:eastAsia="zh-TW"/>
        </w:rPr>
        <w:t xml:space="preserve">knowledge of </w:t>
      </w:r>
      <w:r w:rsidR="00B4241A">
        <w:rPr>
          <w:sz w:val="24"/>
          <w:szCs w:val="24"/>
          <w:lang w:eastAsia="zh-TW"/>
        </w:rPr>
        <w:t xml:space="preserve">potentially </w:t>
      </w:r>
      <w:r w:rsidR="008046B3">
        <w:rPr>
          <w:sz w:val="24"/>
          <w:szCs w:val="24"/>
          <w:lang w:eastAsia="zh-TW"/>
        </w:rPr>
        <w:t>“broad</w:t>
      </w:r>
      <w:r w:rsidR="00B4241A">
        <w:rPr>
          <w:sz w:val="24"/>
          <w:szCs w:val="24"/>
          <w:lang w:eastAsia="zh-TW"/>
        </w:rPr>
        <w:t>”</w:t>
      </w:r>
      <w:r w:rsidR="008046B3">
        <w:rPr>
          <w:sz w:val="24"/>
          <w:szCs w:val="24"/>
          <w:lang w:eastAsia="zh-TW"/>
        </w:rPr>
        <w:t xml:space="preserve"> </w:t>
      </w:r>
      <w:r w:rsidR="00B4241A">
        <w:rPr>
          <w:sz w:val="24"/>
          <w:szCs w:val="24"/>
          <w:lang w:eastAsia="zh-TW"/>
        </w:rPr>
        <w:t xml:space="preserve">relevance </w:t>
      </w:r>
      <w:r w:rsidR="008046B3">
        <w:rPr>
          <w:sz w:val="24"/>
          <w:szCs w:val="24"/>
          <w:lang w:eastAsia="zh-TW"/>
        </w:rPr>
        <w:t xml:space="preserve">(McNie et al., p. 887). </w:t>
      </w:r>
      <w:r w:rsidR="00476DF6">
        <w:rPr>
          <w:sz w:val="24"/>
          <w:szCs w:val="24"/>
          <w:lang w:eastAsia="zh-TW"/>
        </w:rPr>
        <w:t xml:space="preserve">By contrast, </w:t>
      </w:r>
      <w:r>
        <w:rPr>
          <w:sz w:val="24"/>
          <w:szCs w:val="24"/>
          <w:lang w:eastAsia="zh-TW"/>
        </w:rPr>
        <w:t xml:space="preserve">‘unbounded’ </w:t>
      </w:r>
      <w:r w:rsidR="00476DF6">
        <w:rPr>
          <w:sz w:val="24"/>
          <w:szCs w:val="24"/>
          <w:lang w:eastAsia="zh-TW"/>
        </w:rPr>
        <w:t>research produce</w:t>
      </w:r>
      <w:r>
        <w:rPr>
          <w:sz w:val="24"/>
          <w:szCs w:val="24"/>
          <w:lang w:eastAsia="zh-TW"/>
        </w:rPr>
        <w:t>s</w:t>
      </w:r>
      <w:r w:rsidR="00476DF6">
        <w:rPr>
          <w:sz w:val="24"/>
          <w:szCs w:val="24"/>
          <w:lang w:eastAsia="zh-TW"/>
        </w:rPr>
        <w:t xml:space="preserve"> knowledge of more localised and direct relevance to a specific user or issue.</w:t>
      </w:r>
      <w:r w:rsidR="00A14F64">
        <w:rPr>
          <w:sz w:val="24"/>
          <w:szCs w:val="24"/>
          <w:lang w:eastAsia="zh-TW"/>
        </w:rPr>
        <w:t xml:space="preserve"> Much </w:t>
      </w:r>
      <w:r w:rsidR="00632DAA">
        <w:rPr>
          <w:sz w:val="24"/>
          <w:szCs w:val="24"/>
          <w:lang w:eastAsia="zh-TW"/>
        </w:rPr>
        <w:t xml:space="preserve">academic </w:t>
      </w:r>
      <w:r w:rsidR="00A14F64">
        <w:rPr>
          <w:sz w:val="24"/>
          <w:szCs w:val="24"/>
          <w:lang w:eastAsia="zh-TW"/>
        </w:rPr>
        <w:t xml:space="preserve">research </w:t>
      </w:r>
      <w:r w:rsidR="00852EA1">
        <w:rPr>
          <w:sz w:val="24"/>
          <w:szCs w:val="24"/>
          <w:lang w:eastAsia="zh-TW"/>
        </w:rPr>
        <w:t>can be characterised as having</w:t>
      </w:r>
      <w:r w:rsidR="00A14F64">
        <w:rPr>
          <w:sz w:val="24"/>
          <w:szCs w:val="24"/>
          <w:lang w:eastAsia="zh-TW"/>
        </w:rPr>
        <w:t xml:space="preserve"> </w:t>
      </w:r>
      <w:r w:rsidR="004D3EB3">
        <w:rPr>
          <w:sz w:val="24"/>
          <w:szCs w:val="24"/>
          <w:lang w:eastAsia="zh-TW"/>
        </w:rPr>
        <w:t xml:space="preserve">a dual ‘relevance’, </w:t>
      </w:r>
      <w:r w:rsidR="00852EA1">
        <w:rPr>
          <w:sz w:val="24"/>
          <w:szCs w:val="24"/>
          <w:lang w:eastAsia="zh-TW"/>
        </w:rPr>
        <w:t xml:space="preserve">in that </w:t>
      </w:r>
      <w:r w:rsidR="004D3EB3">
        <w:rPr>
          <w:sz w:val="24"/>
          <w:szCs w:val="24"/>
          <w:lang w:eastAsia="zh-TW"/>
        </w:rPr>
        <w:t xml:space="preserve">it </w:t>
      </w:r>
      <w:r w:rsidR="00390E31">
        <w:rPr>
          <w:sz w:val="24"/>
          <w:szCs w:val="24"/>
          <w:lang w:eastAsia="zh-TW"/>
        </w:rPr>
        <w:t xml:space="preserve">makes modest theoretical advances with potentially broader scientific relevance, whilst also having likely relevance to specific user groups. </w:t>
      </w:r>
    </w:p>
    <w:p w14:paraId="09D22D1A" w14:textId="7C27C5B6" w:rsidR="00E52A82" w:rsidRDefault="00476DF6" w:rsidP="000901C9">
      <w:pPr>
        <w:pStyle w:val="Heading4"/>
        <w:rPr>
          <w:lang w:eastAsia="zh-TW"/>
        </w:rPr>
      </w:pPr>
      <w:r>
        <w:rPr>
          <w:lang w:eastAsia="zh-TW"/>
        </w:rPr>
        <w:t>Evaluation</w:t>
      </w:r>
    </w:p>
    <w:p w14:paraId="1CD8C9AF" w14:textId="55F614EF" w:rsidR="00476DF6" w:rsidRDefault="007654DC" w:rsidP="006C793D">
      <w:pPr>
        <w:autoSpaceDE w:val="0"/>
        <w:autoSpaceDN w:val="0"/>
        <w:adjustRightInd w:val="0"/>
        <w:spacing w:after="120" w:line="360" w:lineRule="auto"/>
        <w:rPr>
          <w:sz w:val="24"/>
          <w:szCs w:val="24"/>
          <w:lang w:eastAsia="zh-TW"/>
        </w:rPr>
      </w:pPr>
      <w:r>
        <w:rPr>
          <w:sz w:val="24"/>
          <w:szCs w:val="24"/>
          <w:lang w:eastAsia="zh-TW"/>
        </w:rPr>
        <w:t xml:space="preserve">Evaluation refers to the criteria on which </w:t>
      </w:r>
      <w:r w:rsidR="00D86172">
        <w:rPr>
          <w:sz w:val="24"/>
          <w:szCs w:val="24"/>
          <w:lang w:eastAsia="zh-TW"/>
        </w:rPr>
        <w:t xml:space="preserve">the research is expected to be judged. </w:t>
      </w:r>
      <w:r w:rsidR="00FD7504">
        <w:rPr>
          <w:sz w:val="24"/>
          <w:szCs w:val="24"/>
          <w:lang w:eastAsia="zh-TW"/>
        </w:rPr>
        <w:t>‘</w:t>
      </w:r>
      <w:r w:rsidR="00FD17D2">
        <w:rPr>
          <w:sz w:val="24"/>
          <w:szCs w:val="24"/>
          <w:lang w:eastAsia="zh-TW"/>
        </w:rPr>
        <w:t>B</w:t>
      </w:r>
      <w:r w:rsidR="00FD7504">
        <w:rPr>
          <w:sz w:val="24"/>
          <w:szCs w:val="24"/>
          <w:lang w:eastAsia="zh-TW"/>
        </w:rPr>
        <w:t>ounded’</w:t>
      </w:r>
      <w:r w:rsidR="00D86172">
        <w:rPr>
          <w:sz w:val="24"/>
          <w:szCs w:val="24"/>
          <w:lang w:eastAsia="zh-TW"/>
        </w:rPr>
        <w:t xml:space="preserve"> academic research is</w:t>
      </w:r>
      <w:r w:rsidR="00FD17D2">
        <w:rPr>
          <w:sz w:val="24"/>
          <w:szCs w:val="24"/>
          <w:lang w:eastAsia="zh-TW"/>
        </w:rPr>
        <w:t xml:space="preserve"> likely to be</w:t>
      </w:r>
      <w:r w:rsidR="00D86172">
        <w:rPr>
          <w:sz w:val="24"/>
          <w:szCs w:val="24"/>
          <w:lang w:eastAsia="zh-TW"/>
        </w:rPr>
        <w:t xml:space="preserve"> produced with the expectation that it be evaluated </w:t>
      </w:r>
      <w:r w:rsidR="007B513A">
        <w:rPr>
          <w:sz w:val="24"/>
          <w:szCs w:val="24"/>
          <w:lang w:eastAsia="zh-TW"/>
        </w:rPr>
        <w:t xml:space="preserve">according </w:t>
      </w:r>
      <w:r w:rsidR="00FD17D2">
        <w:rPr>
          <w:sz w:val="24"/>
          <w:szCs w:val="24"/>
          <w:lang w:eastAsia="zh-TW"/>
        </w:rPr>
        <w:t xml:space="preserve">solely </w:t>
      </w:r>
      <w:r w:rsidR="007B513A">
        <w:rPr>
          <w:sz w:val="24"/>
          <w:szCs w:val="24"/>
          <w:lang w:eastAsia="zh-TW"/>
        </w:rPr>
        <w:t xml:space="preserve">to ‘internal’ criteria, that is, </w:t>
      </w:r>
      <w:r w:rsidR="00D86172">
        <w:rPr>
          <w:sz w:val="24"/>
          <w:szCs w:val="24"/>
          <w:lang w:eastAsia="zh-TW"/>
        </w:rPr>
        <w:t>by peer</w:t>
      </w:r>
      <w:r w:rsidR="007B513A">
        <w:rPr>
          <w:sz w:val="24"/>
          <w:szCs w:val="24"/>
          <w:lang w:eastAsia="zh-TW"/>
        </w:rPr>
        <w:t>-reviewed assessments of</w:t>
      </w:r>
      <w:r w:rsidR="00D86172">
        <w:rPr>
          <w:sz w:val="24"/>
          <w:szCs w:val="24"/>
          <w:lang w:eastAsia="zh-TW"/>
        </w:rPr>
        <w:t xml:space="preserve"> scientific rigour</w:t>
      </w:r>
      <w:r w:rsidR="007B513A">
        <w:rPr>
          <w:sz w:val="24"/>
          <w:szCs w:val="24"/>
          <w:lang w:eastAsia="zh-TW"/>
        </w:rPr>
        <w:t xml:space="preserve"> and originality</w:t>
      </w:r>
      <w:r w:rsidR="00D86172">
        <w:rPr>
          <w:sz w:val="24"/>
          <w:szCs w:val="24"/>
          <w:lang w:eastAsia="zh-TW"/>
        </w:rPr>
        <w:t xml:space="preserve"> (McNie et al., 2016). However, </w:t>
      </w:r>
      <w:r w:rsidR="00EA35A6">
        <w:rPr>
          <w:sz w:val="24"/>
          <w:szCs w:val="24"/>
          <w:lang w:eastAsia="zh-TW"/>
        </w:rPr>
        <w:t>increasingly, research is conducted with the expectation of achieving non-academic impact. In such</w:t>
      </w:r>
      <w:r w:rsidR="00FD17D2">
        <w:rPr>
          <w:sz w:val="24"/>
          <w:szCs w:val="24"/>
          <w:lang w:eastAsia="zh-TW"/>
        </w:rPr>
        <w:t xml:space="preserve"> ‘unbounded’</w:t>
      </w:r>
      <w:r w:rsidR="00EA35A6">
        <w:rPr>
          <w:sz w:val="24"/>
          <w:szCs w:val="24"/>
          <w:lang w:eastAsia="zh-TW"/>
        </w:rPr>
        <w:t xml:space="preserve"> cases, the research might be considered a success to the extent that it generates revenue, saves lives</w:t>
      </w:r>
      <w:r w:rsidR="00C96D00">
        <w:rPr>
          <w:sz w:val="24"/>
          <w:szCs w:val="24"/>
          <w:lang w:eastAsia="zh-TW"/>
        </w:rPr>
        <w:t xml:space="preserve"> or informs policies, regulations or practice.</w:t>
      </w:r>
      <w:r w:rsidR="007B513A">
        <w:rPr>
          <w:sz w:val="24"/>
          <w:szCs w:val="24"/>
          <w:lang w:eastAsia="zh-TW"/>
        </w:rPr>
        <w:t xml:space="preserve"> </w:t>
      </w:r>
      <w:r w:rsidR="00423DA7">
        <w:rPr>
          <w:sz w:val="24"/>
          <w:szCs w:val="24"/>
          <w:lang w:eastAsia="zh-TW"/>
        </w:rPr>
        <w:t>Again, a middle-ground is relatively common</w:t>
      </w:r>
      <w:r w:rsidR="00A5501D">
        <w:rPr>
          <w:sz w:val="24"/>
          <w:szCs w:val="24"/>
          <w:lang w:eastAsia="zh-TW"/>
        </w:rPr>
        <w:t xml:space="preserve"> in academic research</w:t>
      </w:r>
      <w:r w:rsidR="00423DA7">
        <w:rPr>
          <w:sz w:val="24"/>
          <w:szCs w:val="24"/>
          <w:lang w:eastAsia="zh-TW"/>
        </w:rPr>
        <w:t>, particularly in science related to ‘open systems’ such as environmental research, s</w:t>
      </w:r>
      <w:r w:rsidR="006C793D">
        <w:rPr>
          <w:sz w:val="24"/>
          <w:szCs w:val="24"/>
          <w:lang w:eastAsia="zh-TW"/>
        </w:rPr>
        <w:t>uch</w:t>
      </w:r>
      <w:r w:rsidR="00423DA7">
        <w:rPr>
          <w:sz w:val="24"/>
          <w:szCs w:val="24"/>
          <w:lang w:eastAsia="zh-TW"/>
        </w:rPr>
        <w:t xml:space="preserve"> that</w:t>
      </w:r>
      <w:r w:rsidR="006C793D">
        <w:rPr>
          <w:sz w:val="24"/>
          <w:szCs w:val="24"/>
          <w:lang w:eastAsia="zh-TW"/>
        </w:rPr>
        <w:t xml:space="preserve"> success on</w:t>
      </w:r>
      <w:r w:rsidR="00423DA7">
        <w:rPr>
          <w:sz w:val="24"/>
          <w:szCs w:val="24"/>
          <w:lang w:eastAsia="zh-TW"/>
        </w:rPr>
        <w:t xml:space="preserve"> evaluation according to scientific criteria (i.e. the resolution of a contested, complex scientific question) </w:t>
      </w:r>
      <w:r w:rsidR="006C793D">
        <w:rPr>
          <w:sz w:val="24"/>
          <w:szCs w:val="24"/>
          <w:lang w:eastAsia="zh-TW"/>
        </w:rPr>
        <w:t xml:space="preserve">is an important step towards success according to external criteria (i.e. influencing environmental policy). </w:t>
      </w:r>
    </w:p>
    <w:p w14:paraId="0CA4C9B2" w14:textId="586586F9" w:rsidR="00507D9A" w:rsidRDefault="00507D9A" w:rsidP="000901C9">
      <w:pPr>
        <w:pStyle w:val="Heading4"/>
        <w:rPr>
          <w:lang w:eastAsia="zh-TW"/>
        </w:rPr>
      </w:pPr>
      <w:r>
        <w:rPr>
          <w:lang w:eastAsia="zh-TW"/>
        </w:rPr>
        <w:t>Outputs &amp; outcomes</w:t>
      </w:r>
    </w:p>
    <w:p w14:paraId="224DF055" w14:textId="01DEAFF7" w:rsidR="007335C2" w:rsidRDefault="0075190D" w:rsidP="00D54D67">
      <w:pPr>
        <w:spacing w:after="120" w:line="360" w:lineRule="auto"/>
        <w:rPr>
          <w:sz w:val="24"/>
          <w:szCs w:val="24"/>
          <w:lang w:eastAsia="zh-TW"/>
        </w:rPr>
      </w:pPr>
      <w:r>
        <w:rPr>
          <w:sz w:val="24"/>
          <w:szCs w:val="24"/>
          <w:lang w:eastAsia="zh-TW"/>
        </w:rPr>
        <w:t xml:space="preserve">A key </w:t>
      </w:r>
      <w:r w:rsidR="00D528E5">
        <w:rPr>
          <w:sz w:val="24"/>
          <w:szCs w:val="24"/>
          <w:lang w:eastAsia="zh-TW"/>
        </w:rPr>
        <w:t xml:space="preserve">issue here is the intended audience of outputs and outcomes. </w:t>
      </w:r>
      <w:r w:rsidR="00A66778">
        <w:rPr>
          <w:sz w:val="24"/>
          <w:szCs w:val="24"/>
          <w:lang w:eastAsia="zh-TW"/>
        </w:rPr>
        <w:t xml:space="preserve">‘Bounded’ research would also likely aim at a similarly ‘bounded’ audience, i.e., one’s </w:t>
      </w:r>
      <w:r w:rsidR="00D528E5">
        <w:rPr>
          <w:sz w:val="24"/>
          <w:szCs w:val="24"/>
          <w:lang w:eastAsia="zh-TW"/>
        </w:rPr>
        <w:t xml:space="preserve">immediate scholarly community, with the intended outcome </w:t>
      </w:r>
      <w:r w:rsidR="00A66778">
        <w:rPr>
          <w:sz w:val="24"/>
          <w:szCs w:val="24"/>
          <w:lang w:eastAsia="zh-TW"/>
        </w:rPr>
        <w:t>of the research being to contribute to the shared knowledge base of this specialist community</w:t>
      </w:r>
      <w:r w:rsidR="00D528E5">
        <w:rPr>
          <w:sz w:val="24"/>
          <w:szCs w:val="24"/>
          <w:lang w:eastAsia="zh-TW"/>
        </w:rPr>
        <w:t xml:space="preserve">. </w:t>
      </w:r>
      <w:r w:rsidR="00A66778">
        <w:rPr>
          <w:sz w:val="24"/>
          <w:szCs w:val="24"/>
          <w:lang w:eastAsia="zh-TW"/>
        </w:rPr>
        <w:t>‘Unbounded’ research might yield a greater diversity of</w:t>
      </w:r>
      <w:r w:rsidR="007335C2">
        <w:rPr>
          <w:sz w:val="24"/>
          <w:szCs w:val="24"/>
          <w:lang w:eastAsia="zh-TW"/>
        </w:rPr>
        <w:t xml:space="preserve"> outputs</w:t>
      </w:r>
      <w:r w:rsidR="00A66778">
        <w:rPr>
          <w:sz w:val="24"/>
          <w:szCs w:val="24"/>
          <w:lang w:eastAsia="zh-TW"/>
        </w:rPr>
        <w:t xml:space="preserve">, for example taking the form </w:t>
      </w:r>
      <w:r w:rsidR="007335C2">
        <w:rPr>
          <w:sz w:val="24"/>
          <w:szCs w:val="24"/>
          <w:lang w:eastAsia="zh-TW"/>
        </w:rPr>
        <w:t>of</w:t>
      </w:r>
      <w:r>
        <w:rPr>
          <w:sz w:val="24"/>
          <w:szCs w:val="24"/>
          <w:lang w:eastAsia="zh-TW"/>
        </w:rPr>
        <w:t xml:space="preserve"> “trainings, public outreach activities, </w:t>
      </w:r>
      <w:r w:rsidR="007335C2">
        <w:rPr>
          <w:sz w:val="24"/>
          <w:szCs w:val="24"/>
          <w:lang w:eastAsia="zh-TW"/>
        </w:rPr>
        <w:t>...</w:t>
      </w:r>
      <w:r>
        <w:rPr>
          <w:sz w:val="24"/>
          <w:szCs w:val="24"/>
          <w:lang w:eastAsia="zh-TW"/>
        </w:rPr>
        <w:t xml:space="preserve"> press releases, ...and expanded social networks” </w:t>
      </w:r>
      <w:r>
        <w:rPr>
          <w:sz w:val="24"/>
          <w:szCs w:val="24"/>
          <w:lang w:eastAsia="zh-TW"/>
        </w:rPr>
        <w:fldChar w:fldCharType="begin"/>
      </w:r>
      <w:r w:rsidR="007335C2">
        <w:rPr>
          <w:sz w:val="24"/>
          <w:szCs w:val="24"/>
          <w:lang w:eastAsia="zh-TW"/>
        </w:rPr>
        <w:instrText xml:space="preserve"> ADDIN EN.CITE &lt;EndNote&gt;&lt;Cite&gt;&lt;Author&gt;McNie&lt;/Author&gt;&lt;Year&gt;2016&lt;/Year&gt;&lt;IDText&gt;Improving the public value of science: A typology to inform discussion, design and implementation of research&lt;/IDText&gt;&lt;Pages&gt;890&lt;/Pages&gt;&lt;DisplayText&gt;(McNie et al., 2016, p. 890)&lt;/DisplayText&gt;&lt;record&gt;&lt;urls&gt;&lt;related-urls&gt;&lt;url&gt;https://www.scopus.com/inward/record.uri?eid=2-s2.0-84959431924&amp;amp;partnerID=40&amp;amp;md5=6e4fc01d19d1b61b09084e6d6aa244db&lt;/url&gt;&lt;/related-urls&gt;&lt;/urls&gt;&lt;work-type&gt;Article&lt;/work-type&gt;&lt;titles&gt;&lt;title&gt;Improving the public value of science: A typology to inform discussion, design and implementation of research&lt;/title&gt;&lt;secondary-title&gt;Research Policy&lt;/secondary-title&gt;&lt;/titles&gt;&lt;pages&gt;884-895&lt;/pages&gt;&lt;number&gt;4&lt;/number&gt;&lt;contributors&gt;&lt;authors&gt;&lt;author&gt;McNie, E. C.&lt;/author&gt;&lt;author&gt;Parris, A.&lt;/author&gt;&lt;author&gt;Sarewitz, D.&lt;/author&gt;&lt;/authors&gt;&lt;/contributors&gt;&lt;added-date format="utc"&gt;1473704837&lt;/added-date&gt;&lt;ref-type name="Journal Article"&gt;17&lt;/ref-type&gt;&lt;dates&gt;&lt;year&gt;2016&lt;/year&gt;&lt;/dates&gt;&lt;rec-number&gt;3484&lt;/rec-number&gt;&lt;last-updated-date format="utc"&gt;1473704837&lt;/last-updated-date&gt;&lt;electronic-resource-num&gt;10.1016/j.respol.2016.01.004&lt;/electronic-resource-num&gt;&lt;volume&gt;45&lt;/volume&gt;&lt;remote-database-name&gt;Scopus&lt;/remote-database-name&gt;&lt;/record&gt;&lt;/Cite&gt;&lt;/EndNote&gt;</w:instrText>
      </w:r>
      <w:r>
        <w:rPr>
          <w:sz w:val="24"/>
          <w:szCs w:val="24"/>
          <w:lang w:eastAsia="zh-TW"/>
        </w:rPr>
        <w:fldChar w:fldCharType="separate"/>
      </w:r>
      <w:r w:rsidR="007335C2">
        <w:rPr>
          <w:noProof/>
          <w:sz w:val="24"/>
          <w:szCs w:val="24"/>
          <w:lang w:eastAsia="zh-TW"/>
        </w:rPr>
        <w:t>(McNie et al., 2016, p. 890)</w:t>
      </w:r>
      <w:r>
        <w:rPr>
          <w:sz w:val="24"/>
          <w:szCs w:val="24"/>
          <w:lang w:eastAsia="zh-TW"/>
        </w:rPr>
        <w:fldChar w:fldCharType="end"/>
      </w:r>
      <w:r>
        <w:rPr>
          <w:sz w:val="24"/>
          <w:szCs w:val="24"/>
          <w:lang w:eastAsia="zh-TW"/>
        </w:rPr>
        <w:t xml:space="preserve">. </w:t>
      </w:r>
      <w:r w:rsidR="001210D6">
        <w:rPr>
          <w:sz w:val="24"/>
          <w:szCs w:val="24"/>
          <w:lang w:eastAsia="zh-TW"/>
        </w:rPr>
        <w:t>H</w:t>
      </w:r>
      <w:r w:rsidR="00EC3427">
        <w:rPr>
          <w:sz w:val="24"/>
          <w:szCs w:val="24"/>
          <w:lang w:eastAsia="zh-TW"/>
        </w:rPr>
        <w:t xml:space="preserve">owever, </w:t>
      </w:r>
      <w:r w:rsidR="001210D6">
        <w:rPr>
          <w:sz w:val="24"/>
          <w:szCs w:val="24"/>
          <w:lang w:eastAsia="zh-TW"/>
        </w:rPr>
        <w:t xml:space="preserve">these ‘bounded’ and ‘unbounded’ outputs and outcomes can be blurred </w:t>
      </w:r>
      <w:r w:rsidR="00D54D67">
        <w:rPr>
          <w:sz w:val="24"/>
          <w:szCs w:val="24"/>
          <w:lang w:eastAsia="zh-TW"/>
        </w:rPr>
        <w:t>when external users have a high level of relevant expertise themselves. In such cases, the research might produce relatively ‘bounded’ outputs aimed at a relatively limited audience, but if this ‘</w:t>
      </w:r>
      <w:r w:rsidR="007335C2">
        <w:rPr>
          <w:sz w:val="24"/>
          <w:szCs w:val="24"/>
          <w:lang w:eastAsia="zh-TW"/>
        </w:rPr>
        <w:t>limited audience</w:t>
      </w:r>
      <w:r w:rsidR="00D54D67">
        <w:rPr>
          <w:sz w:val="24"/>
          <w:szCs w:val="24"/>
          <w:lang w:eastAsia="zh-TW"/>
        </w:rPr>
        <w:t>’ included</w:t>
      </w:r>
      <w:r w:rsidR="007335C2">
        <w:rPr>
          <w:sz w:val="24"/>
          <w:szCs w:val="24"/>
          <w:lang w:eastAsia="zh-TW"/>
        </w:rPr>
        <w:t xml:space="preserve"> expert clinical practitioners</w:t>
      </w:r>
      <w:r w:rsidR="00D54D67">
        <w:rPr>
          <w:sz w:val="24"/>
          <w:szCs w:val="24"/>
          <w:lang w:eastAsia="zh-TW"/>
        </w:rPr>
        <w:t xml:space="preserve">, then the ultimate </w:t>
      </w:r>
      <w:r w:rsidR="007335C2">
        <w:rPr>
          <w:sz w:val="24"/>
          <w:szCs w:val="24"/>
          <w:lang w:eastAsia="zh-TW"/>
        </w:rPr>
        <w:t xml:space="preserve">outcomes </w:t>
      </w:r>
      <w:r w:rsidR="00D54D67">
        <w:rPr>
          <w:sz w:val="24"/>
          <w:szCs w:val="24"/>
          <w:lang w:eastAsia="zh-TW"/>
        </w:rPr>
        <w:t>of this knowledge exchange would be significant and go well beyond the boundaries of academia</w:t>
      </w:r>
      <w:r w:rsidR="007335C2">
        <w:rPr>
          <w:sz w:val="24"/>
          <w:szCs w:val="24"/>
          <w:lang w:eastAsia="zh-TW"/>
        </w:rPr>
        <w:t xml:space="preserve">. </w:t>
      </w:r>
    </w:p>
    <w:p w14:paraId="281BD59E" w14:textId="2D072D82" w:rsidR="00011E23" w:rsidRDefault="004C62B6" w:rsidP="000901C9">
      <w:pPr>
        <w:pStyle w:val="Heading4"/>
        <w:rPr>
          <w:lang w:eastAsia="zh-TW"/>
        </w:rPr>
      </w:pPr>
      <w:r>
        <w:rPr>
          <w:lang w:eastAsia="zh-TW"/>
        </w:rPr>
        <w:t>Uncertainty</w:t>
      </w:r>
    </w:p>
    <w:p w14:paraId="0157086A" w14:textId="59BFE18A" w:rsidR="00A01C30" w:rsidRDefault="00AA5284" w:rsidP="00E52A82">
      <w:pPr>
        <w:autoSpaceDE w:val="0"/>
        <w:autoSpaceDN w:val="0"/>
        <w:adjustRightInd w:val="0"/>
        <w:spacing w:after="120" w:line="360" w:lineRule="auto"/>
        <w:rPr>
          <w:sz w:val="24"/>
          <w:szCs w:val="24"/>
          <w:lang w:eastAsia="zh-TW"/>
        </w:rPr>
      </w:pPr>
      <w:r>
        <w:rPr>
          <w:sz w:val="24"/>
          <w:szCs w:val="24"/>
          <w:lang w:eastAsia="zh-TW"/>
        </w:rPr>
        <w:t xml:space="preserve">Uncertainty is </w:t>
      </w:r>
      <w:r w:rsidR="00B57A4F">
        <w:rPr>
          <w:sz w:val="24"/>
          <w:szCs w:val="24"/>
          <w:lang w:eastAsia="zh-TW"/>
        </w:rPr>
        <w:t xml:space="preserve">an </w:t>
      </w:r>
      <w:r>
        <w:rPr>
          <w:sz w:val="24"/>
          <w:szCs w:val="24"/>
          <w:lang w:eastAsia="zh-TW"/>
        </w:rPr>
        <w:t>“inherent” (McNie et al., 2016, p. 885)</w:t>
      </w:r>
      <w:r w:rsidR="0053247D">
        <w:rPr>
          <w:sz w:val="24"/>
          <w:szCs w:val="24"/>
          <w:lang w:eastAsia="zh-TW"/>
        </w:rPr>
        <w:t xml:space="preserve"> </w:t>
      </w:r>
      <w:r w:rsidR="00B57A4F">
        <w:rPr>
          <w:sz w:val="24"/>
          <w:szCs w:val="24"/>
          <w:lang w:eastAsia="zh-TW"/>
        </w:rPr>
        <w:t>feature of empirical research</w:t>
      </w:r>
      <w:r w:rsidR="00F27E4F">
        <w:rPr>
          <w:sz w:val="24"/>
          <w:szCs w:val="24"/>
          <w:lang w:eastAsia="zh-TW"/>
        </w:rPr>
        <w:t xml:space="preserve">, and the way that researchers deal with ‘uncertainty’ can be thought of in terms of a trade-off. </w:t>
      </w:r>
      <w:r w:rsidR="00823F96">
        <w:rPr>
          <w:sz w:val="24"/>
          <w:szCs w:val="24"/>
          <w:lang w:eastAsia="zh-TW"/>
        </w:rPr>
        <w:t>‘Bounded’ research</w:t>
      </w:r>
      <w:r w:rsidR="00A84427">
        <w:rPr>
          <w:sz w:val="24"/>
          <w:szCs w:val="24"/>
          <w:lang w:eastAsia="zh-TW"/>
        </w:rPr>
        <w:t xml:space="preserve"> would typically</w:t>
      </w:r>
      <w:r w:rsidR="00F27E4F">
        <w:rPr>
          <w:sz w:val="24"/>
          <w:szCs w:val="24"/>
          <w:lang w:eastAsia="zh-TW"/>
        </w:rPr>
        <w:t xml:space="preserve"> aim to</w:t>
      </w:r>
      <w:r w:rsidR="0053247D">
        <w:rPr>
          <w:sz w:val="24"/>
          <w:szCs w:val="24"/>
          <w:lang w:eastAsia="zh-TW"/>
        </w:rPr>
        <w:t xml:space="preserve"> “reduce epistemic uncertainty” as much as possible by </w:t>
      </w:r>
      <w:r w:rsidR="00A84427">
        <w:rPr>
          <w:sz w:val="24"/>
          <w:szCs w:val="24"/>
          <w:lang w:eastAsia="zh-TW"/>
        </w:rPr>
        <w:t xml:space="preserve">prioritising </w:t>
      </w:r>
      <w:r w:rsidR="0053247D">
        <w:rPr>
          <w:sz w:val="24"/>
          <w:szCs w:val="24"/>
          <w:lang w:eastAsia="zh-TW"/>
        </w:rPr>
        <w:t>“accuracy and precision” (</w:t>
      </w:r>
      <w:r w:rsidR="00F27E4F">
        <w:rPr>
          <w:sz w:val="24"/>
          <w:szCs w:val="24"/>
          <w:lang w:eastAsia="zh-TW"/>
        </w:rPr>
        <w:t>ibid.</w:t>
      </w:r>
      <w:r w:rsidR="0053247D">
        <w:rPr>
          <w:sz w:val="24"/>
          <w:szCs w:val="24"/>
          <w:lang w:eastAsia="zh-TW"/>
        </w:rPr>
        <w:t xml:space="preserve">, p. 888). </w:t>
      </w:r>
      <w:r w:rsidR="00F27E4F">
        <w:rPr>
          <w:sz w:val="24"/>
          <w:szCs w:val="24"/>
          <w:lang w:eastAsia="zh-TW"/>
        </w:rPr>
        <w:t xml:space="preserve">But such results can often be complex and hard to interpret, particularly to those not with specialist knowledge of the topic. As such, </w:t>
      </w:r>
      <w:r w:rsidR="00513B2A">
        <w:rPr>
          <w:sz w:val="24"/>
          <w:szCs w:val="24"/>
          <w:lang w:eastAsia="zh-TW"/>
        </w:rPr>
        <w:t>‘unbounded’</w:t>
      </w:r>
      <w:r w:rsidR="00F27E4F">
        <w:rPr>
          <w:sz w:val="24"/>
          <w:szCs w:val="24"/>
          <w:lang w:eastAsia="zh-TW"/>
        </w:rPr>
        <w:t xml:space="preserve"> research</w:t>
      </w:r>
      <w:r w:rsidR="00513B2A">
        <w:rPr>
          <w:sz w:val="24"/>
          <w:szCs w:val="24"/>
          <w:lang w:eastAsia="zh-TW"/>
        </w:rPr>
        <w:t xml:space="preserve">, with a greater interest in </w:t>
      </w:r>
      <w:r w:rsidR="00F27E4F">
        <w:rPr>
          <w:sz w:val="24"/>
          <w:szCs w:val="24"/>
          <w:lang w:eastAsia="zh-TW"/>
        </w:rPr>
        <w:t>inform</w:t>
      </w:r>
      <w:r w:rsidR="00513B2A">
        <w:rPr>
          <w:sz w:val="24"/>
          <w:szCs w:val="24"/>
          <w:lang w:eastAsia="zh-TW"/>
        </w:rPr>
        <w:t xml:space="preserve">ing </w:t>
      </w:r>
      <w:r w:rsidR="00F27E4F">
        <w:rPr>
          <w:sz w:val="24"/>
          <w:szCs w:val="24"/>
          <w:lang w:eastAsia="zh-TW"/>
        </w:rPr>
        <w:t xml:space="preserve">some context of application or practice, </w:t>
      </w:r>
      <w:r w:rsidR="00420183">
        <w:rPr>
          <w:sz w:val="24"/>
          <w:szCs w:val="24"/>
          <w:lang w:eastAsia="zh-TW"/>
        </w:rPr>
        <w:t>would likely take a more pragmatic approach to uncertainty</w:t>
      </w:r>
      <w:r w:rsidR="00F27E4F">
        <w:rPr>
          <w:sz w:val="24"/>
          <w:szCs w:val="24"/>
          <w:lang w:eastAsia="zh-TW"/>
        </w:rPr>
        <w:t xml:space="preserve">. That is, </w:t>
      </w:r>
      <w:r w:rsidR="00A01C30">
        <w:rPr>
          <w:sz w:val="24"/>
          <w:szCs w:val="24"/>
          <w:lang w:eastAsia="zh-TW"/>
        </w:rPr>
        <w:t>the researchers aim to produce knowledge that is sufficient for a given purpose, acknowledging that it will not lead to full understanding of the phenomenon. This could be summarised as a ‘what works’ approach</w:t>
      </w:r>
      <w:r w:rsidR="00420183">
        <w:rPr>
          <w:sz w:val="24"/>
          <w:szCs w:val="24"/>
          <w:lang w:eastAsia="zh-TW"/>
        </w:rPr>
        <w:t xml:space="preserve">. </w:t>
      </w:r>
      <w:r w:rsidR="002670E0">
        <w:rPr>
          <w:sz w:val="24"/>
          <w:szCs w:val="24"/>
          <w:lang w:eastAsia="zh-TW"/>
        </w:rPr>
        <w:t xml:space="preserve"> </w:t>
      </w:r>
    </w:p>
    <w:p w14:paraId="25B1C05A" w14:textId="7F05202D" w:rsidR="00427874" w:rsidRDefault="00427874" w:rsidP="000901C9">
      <w:pPr>
        <w:pStyle w:val="Heading4"/>
        <w:rPr>
          <w:lang w:eastAsia="zh-TW"/>
        </w:rPr>
      </w:pPr>
      <w:r>
        <w:rPr>
          <w:lang w:eastAsia="zh-TW"/>
        </w:rPr>
        <w:t>Knowledge exchange</w:t>
      </w:r>
    </w:p>
    <w:p w14:paraId="03129110" w14:textId="0150F97A" w:rsidR="004705A5" w:rsidRDefault="00BE17A7" w:rsidP="004705A5">
      <w:pPr>
        <w:spacing w:after="120" w:line="360" w:lineRule="auto"/>
        <w:rPr>
          <w:sz w:val="24"/>
          <w:szCs w:val="24"/>
          <w:lang w:eastAsia="zh-TW"/>
        </w:rPr>
      </w:pPr>
      <w:r>
        <w:rPr>
          <w:sz w:val="24"/>
          <w:szCs w:val="24"/>
          <w:lang w:eastAsia="zh-TW"/>
        </w:rPr>
        <w:t>Knowledge exchange</w:t>
      </w:r>
      <w:r w:rsidR="00F274D0">
        <w:rPr>
          <w:sz w:val="24"/>
          <w:szCs w:val="24"/>
          <w:lang w:eastAsia="zh-TW"/>
        </w:rPr>
        <w:t xml:space="preserve"> is</w:t>
      </w:r>
      <w:r w:rsidR="004705A5">
        <w:rPr>
          <w:sz w:val="24"/>
          <w:szCs w:val="24"/>
          <w:lang w:eastAsia="zh-TW"/>
        </w:rPr>
        <w:t xml:space="preserve"> an increasingly key concept amongst science policymakers and analysts for “understanding how to reconcile the supply of scientific information with users’ demands and increase the impact of ... research” (</w:t>
      </w:r>
      <w:r>
        <w:rPr>
          <w:sz w:val="24"/>
          <w:szCs w:val="24"/>
          <w:lang w:eastAsia="zh-TW"/>
        </w:rPr>
        <w:t>McNie et al., 2016, p.</w:t>
      </w:r>
      <w:r w:rsidR="000D370F">
        <w:rPr>
          <w:sz w:val="24"/>
          <w:szCs w:val="24"/>
          <w:lang w:eastAsia="zh-TW"/>
        </w:rPr>
        <w:t xml:space="preserve"> </w:t>
      </w:r>
      <w:r w:rsidR="004705A5">
        <w:rPr>
          <w:sz w:val="24"/>
          <w:szCs w:val="24"/>
          <w:lang w:eastAsia="zh-TW"/>
        </w:rPr>
        <w:t xml:space="preserve">888). </w:t>
      </w:r>
      <w:r w:rsidR="002A025A">
        <w:rPr>
          <w:sz w:val="24"/>
          <w:szCs w:val="24"/>
          <w:lang w:eastAsia="zh-TW"/>
        </w:rPr>
        <w:t>‘Bounded’ research would typically exhibit a</w:t>
      </w:r>
      <w:r w:rsidR="004705A5">
        <w:rPr>
          <w:sz w:val="24"/>
          <w:szCs w:val="24"/>
          <w:lang w:eastAsia="zh-TW"/>
        </w:rPr>
        <w:t xml:space="preserve"> “one-way communication from science to society</w:t>
      </w:r>
      <w:r w:rsidR="00C85432">
        <w:rPr>
          <w:sz w:val="24"/>
          <w:szCs w:val="24"/>
          <w:lang w:eastAsia="zh-TW"/>
        </w:rPr>
        <w:t>”, for example “</w:t>
      </w:r>
      <w:r w:rsidR="004705A5">
        <w:rPr>
          <w:sz w:val="24"/>
          <w:szCs w:val="24"/>
          <w:lang w:eastAsia="zh-TW"/>
        </w:rPr>
        <w:t>through peer-review publications</w:t>
      </w:r>
      <w:r w:rsidR="00C85432">
        <w:rPr>
          <w:sz w:val="24"/>
          <w:szCs w:val="24"/>
          <w:lang w:eastAsia="zh-TW"/>
        </w:rPr>
        <w:t>” (ibid., p. 888). In such cases, researchers “com</w:t>
      </w:r>
      <w:r w:rsidR="004705A5">
        <w:rPr>
          <w:sz w:val="24"/>
          <w:szCs w:val="24"/>
          <w:lang w:eastAsia="zh-TW"/>
        </w:rPr>
        <w:t>municate in ways that are consistent with, and understood by, their shared epistemic communities and not with the general public”</w:t>
      </w:r>
      <w:r w:rsidR="00C9538F">
        <w:rPr>
          <w:sz w:val="24"/>
          <w:szCs w:val="24"/>
          <w:lang w:eastAsia="zh-TW"/>
        </w:rPr>
        <w:t xml:space="preserve"> (ibid., p. 888)</w:t>
      </w:r>
      <w:r w:rsidR="004705A5">
        <w:rPr>
          <w:sz w:val="24"/>
          <w:szCs w:val="24"/>
          <w:lang w:eastAsia="zh-TW"/>
        </w:rPr>
        <w:t xml:space="preserve">. By contrast, </w:t>
      </w:r>
      <w:r w:rsidR="002A025A">
        <w:rPr>
          <w:sz w:val="24"/>
          <w:szCs w:val="24"/>
          <w:lang w:eastAsia="zh-TW"/>
        </w:rPr>
        <w:t xml:space="preserve">‘unbounded’ research welcomes more iterative </w:t>
      </w:r>
      <w:r w:rsidR="004705A5">
        <w:rPr>
          <w:sz w:val="24"/>
          <w:szCs w:val="24"/>
          <w:lang w:eastAsia="zh-TW"/>
        </w:rPr>
        <w:t>communication</w:t>
      </w:r>
      <w:r w:rsidR="002A025A">
        <w:rPr>
          <w:sz w:val="24"/>
          <w:szCs w:val="24"/>
          <w:lang w:eastAsia="zh-TW"/>
        </w:rPr>
        <w:t>s</w:t>
      </w:r>
      <w:r w:rsidR="00776B6A">
        <w:rPr>
          <w:sz w:val="24"/>
          <w:szCs w:val="24"/>
          <w:lang w:eastAsia="zh-TW"/>
        </w:rPr>
        <w:t xml:space="preserve">, and is </w:t>
      </w:r>
      <w:r w:rsidR="004705A5">
        <w:rPr>
          <w:sz w:val="24"/>
          <w:szCs w:val="24"/>
          <w:lang w:eastAsia="zh-TW"/>
        </w:rPr>
        <w:t xml:space="preserve">“conducted in a language understood by researchers and users alike” </w:t>
      </w:r>
      <w:r w:rsidR="00776B6A">
        <w:rPr>
          <w:sz w:val="24"/>
          <w:szCs w:val="24"/>
          <w:lang w:eastAsia="zh-TW"/>
        </w:rPr>
        <w:t xml:space="preserve">(ibid., p. 888). </w:t>
      </w:r>
      <w:r w:rsidR="002A025A">
        <w:rPr>
          <w:sz w:val="24"/>
          <w:szCs w:val="24"/>
          <w:lang w:eastAsia="zh-TW"/>
        </w:rPr>
        <w:t xml:space="preserve">As with the earlier case of ‘outputs &amp; outcomes’, however, there is often a quite natural middle-ground for academics to tread, as key user groups often have some level of shared expertise with academics, making the knowledge exchange process relatively simpler and lower in ‘transaction cost’. </w:t>
      </w:r>
    </w:p>
    <w:p w14:paraId="31786C5C" w14:textId="511AA88E" w:rsidR="00427874" w:rsidRDefault="00427874" w:rsidP="000901C9">
      <w:pPr>
        <w:pStyle w:val="Heading4"/>
        <w:rPr>
          <w:lang w:eastAsia="zh-TW"/>
        </w:rPr>
      </w:pPr>
      <w:r>
        <w:rPr>
          <w:lang w:eastAsia="zh-TW"/>
        </w:rPr>
        <w:t>Accessibility</w:t>
      </w:r>
    </w:p>
    <w:p w14:paraId="62C21A11" w14:textId="36ADEA24" w:rsidR="00EA2F77" w:rsidRDefault="007E4FE5" w:rsidP="000901C9">
      <w:pPr>
        <w:spacing w:after="120" w:line="360" w:lineRule="auto"/>
        <w:rPr>
          <w:sz w:val="24"/>
          <w:szCs w:val="24"/>
          <w:lang w:eastAsia="zh-TW"/>
        </w:rPr>
      </w:pPr>
      <w:r>
        <w:rPr>
          <w:sz w:val="24"/>
          <w:szCs w:val="24"/>
          <w:lang w:eastAsia="zh-TW"/>
        </w:rPr>
        <w:t>‘Bounded’ research typically prefers maintaining strong</w:t>
      </w:r>
      <w:r w:rsidR="00EC46B2">
        <w:rPr>
          <w:sz w:val="24"/>
          <w:szCs w:val="24"/>
          <w:lang w:eastAsia="zh-TW"/>
        </w:rPr>
        <w:t xml:space="preserve"> boundaries in terms of who is and is not able to access </w:t>
      </w:r>
      <w:r w:rsidR="007C1EC0">
        <w:rPr>
          <w:sz w:val="24"/>
          <w:szCs w:val="24"/>
          <w:lang w:eastAsia="zh-TW"/>
        </w:rPr>
        <w:t>the academic institution</w:t>
      </w:r>
      <w:r w:rsidR="00EC46B2">
        <w:rPr>
          <w:sz w:val="24"/>
          <w:szCs w:val="24"/>
          <w:lang w:eastAsia="zh-TW"/>
        </w:rPr>
        <w:t xml:space="preserve">. </w:t>
      </w:r>
      <w:r w:rsidR="008377C1">
        <w:rPr>
          <w:sz w:val="24"/>
          <w:szCs w:val="24"/>
          <w:lang w:eastAsia="zh-TW"/>
        </w:rPr>
        <w:t xml:space="preserve">The ‘ivory tower’ image </w:t>
      </w:r>
      <w:r w:rsidR="00F03FC6">
        <w:rPr>
          <w:sz w:val="24"/>
          <w:szCs w:val="24"/>
          <w:lang w:eastAsia="zh-TW"/>
        </w:rPr>
        <w:t>characterises the extreme end of this spectrum, in which academic research is</w:t>
      </w:r>
      <w:r w:rsidR="00A9154C">
        <w:rPr>
          <w:sz w:val="24"/>
          <w:szCs w:val="24"/>
          <w:lang w:eastAsia="zh-TW"/>
        </w:rPr>
        <w:t xml:space="preserve"> </w:t>
      </w:r>
      <w:r w:rsidR="00EC46B2">
        <w:rPr>
          <w:sz w:val="24"/>
          <w:szCs w:val="24"/>
          <w:lang w:eastAsia="zh-TW"/>
        </w:rPr>
        <w:t>“situated in departments, centres, schools, colleges or institutes, each of which has its own barriers to access both for users and other researchers” (</w:t>
      </w:r>
      <w:r w:rsidR="0064346F">
        <w:rPr>
          <w:sz w:val="24"/>
          <w:szCs w:val="24"/>
          <w:lang w:eastAsia="zh-TW"/>
        </w:rPr>
        <w:t xml:space="preserve">ibid., p. </w:t>
      </w:r>
      <w:r w:rsidR="00EC46B2">
        <w:rPr>
          <w:sz w:val="24"/>
          <w:szCs w:val="24"/>
          <w:lang w:eastAsia="zh-TW"/>
        </w:rPr>
        <w:t xml:space="preserve">889). </w:t>
      </w:r>
      <w:r w:rsidR="00F03FC6">
        <w:rPr>
          <w:sz w:val="24"/>
          <w:szCs w:val="24"/>
          <w:lang w:eastAsia="zh-TW"/>
        </w:rPr>
        <w:t>‘Unbounded’ research prefers organisational structures</w:t>
      </w:r>
      <w:r w:rsidR="00EC46B2">
        <w:rPr>
          <w:sz w:val="24"/>
          <w:szCs w:val="24"/>
          <w:lang w:eastAsia="zh-TW"/>
        </w:rPr>
        <w:t xml:space="preserve"> adapted and designed in order “to facilitate easy access” (</w:t>
      </w:r>
      <w:r w:rsidR="0064346F">
        <w:rPr>
          <w:sz w:val="24"/>
          <w:szCs w:val="24"/>
          <w:lang w:eastAsia="zh-TW"/>
        </w:rPr>
        <w:t xml:space="preserve">ibid., p. </w:t>
      </w:r>
      <w:r w:rsidR="00EC46B2">
        <w:rPr>
          <w:sz w:val="24"/>
          <w:szCs w:val="24"/>
          <w:lang w:eastAsia="zh-TW"/>
        </w:rPr>
        <w:t>889), both to and for potential users.</w:t>
      </w:r>
      <w:r w:rsidR="00FB753B">
        <w:rPr>
          <w:sz w:val="24"/>
          <w:szCs w:val="24"/>
          <w:lang w:eastAsia="zh-TW"/>
        </w:rPr>
        <w:t xml:space="preserve"> Typically, </w:t>
      </w:r>
      <w:r w:rsidR="00FB753B">
        <w:rPr>
          <w:i/>
          <w:sz w:val="24"/>
          <w:szCs w:val="24"/>
          <w:lang w:eastAsia="zh-TW"/>
        </w:rPr>
        <w:t>boundary structures</w:t>
      </w:r>
      <w:r w:rsidR="001442A2">
        <w:rPr>
          <w:i/>
          <w:sz w:val="24"/>
          <w:szCs w:val="24"/>
          <w:lang w:eastAsia="zh-TW"/>
        </w:rPr>
        <w:t xml:space="preserve"> </w:t>
      </w:r>
      <w:r w:rsidR="001442A2">
        <w:rPr>
          <w:sz w:val="24"/>
          <w:szCs w:val="24"/>
          <w:lang w:eastAsia="zh-TW"/>
        </w:rPr>
        <w:t xml:space="preserve">do attempt to facilitate eased access, but in a discriminatory way, making the university (or a particular section of it) accessible to some users and stakeholders, but not necessarily to the wider public. </w:t>
      </w:r>
    </w:p>
    <w:p w14:paraId="3C61A28A" w14:textId="6D494FC5" w:rsidR="00427874" w:rsidRPr="00427874" w:rsidRDefault="00427874" w:rsidP="000901C9">
      <w:pPr>
        <w:pStyle w:val="Heading4"/>
        <w:rPr>
          <w:lang w:eastAsia="zh-TW"/>
        </w:rPr>
      </w:pPr>
      <w:r>
        <w:rPr>
          <w:lang w:eastAsia="zh-TW"/>
        </w:rPr>
        <w:t>Boundary management</w:t>
      </w:r>
    </w:p>
    <w:p w14:paraId="28401D27" w14:textId="71EF903A" w:rsidR="009D09A8" w:rsidRDefault="0064346F" w:rsidP="009D09A8">
      <w:pPr>
        <w:spacing w:after="120" w:line="360" w:lineRule="auto"/>
        <w:rPr>
          <w:sz w:val="24"/>
          <w:szCs w:val="24"/>
          <w:lang w:eastAsia="zh-TW"/>
        </w:rPr>
      </w:pPr>
      <w:r>
        <w:rPr>
          <w:sz w:val="24"/>
          <w:szCs w:val="24"/>
          <w:lang w:eastAsia="zh-TW"/>
        </w:rPr>
        <w:t>McNie et al. (2016)</w:t>
      </w:r>
      <w:r w:rsidR="009D09A8">
        <w:rPr>
          <w:sz w:val="24"/>
          <w:szCs w:val="24"/>
          <w:lang w:eastAsia="zh-TW"/>
        </w:rPr>
        <w:t xml:space="preserve"> </w:t>
      </w:r>
      <w:r w:rsidR="007121DB">
        <w:rPr>
          <w:sz w:val="24"/>
          <w:szCs w:val="24"/>
          <w:lang w:eastAsia="zh-TW"/>
        </w:rPr>
        <w:t>introduce ‘boundary management’ as a research-related activity as follows:</w:t>
      </w:r>
    </w:p>
    <w:p w14:paraId="6CDA69D9" w14:textId="0406450F" w:rsidR="007121DB" w:rsidRDefault="009D09A8" w:rsidP="00C14D1D">
      <w:pPr>
        <w:spacing w:after="120" w:line="240" w:lineRule="auto"/>
        <w:ind w:left="720"/>
        <w:rPr>
          <w:sz w:val="24"/>
          <w:szCs w:val="24"/>
          <w:lang w:eastAsia="zh-TW"/>
        </w:rPr>
      </w:pPr>
      <w:r>
        <w:rPr>
          <w:sz w:val="24"/>
          <w:szCs w:val="24"/>
          <w:lang w:eastAsia="zh-TW"/>
        </w:rPr>
        <w:t>“Whenever the two distinct worlds of science and society move closer to each other, the risk of science becoming politicized, or policy and decisions becoming ‘scientized’, becomes more acute... The boundary between science and society needs to be managed, by doing boundary work, in order to accomplish two mutual goals: ensuring that research responds to the needs of users while assuring the credibility of science.</w:t>
      </w:r>
      <w:r w:rsidR="007121DB">
        <w:rPr>
          <w:sz w:val="24"/>
          <w:szCs w:val="24"/>
          <w:lang w:eastAsia="zh-TW"/>
        </w:rPr>
        <w:t>”</w:t>
      </w:r>
      <w:r>
        <w:rPr>
          <w:sz w:val="24"/>
          <w:szCs w:val="24"/>
          <w:lang w:eastAsia="zh-TW"/>
        </w:rPr>
        <w:t xml:space="preserve"> </w:t>
      </w:r>
      <w:r w:rsidR="007121DB">
        <w:rPr>
          <w:sz w:val="24"/>
          <w:szCs w:val="24"/>
          <w:lang w:eastAsia="zh-TW"/>
        </w:rPr>
        <w:t>(p. 890)</w:t>
      </w:r>
    </w:p>
    <w:p w14:paraId="46D05242" w14:textId="22EF7E1C" w:rsidR="009D09A8" w:rsidRDefault="00335EC9" w:rsidP="009D09A8">
      <w:pPr>
        <w:spacing w:after="120" w:line="360" w:lineRule="auto"/>
        <w:rPr>
          <w:sz w:val="24"/>
          <w:szCs w:val="24"/>
          <w:lang w:eastAsia="zh-TW"/>
        </w:rPr>
      </w:pPr>
      <w:r>
        <w:rPr>
          <w:sz w:val="24"/>
          <w:szCs w:val="24"/>
          <w:lang w:eastAsia="zh-TW"/>
        </w:rPr>
        <w:t>The key difference between ‘bounded’ and ‘unbounded’ research</w:t>
      </w:r>
      <w:r w:rsidR="00DC5EEA">
        <w:rPr>
          <w:sz w:val="24"/>
          <w:szCs w:val="24"/>
          <w:lang w:eastAsia="zh-TW"/>
        </w:rPr>
        <w:t>, vis-à-vis boundary management,</w:t>
      </w:r>
      <w:r>
        <w:rPr>
          <w:sz w:val="24"/>
          <w:szCs w:val="24"/>
          <w:lang w:eastAsia="zh-TW"/>
        </w:rPr>
        <w:t xml:space="preserve"> is the extent to which “</w:t>
      </w:r>
      <w:r w:rsidR="009D09A8">
        <w:rPr>
          <w:sz w:val="24"/>
          <w:szCs w:val="24"/>
          <w:lang w:eastAsia="zh-TW"/>
        </w:rPr>
        <w:t xml:space="preserve">efforts </w:t>
      </w:r>
      <w:r w:rsidR="000222E2">
        <w:rPr>
          <w:sz w:val="24"/>
          <w:szCs w:val="24"/>
          <w:lang w:eastAsia="zh-TW"/>
        </w:rPr>
        <w:t xml:space="preserve">[must] </w:t>
      </w:r>
      <w:r w:rsidR="009D09A8">
        <w:rPr>
          <w:sz w:val="24"/>
          <w:szCs w:val="24"/>
          <w:lang w:eastAsia="zh-TW"/>
        </w:rPr>
        <w:t xml:space="preserve">be made to actively manage the boundary” </w:t>
      </w:r>
      <w:r w:rsidR="0064346F">
        <w:rPr>
          <w:sz w:val="24"/>
          <w:szCs w:val="24"/>
          <w:lang w:eastAsia="zh-TW"/>
        </w:rPr>
        <w:t>(ibid., p. 890)</w:t>
      </w:r>
      <w:r w:rsidR="009D09A8">
        <w:rPr>
          <w:sz w:val="24"/>
          <w:szCs w:val="24"/>
          <w:lang w:eastAsia="zh-TW"/>
        </w:rPr>
        <w:t xml:space="preserve">. </w:t>
      </w:r>
      <w:r>
        <w:rPr>
          <w:sz w:val="24"/>
          <w:szCs w:val="24"/>
          <w:lang w:eastAsia="zh-TW"/>
        </w:rPr>
        <w:t xml:space="preserve">‘Bounded’ research requires negligible </w:t>
      </w:r>
      <w:r w:rsidR="009D09A8">
        <w:rPr>
          <w:sz w:val="24"/>
          <w:szCs w:val="24"/>
          <w:lang w:eastAsia="zh-TW"/>
        </w:rPr>
        <w:t>interaction with non-academic actors</w:t>
      </w:r>
      <w:r w:rsidR="00F70157">
        <w:rPr>
          <w:sz w:val="24"/>
          <w:szCs w:val="24"/>
          <w:lang w:eastAsia="zh-TW"/>
        </w:rPr>
        <w:t xml:space="preserve">, or involves interaction with actors who, for whatever reason, </w:t>
      </w:r>
      <w:r w:rsidR="00B17A4E">
        <w:rPr>
          <w:sz w:val="24"/>
          <w:szCs w:val="24"/>
          <w:lang w:eastAsia="zh-TW"/>
        </w:rPr>
        <w:t>throws up no boundary-management issues for the academic</w:t>
      </w:r>
      <w:r w:rsidR="00F70157">
        <w:rPr>
          <w:sz w:val="24"/>
          <w:szCs w:val="24"/>
          <w:lang w:eastAsia="zh-TW"/>
        </w:rPr>
        <w:t xml:space="preserve"> – </w:t>
      </w:r>
      <w:r w:rsidR="00B17A4E">
        <w:rPr>
          <w:sz w:val="24"/>
          <w:szCs w:val="24"/>
          <w:lang w:eastAsia="zh-TW"/>
        </w:rPr>
        <w:t xml:space="preserve">i.e. </w:t>
      </w:r>
      <w:r w:rsidR="00F70157">
        <w:rPr>
          <w:sz w:val="24"/>
          <w:szCs w:val="24"/>
          <w:lang w:eastAsia="zh-TW"/>
        </w:rPr>
        <w:t xml:space="preserve">their identities, legitimacy and expertise are not challenged, nor </w:t>
      </w:r>
      <w:r w:rsidR="00B17A4E">
        <w:rPr>
          <w:sz w:val="24"/>
          <w:szCs w:val="24"/>
          <w:lang w:eastAsia="zh-TW"/>
        </w:rPr>
        <w:t xml:space="preserve">is there any </w:t>
      </w:r>
      <w:r w:rsidR="00F70157">
        <w:rPr>
          <w:sz w:val="24"/>
          <w:szCs w:val="24"/>
          <w:lang w:eastAsia="zh-TW"/>
        </w:rPr>
        <w:t xml:space="preserve">conflict of interest or clashes with academic values. </w:t>
      </w:r>
      <w:r w:rsidR="009D09A8">
        <w:rPr>
          <w:sz w:val="24"/>
          <w:szCs w:val="24"/>
          <w:lang w:eastAsia="zh-TW"/>
        </w:rPr>
        <w:t xml:space="preserve">Conversely, </w:t>
      </w:r>
      <w:r w:rsidR="003B0E45">
        <w:rPr>
          <w:sz w:val="24"/>
          <w:szCs w:val="24"/>
          <w:lang w:eastAsia="zh-TW"/>
        </w:rPr>
        <w:t>‘unbounded’ research is likely to involve</w:t>
      </w:r>
      <w:r w:rsidR="00E86646">
        <w:rPr>
          <w:sz w:val="24"/>
          <w:szCs w:val="24"/>
          <w:lang w:eastAsia="zh-TW"/>
        </w:rPr>
        <w:t xml:space="preserve"> complex</w:t>
      </w:r>
      <w:r w:rsidR="003B0E45">
        <w:rPr>
          <w:sz w:val="24"/>
          <w:szCs w:val="24"/>
          <w:lang w:eastAsia="zh-TW"/>
        </w:rPr>
        <w:t xml:space="preserve"> interaction</w:t>
      </w:r>
      <w:r w:rsidR="00E86646">
        <w:rPr>
          <w:sz w:val="24"/>
          <w:szCs w:val="24"/>
          <w:lang w:eastAsia="zh-TW"/>
        </w:rPr>
        <w:t>s</w:t>
      </w:r>
      <w:r w:rsidR="003B0E45">
        <w:rPr>
          <w:sz w:val="24"/>
          <w:szCs w:val="24"/>
          <w:lang w:eastAsia="zh-TW"/>
        </w:rPr>
        <w:t xml:space="preserve"> </w:t>
      </w:r>
      <w:r w:rsidR="009D09A8">
        <w:rPr>
          <w:sz w:val="24"/>
          <w:szCs w:val="24"/>
          <w:lang w:eastAsia="zh-TW"/>
        </w:rPr>
        <w:t>with actors beyond academic boundaries</w:t>
      </w:r>
      <w:r w:rsidR="00F70157">
        <w:rPr>
          <w:sz w:val="24"/>
          <w:szCs w:val="24"/>
          <w:lang w:eastAsia="zh-TW"/>
        </w:rPr>
        <w:t xml:space="preserve">, particularly where </w:t>
      </w:r>
      <w:r w:rsidR="00B80812">
        <w:rPr>
          <w:sz w:val="24"/>
          <w:szCs w:val="24"/>
          <w:lang w:eastAsia="zh-TW"/>
        </w:rPr>
        <w:t xml:space="preserve">(i) </w:t>
      </w:r>
      <w:r w:rsidR="00F70157">
        <w:rPr>
          <w:sz w:val="24"/>
          <w:szCs w:val="24"/>
          <w:lang w:eastAsia="zh-TW"/>
        </w:rPr>
        <w:t>they enter into arenas where their credibility or legitimacy is challenged or not accepted</w:t>
      </w:r>
      <w:r w:rsidR="00283698">
        <w:rPr>
          <w:sz w:val="24"/>
          <w:szCs w:val="24"/>
          <w:lang w:eastAsia="zh-TW"/>
        </w:rPr>
        <w:t>, f</w:t>
      </w:r>
      <w:r w:rsidR="00F70157">
        <w:rPr>
          <w:sz w:val="24"/>
          <w:szCs w:val="24"/>
          <w:lang w:eastAsia="zh-TW"/>
        </w:rPr>
        <w:t>or example</w:t>
      </w:r>
      <w:r w:rsidR="00283698">
        <w:rPr>
          <w:sz w:val="24"/>
          <w:szCs w:val="24"/>
          <w:lang w:eastAsia="zh-TW"/>
        </w:rPr>
        <w:t>,</w:t>
      </w:r>
      <w:r w:rsidR="00F70157">
        <w:rPr>
          <w:sz w:val="24"/>
          <w:szCs w:val="24"/>
          <w:lang w:eastAsia="zh-TW"/>
        </w:rPr>
        <w:t xml:space="preserve"> where their scientific advice might be questioned by stakeholders who may lose out if their advice is followed</w:t>
      </w:r>
      <w:r w:rsidR="00B80812">
        <w:rPr>
          <w:sz w:val="24"/>
          <w:szCs w:val="24"/>
          <w:lang w:eastAsia="zh-TW"/>
        </w:rPr>
        <w:t xml:space="preserve">, or (ii) </w:t>
      </w:r>
      <w:r w:rsidR="00F70157">
        <w:rPr>
          <w:sz w:val="24"/>
          <w:szCs w:val="24"/>
          <w:lang w:eastAsia="zh-TW"/>
        </w:rPr>
        <w:t xml:space="preserve">where the research </w:t>
      </w:r>
      <w:r w:rsidR="005A4D7E">
        <w:rPr>
          <w:sz w:val="24"/>
          <w:szCs w:val="24"/>
          <w:lang w:eastAsia="zh-TW"/>
        </w:rPr>
        <w:t>has goals which potentially clash with those of academia, for example where</w:t>
      </w:r>
      <w:r w:rsidR="00F70157">
        <w:rPr>
          <w:sz w:val="24"/>
          <w:szCs w:val="24"/>
          <w:lang w:eastAsia="zh-TW"/>
        </w:rPr>
        <w:t xml:space="preserve"> commercialisation </w:t>
      </w:r>
      <w:r w:rsidR="005A4D7E">
        <w:rPr>
          <w:sz w:val="24"/>
          <w:szCs w:val="24"/>
          <w:lang w:eastAsia="zh-TW"/>
        </w:rPr>
        <w:t>and revenue-generation for</w:t>
      </w:r>
      <w:r w:rsidR="0058603F">
        <w:rPr>
          <w:sz w:val="24"/>
          <w:szCs w:val="24"/>
          <w:lang w:eastAsia="zh-TW"/>
        </w:rPr>
        <w:t>c</w:t>
      </w:r>
      <w:r w:rsidR="00540FBE">
        <w:rPr>
          <w:sz w:val="24"/>
          <w:szCs w:val="24"/>
          <w:lang w:eastAsia="zh-TW"/>
        </w:rPr>
        <w:t>e</w:t>
      </w:r>
      <w:r w:rsidR="005A4D7E">
        <w:rPr>
          <w:sz w:val="24"/>
          <w:szCs w:val="24"/>
          <w:lang w:eastAsia="zh-TW"/>
        </w:rPr>
        <w:t xml:space="preserve"> the</w:t>
      </w:r>
      <w:r w:rsidR="00B80812">
        <w:rPr>
          <w:sz w:val="24"/>
          <w:szCs w:val="24"/>
          <w:lang w:eastAsia="zh-TW"/>
        </w:rPr>
        <w:t xml:space="preserve"> academic </w:t>
      </w:r>
      <w:r w:rsidR="005A4D7E">
        <w:rPr>
          <w:sz w:val="24"/>
          <w:szCs w:val="24"/>
          <w:lang w:eastAsia="zh-TW"/>
        </w:rPr>
        <w:t>to choose between secrecy or openness.</w:t>
      </w:r>
    </w:p>
    <w:p w14:paraId="66438845" w14:textId="77777777" w:rsidR="00AF618E" w:rsidRDefault="00283698" w:rsidP="000901C9">
      <w:pPr>
        <w:pStyle w:val="Heading4"/>
        <w:rPr>
          <w:lang w:eastAsia="zh-TW"/>
        </w:rPr>
      </w:pPr>
      <w:r>
        <w:rPr>
          <w:lang w:eastAsia="zh-TW"/>
        </w:rPr>
        <w:t>Network participation</w:t>
      </w:r>
    </w:p>
    <w:p w14:paraId="3FDDA778" w14:textId="42646A29" w:rsidR="002F5D20" w:rsidRPr="00AF618E" w:rsidRDefault="00BE3046" w:rsidP="002F5D20">
      <w:pPr>
        <w:spacing w:after="120" w:line="360" w:lineRule="auto"/>
        <w:rPr>
          <w:sz w:val="24"/>
          <w:szCs w:val="24"/>
          <w:u w:val="single"/>
          <w:lang w:eastAsia="zh-TW"/>
        </w:rPr>
      </w:pPr>
      <w:r>
        <w:rPr>
          <w:sz w:val="24"/>
          <w:szCs w:val="24"/>
          <w:lang w:eastAsia="zh-TW"/>
        </w:rPr>
        <w:t>Networks of researchers engaged in ‘bounded’ research are typically</w:t>
      </w:r>
      <w:r w:rsidR="002F5D20">
        <w:rPr>
          <w:sz w:val="24"/>
          <w:szCs w:val="24"/>
          <w:lang w:eastAsia="zh-TW"/>
        </w:rPr>
        <w:t xml:space="preserve"> “homogenous and usually constrained within the researchers’ epistemic communities”</w:t>
      </w:r>
      <w:r w:rsidR="00411EDB">
        <w:rPr>
          <w:sz w:val="24"/>
          <w:szCs w:val="24"/>
          <w:lang w:eastAsia="zh-TW"/>
        </w:rPr>
        <w:t xml:space="preserve"> (ibid., p. 889)</w:t>
      </w:r>
      <w:r w:rsidR="002F5D20">
        <w:rPr>
          <w:sz w:val="24"/>
          <w:szCs w:val="24"/>
          <w:lang w:eastAsia="zh-TW"/>
        </w:rPr>
        <w:t xml:space="preserve">. </w:t>
      </w:r>
      <w:r w:rsidR="005D1AEC">
        <w:rPr>
          <w:sz w:val="24"/>
          <w:szCs w:val="24"/>
          <w:lang w:eastAsia="zh-TW"/>
        </w:rPr>
        <w:t>By contrast,</w:t>
      </w:r>
      <w:r w:rsidR="00BA5ABB">
        <w:rPr>
          <w:sz w:val="24"/>
          <w:szCs w:val="24"/>
          <w:lang w:eastAsia="zh-TW"/>
        </w:rPr>
        <w:t xml:space="preserve"> those associated with</w:t>
      </w:r>
      <w:r w:rsidR="005D1AEC">
        <w:rPr>
          <w:sz w:val="24"/>
          <w:szCs w:val="24"/>
          <w:lang w:eastAsia="zh-TW"/>
        </w:rPr>
        <w:t xml:space="preserve"> </w:t>
      </w:r>
      <w:r>
        <w:rPr>
          <w:sz w:val="24"/>
          <w:szCs w:val="24"/>
          <w:lang w:eastAsia="zh-TW"/>
        </w:rPr>
        <w:t>‘unbounded’ research</w:t>
      </w:r>
      <w:r w:rsidR="00BA5ABB">
        <w:rPr>
          <w:sz w:val="24"/>
          <w:szCs w:val="24"/>
          <w:lang w:eastAsia="zh-TW"/>
        </w:rPr>
        <w:t xml:space="preserve"> are more</w:t>
      </w:r>
      <w:r w:rsidR="005D1AEC">
        <w:rPr>
          <w:sz w:val="24"/>
          <w:szCs w:val="24"/>
          <w:lang w:eastAsia="zh-TW"/>
        </w:rPr>
        <w:t xml:space="preserve"> “heterogeneous” </w:t>
      </w:r>
      <w:r w:rsidR="00BA5ABB">
        <w:rPr>
          <w:sz w:val="24"/>
          <w:szCs w:val="24"/>
          <w:lang w:eastAsia="zh-TW"/>
        </w:rPr>
        <w:t xml:space="preserve">and </w:t>
      </w:r>
      <w:r w:rsidR="005D1AEC">
        <w:rPr>
          <w:sz w:val="24"/>
          <w:szCs w:val="24"/>
          <w:lang w:eastAsia="zh-TW"/>
        </w:rPr>
        <w:t>“</w:t>
      </w:r>
      <w:r w:rsidR="002F5D20">
        <w:rPr>
          <w:sz w:val="24"/>
          <w:szCs w:val="24"/>
          <w:lang w:eastAsia="zh-TW"/>
        </w:rPr>
        <w:t>may include a wider variety of institutions including research, policy, business, community, and advocacy groups”</w:t>
      </w:r>
      <w:r w:rsidR="00411EDB">
        <w:rPr>
          <w:sz w:val="24"/>
          <w:szCs w:val="24"/>
          <w:lang w:eastAsia="zh-TW"/>
        </w:rPr>
        <w:t xml:space="preserve"> (ibid., p. 889)</w:t>
      </w:r>
      <w:r w:rsidR="002F5D20">
        <w:rPr>
          <w:sz w:val="24"/>
          <w:szCs w:val="24"/>
          <w:lang w:eastAsia="zh-TW"/>
        </w:rPr>
        <w:t xml:space="preserve">. </w:t>
      </w:r>
      <w:r w:rsidR="005449F3">
        <w:rPr>
          <w:sz w:val="24"/>
          <w:szCs w:val="24"/>
          <w:lang w:eastAsia="zh-TW"/>
        </w:rPr>
        <w:t>Although</w:t>
      </w:r>
      <w:r w:rsidR="005D1AEC">
        <w:rPr>
          <w:sz w:val="24"/>
          <w:szCs w:val="24"/>
          <w:lang w:eastAsia="zh-TW"/>
        </w:rPr>
        <w:t xml:space="preserve"> similar to th</w:t>
      </w:r>
      <w:r w:rsidR="005449F3">
        <w:rPr>
          <w:sz w:val="24"/>
          <w:szCs w:val="24"/>
          <w:lang w:eastAsia="zh-TW"/>
        </w:rPr>
        <w:t>e descriptions</w:t>
      </w:r>
      <w:r w:rsidR="005D1AEC">
        <w:rPr>
          <w:sz w:val="24"/>
          <w:szCs w:val="24"/>
          <w:lang w:eastAsia="zh-TW"/>
        </w:rPr>
        <w:t xml:space="preserve"> for the earlier activity of ‘knowledge exchange’</w:t>
      </w:r>
      <w:r w:rsidR="005449F3">
        <w:rPr>
          <w:sz w:val="24"/>
          <w:szCs w:val="24"/>
          <w:lang w:eastAsia="zh-TW"/>
        </w:rPr>
        <w:t xml:space="preserve">, ‘network participation’ is </w:t>
      </w:r>
      <w:r w:rsidR="005D1AEC">
        <w:rPr>
          <w:sz w:val="24"/>
          <w:szCs w:val="24"/>
          <w:lang w:eastAsia="zh-TW"/>
        </w:rPr>
        <w:t xml:space="preserve">conceptually </w:t>
      </w:r>
      <w:r w:rsidR="005449F3">
        <w:rPr>
          <w:sz w:val="24"/>
          <w:szCs w:val="24"/>
          <w:lang w:eastAsia="zh-TW"/>
        </w:rPr>
        <w:t>distinct</w:t>
      </w:r>
      <w:r w:rsidR="005D1AEC">
        <w:rPr>
          <w:sz w:val="24"/>
          <w:szCs w:val="24"/>
          <w:lang w:eastAsia="zh-TW"/>
        </w:rPr>
        <w:t>, because networks m</w:t>
      </w:r>
      <w:r w:rsidR="00210BAF">
        <w:rPr>
          <w:sz w:val="24"/>
          <w:szCs w:val="24"/>
          <w:lang w:eastAsia="zh-TW"/>
        </w:rPr>
        <w:t>a</w:t>
      </w:r>
      <w:r w:rsidR="005D1AEC">
        <w:rPr>
          <w:sz w:val="24"/>
          <w:szCs w:val="24"/>
          <w:lang w:eastAsia="zh-TW"/>
        </w:rPr>
        <w:t>y have functions other than exchanging knowledge, for example they may be part of an approach for finding challenging research problems faced by industry, or finding potential sponsors for research</w:t>
      </w:r>
      <w:r w:rsidR="005449F3">
        <w:rPr>
          <w:sz w:val="24"/>
          <w:szCs w:val="24"/>
          <w:lang w:eastAsia="zh-TW"/>
        </w:rPr>
        <w:t>, or creating demand external for knowledge</w:t>
      </w:r>
      <w:r w:rsidR="00210BAF">
        <w:rPr>
          <w:sz w:val="24"/>
          <w:szCs w:val="24"/>
          <w:lang w:eastAsia="zh-TW"/>
        </w:rPr>
        <w:t xml:space="preserve"> (Hughes et al., 2016)</w:t>
      </w:r>
      <w:r w:rsidR="005D1AEC">
        <w:rPr>
          <w:sz w:val="24"/>
          <w:szCs w:val="24"/>
          <w:lang w:eastAsia="zh-TW"/>
        </w:rPr>
        <w:t xml:space="preserve">. </w:t>
      </w:r>
    </w:p>
    <w:p w14:paraId="77AC1CE8" w14:textId="3421BA71" w:rsidR="00283698" w:rsidRDefault="00283698" w:rsidP="000901C9">
      <w:pPr>
        <w:pStyle w:val="Heading4"/>
        <w:rPr>
          <w:lang w:eastAsia="zh-TW"/>
        </w:rPr>
      </w:pPr>
      <w:r>
        <w:rPr>
          <w:lang w:eastAsia="zh-TW"/>
        </w:rPr>
        <w:t>Flexibility</w:t>
      </w:r>
    </w:p>
    <w:p w14:paraId="0CFA4E75" w14:textId="3D0D6F84" w:rsidR="000C00FA" w:rsidRDefault="007E0B25" w:rsidP="009D09A8">
      <w:pPr>
        <w:spacing w:after="120" w:line="360" w:lineRule="auto"/>
        <w:rPr>
          <w:sz w:val="24"/>
          <w:szCs w:val="24"/>
          <w:u w:val="single"/>
          <w:lang w:eastAsia="zh-TW"/>
        </w:rPr>
      </w:pPr>
      <w:r>
        <w:rPr>
          <w:sz w:val="24"/>
          <w:szCs w:val="24"/>
          <w:lang w:eastAsia="zh-TW"/>
        </w:rPr>
        <w:t>Flexibility</w:t>
      </w:r>
      <w:r w:rsidR="000C00FA">
        <w:rPr>
          <w:sz w:val="24"/>
          <w:szCs w:val="24"/>
          <w:lang w:eastAsia="zh-TW"/>
        </w:rPr>
        <w:t xml:space="preserve"> refers to the willingness and ability of </w:t>
      </w:r>
      <w:r w:rsidR="00B4473D">
        <w:rPr>
          <w:sz w:val="24"/>
          <w:szCs w:val="24"/>
          <w:lang w:eastAsia="zh-TW"/>
        </w:rPr>
        <w:t>organisations to</w:t>
      </w:r>
      <w:r w:rsidR="000C00FA">
        <w:rPr>
          <w:sz w:val="24"/>
          <w:szCs w:val="24"/>
          <w:lang w:eastAsia="zh-TW"/>
        </w:rPr>
        <w:t xml:space="preserve"> make themselves amenable and accessible to other kinds of organisations</w:t>
      </w:r>
      <w:r w:rsidR="000374F8">
        <w:rPr>
          <w:sz w:val="24"/>
          <w:szCs w:val="24"/>
          <w:lang w:eastAsia="zh-TW"/>
        </w:rPr>
        <w:t xml:space="preserve"> (McNie et al., 2016)</w:t>
      </w:r>
      <w:r w:rsidR="000C00FA">
        <w:rPr>
          <w:sz w:val="24"/>
          <w:szCs w:val="24"/>
          <w:lang w:eastAsia="zh-TW"/>
        </w:rPr>
        <w:t xml:space="preserve">. </w:t>
      </w:r>
      <w:r w:rsidR="000374F8">
        <w:rPr>
          <w:sz w:val="24"/>
          <w:szCs w:val="24"/>
          <w:lang w:eastAsia="zh-TW"/>
        </w:rPr>
        <w:t>O</w:t>
      </w:r>
      <w:r w:rsidR="000C00FA">
        <w:rPr>
          <w:sz w:val="24"/>
          <w:szCs w:val="24"/>
          <w:lang w:eastAsia="zh-TW"/>
        </w:rPr>
        <w:t xml:space="preserve">rganisational flexibility </w:t>
      </w:r>
      <w:r w:rsidR="000374F8">
        <w:rPr>
          <w:sz w:val="24"/>
          <w:szCs w:val="24"/>
          <w:lang w:eastAsia="zh-TW"/>
        </w:rPr>
        <w:t>is often</w:t>
      </w:r>
      <w:r w:rsidR="000C00FA">
        <w:rPr>
          <w:sz w:val="24"/>
          <w:szCs w:val="24"/>
          <w:lang w:eastAsia="zh-TW"/>
        </w:rPr>
        <w:t xml:space="preserve"> “restrained”</w:t>
      </w:r>
      <w:r w:rsidR="002327F9">
        <w:rPr>
          <w:sz w:val="24"/>
          <w:szCs w:val="24"/>
          <w:lang w:eastAsia="zh-TW"/>
        </w:rPr>
        <w:t xml:space="preserve"> (ibid., p. 890)</w:t>
      </w:r>
      <w:r w:rsidR="000374F8">
        <w:rPr>
          <w:sz w:val="24"/>
          <w:szCs w:val="24"/>
          <w:lang w:eastAsia="zh-TW"/>
        </w:rPr>
        <w:t xml:space="preserve"> in the case of ‘bounded’ research’</w:t>
      </w:r>
      <w:r w:rsidR="000C00FA">
        <w:rPr>
          <w:sz w:val="24"/>
          <w:szCs w:val="24"/>
          <w:lang w:eastAsia="zh-TW"/>
        </w:rPr>
        <w:t>, with non-academic organisations likely to face notable barriers to communication and collaboration with the university</w:t>
      </w:r>
      <w:r w:rsidR="00F318A1">
        <w:rPr>
          <w:sz w:val="24"/>
          <w:szCs w:val="24"/>
          <w:lang w:eastAsia="zh-TW"/>
        </w:rPr>
        <w:t xml:space="preserve">. By contrast, </w:t>
      </w:r>
      <w:r w:rsidR="000C00FA">
        <w:rPr>
          <w:sz w:val="24"/>
          <w:szCs w:val="24"/>
          <w:lang w:eastAsia="zh-TW"/>
        </w:rPr>
        <w:t xml:space="preserve">the openness and responsiveness associated with </w:t>
      </w:r>
      <w:r w:rsidR="00F35C97">
        <w:rPr>
          <w:sz w:val="24"/>
          <w:szCs w:val="24"/>
          <w:lang w:eastAsia="zh-TW"/>
        </w:rPr>
        <w:t>‘unbounded’ research</w:t>
      </w:r>
      <w:r w:rsidR="000C00FA">
        <w:rPr>
          <w:sz w:val="24"/>
          <w:szCs w:val="24"/>
          <w:lang w:eastAsia="zh-TW"/>
        </w:rPr>
        <w:t xml:space="preserve"> “requires higher degrees of organizational flexibility”</w:t>
      </w:r>
      <w:r w:rsidR="002327F9" w:rsidRPr="002327F9">
        <w:rPr>
          <w:sz w:val="24"/>
          <w:szCs w:val="24"/>
          <w:lang w:eastAsia="zh-TW"/>
        </w:rPr>
        <w:t xml:space="preserve"> </w:t>
      </w:r>
      <w:r w:rsidR="002327F9">
        <w:rPr>
          <w:sz w:val="24"/>
          <w:szCs w:val="24"/>
          <w:lang w:eastAsia="zh-TW"/>
        </w:rPr>
        <w:t>(ibid., p. 890)</w:t>
      </w:r>
      <w:r w:rsidR="000C00FA">
        <w:rPr>
          <w:sz w:val="24"/>
          <w:szCs w:val="24"/>
          <w:lang w:eastAsia="zh-TW"/>
        </w:rPr>
        <w:t xml:space="preserve">. </w:t>
      </w:r>
    </w:p>
    <w:p w14:paraId="0C74A98B" w14:textId="67D2EDEA" w:rsidR="00283698" w:rsidRDefault="00283698" w:rsidP="000901C9">
      <w:pPr>
        <w:pStyle w:val="Heading4"/>
        <w:rPr>
          <w:lang w:eastAsia="zh-TW"/>
        </w:rPr>
      </w:pPr>
      <w:r>
        <w:rPr>
          <w:lang w:eastAsia="zh-TW"/>
        </w:rPr>
        <w:t>Disciplinary focus</w:t>
      </w:r>
    </w:p>
    <w:p w14:paraId="2CA9622E" w14:textId="682C0CFC" w:rsidR="000C00FA" w:rsidRDefault="00B059E6" w:rsidP="000901C9">
      <w:pPr>
        <w:spacing w:after="120" w:line="360" w:lineRule="auto"/>
        <w:rPr>
          <w:sz w:val="24"/>
          <w:szCs w:val="24"/>
          <w:lang w:eastAsia="zh-TW"/>
        </w:rPr>
      </w:pPr>
      <w:r>
        <w:rPr>
          <w:sz w:val="24"/>
          <w:szCs w:val="24"/>
          <w:lang w:eastAsia="zh-TW"/>
        </w:rPr>
        <w:t>‘Bounded’</w:t>
      </w:r>
      <w:r w:rsidR="007F763A">
        <w:rPr>
          <w:sz w:val="24"/>
          <w:szCs w:val="24"/>
          <w:lang w:eastAsia="zh-TW"/>
        </w:rPr>
        <w:t xml:space="preserve"> research addresses problems and uses methods and techniques derived </w:t>
      </w:r>
      <w:r w:rsidR="00FA48FD">
        <w:rPr>
          <w:sz w:val="24"/>
          <w:szCs w:val="24"/>
          <w:lang w:eastAsia="zh-TW"/>
        </w:rPr>
        <w:t xml:space="preserve">almost exclusively </w:t>
      </w:r>
      <w:r w:rsidR="007F763A">
        <w:rPr>
          <w:sz w:val="24"/>
          <w:szCs w:val="24"/>
          <w:lang w:eastAsia="zh-TW"/>
        </w:rPr>
        <w:t xml:space="preserve">from its own core discipline. </w:t>
      </w:r>
      <w:r w:rsidR="00B43071">
        <w:rPr>
          <w:sz w:val="24"/>
          <w:szCs w:val="24"/>
          <w:lang w:eastAsia="zh-TW"/>
        </w:rPr>
        <w:t xml:space="preserve">This might be considered a ‘traditional’ or ‘Mode 1’ form of academic research (Gibbons et al., 1994). </w:t>
      </w:r>
      <w:r w:rsidR="000C00FA">
        <w:rPr>
          <w:sz w:val="24"/>
          <w:szCs w:val="24"/>
          <w:lang w:eastAsia="zh-TW"/>
        </w:rPr>
        <w:t xml:space="preserve">But not all science has such narrow agendas, </w:t>
      </w:r>
      <w:r w:rsidR="00B43071">
        <w:rPr>
          <w:sz w:val="24"/>
          <w:szCs w:val="24"/>
          <w:lang w:eastAsia="zh-TW"/>
        </w:rPr>
        <w:t>n</w:t>
      </w:r>
      <w:r w:rsidR="000C00FA">
        <w:rPr>
          <w:sz w:val="24"/>
          <w:szCs w:val="24"/>
          <w:lang w:eastAsia="zh-TW"/>
        </w:rPr>
        <w:t xml:space="preserve">or the luxury to be so ‘insulated’ (Bernstein, 2000). </w:t>
      </w:r>
      <w:r w:rsidR="00B43071">
        <w:rPr>
          <w:sz w:val="24"/>
          <w:szCs w:val="24"/>
          <w:lang w:eastAsia="zh-TW"/>
        </w:rPr>
        <w:t>The</w:t>
      </w:r>
      <w:r w:rsidR="000C00FA">
        <w:rPr>
          <w:sz w:val="24"/>
          <w:szCs w:val="24"/>
          <w:lang w:eastAsia="zh-TW"/>
        </w:rPr>
        <w:t xml:space="preserve"> concept of Mode 2 knowledge production (Gibbons et al., 1994; Nowotny et al., 2003) emphasises the shift in much academic STEMM research such that many research objectives derive primarily from real life problems, rather than from within disciplines. </w:t>
      </w:r>
      <w:r w:rsidR="001B621D">
        <w:rPr>
          <w:sz w:val="24"/>
          <w:szCs w:val="24"/>
          <w:lang w:eastAsia="zh-TW"/>
        </w:rPr>
        <w:t xml:space="preserve">Summarising the Mode 2 thesis, McNie et al. (2016) note that an increasing amount of </w:t>
      </w:r>
      <w:r w:rsidR="000C00FA">
        <w:rPr>
          <w:sz w:val="24"/>
          <w:szCs w:val="24"/>
          <w:lang w:eastAsia="zh-TW"/>
        </w:rPr>
        <w:t xml:space="preserve">“research is transdisciplinary and is organized around problems that are defined by the context of use” (p. 888). </w:t>
      </w:r>
      <w:r w:rsidR="00FA48FD">
        <w:rPr>
          <w:sz w:val="24"/>
          <w:szCs w:val="24"/>
          <w:lang w:eastAsia="zh-TW"/>
        </w:rPr>
        <w:t>In this context, disciplines are not</w:t>
      </w:r>
      <w:r w:rsidR="00B43071">
        <w:rPr>
          <w:sz w:val="24"/>
          <w:szCs w:val="24"/>
          <w:lang w:eastAsia="zh-TW"/>
        </w:rPr>
        <w:t xml:space="preserve"> necessarily irrelevant, but t</w:t>
      </w:r>
      <w:r w:rsidR="00FA48FD">
        <w:rPr>
          <w:sz w:val="24"/>
          <w:szCs w:val="24"/>
          <w:lang w:eastAsia="zh-TW"/>
        </w:rPr>
        <w:t>hey are no longer the source of integrating experts</w:t>
      </w:r>
      <w:r w:rsidR="00B43071">
        <w:rPr>
          <w:sz w:val="24"/>
          <w:szCs w:val="24"/>
          <w:lang w:eastAsia="zh-TW"/>
        </w:rPr>
        <w:t xml:space="preserve">; rather, the integrating factor is the collective ability of individuals, who may or may not be equipped with specialist disciplinary training, to contribute to particular outcomes. </w:t>
      </w:r>
      <w:r w:rsidR="00FA48FD">
        <w:rPr>
          <w:sz w:val="24"/>
          <w:szCs w:val="24"/>
          <w:lang w:eastAsia="zh-TW"/>
        </w:rPr>
        <w:t>These are features of ‘unbounded’ research.</w:t>
      </w:r>
    </w:p>
    <w:p w14:paraId="12D1DCFC" w14:textId="4697646A" w:rsidR="00283698" w:rsidRDefault="00283698" w:rsidP="000901C9">
      <w:pPr>
        <w:pStyle w:val="Heading4"/>
        <w:rPr>
          <w:lang w:eastAsia="zh-TW"/>
        </w:rPr>
      </w:pPr>
      <w:r>
        <w:rPr>
          <w:lang w:eastAsia="zh-TW"/>
        </w:rPr>
        <w:t>Social capital</w:t>
      </w:r>
    </w:p>
    <w:p w14:paraId="03EF2175" w14:textId="5B3192D8" w:rsidR="000C00FA" w:rsidRDefault="00D742EA" w:rsidP="00C665DF">
      <w:pPr>
        <w:spacing w:after="120" w:line="360" w:lineRule="auto"/>
        <w:rPr>
          <w:sz w:val="24"/>
          <w:szCs w:val="24"/>
          <w:lang w:eastAsia="zh-TW"/>
        </w:rPr>
      </w:pPr>
      <w:r>
        <w:rPr>
          <w:sz w:val="24"/>
          <w:szCs w:val="24"/>
          <w:lang w:eastAsia="zh-TW"/>
        </w:rPr>
        <w:t xml:space="preserve">Social capital refers to </w:t>
      </w:r>
      <w:r w:rsidR="00043D0E">
        <w:rPr>
          <w:sz w:val="24"/>
          <w:szCs w:val="24"/>
          <w:lang w:eastAsia="zh-TW"/>
        </w:rPr>
        <w:t>the way that o</w:t>
      </w:r>
      <w:r w:rsidR="0038591C">
        <w:rPr>
          <w:sz w:val="24"/>
          <w:szCs w:val="24"/>
          <w:lang w:eastAsia="zh-TW"/>
        </w:rPr>
        <w:t>ne’s social position and personal networks</w:t>
      </w:r>
      <w:r w:rsidR="00043D0E">
        <w:rPr>
          <w:sz w:val="24"/>
          <w:szCs w:val="24"/>
          <w:lang w:eastAsia="zh-TW"/>
        </w:rPr>
        <w:t xml:space="preserve"> can be mobilised to enable one to</w:t>
      </w:r>
      <w:r w:rsidR="00BD56DF">
        <w:rPr>
          <w:sz w:val="24"/>
          <w:szCs w:val="24"/>
          <w:lang w:eastAsia="zh-TW"/>
        </w:rPr>
        <w:t xml:space="preserve"> achieve</w:t>
      </w:r>
      <w:r w:rsidR="00043D0E">
        <w:rPr>
          <w:sz w:val="24"/>
          <w:szCs w:val="24"/>
          <w:lang w:eastAsia="zh-TW"/>
        </w:rPr>
        <w:t xml:space="preserve"> desired</w:t>
      </w:r>
      <w:r w:rsidR="00BD56DF">
        <w:rPr>
          <w:sz w:val="24"/>
          <w:szCs w:val="24"/>
          <w:lang w:eastAsia="zh-TW"/>
        </w:rPr>
        <w:t xml:space="preserve"> goals </w:t>
      </w:r>
      <w:r>
        <w:rPr>
          <w:sz w:val="24"/>
          <w:szCs w:val="24"/>
          <w:lang w:eastAsia="zh-TW"/>
        </w:rPr>
        <w:fldChar w:fldCharType="begin">
          <w:fldData xml:space="preserve">PEVuZE5vdGU+PENpdGU+PEF1dGhvcj5BbC1UYWJiYWE8L0F1dGhvcj48WWVhcj4yMDE2PC9ZZWFy
PjxJRFRleHQ+U29jaWFsIGNhcGl0YWwgdG8gZmFjaWxpdGF0ZSDigJggZW5naW5lZXJlZOKAmSB1
bml2ZXJzaXR54oCTIGluZHVzdHJ5IGNvbGxhYm9yYXRpb24gZm9yIHRlY2hub2xvZ3kgdHJhbnNm
ZXI6IEEgZHluYW1pYyBwZXJzcGVjdGl2ZTwvSURUZXh0PjxEaXNwbGF5VGV4dD4oQWwtVGFiYmFh
ICZhbXA7IEFua3JhaCwgMjAxNjsgSW5rcGVuICZhbXA7IFRzYW5nLCAyMDA1OyBMYW1ib295LCAy
MDEwOyBMaSwgTGlhbywgJmFtcDsgWWVuLCAyMDEzOyBTYWxhcmFuLCAyMDEwOyBWYW4gV2lqaywg
SmFuc2VuLCAmYW1wOyBMeWxlcywgMjAwOSk8L0Rpc3BsYXlUZXh0PjxyZWNvcmQ+PGtleXdvcmRz
PjxrZXl3b3JkPlNvY2lhbCBDYXBpdGFsIERpbWVuc2lvbnM8L2tleXdvcmQ+PGtleXdvcmQ+VW5p
dmVyc2l0eeKAkyBJbmR1c3RyeSBDb2xsYWJvcmF0aW9uPC9rZXl3b3JkPjxrZXl3b3JkPkludGVy
LU9yZ2FuaXphdGlvbmFsIFJlbGF0aW9uc2hpcDwva2V5d29yZD48a2V5d29yZD5UZWNobm9sb2d5
IFRyYW5zZmVyPC9rZXl3b3JkPjwva2V5d29yZHM+PGlzYm4+MDA0MC0xNjI1PC9pc2JuPjx0aXRs
ZXM+PHRpdGxlPlNvY2lhbCBjYXBpdGFsIHRvIGZhY2lsaXRhdGUg4oCYIGVuZ2luZWVyZWTigJkg
dW5pdmVyc2l0eeKAkyBpbmR1c3RyeSBjb2xsYWJvcmF0aW9uIGZvciB0ZWNobm9sb2d5IHRyYW5z
ZmVyOiBBIGR5bmFtaWMgcGVyc3BlY3RpdmU8L3RpdGxlPjxzZWNvbmRhcnktdGl0bGU+VGVjaG5v
bG9naWNhbCBGb3JlY2FzdGluZyAmYW1wOyBTb2NpYWwgQ2hhbmdlPC9zZWNvbmRhcnktdGl0bGU+
PC90aXRsZXM+PHBhZ2VzPjEtMTU8L3BhZ2VzPjxjb250cmlidXRvcnM+PGF1dGhvcnM+PGF1dGhv
cj5BbC1UYWJiYWEsIE9tYXI8L2F1dGhvcj48YXV0aG9yPkFua3JhaCwgU2FtdWVsPC9hdXRob3I+
PC9hdXRob3JzPjwvY29udHJpYnV0b3JzPjxhZGRlZC1kYXRlIGZvcm1hdD0idXRjIj4xNDkwMTIz
OTY4PC9hZGRlZC1kYXRlPjxyZWYtdHlwZSBuYW1lPSJKb3VybmFsIEFydGljbGUiPjE3PC9yZWYt
dHlwZT48ZGF0ZXM+PHllYXI+MjAxNjwveWVhcj48L2RhdGVzPjxyZWMtbnVtYmVyPjY2NjY8L3Jl
Yy1udW1iZXI+PGxhc3QtdXBkYXRlZC1kYXRlIGZvcm1hdD0idXRjIj4xNDkwMTI2MzMyPC9sYXN0
LXVwZGF0ZWQtZGF0ZT48ZWxlY3Ryb25pYy1yZXNvdXJjZS1udW0+MTAuMTAxNi9qLnRlY2hmb3Jl
LjIwMTUuMTEuMDI3PC9lbGVjdHJvbmljLXJlc291cmNlLW51bT48dm9sdW1lPjEwNDwvdm9sdW1l
PjwvcmVjb3JkPjwvQ2l0ZT48Q2l0ZT48QXV0aG9yPklua3BlbjwvQXV0aG9yPjxZZWFyPjIwMDU8
L1llYXI+PElEVGV4dD5Tb2NpYWwgY2FwaXRhbCwgbmV0d29ya3MsIGFuZCBrbm93bGVkZ2UgdHJh
bnNmZXI8L0lEVGV4dD48cmVjb3JkPjxpc2JuPjAzNjMtNzQyNTwvaXNibj48dGl0bGVzPjx0aXRs
ZT5Tb2NpYWwgY2FwaXRhbCwgbmV0d29ya3MsIGFuZCBrbm93bGVkZ2UgdHJhbnNmZXI8L3RpdGxl
PjxzZWNvbmRhcnktdGl0bGU+QWNhZC4gTWFuYWdlLiBSZXYuPC9zZWNvbmRhcnktdGl0bGU+PC90
aXRsZXM+PHBhZ2VzPjE0Ni0xNjU8L3BhZ2VzPjxjb250cmlidXRvcnM+PGF1dGhvcnM+PGF1dGhv
cj5JbmtwZW4sIEFjPC9hdXRob3I+PGF1dGhvcj5Uc2FuZywgRXdrPC9hdXRob3I+PC9hdXRob3Jz
PjwvY29udHJpYnV0b3JzPjxhZGRlZC1kYXRlIGZvcm1hdD0idXRjIj4xNTMyNDU0MTM3PC9hZGRl
ZC1kYXRlPjxyZWYtdHlwZSBuYW1lPSJHZW5lcmljIj4xMzwvcmVmLXR5cGU+PGRhdGVzPjx5ZWFy
PjIwMDU8L3llYXI+PC9kYXRlcz48cmVjLW51bWJlcj43NjI2PC9yZWMtbnVtYmVyPjxsYXN0LXVw
ZGF0ZWQtZGF0ZSBmb3JtYXQ9InV0YyI+MTUzMjQ1NDEzNzwvbGFzdC11cGRhdGVkLWRhdGU+PGVs
ZWN0cm9uaWMtcmVzb3VyY2UtbnVtPjEwLjU0NjUvQU1SLjIwMDUuMTUyODE0NDU8L2VsZWN0cm9u
aWMtcmVzb3VyY2UtbnVtPjx2b2x1bWU+MzA8L3ZvbHVtZT48L3JlY29yZD48L0NpdGU+PENpdGU+
PEF1dGhvcj5MYW1ib295PC9BdXRob3I+PFllYXI+MjAxMDwvWWVhcj48SURUZXh0Pktub3dsZWRn
ZSB0cmFuc2ZlcnMsIHNwaWxsb3ZlcnMgYW5kIGFjdG9yczogVGhlIHJvbGUgb2YgY29udGV4dCBh
bmQgc29jaWFsIGNhcGl0YWw8L0lEVGV4dD48cmVjb3JkPjx1cmxzPjxyZWxhdGVkLXVybHM+PHVy
bD5odHRwczovL3d3dy5zY29wdXMuY29tL2lud2FyZC9yZWNvcmQudXJpP2VpZD0yLXMyLjAtNzc5
NTI0OTYyODUmYW1wO3BhcnRuZXJJRD00MCZhbXA7bWQ1PTUzNzBhZjgzYjUzOTY2N2E2ZTY5NWY4
NzI4OTA1ZjQ1PC91cmw+PC9yZWxhdGVkLXVybHM+PC91cmxzPjx3b3JrLXR5cGU+QXJ0aWNsZTwv
d29yay10eXBlPjx0aXRsZXM+PHRpdGxlPktub3dsZWRnZSB0cmFuc2ZlcnMsIHNwaWxsb3ZlcnMg
YW5kIGFjdG9yczogVGhlIHJvbGUgb2YgY29udGV4dCBhbmQgc29jaWFsIGNhcGl0YWw8L3RpdGxl
PjxzZWNvbmRhcnktdGl0bGU+RXVyb3BlYW4gUGxhbm5pbmcgU3R1ZGllczwvc2Vjb25kYXJ5LXRp
dGxlPjwvdGl0bGVzPjxwYWdlcz44NzMtODkxPC9wYWdlcz48bnVtYmVyPjY8L251bWJlcj48Y29u
dHJpYnV0b3JzPjxhdXRob3JzPjxhdXRob3I+TGFtYm9veSwgSi4gRy48L2F1dGhvcj48L2F1dGhv
cnM+PC9jb250cmlidXRvcnM+PGFkZGVkLWRhdGUgZm9ybWF0PSJ1dGMiPjE0NzM3MTkyMzc8L2Fk
ZGVkLWRhdGU+PHJlZi10eXBlIG5hbWU9IkpvdXJuYWwgQXJ0aWNsZSI+MTc8L3JlZi10eXBlPjxk
YXRlcz48eWVhcj4yMDEwPC95ZWFyPjwvZGF0ZXM+PHJlYy1udW1iZXI+MzQ4ODwvcmVjLW51bWJl
cj48bGFzdC11cGRhdGVkLWRhdGUgZm9ybWF0PSJ1dGMiPjE0NzM3MTkyMzc8L2xhc3QtdXBkYXRl
ZC1kYXRlPjxlbGVjdHJvbmljLXJlc291cmNlLW51bT4xMC4xMDgwLzA5NjU0MzExMDAzNzAxNDA3
PC9lbGVjdHJvbmljLXJlc291cmNlLW51bT48dm9sdW1lPjE4PC92b2x1bWU+PHJlbW90ZS1kYXRh
YmFzZS1uYW1lPlNjb3B1czwvcmVtb3RlLWRhdGFiYXNlLW5hbWU+PC9yZWNvcmQ+PC9DaXRlPjxD
aXRlPjxBdXRob3I+TGk8L0F1dGhvcj48WWVhcj4yMDEzPC9ZZWFyPjxJRFRleHQ+Q28tYXV0aG9y
c2hpcCBuZXR3b3JrcyBhbmQgcmVzZWFyY2ggaW1wYWN0OiBBIHNvY2lhbCBjYXBpdGFsIHBlcnNw
ZWN0aXZlPC9JRFRleHQ+PHJlY29yZD48ZGF0ZXM+PHB1Yi1kYXRlcz48ZGF0ZT5Ob3Y8L2RhdGU+
PC9wdWItZGF0ZXM+PHllYXI+MjAxMzwveWVhcj48L2RhdGVzPjx1cmxzPjxyZWxhdGVkLXVybHM+
PHVybD4mbHQ7R28gdG8gSVNJJmd0OzovL1dPUzowMDAzMjY1NTc2MDAwMDE8L3VybD48L3JlbGF0
ZWQtdXJscz48L3VybHM+PGlzYm4+MDA0OC03MzMzPC9pc2JuPjx0aXRsZXM+PHRpdGxlPkNvLWF1
dGhvcnNoaXAgbmV0d29ya3MgYW5kIHJlc2VhcmNoIGltcGFjdDogQSBzb2NpYWwgY2FwaXRhbCBw
ZXJzcGVjdGl2ZTwvdGl0bGU+PHNlY29uZGFyeS10aXRsZT5SZXNlYXJjaCBQb2xpY3k8L3NlY29u
ZGFyeS10aXRsZT48L3RpdGxlcz48cGFnZXM+MTUxNS0xNTMwPC9wYWdlcz48bnVtYmVyPjk8L251
bWJlcj48Y29udHJpYnV0b3JzPjxhdXRob3JzPjxhdXRob3I+TGksIEVsZG9uIFkuPC9hdXRob3I+
PGF1dGhvcj5MaWFvLCBDaGllbiBIc2lhbmc8L2F1dGhvcj48YXV0aG9yPlllbiwgSHNpdWp1IFJl
YmVjY2E8L2F1dGhvcj48L2F1dGhvcnM+PC9jb250cmlidXRvcnM+PGFkZGVkLWRhdGUgZm9ybWF0
PSJ1dGMiPjE0NzA4NjMwNDM8L2FkZGVkLWRhdGU+PHJlZi10eXBlIG5hbWU9IkpvdXJuYWwgQXJ0
aWNsZSI+MTc8L3JlZi10eXBlPjxyZWMtbnVtYmVyPjE5NTA8L3JlYy1udW1iZXI+PGxhc3QtdXBk
YXRlZC1kYXRlIGZvcm1hdD0idXRjIj4xNDcwODYzMDY2PC9sYXN0LXVwZGF0ZWQtZGF0ZT48YWNj
ZXNzaW9uLW51bT5XT1M6MDAwMzI2NTU3NjAwMDAxPC9hY2Nlc3Npb24tbnVtPjxlbGVjdHJvbmlj
LXJlc291cmNlLW51bT4xMC4xMDE2L2oucmVzcG9sLjIwMTMuMDYuMDEyPC9lbGVjdHJvbmljLXJl
c291cmNlLW51bT48dm9sdW1lPjQyPC92b2x1bWU+PC9yZWNvcmQ+PC9DaXRlPjxDaXRlPjxBdXRo
b3I+U2FsYXJhbjwvQXV0aG9yPjxZZWFyPjIwMTA8L1llYXI+PElEVGV4dD5SZXNlYXJjaCBwcm9k
dWN0aXZpdHkgYW5kIHNvY2lhbCBjYXBpdGFsIGluIEF1c3RyYWxpYW4gaGlnaGVyIGVkdWNhdGlv
bjwvSURUZXh0PjxyZWNvcmQ+PHVybHM+PHJlbGF0ZWQtdXJscz48dXJsPmh0dHBzOi8vd3d3LnNj
b3B1cy5jb20vaW53YXJkL3JlY29yZC51cmk/ZWlkPTItczIuMC03Nzk1NDM2MDkzNiZhbXA7cGFy
dG5lcklEPTQwJmFtcDttZDU9MzNiYzQ2MmI3M2NiMzdmNzQ4MmYwNDYwYjM4ZjdkMTM8L3VybD48
L3JlbGF0ZWQtdXJscz48L3VybHM+PHdvcmstdHlwZT5BcnRpY2xlPC93b3JrLXR5cGU+PHRpdGxl
cz48dGl0bGU+UmVzZWFyY2ggcHJvZHVjdGl2aXR5IGFuZCBzb2NpYWwgY2FwaXRhbCBpbiBBdXN0
cmFsaWFuIGhpZ2hlciBlZHVjYXRpb248L3RpdGxlPjxzZWNvbmRhcnktdGl0bGU+SGlnaGVyIEVk
dWNhdGlvbiBRdWFydGVybHk8L3NlY29uZGFyeS10aXRsZT48L3RpdGxlcz48cGFnZXM+MTMzLTE0
ODwvcGFnZXM+PG51bWJlcj4yPC9udW1iZXI+PGNvbnRyaWJ1dG9ycz48YXV0aG9ycz48YXV0aG9y
PlNhbGFyYW4sIE0uPC9hdXRob3I+PC9hdXRob3JzPjwvY29udHJpYnV0b3JzPjxhZGRlZC1kYXRl
IGZvcm1hdD0idXRjIj4xNDczNzMzMTYwPC9hZGRlZC1kYXRlPjxyZWYtdHlwZSBuYW1lPSJKb3Vy
bmFsIEFydGljbGUiPjE3PC9yZWYtdHlwZT48ZGF0ZXM+PHllYXI+MjAxMDwveWVhcj48L2RhdGVz
PjxyZWMtbnVtYmVyPjQ3ODY8L3JlYy1udW1iZXI+PGxhc3QtdXBkYXRlZC1kYXRlIGZvcm1hdD0i
dXRjIj4xNDczNzMzMTYwPC9sYXN0LXVwZGF0ZWQtZGF0ZT48ZWxlY3Ryb25pYy1yZXNvdXJjZS1u
dW0+MTAuMTExMS9qLjE0NjgtMjI3My4yMDA5LjAwNDQ4Lng8L2VsZWN0cm9uaWMtcmVzb3VyY2Ut
bnVtPjx2b2x1bWU+NjQ8L3ZvbHVtZT48cmVtb3RlLWRhdGFiYXNlLW5hbWU+U2NvcHVzPC9yZW1v
dGUtZGF0YWJhc2UtbmFtZT48L3JlY29yZD48L0NpdGU+PENpdGU+PEF1dGhvcj5WYW4gV2lqazwv
QXV0aG9yPjxZZWFyPjIwMDk8L1llYXI+PElEVGV4dD5Tb2NpYWwgY2FwaXRhbCwga25vd2xlZGdl
IHRyYW5zZmVyIGFuZCBvdXRjb21lczogTWV0YS1hbmFseXNpcyBvZiBhIG1vZGVyYXRlZCBtZWRp
YXRpb24gbW9kZWw8L0lEVGV4dD48cmVjb3JkPjx1cmxzPjxyZWxhdGVkLXVybHM+PHVybD5odHRw
czovL3d3dy5zY29wdXMuY29tL2lud2FyZC9yZWNvcmQudXJpP2VpZD0yLXMyLjAtODQ4NTg0MDc5
MzgmYW1wO3BhcnRuZXJJRD00MCZhbXA7bWQ1PTNjNTI4YmEyNDVlY2Y3NTQ5NTg3Yjk2NjUyM2Ez
NTAyPC91cmw+PC9yZWxhdGVkLXVybHM+PC91cmxzPjx3b3JrLXR5cGU+Q29uZmVyZW5jZSBQYXBl
cjwvd29yay10eXBlPjx0aXRsZXM+PHRpdGxlPlNvY2lhbCBjYXBpdGFsLCBrbm93bGVkZ2UgdHJh
bnNmZXIgYW5kIG91dGNvbWVzOiBNZXRhLWFuYWx5c2lzIG9mIGEgbW9kZXJhdGVkIG1lZGlhdGlv
biBtb2RlbDwvdGl0bGU+PHNlY29uZGFyeS10aXRsZT5BY2FkZW15IG9mIE1hbmFnZW1lbnQgMjAw
OSBBbm51YWwgTWVldGluZzogR3JlZW4gTWFuYWdlbWVudCBNYXR0ZXJzLCBBT00gMjAwOTwvc2Vj
b25kYXJ5LXRpdGxlPjwvdGl0bGVzPjxjb250cmlidXRvcnM+PGF1dGhvcnM+PGF1dGhvcj5WYW4g
V2lqaywgUi48L2F1dGhvcj48YXV0aG9yPkphbnNlbiwgSi48L2F1dGhvcj48YXV0aG9yPkx5bGVz
LCBNLjwvYXV0aG9yPjwvYXV0aG9ycz48L2NvbnRyaWJ1dG9ycz48YWRkZWQtZGF0ZSBmb3JtYXQ9
InV0YyI+MTQ3MzczMzE1OTwvYWRkZWQtZGF0ZT48cmVmLXR5cGUgbmFtZT0iQ29uZmVyZW5jZSBQ
cm9jZWVkaW5nIj4xMDwvcmVmLXR5cGU+PGRhdGVzPjx5ZWFyPjIwMDk8L3llYXI+PC9kYXRlcz48
cmVjLW51bWJlcj40Nzc0PC9yZWMtbnVtYmVyPjxsYXN0LXVwZGF0ZWQtZGF0ZSBmb3JtYXQ9InV0
YyI+MTQ3MzczMzE1OTwvbGFzdC11cGRhdGVkLWRhdGU+PHJlbW90ZS1kYXRhYmFzZS1uYW1lPlNj
b3B1czwvcmVtb3RlLWRhdGFiYXNlLW5hbWU+PC9yZWNvcmQ+PC9DaXRlPjwvRW5kTm90ZT5=
</w:fldData>
        </w:fldChar>
      </w:r>
      <w:r>
        <w:rPr>
          <w:sz w:val="24"/>
          <w:szCs w:val="24"/>
          <w:lang w:eastAsia="zh-TW"/>
        </w:rPr>
        <w:instrText xml:space="preserve"> ADDIN EN.CITE </w:instrText>
      </w:r>
      <w:r>
        <w:rPr>
          <w:sz w:val="24"/>
          <w:szCs w:val="24"/>
          <w:lang w:eastAsia="zh-TW"/>
        </w:rPr>
        <w:fldChar w:fldCharType="begin">
          <w:fldData xml:space="preserve">PEVuZE5vdGU+PENpdGU+PEF1dGhvcj5BbC1UYWJiYWE8L0F1dGhvcj48WWVhcj4yMDE2PC9ZZWFy
PjxJRFRleHQ+U29jaWFsIGNhcGl0YWwgdG8gZmFjaWxpdGF0ZSDigJggZW5naW5lZXJlZOKAmSB1
bml2ZXJzaXR54oCTIGluZHVzdHJ5IGNvbGxhYm9yYXRpb24gZm9yIHRlY2hub2xvZ3kgdHJhbnNm
ZXI6IEEgZHluYW1pYyBwZXJzcGVjdGl2ZTwvSURUZXh0PjxEaXNwbGF5VGV4dD4oQWwtVGFiYmFh
ICZhbXA7IEFua3JhaCwgMjAxNjsgSW5rcGVuICZhbXA7IFRzYW5nLCAyMDA1OyBMYW1ib295LCAy
MDEwOyBMaSwgTGlhbywgJmFtcDsgWWVuLCAyMDEzOyBTYWxhcmFuLCAyMDEwOyBWYW4gV2lqaywg
SmFuc2VuLCAmYW1wOyBMeWxlcywgMjAwOSk8L0Rpc3BsYXlUZXh0PjxyZWNvcmQ+PGtleXdvcmRz
PjxrZXl3b3JkPlNvY2lhbCBDYXBpdGFsIERpbWVuc2lvbnM8L2tleXdvcmQ+PGtleXdvcmQ+VW5p
dmVyc2l0eeKAkyBJbmR1c3RyeSBDb2xsYWJvcmF0aW9uPC9rZXl3b3JkPjxrZXl3b3JkPkludGVy
LU9yZ2FuaXphdGlvbmFsIFJlbGF0aW9uc2hpcDwva2V5d29yZD48a2V5d29yZD5UZWNobm9sb2d5
IFRyYW5zZmVyPC9rZXl3b3JkPjwva2V5d29yZHM+PGlzYm4+MDA0MC0xNjI1PC9pc2JuPjx0aXRs
ZXM+PHRpdGxlPlNvY2lhbCBjYXBpdGFsIHRvIGZhY2lsaXRhdGUg4oCYIGVuZ2luZWVyZWTigJkg
dW5pdmVyc2l0eeKAkyBpbmR1c3RyeSBjb2xsYWJvcmF0aW9uIGZvciB0ZWNobm9sb2d5IHRyYW5z
ZmVyOiBBIGR5bmFtaWMgcGVyc3BlY3RpdmU8L3RpdGxlPjxzZWNvbmRhcnktdGl0bGU+VGVjaG5v
bG9naWNhbCBGb3JlY2FzdGluZyAmYW1wOyBTb2NpYWwgQ2hhbmdlPC9zZWNvbmRhcnktdGl0bGU+
PC90aXRsZXM+PHBhZ2VzPjEtMTU8L3BhZ2VzPjxjb250cmlidXRvcnM+PGF1dGhvcnM+PGF1dGhv
cj5BbC1UYWJiYWEsIE9tYXI8L2F1dGhvcj48YXV0aG9yPkFua3JhaCwgU2FtdWVsPC9hdXRob3I+
PC9hdXRob3JzPjwvY29udHJpYnV0b3JzPjxhZGRlZC1kYXRlIGZvcm1hdD0idXRjIj4xNDkwMTIz
OTY4PC9hZGRlZC1kYXRlPjxyZWYtdHlwZSBuYW1lPSJKb3VybmFsIEFydGljbGUiPjE3PC9yZWYt
dHlwZT48ZGF0ZXM+PHllYXI+MjAxNjwveWVhcj48L2RhdGVzPjxyZWMtbnVtYmVyPjY2NjY8L3Jl
Yy1udW1iZXI+PGxhc3QtdXBkYXRlZC1kYXRlIGZvcm1hdD0idXRjIj4xNDkwMTI2MzMyPC9sYXN0
LXVwZGF0ZWQtZGF0ZT48ZWxlY3Ryb25pYy1yZXNvdXJjZS1udW0+MTAuMTAxNi9qLnRlY2hmb3Jl
LjIwMTUuMTEuMDI3PC9lbGVjdHJvbmljLXJlc291cmNlLW51bT48dm9sdW1lPjEwNDwvdm9sdW1l
PjwvcmVjb3JkPjwvQ2l0ZT48Q2l0ZT48QXV0aG9yPklua3BlbjwvQXV0aG9yPjxZZWFyPjIwMDU8
L1llYXI+PElEVGV4dD5Tb2NpYWwgY2FwaXRhbCwgbmV0d29ya3MsIGFuZCBrbm93bGVkZ2UgdHJh
bnNmZXI8L0lEVGV4dD48cmVjb3JkPjxpc2JuPjAzNjMtNzQyNTwvaXNibj48dGl0bGVzPjx0aXRs
ZT5Tb2NpYWwgY2FwaXRhbCwgbmV0d29ya3MsIGFuZCBrbm93bGVkZ2UgdHJhbnNmZXI8L3RpdGxl
PjxzZWNvbmRhcnktdGl0bGU+QWNhZC4gTWFuYWdlLiBSZXYuPC9zZWNvbmRhcnktdGl0bGU+PC90
aXRsZXM+PHBhZ2VzPjE0Ni0xNjU8L3BhZ2VzPjxjb250cmlidXRvcnM+PGF1dGhvcnM+PGF1dGhv
cj5JbmtwZW4sIEFjPC9hdXRob3I+PGF1dGhvcj5Uc2FuZywgRXdrPC9hdXRob3I+PC9hdXRob3Jz
PjwvY29udHJpYnV0b3JzPjxhZGRlZC1kYXRlIGZvcm1hdD0idXRjIj4xNTMyNDU0MTM3PC9hZGRl
ZC1kYXRlPjxyZWYtdHlwZSBuYW1lPSJHZW5lcmljIj4xMzwvcmVmLXR5cGU+PGRhdGVzPjx5ZWFy
PjIwMDU8L3llYXI+PC9kYXRlcz48cmVjLW51bWJlcj43NjI2PC9yZWMtbnVtYmVyPjxsYXN0LXVw
ZGF0ZWQtZGF0ZSBmb3JtYXQ9InV0YyI+MTUzMjQ1NDEzNzwvbGFzdC11cGRhdGVkLWRhdGU+PGVs
ZWN0cm9uaWMtcmVzb3VyY2UtbnVtPjEwLjU0NjUvQU1SLjIwMDUuMTUyODE0NDU8L2VsZWN0cm9u
aWMtcmVzb3VyY2UtbnVtPjx2b2x1bWU+MzA8L3ZvbHVtZT48L3JlY29yZD48L0NpdGU+PENpdGU+
PEF1dGhvcj5MYW1ib295PC9BdXRob3I+PFllYXI+MjAxMDwvWWVhcj48SURUZXh0Pktub3dsZWRn
ZSB0cmFuc2ZlcnMsIHNwaWxsb3ZlcnMgYW5kIGFjdG9yczogVGhlIHJvbGUgb2YgY29udGV4dCBh
bmQgc29jaWFsIGNhcGl0YWw8L0lEVGV4dD48cmVjb3JkPjx1cmxzPjxyZWxhdGVkLXVybHM+PHVy
bD5odHRwczovL3d3dy5zY29wdXMuY29tL2lud2FyZC9yZWNvcmQudXJpP2VpZD0yLXMyLjAtNzc5
NTI0OTYyODUmYW1wO3BhcnRuZXJJRD00MCZhbXA7bWQ1PTUzNzBhZjgzYjUzOTY2N2E2ZTY5NWY4
NzI4OTA1ZjQ1PC91cmw+PC9yZWxhdGVkLXVybHM+PC91cmxzPjx3b3JrLXR5cGU+QXJ0aWNsZTwv
d29yay10eXBlPjx0aXRsZXM+PHRpdGxlPktub3dsZWRnZSB0cmFuc2ZlcnMsIHNwaWxsb3ZlcnMg
YW5kIGFjdG9yczogVGhlIHJvbGUgb2YgY29udGV4dCBhbmQgc29jaWFsIGNhcGl0YWw8L3RpdGxl
PjxzZWNvbmRhcnktdGl0bGU+RXVyb3BlYW4gUGxhbm5pbmcgU3R1ZGllczwvc2Vjb25kYXJ5LXRp
dGxlPjwvdGl0bGVzPjxwYWdlcz44NzMtODkxPC9wYWdlcz48bnVtYmVyPjY8L251bWJlcj48Y29u
dHJpYnV0b3JzPjxhdXRob3JzPjxhdXRob3I+TGFtYm9veSwgSi4gRy48L2F1dGhvcj48L2F1dGhv
cnM+PC9jb250cmlidXRvcnM+PGFkZGVkLWRhdGUgZm9ybWF0PSJ1dGMiPjE0NzM3MTkyMzc8L2Fk
ZGVkLWRhdGU+PHJlZi10eXBlIG5hbWU9IkpvdXJuYWwgQXJ0aWNsZSI+MTc8L3JlZi10eXBlPjxk
YXRlcz48eWVhcj4yMDEwPC95ZWFyPjwvZGF0ZXM+PHJlYy1udW1iZXI+MzQ4ODwvcmVjLW51bWJl
cj48bGFzdC11cGRhdGVkLWRhdGUgZm9ybWF0PSJ1dGMiPjE0NzM3MTkyMzc8L2xhc3QtdXBkYXRl
ZC1kYXRlPjxlbGVjdHJvbmljLXJlc291cmNlLW51bT4xMC4xMDgwLzA5NjU0MzExMDAzNzAxNDA3
PC9lbGVjdHJvbmljLXJlc291cmNlLW51bT48dm9sdW1lPjE4PC92b2x1bWU+PHJlbW90ZS1kYXRh
YmFzZS1uYW1lPlNjb3B1czwvcmVtb3RlLWRhdGFiYXNlLW5hbWU+PC9yZWNvcmQ+PC9DaXRlPjxD
aXRlPjxBdXRob3I+TGk8L0F1dGhvcj48WWVhcj4yMDEzPC9ZZWFyPjxJRFRleHQ+Q28tYXV0aG9y
c2hpcCBuZXR3b3JrcyBhbmQgcmVzZWFyY2ggaW1wYWN0OiBBIHNvY2lhbCBjYXBpdGFsIHBlcnNw
ZWN0aXZlPC9JRFRleHQ+PHJlY29yZD48ZGF0ZXM+PHB1Yi1kYXRlcz48ZGF0ZT5Ob3Y8L2RhdGU+
PC9wdWItZGF0ZXM+PHllYXI+MjAxMzwveWVhcj48L2RhdGVzPjx1cmxzPjxyZWxhdGVkLXVybHM+
PHVybD4mbHQ7R28gdG8gSVNJJmd0OzovL1dPUzowMDAzMjY1NTc2MDAwMDE8L3VybD48L3JlbGF0
ZWQtdXJscz48L3VybHM+PGlzYm4+MDA0OC03MzMzPC9pc2JuPjx0aXRsZXM+PHRpdGxlPkNvLWF1
dGhvcnNoaXAgbmV0d29ya3MgYW5kIHJlc2VhcmNoIGltcGFjdDogQSBzb2NpYWwgY2FwaXRhbCBw
ZXJzcGVjdGl2ZTwvdGl0bGU+PHNlY29uZGFyeS10aXRsZT5SZXNlYXJjaCBQb2xpY3k8L3NlY29u
ZGFyeS10aXRsZT48L3RpdGxlcz48cGFnZXM+MTUxNS0xNTMwPC9wYWdlcz48bnVtYmVyPjk8L251
bWJlcj48Y29udHJpYnV0b3JzPjxhdXRob3JzPjxhdXRob3I+TGksIEVsZG9uIFkuPC9hdXRob3I+
PGF1dGhvcj5MaWFvLCBDaGllbiBIc2lhbmc8L2F1dGhvcj48YXV0aG9yPlllbiwgSHNpdWp1IFJl
YmVjY2E8L2F1dGhvcj48L2F1dGhvcnM+PC9jb250cmlidXRvcnM+PGFkZGVkLWRhdGUgZm9ybWF0
PSJ1dGMiPjE0NzA4NjMwNDM8L2FkZGVkLWRhdGU+PHJlZi10eXBlIG5hbWU9IkpvdXJuYWwgQXJ0
aWNsZSI+MTc8L3JlZi10eXBlPjxyZWMtbnVtYmVyPjE5NTA8L3JlYy1udW1iZXI+PGxhc3QtdXBk
YXRlZC1kYXRlIGZvcm1hdD0idXRjIj4xNDcwODYzMDY2PC9sYXN0LXVwZGF0ZWQtZGF0ZT48YWNj
ZXNzaW9uLW51bT5XT1M6MDAwMzI2NTU3NjAwMDAxPC9hY2Nlc3Npb24tbnVtPjxlbGVjdHJvbmlj
LXJlc291cmNlLW51bT4xMC4xMDE2L2oucmVzcG9sLjIwMTMuMDYuMDEyPC9lbGVjdHJvbmljLXJl
c291cmNlLW51bT48dm9sdW1lPjQyPC92b2x1bWU+PC9yZWNvcmQ+PC9DaXRlPjxDaXRlPjxBdXRo
b3I+U2FsYXJhbjwvQXV0aG9yPjxZZWFyPjIwMTA8L1llYXI+PElEVGV4dD5SZXNlYXJjaCBwcm9k
dWN0aXZpdHkgYW5kIHNvY2lhbCBjYXBpdGFsIGluIEF1c3RyYWxpYW4gaGlnaGVyIGVkdWNhdGlv
bjwvSURUZXh0PjxyZWNvcmQ+PHVybHM+PHJlbGF0ZWQtdXJscz48dXJsPmh0dHBzOi8vd3d3LnNj
b3B1cy5jb20vaW53YXJkL3JlY29yZC51cmk/ZWlkPTItczIuMC03Nzk1NDM2MDkzNiZhbXA7cGFy
dG5lcklEPTQwJmFtcDttZDU9MzNiYzQ2MmI3M2NiMzdmNzQ4MmYwNDYwYjM4ZjdkMTM8L3VybD48
L3JlbGF0ZWQtdXJscz48L3VybHM+PHdvcmstdHlwZT5BcnRpY2xlPC93b3JrLXR5cGU+PHRpdGxl
cz48dGl0bGU+UmVzZWFyY2ggcHJvZHVjdGl2aXR5IGFuZCBzb2NpYWwgY2FwaXRhbCBpbiBBdXN0
cmFsaWFuIGhpZ2hlciBlZHVjYXRpb248L3RpdGxlPjxzZWNvbmRhcnktdGl0bGU+SGlnaGVyIEVk
dWNhdGlvbiBRdWFydGVybHk8L3NlY29uZGFyeS10aXRsZT48L3RpdGxlcz48cGFnZXM+MTMzLTE0
ODwvcGFnZXM+PG51bWJlcj4yPC9udW1iZXI+PGNvbnRyaWJ1dG9ycz48YXV0aG9ycz48YXV0aG9y
PlNhbGFyYW4sIE0uPC9hdXRob3I+PC9hdXRob3JzPjwvY29udHJpYnV0b3JzPjxhZGRlZC1kYXRl
IGZvcm1hdD0idXRjIj4xNDczNzMzMTYwPC9hZGRlZC1kYXRlPjxyZWYtdHlwZSBuYW1lPSJKb3Vy
bmFsIEFydGljbGUiPjE3PC9yZWYtdHlwZT48ZGF0ZXM+PHllYXI+MjAxMDwveWVhcj48L2RhdGVz
PjxyZWMtbnVtYmVyPjQ3ODY8L3JlYy1udW1iZXI+PGxhc3QtdXBkYXRlZC1kYXRlIGZvcm1hdD0i
dXRjIj4xNDczNzMzMTYwPC9sYXN0LXVwZGF0ZWQtZGF0ZT48ZWxlY3Ryb25pYy1yZXNvdXJjZS1u
dW0+MTAuMTExMS9qLjE0NjgtMjI3My4yMDA5LjAwNDQ4Lng8L2VsZWN0cm9uaWMtcmVzb3VyY2Ut
bnVtPjx2b2x1bWU+NjQ8L3ZvbHVtZT48cmVtb3RlLWRhdGFiYXNlLW5hbWU+U2NvcHVzPC9yZW1v
dGUtZGF0YWJhc2UtbmFtZT48L3JlY29yZD48L0NpdGU+PENpdGU+PEF1dGhvcj5WYW4gV2lqazwv
QXV0aG9yPjxZZWFyPjIwMDk8L1llYXI+PElEVGV4dD5Tb2NpYWwgY2FwaXRhbCwga25vd2xlZGdl
IHRyYW5zZmVyIGFuZCBvdXRjb21lczogTWV0YS1hbmFseXNpcyBvZiBhIG1vZGVyYXRlZCBtZWRp
YXRpb24gbW9kZWw8L0lEVGV4dD48cmVjb3JkPjx1cmxzPjxyZWxhdGVkLXVybHM+PHVybD5odHRw
czovL3d3dy5zY29wdXMuY29tL2lud2FyZC9yZWNvcmQudXJpP2VpZD0yLXMyLjAtODQ4NTg0MDc5
MzgmYW1wO3BhcnRuZXJJRD00MCZhbXA7bWQ1PTNjNTI4YmEyNDVlY2Y3NTQ5NTg3Yjk2NjUyM2Ez
NTAyPC91cmw+PC9yZWxhdGVkLXVybHM+PC91cmxzPjx3b3JrLXR5cGU+Q29uZmVyZW5jZSBQYXBl
cjwvd29yay10eXBlPjx0aXRsZXM+PHRpdGxlPlNvY2lhbCBjYXBpdGFsLCBrbm93bGVkZ2UgdHJh
bnNmZXIgYW5kIG91dGNvbWVzOiBNZXRhLWFuYWx5c2lzIG9mIGEgbW9kZXJhdGVkIG1lZGlhdGlv
biBtb2RlbDwvdGl0bGU+PHNlY29uZGFyeS10aXRsZT5BY2FkZW15IG9mIE1hbmFnZW1lbnQgMjAw
OSBBbm51YWwgTWVldGluZzogR3JlZW4gTWFuYWdlbWVudCBNYXR0ZXJzLCBBT00gMjAwOTwvc2Vj
b25kYXJ5LXRpdGxlPjwvdGl0bGVzPjxjb250cmlidXRvcnM+PGF1dGhvcnM+PGF1dGhvcj5WYW4g
V2lqaywgUi48L2F1dGhvcj48YXV0aG9yPkphbnNlbiwgSi48L2F1dGhvcj48YXV0aG9yPkx5bGVz
LCBNLjwvYXV0aG9yPjwvYXV0aG9ycz48L2NvbnRyaWJ1dG9ycz48YWRkZWQtZGF0ZSBmb3JtYXQ9
InV0YyI+MTQ3MzczMzE1OTwvYWRkZWQtZGF0ZT48cmVmLXR5cGUgbmFtZT0iQ29uZmVyZW5jZSBQ
cm9jZWVkaW5nIj4xMDwvcmVmLXR5cGU+PGRhdGVzPjx5ZWFyPjIwMDk8L3llYXI+PC9kYXRlcz48
cmVjLW51bWJlcj40Nzc0PC9yZWMtbnVtYmVyPjxsYXN0LXVwZGF0ZWQtZGF0ZSBmb3JtYXQ9InV0
YyI+MTQ3MzczMzE1OTwvbGFzdC11cGRhdGVkLWRhdGU+PHJlbW90ZS1kYXRhYmFzZS1uYW1lPlNj
b3B1czwvcmVtb3RlLWRhdGFiYXNlLW5hbWU+PC9yZWNvcmQ+PC9DaXRlPjwvRW5kTm90ZT5=
</w:fldData>
        </w:fldChar>
      </w:r>
      <w:r>
        <w:rPr>
          <w:sz w:val="24"/>
          <w:szCs w:val="24"/>
          <w:lang w:eastAsia="zh-TW"/>
        </w:rPr>
        <w:instrText xml:space="preserve"> ADDIN EN.CITE.DATA </w:instrText>
      </w:r>
      <w:r>
        <w:rPr>
          <w:sz w:val="24"/>
          <w:szCs w:val="24"/>
          <w:lang w:eastAsia="zh-TW"/>
        </w:rPr>
      </w:r>
      <w:r>
        <w:rPr>
          <w:sz w:val="24"/>
          <w:szCs w:val="24"/>
          <w:lang w:eastAsia="zh-TW"/>
        </w:rPr>
        <w:fldChar w:fldCharType="end"/>
      </w:r>
      <w:r>
        <w:rPr>
          <w:sz w:val="24"/>
          <w:szCs w:val="24"/>
          <w:lang w:eastAsia="zh-TW"/>
        </w:rPr>
      </w:r>
      <w:r>
        <w:rPr>
          <w:sz w:val="24"/>
          <w:szCs w:val="24"/>
          <w:lang w:eastAsia="zh-TW"/>
        </w:rPr>
        <w:fldChar w:fldCharType="separate"/>
      </w:r>
      <w:r>
        <w:rPr>
          <w:noProof/>
          <w:sz w:val="24"/>
          <w:szCs w:val="24"/>
          <w:lang w:eastAsia="zh-TW"/>
        </w:rPr>
        <w:t>(Al-Tabbaa &amp; Ankrah, 2016; Inkpen &amp; Tsang, 2005; Lambooy, 2010; Li, Liao, &amp; Yen, 2013; Salaran, 2010; Van Wijk, Jansen, &amp; Lyles, 2009)</w:t>
      </w:r>
      <w:r>
        <w:rPr>
          <w:sz w:val="24"/>
          <w:szCs w:val="24"/>
          <w:lang w:eastAsia="zh-TW"/>
        </w:rPr>
        <w:fldChar w:fldCharType="end"/>
      </w:r>
      <w:r w:rsidR="00A9463D">
        <w:rPr>
          <w:sz w:val="24"/>
          <w:szCs w:val="24"/>
          <w:lang w:eastAsia="zh-TW"/>
        </w:rPr>
        <w:t>.</w:t>
      </w:r>
      <w:r w:rsidR="005A2F4B">
        <w:rPr>
          <w:sz w:val="24"/>
          <w:szCs w:val="24"/>
          <w:lang w:eastAsia="zh-TW"/>
        </w:rPr>
        <w:t xml:space="preserve"> In many cases, social capital may not seem of great relevance to the process of research.</w:t>
      </w:r>
      <w:r w:rsidR="00597C5E">
        <w:rPr>
          <w:sz w:val="24"/>
          <w:szCs w:val="24"/>
          <w:lang w:eastAsia="zh-TW"/>
        </w:rPr>
        <w:t xml:space="preserve"> In ‘bounded’ research contexts, </w:t>
      </w:r>
      <w:r w:rsidR="005A2F4B">
        <w:rPr>
          <w:sz w:val="24"/>
          <w:szCs w:val="24"/>
          <w:lang w:eastAsia="zh-TW"/>
        </w:rPr>
        <w:t xml:space="preserve">what is important is the scientist’s academic credentials – social capital may seem superfluous when the application of “rigorous methods and norms” (McNie et al., 2016, p. 889) constitute sufficient symbolic, scientific capital to be considered a trustworthy and legitimate producer </w:t>
      </w:r>
      <w:r w:rsidR="00285B4D">
        <w:rPr>
          <w:sz w:val="24"/>
          <w:szCs w:val="24"/>
          <w:lang w:eastAsia="zh-TW"/>
        </w:rPr>
        <w:t>and transmitter of knowledge</w:t>
      </w:r>
      <w:r w:rsidR="005A2F4B">
        <w:rPr>
          <w:sz w:val="24"/>
          <w:szCs w:val="24"/>
          <w:lang w:eastAsia="zh-TW"/>
        </w:rPr>
        <w:t>.</w:t>
      </w:r>
      <w:r w:rsidR="00285B4D">
        <w:rPr>
          <w:sz w:val="24"/>
          <w:szCs w:val="24"/>
          <w:lang w:eastAsia="zh-TW"/>
        </w:rPr>
        <w:t xml:space="preserve"> </w:t>
      </w:r>
      <w:r w:rsidR="00A9463D">
        <w:rPr>
          <w:sz w:val="24"/>
          <w:szCs w:val="24"/>
          <w:lang w:eastAsia="zh-TW"/>
        </w:rPr>
        <w:t>“</w:t>
      </w:r>
      <w:r w:rsidR="00285B4D">
        <w:rPr>
          <w:sz w:val="24"/>
          <w:szCs w:val="24"/>
          <w:lang w:eastAsia="zh-TW"/>
        </w:rPr>
        <w:t>L</w:t>
      </w:r>
      <w:r w:rsidR="00A9463D">
        <w:rPr>
          <w:sz w:val="24"/>
          <w:szCs w:val="24"/>
          <w:lang w:eastAsia="zh-TW"/>
        </w:rPr>
        <w:t>everaging</w:t>
      </w:r>
      <w:r w:rsidR="00561BC3">
        <w:rPr>
          <w:sz w:val="24"/>
          <w:szCs w:val="24"/>
          <w:lang w:eastAsia="zh-TW"/>
        </w:rPr>
        <w:t xml:space="preserve"> social capital”</w:t>
      </w:r>
      <w:r w:rsidR="00285B4D">
        <w:rPr>
          <w:sz w:val="24"/>
          <w:szCs w:val="24"/>
          <w:lang w:eastAsia="zh-TW"/>
        </w:rPr>
        <w:t xml:space="preserve"> can, however, be valuable,</w:t>
      </w:r>
      <w:r w:rsidR="00BF6FEB">
        <w:rPr>
          <w:sz w:val="24"/>
          <w:szCs w:val="24"/>
          <w:lang w:eastAsia="zh-TW"/>
        </w:rPr>
        <w:t xml:space="preserve"> and “is particularly important in building capacity to apply knowledge in actual decisions and policies” (McNie et al., 2016, p. 889). Social capital may also be deployed in attempts to win funding and build networks with important collaborators and potential users. This is particularly the case where </w:t>
      </w:r>
      <w:r w:rsidR="0097551B">
        <w:rPr>
          <w:sz w:val="24"/>
          <w:szCs w:val="24"/>
          <w:lang w:eastAsia="zh-TW"/>
        </w:rPr>
        <w:t>the researchers have not previously had the</w:t>
      </w:r>
      <w:r w:rsidR="00BF6FEB">
        <w:rPr>
          <w:sz w:val="24"/>
          <w:szCs w:val="24"/>
          <w:lang w:eastAsia="zh-TW"/>
        </w:rPr>
        <w:t xml:space="preserve"> opportunity to build the “trust, and relationships ... necessary </w:t>
      </w:r>
      <w:r w:rsidR="007930B1">
        <w:rPr>
          <w:sz w:val="24"/>
          <w:szCs w:val="24"/>
          <w:lang w:eastAsia="zh-TW"/>
        </w:rPr>
        <w:t>to create and share knowledge” (McNie et al., 2016, p. 889).</w:t>
      </w:r>
      <w:r w:rsidR="0016330A">
        <w:rPr>
          <w:sz w:val="24"/>
          <w:szCs w:val="24"/>
          <w:lang w:eastAsia="zh-TW"/>
        </w:rPr>
        <w:t xml:space="preserve"> Social capital is therefore likely to be of importance in ‘unbounded’ research contexts.</w:t>
      </w:r>
      <w:r w:rsidR="00C665DF">
        <w:rPr>
          <w:sz w:val="24"/>
          <w:szCs w:val="24"/>
          <w:lang w:eastAsia="zh-TW"/>
        </w:rPr>
        <w:t xml:space="preserve"> </w:t>
      </w:r>
      <w:r w:rsidR="000C00FA">
        <w:rPr>
          <w:sz w:val="24"/>
          <w:szCs w:val="24"/>
          <w:lang w:eastAsia="zh-TW"/>
        </w:rPr>
        <w:t xml:space="preserve"> </w:t>
      </w:r>
    </w:p>
    <w:p w14:paraId="593E4986" w14:textId="62DA106F" w:rsidR="00283698" w:rsidRDefault="00283698" w:rsidP="000901C9">
      <w:pPr>
        <w:pStyle w:val="Heading4"/>
        <w:rPr>
          <w:lang w:eastAsia="zh-TW"/>
        </w:rPr>
      </w:pPr>
      <w:r>
        <w:rPr>
          <w:lang w:eastAsia="zh-TW"/>
        </w:rPr>
        <w:t>Expertise</w:t>
      </w:r>
    </w:p>
    <w:p w14:paraId="62B54B6A" w14:textId="45F68D56" w:rsidR="00D612CB" w:rsidRPr="00950F4C" w:rsidRDefault="00D612CB" w:rsidP="000901C9">
      <w:pPr>
        <w:spacing w:after="120" w:line="360" w:lineRule="auto"/>
        <w:rPr>
          <w:sz w:val="24"/>
          <w:szCs w:val="24"/>
          <w:u w:val="single"/>
          <w:lang w:eastAsia="zh-TW"/>
        </w:rPr>
      </w:pPr>
      <w:r>
        <w:rPr>
          <w:sz w:val="24"/>
          <w:szCs w:val="24"/>
          <w:lang w:eastAsia="zh-TW"/>
        </w:rPr>
        <w:t xml:space="preserve">STEMM research is an activity dominated by individuals with significant </w:t>
      </w:r>
      <w:r w:rsidRPr="00B7663A">
        <w:rPr>
          <w:sz w:val="24"/>
          <w:szCs w:val="24"/>
          <w:lang w:eastAsia="zh-TW"/>
        </w:rPr>
        <w:t xml:space="preserve">expertise </w:t>
      </w:r>
      <w:r>
        <w:rPr>
          <w:sz w:val="24"/>
          <w:szCs w:val="24"/>
          <w:lang w:eastAsia="zh-TW"/>
        </w:rPr>
        <w:t>normally grounded in years of disciplinary specialisation and socialisation</w:t>
      </w:r>
      <w:r w:rsidR="00EA70C3">
        <w:rPr>
          <w:sz w:val="24"/>
          <w:szCs w:val="24"/>
          <w:lang w:eastAsia="zh-TW"/>
        </w:rPr>
        <w:t>, normally culminating in a PhD qualification</w:t>
      </w:r>
      <w:r w:rsidR="002A5E5A">
        <w:rPr>
          <w:sz w:val="24"/>
          <w:szCs w:val="24"/>
          <w:lang w:eastAsia="zh-TW"/>
        </w:rPr>
        <w:t>. ‘Bounded’ research</w:t>
      </w:r>
      <w:r w:rsidR="00EA70C3">
        <w:rPr>
          <w:sz w:val="24"/>
          <w:szCs w:val="24"/>
          <w:lang w:eastAsia="zh-TW"/>
        </w:rPr>
        <w:t xml:space="preserve"> is dominated by such researchers. However, </w:t>
      </w:r>
      <w:r w:rsidR="00BF5525">
        <w:rPr>
          <w:sz w:val="24"/>
          <w:szCs w:val="24"/>
          <w:lang w:eastAsia="zh-TW"/>
        </w:rPr>
        <w:t>in more ‘unbounded’ research</w:t>
      </w:r>
      <w:r w:rsidR="00EA70C3">
        <w:rPr>
          <w:sz w:val="24"/>
          <w:szCs w:val="24"/>
          <w:lang w:eastAsia="zh-TW"/>
        </w:rPr>
        <w:t xml:space="preserve">, other forms of expertise are important to achieve research goals. </w:t>
      </w:r>
      <w:r w:rsidR="00BF5525">
        <w:rPr>
          <w:sz w:val="24"/>
          <w:szCs w:val="24"/>
          <w:lang w:eastAsia="zh-TW"/>
        </w:rPr>
        <w:t>N</w:t>
      </w:r>
      <w:r w:rsidR="000C00FA">
        <w:rPr>
          <w:sz w:val="24"/>
          <w:szCs w:val="24"/>
          <w:lang w:eastAsia="zh-TW"/>
        </w:rPr>
        <w:t>on-scientific or “experiential” expertise</w:t>
      </w:r>
      <w:r w:rsidR="00950F4C">
        <w:rPr>
          <w:sz w:val="24"/>
          <w:szCs w:val="24"/>
          <w:lang w:eastAsia="zh-TW"/>
        </w:rPr>
        <w:t xml:space="preserve"> that has been</w:t>
      </w:r>
      <w:r w:rsidR="000C00FA">
        <w:rPr>
          <w:sz w:val="24"/>
          <w:szCs w:val="24"/>
          <w:lang w:eastAsia="zh-TW"/>
        </w:rPr>
        <w:t xml:space="preserve"> acquired in close “proximity to the problem”, such as “economic, policy, bureaucratic, community, lay and indigenous expertise” may be relevant</w:t>
      </w:r>
      <w:r w:rsidR="00EA70C3">
        <w:rPr>
          <w:sz w:val="24"/>
          <w:szCs w:val="24"/>
          <w:lang w:eastAsia="zh-TW"/>
        </w:rPr>
        <w:t xml:space="preserve"> and called upon </w:t>
      </w:r>
      <w:r w:rsidR="000C00FA">
        <w:rPr>
          <w:sz w:val="24"/>
          <w:szCs w:val="24"/>
          <w:lang w:eastAsia="zh-TW"/>
        </w:rPr>
        <w:t>(McNie et al., 2016, p. 887).</w:t>
      </w:r>
      <w:r w:rsidR="00950F4C">
        <w:rPr>
          <w:sz w:val="24"/>
          <w:szCs w:val="24"/>
          <w:lang w:eastAsia="zh-TW"/>
        </w:rPr>
        <w:t xml:space="preserve"> In some </w:t>
      </w:r>
      <w:r w:rsidR="00BA0417">
        <w:rPr>
          <w:sz w:val="24"/>
          <w:szCs w:val="24"/>
          <w:lang w:eastAsia="zh-TW"/>
        </w:rPr>
        <w:t>cases,</w:t>
      </w:r>
      <w:r w:rsidR="00950F4C">
        <w:rPr>
          <w:sz w:val="24"/>
          <w:szCs w:val="24"/>
          <w:lang w:eastAsia="zh-TW"/>
        </w:rPr>
        <w:t xml:space="preserve"> this may involve individuals </w:t>
      </w:r>
      <w:r w:rsidR="0079381B">
        <w:rPr>
          <w:sz w:val="24"/>
          <w:szCs w:val="24"/>
          <w:lang w:eastAsia="zh-TW"/>
        </w:rPr>
        <w:t>who combine</w:t>
      </w:r>
      <w:r w:rsidR="00950F4C">
        <w:rPr>
          <w:sz w:val="24"/>
          <w:szCs w:val="24"/>
          <w:lang w:eastAsia="zh-TW"/>
        </w:rPr>
        <w:t xml:space="preserve"> scientific </w:t>
      </w:r>
      <w:r w:rsidR="00950F4C" w:rsidRPr="00EB7EDD">
        <w:rPr>
          <w:sz w:val="24"/>
          <w:szCs w:val="24"/>
          <w:lang w:eastAsia="zh-TW"/>
        </w:rPr>
        <w:t>and</w:t>
      </w:r>
      <w:r w:rsidR="00950F4C">
        <w:rPr>
          <w:i/>
          <w:sz w:val="24"/>
          <w:szCs w:val="24"/>
          <w:lang w:eastAsia="zh-TW"/>
        </w:rPr>
        <w:t xml:space="preserve"> </w:t>
      </w:r>
      <w:r w:rsidR="00950F4C">
        <w:rPr>
          <w:sz w:val="24"/>
          <w:szCs w:val="24"/>
          <w:lang w:eastAsia="zh-TW"/>
        </w:rPr>
        <w:t xml:space="preserve">other forms of expertise, but in other cases it may mean collaborating with individuals </w:t>
      </w:r>
      <w:r w:rsidR="00310BD7">
        <w:rPr>
          <w:sz w:val="24"/>
          <w:szCs w:val="24"/>
          <w:lang w:eastAsia="zh-TW"/>
        </w:rPr>
        <w:t xml:space="preserve">without the normal academic qualifications, and whose expertise is solely derived from non-academic contexts. </w:t>
      </w:r>
    </w:p>
    <w:p w14:paraId="51B0A17C" w14:textId="2EF62252" w:rsidR="00283698" w:rsidRDefault="00283698" w:rsidP="000901C9">
      <w:pPr>
        <w:pStyle w:val="Heading4"/>
        <w:rPr>
          <w:lang w:eastAsia="zh-TW"/>
        </w:rPr>
      </w:pPr>
      <w:r>
        <w:rPr>
          <w:lang w:eastAsia="zh-TW"/>
        </w:rPr>
        <w:t>Learning</w:t>
      </w:r>
    </w:p>
    <w:p w14:paraId="20B4DE7D" w14:textId="0D85522D" w:rsidR="00A85F2B" w:rsidRPr="004E043C" w:rsidRDefault="00A85F2B" w:rsidP="000901C9">
      <w:pPr>
        <w:spacing w:after="120" w:line="360" w:lineRule="auto"/>
        <w:rPr>
          <w:sz w:val="24"/>
          <w:szCs w:val="24"/>
          <w:lang w:eastAsia="zh-TW"/>
        </w:rPr>
      </w:pPr>
      <w:r>
        <w:rPr>
          <w:sz w:val="24"/>
          <w:szCs w:val="24"/>
          <w:lang w:eastAsia="zh-TW"/>
        </w:rPr>
        <w:t xml:space="preserve">The ‘learning’ attribute refers to what is or what can </w:t>
      </w:r>
      <w:r>
        <w:rPr>
          <w:i/>
          <w:sz w:val="24"/>
          <w:szCs w:val="24"/>
          <w:lang w:eastAsia="zh-TW"/>
        </w:rPr>
        <w:t xml:space="preserve">be learned </w:t>
      </w:r>
      <w:r w:rsidR="00884D9F">
        <w:rPr>
          <w:sz w:val="24"/>
          <w:szCs w:val="24"/>
          <w:lang w:eastAsia="zh-TW"/>
        </w:rPr>
        <w:t>as a result of the research</w:t>
      </w:r>
      <w:r>
        <w:rPr>
          <w:sz w:val="24"/>
          <w:szCs w:val="24"/>
          <w:lang w:eastAsia="zh-TW"/>
        </w:rPr>
        <w:t>. McNie et al.’s (2016) way of putting this is in terms of how the research results “</w:t>
      </w:r>
      <w:r>
        <w:rPr>
          <w:i/>
          <w:sz w:val="24"/>
          <w:szCs w:val="24"/>
          <w:lang w:eastAsia="zh-TW"/>
        </w:rPr>
        <w:t>change the knowledge system</w:t>
      </w:r>
      <w:r>
        <w:rPr>
          <w:sz w:val="24"/>
          <w:szCs w:val="24"/>
          <w:lang w:eastAsia="zh-TW"/>
        </w:rPr>
        <w:t xml:space="preserve">” (p. 888, original emphasis). </w:t>
      </w:r>
      <w:r w:rsidR="0032631B">
        <w:rPr>
          <w:sz w:val="24"/>
          <w:szCs w:val="24"/>
          <w:lang w:eastAsia="zh-TW"/>
        </w:rPr>
        <w:t xml:space="preserve">Results of ‘bounded’ research typically </w:t>
      </w:r>
      <w:r w:rsidR="0006449A">
        <w:rPr>
          <w:sz w:val="24"/>
          <w:szCs w:val="24"/>
          <w:lang w:eastAsia="zh-TW"/>
        </w:rPr>
        <w:t>take highly theoretical and/or highly codified forms</w:t>
      </w:r>
      <w:r w:rsidR="0032631B">
        <w:rPr>
          <w:sz w:val="24"/>
          <w:szCs w:val="24"/>
          <w:lang w:eastAsia="zh-TW"/>
        </w:rPr>
        <w:t>, for</w:t>
      </w:r>
      <w:r w:rsidR="0006449A">
        <w:rPr>
          <w:sz w:val="24"/>
          <w:szCs w:val="24"/>
          <w:lang w:eastAsia="zh-TW"/>
        </w:rPr>
        <w:t xml:space="preserve"> example</w:t>
      </w:r>
      <w:r w:rsidR="0032631B">
        <w:rPr>
          <w:sz w:val="24"/>
          <w:szCs w:val="24"/>
          <w:lang w:eastAsia="zh-TW"/>
        </w:rPr>
        <w:t>,</w:t>
      </w:r>
      <w:r w:rsidR="0006449A">
        <w:rPr>
          <w:sz w:val="24"/>
          <w:szCs w:val="24"/>
          <w:lang w:eastAsia="zh-TW"/>
        </w:rPr>
        <w:t xml:space="preserve"> a paper couched in highly technical, specialist terminology. The ‘learning’ that can be obtained from such outputs, or in other words, what can be learned from them, is “explicit knowledge” (ibid., p. 888) that can</w:t>
      </w:r>
      <w:r w:rsidR="004E043C">
        <w:rPr>
          <w:sz w:val="24"/>
          <w:szCs w:val="24"/>
          <w:lang w:eastAsia="zh-TW"/>
        </w:rPr>
        <w:t xml:space="preserve"> normally only be fully understood by others with similar prior</w:t>
      </w:r>
      <w:r w:rsidR="0006449A">
        <w:rPr>
          <w:sz w:val="24"/>
          <w:szCs w:val="24"/>
          <w:lang w:eastAsia="zh-TW"/>
        </w:rPr>
        <w:t xml:space="preserve"> knowledge </w:t>
      </w:r>
      <w:r w:rsidR="004E043C">
        <w:rPr>
          <w:sz w:val="24"/>
          <w:szCs w:val="24"/>
          <w:lang w:eastAsia="zh-TW"/>
        </w:rPr>
        <w:t xml:space="preserve">as the researcher. The knowledge and the outputs therefore do not take into account more complex “social” or “practical” contexts where that research might be put to use (ibid., p. 888). </w:t>
      </w:r>
      <w:r w:rsidR="002E4A0E">
        <w:rPr>
          <w:sz w:val="24"/>
          <w:szCs w:val="24"/>
          <w:lang w:eastAsia="zh-TW"/>
        </w:rPr>
        <w:t xml:space="preserve">By contrast, ‘unbounded’ research often generates more </w:t>
      </w:r>
      <w:r w:rsidR="002E4A0E">
        <w:rPr>
          <w:i/>
          <w:sz w:val="24"/>
          <w:szCs w:val="24"/>
          <w:lang w:eastAsia="zh-TW"/>
        </w:rPr>
        <w:t>user-focused outputs</w:t>
      </w:r>
      <w:r w:rsidR="002E4A0E">
        <w:rPr>
          <w:sz w:val="24"/>
          <w:szCs w:val="24"/>
          <w:lang w:eastAsia="zh-TW"/>
        </w:rPr>
        <w:t xml:space="preserve"> which </w:t>
      </w:r>
      <w:r w:rsidR="00B075CA">
        <w:rPr>
          <w:sz w:val="24"/>
          <w:szCs w:val="24"/>
          <w:lang w:eastAsia="zh-TW"/>
        </w:rPr>
        <w:t xml:space="preserve">lend themselves to more </w:t>
      </w:r>
      <w:r w:rsidR="00A022A5">
        <w:rPr>
          <w:sz w:val="24"/>
          <w:szCs w:val="24"/>
          <w:lang w:eastAsia="zh-TW"/>
        </w:rPr>
        <w:t>socially contextualised</w:t>
      </w:r>
      <w:r w:rsidR="00B075CA">
        <w:rPr>
          <w:sz w:val="24"/>
          <w:szCs w:val="24"/>
          <w:lang w:eastAsia="zh-TW"/>
        </w:rPr>
        <w:t xml:space="preserve"> forms of ‘learning’</w:t>
      </w:r>
      <w:r w:rsidR="00615872">
        <w:rPr>
          <w:sz w:val="24"/>
          <w:szCs w:val="24"/>
          <w:lang w:eastAsia="zh-TW"/>
        </w:rPr>
        <w:t xml:space="preserve"> where individuals who need to be able to learn from the research do not share specialist prior knowledge. Here,</w:t>
      </w:r>
      <w:r w:rsidR="00FE153A">
        <w:rPr>
          <w:sz w:val="24"/>
          <w:szCs w:val="24"/>
          <w:lang w:eastAsia="zh-TW"/>
        </w:rPr>
        <w:t xml:space="preserve"> the relevant things to be learned by those who need to learn them may not easily be expressed in scientific, technical or theoretical language. Rather, more</w:t>
      </w:r>
      <w:r w:rsidR="00B075CA">
        <w:rPr>
          <w:sz w:val="24"/>
          <w:szCs w:val="24"/>
          <w:lang w:eastAsia="zh-TW"/>
        </w:rPr>
        <w:t xml:space="preserve"> “tacit”</w:t>
      </w:r>
      <w:r w:rsidR="00FE153A">
        <w:rPr>
          <w:sz w:val="24"/>
          <w:szCs w:val="24"/>
          <w:lang w:eastAsia="zh-TW"/>
        </w:rPr>
        <w:t xml:space="preserve"> and immediately practical</w:t>
      </w:r>
      <w:r w:rsidR="00B075CA">
        <w:rPr>
          <w:sz w:val="24"/>
          <w:szCs w:val="24"/>
          <w:lang w:eastAsia="zh-TW"/>
        </w:rPr>
        <w:t xml:space="preserve"> learning</w:t>
      </w:r>
      <w:r w:rsidR="00615872">
        <w:rPr>
          <w:sz w:val="24"/>
          <w:szCs w:val="24"/>
          <w:lang w:eastAsia="zh-TW"/>
        </w:rPr>
        <w:t xml:space="preserve"> may be</w:t>
      </w:r>
      <w:r w:rsidR="00FE153A">
        <w:rPr>
          <w:sz w:val="24"/>
          <w:szCs w:val="24"/>
          <w:lang w:eastAsia="zh-TW"/>
        </w:rPr>
        <w:t xml:space="preserve"> needed</w:t>
      </w:r>
      <w:r w:rsidR="000A4418">
        <w:rPr>
          <w:sz w:val="24"/>
          <w:szCs w:val="24"/>
          <w:lang w:eastAsia="zh-TW"/>
        </w:rPr>
        <w:t>. ‘Social’ or ‘practical’ knowledge is therefore “</w:t>
      </w:r>
      <w:r w:rsidR="00B075CA">
        <w:rPr>
          <w:sz w:val="24"/>
          <w:szCs w:val="24"/>
          <w:lang w:eastAsia="zh-TW"/>
        </w:rPr>
        <w:t>difficult to codify, takes time to explain and learn, and is embedded in relationships” (ibid., p. 888)</w:t>
      </w:r>
      <w:r w:rsidR="000A4418">
        <w:rPr>
          <w:sz w:val="24"/>
          <w:szCs w:val="24"/>
          <w:lang w:eastAsia="zh-TW"/>
        </w:rPr>
        <w:t>, and</w:t>
      </w:r>
      <w:r w:rsidR="00CE679F">
        <w:rPr>
          <w:sz w:val="24"/>
          <w:szCs w:val="24"/>
          <w:lang w:eastAsia="zh-TW"/>
        </w:rPr>
        <w:t xml:space="preserve"> is</w:t>
      </w:r>
      <w:r w:rsidR="00976FA7">
        <w:rPr>
          <w:sz w:val="24"/>
          <w:szCs w:val="24"/>
          <w:lang w:eastAsia="zh-TW"/>
        </w:rPr>
        <w:t xml:space="preserve"> likely to require greater effort on the part of the researcher/transmitter, for example through knowledge exchange and outreach.</w:t>
      </w:r>
      <w:r w:rsidR="000A4418">
        <w:rPr>
          <w:sz w:val="24"/>
          <w:szCs w:val="24"/>
          <w:lang w:eastAsia="zh-TW"/>
        </w:rPr>
        <w:t xml:space="preserve"> </w:t>
      </w:r>
    </w:p>
    <w:p w14:paraId="1D9B0DF9" w14:textId="07A6DE56" w:rsidR="00283698" w:rsidRPr="00283698" w:rsidRDefault="00283698" w:rsidP="000901C9">
      <w:pPr>
        <w:pStyle w:val="Heading4"/>
        <w:rPr>
          <w:lang w:eastAsia="zh-TW"/>
        </w:rPr>
      </w:pPr>
      <w:r>
        <w:rPr>
          <w:lang w:eastAsia="zh-TW"/>
        </w:rPr>
        <w:t>Human capital</w:t>
      </w:r>
    </w:p>
    <w:p w14:paraId="1E99D973" w14:textId="21B376DD" w:rsidR="00D9659A" w:rsidRDefault="009D2D05" w:rsidP="000901C9">
      <w:pPr>
        <w:spacing w:after="120" w:line="360" w:lineRule="auto"/>
        <w:rPr>
          <w:sz w:val="24"/>
          <w:szCs w:val="24"/>
          <w:lang w:eastAsia="zh-TW"/>
        </w:rPr>
      </w:pPr>
      <w:r>
        <w:rPr>
          <w:sz w:val="24"/>
          <w:szCs w:val="24"/>
          <w:lang w:eastAsia="zh-TW"/>
        </w:rPr>
        <w:t xml:space="preserve">The last attribute is ‘human capital’. </w:t>
      </w:r>
      <w:r w:rsidR="002E332C">
        <w:rPr>
          <w:sz w:val="24"/>
          <w:szCs w:val="24"/>
          <w:lang w:eastAsia="zh-TW"/>
        </w:rPr>
        <w:t>Human capital is clearly closely related to expertise. However, they differ in that expertise refers to specific contexts of one’s exper</w:t>
      </w:r>
      <w:r w:rsidR="005634F8">
        <w:rPr>
          <w:sz w:val="24"/>
          <w:szCs w:val="24"/>
          <w:lang w:eastAsia="zh-TW"/>
        </w:rPr>
        <w:t xml:space="preserve">ience, the relevance of that experience to a given research/practical problem, and the way that expertise is mobilised at various points of the research process. Human capital </w:t>
      </w:r>
      <w:r w:rsidR="00A765E9">
        <w:rPr>
          <w:sz w:val="24"/>
          <w:szCs w:val="24"/>
          <w:lang w:eastAsia="zh-TW"/>
        </w:rPr>
        <w:t>refers to</w:t>
      </w:r>
      <w:r w:rsidR="005634F8">
        <w:rPr>
          <w:sz w:val="24"/>
          <w:szCs w:val="24"/>
          <w:lang w:eastAsia="zh-TW"/>
        </w:rPr>
        <w:t xml:space="preserve"> </w:t>
      </w:r>
      <w:r w:rsidR="00D9659A">
        <w:rPr>
          <w:sz w:val="24"/>
          <w:szCs w:val="24"/>
          <w:lang w:eastAsia="zh-TW"/>
        </w:rPr>
        <w:t xml:space="preserve">“the formal training and education required” </w:t>
      </w:r>
      <w:r w:rsidR="00D95A09">
        <w:rPr>
          <w:sz w:val="24"/>
          <w:szCs w:val="24"/>
          <w:lang w:eastAsia="zh-TW"/>
        </w:rPr>
        <w:t>(McNie et al., 2016, p. 890)</w:t>
      </w:r>
      <w:r w:rsidR="00A765E9">
        <w:rPr>
          <w:sz w:val="24"/>
          <w:szCs w:val="24"/>
          <w:lang w:eastAsia="zh-TW"/>
        </w:rPr>
        <w:t xml:space="preserve"> in a</w:t>
      </w:r>
      <w:r w:rsidR="00087835">
        <w:rPr>
          <w:sz w:val="24"/>
          <w:szCs w:val="24"/>
          <w:lang w:eastAsia="zh-TW"/>
        </w:rPr>
        <w:t xml:space="preserve"> given research</w:t>
      </w:r>
      <w:r w:rsidR="00A765E9">
        <w:rPr>
          <w:sz w:val="24"/>
          <w:szCs w:val="24"/>
          <w:lang w:eastAsia="zh-TW"/>
        </w:rPr>
        <w:t xml:space="preserve"> context</w:t>
      </w:r>
      <w:r w:rsidR="00E10B0E">
        <w:rPr>
          <w:sz w:val="24"/>
          <w:szCs w:val="24"/>
          <w:lang w:eastAsia="zh-TW"/>
        </w:rPr>
        <w:t>.</w:t>
      </w:r>
      <w:r w:rsidR="00A765E9">
        <w:rPr>
          <w:sz w:val="24"/>
          <w:szCs w:val="24"/>
          <w:lang w:eastAsia="zh-TW"/>
        </w:rPr>
        <w:t xml:space="preserve"> In plotting this attribute against the typology, McNie et al. (2016) point to the role of “hard” and “soft” skills (p. 890).</w:t>
      </w:r>
      <w:r w:rsidR="00C110B6">
        <w:rPr>
          <w:sz w:val="24"/>
          <w:szCs w:val="24"/>
          <w:lang w:eastAsia="zh-TW"/>
        </w:rPr>
        <w:t xml:space="preserve"> ‘Bounded’ research typically rests only on the</w:t>
      </w:r>
      <w:r w:rsidR="00DF3C22">
        <w:rPr>
          <w:sz w:val="24"/>
          <w:szCs w:val="24"/>
          <w:lang w:eastAsia="zh-TW"/>
        </w:rPr>
        <w:t xml:space="preserve"> “hard skills” </w:t>
      </w:r>
      <w:r w:rsidR="00CB32A6">
        <w:rPr>
          <w:sz w:val="24"/>
          <w:szCs w:val="24"/>
          <w:lang w:eastAsia="zh-TW"/>
        </w:rPr>
        <w:t xml:space="preserve">associated with one’s formal training, that is, </w:t>
      </w:r>
      <w:r w:rsidR="00A81D0F">
        <w:rPr>
          <w:sz w:val="24"/>
          <w:szCs w:val="24"/>
          <w:lang w:eastAsia="zh-TW"/>
        </w:rPr>
        <w:t>one’s ‘human capital’ (ibid., p. 890)</w:t>
      </w:r>
      <w:r w:rsidR="00C110B6">
        <w:rPr>
          <w:sz w:val="24"/>
          <w:szCs w:val="24"/>
          <w:lang w:eastAsia="zh-TW"/>
        </w:rPr>
        <w:fldChar w:fldCharType="begin"/>
      </w:r>
      <w:r w:rsidR="00883B69">
        <w:rPr>
          <w:sz w:val="24"/>
          <w:szCs w:val="24"/>
          <w:lang w:eastAsia="zh-TW"/>
        </w:rPr>
        <w:instrText xml:space="preserve"> ADDIN EN.CITE &lt;EndNote&gt;&lt;Cite&gt;&lt;Author&gt;McNie&lt;/Author&gt;&lt;Year&gt;2016&lt;/Year&gt;&lt;IDText&gt;Improving the public value of science: A typology to inform discussion, design and implementation of research&lt;/IDText&gt;&lt;Pages&gt;890&lt;/Pages&gt;&lt;DisplayText&gt;(McNie et al., 2016, p. 890)&lt;/DisplayText&gt;&lt;record&gt;&lt;urls&gt;&lt;related-urls&gt;&lt;url&gt;https://www.scopus.com/inward/record.uri?eid=2-s2.0-84959431924&amp;amp;partnerID=40&amp;amp;md5=6e4fc01d19d1b61b09084e6d6aa244db&lt;/url&gt;&lt;/related-urls&gt;&lt;/urls&gt;&lt;work-type&gt;Article&lt;/work-type&gt;&lt;titles&gt;&lt;title&gt;Improving the public value of science: A typology to inform discussion, design and implementation of research&lt;/title&gt;&lt;secondary-title&gt;Research Policy&lt;/secondary-title&gt;&lt;/titles&gt;&lt;pages&gt;884-895&lt;/pages&gt;&lt;number&gt;4&lt;/number&gt;&lt;contributors&gt;&lt;authors&gt;&lt;author&gt;McNie, E. C.&lt;/author&gt;&lt;author&gt;Parris, A.&lt;/author&gt;&lt;author&gt;Sarewitz, D.&lt;/author&gt;&lt;/authors&gt;&lt;/contributors&gt;&lt;added-date format="utc"&gt;1473704837&lt;/added-date&gt;&lt;ref-type name="Journal Article"&gt;17&lt;/ref-type&gt;&lt;dates&gt;&lt;year&gt;2016&lt;/year&gt;&lt;/dates&gt;&lt;rec-number&gt;3484&lt;/rec-number&gt;&lt;last-updated-date format="utc"&gt;1473704837&lt;/last-updated-date&gt;&lt;electronic-resource-num&gt;10.1016/j.respol.2016.01.004&lt;/electronic-resource-num&gt;&lt;volume&gt;45&lt;/volume&gt;&lt;remote-database-name&gt;Scopus&lt;/remote-database-name&gt;&lt;/record&gt;&lt;/Cite&gt;&lt;/EndNote&gt;</w:instrText>
      </w:r>
      <w:r w:rsidR="00C110B6">
        <w:rPr>
          <w:sz w:val="24"/>
          <w:szCs w:val="24"/>
          <w:lang w:eastAsia="zh-TW"/>
        </w:rPr>
        <w:fldChar w:fldCharType="end"/>
      </w:r>
      <w:r w:rsidR="00883B69">
        <w:rPr>
          <w:sz w:val="24"/>
          <w:szCs w:val="24"/>
          <w:lang w:eastAsia="zh-TW"/>
        </w:rPr>
        <w:t xml:space="preserve"> (McNie et al., 2016, p. 890)</w:t>
      </w:r>
      <w:r w:rsidR="004E5A56">
        <w:rPr>
          <w:sz w:val="24"/>
          <w:szCs w:val="24"/>
          <w:lang w:eastAsia="zh-TW"/>
        </w:rPr>
        <w:t xml:space="preserve"> (McNie et al., 2016, p. 890)</w:t>
      </w:r>
      <w:r w:rsidR="00BE636C">
        <w:rPr>
          <w:sz w:val="24"/>
          <w:szCs w:val="24"/>
          <w:lang w:eastAsia="zh-TW"/>
        </w:rPr>
        <w:t xml:space="preserve"> (McNie et al., 2016, p. 890)</w:t>
      </w:r>
      <w:r w:rsidR="005233C5">
        <w:rPr>
          <w:sz w:val="24"/>
          <w:szCs w:val="24"/>
          <w:lang w:eastAsia="zh-TW"/>
        </w:rPr>
        <w:t xml:space="preserve"> (McNie et al., 2016, p. 890) (McNie et al., 2016, p. 890)</w:t>
      </w:r>
      <w:r w:rsidR="000B6729">
        <w:rPr>
          <w:sz w:val="24"/>
          <w:szCs w:val="24"/>
          <w:lang w:eastAsia="zh-TW"/>
        </w:rPr>
        <w:t xml:space="preserve"> (McNie et al., 2016, p. 890) (McNie et al., 2016, p. 890)</w:t>
      </w:r>
      <w:r w:rsidR="004E2421">
        <w:rPr>
          <w:sz w:val="24"/>
          <w:szCs w:val="24"/>
          <w:lang w:eastAsia="zh-TW"/>
        </w:rPr>
        <w:t xml:space="preserve"> (McNie et al., 2016, p. 890)</w:t>
      </w:r>
      <w:r w:rsidR="008C5381">
        <w:rPr>
          <w:sz w:val="24"/>
          <w:szCs w:val="24"/>
          <w:lang w:eastAsia="zh-TW"/>
        </w:rPr>
        <w:t xml:space="preserve"> (McNie et al., 2016, p. 890) (McNie et al., 2016, p. 890)</w:t>
      </w:r>
      <w:r w:rsidR="004E1802">
        <w:rPr>
          <w:sz w:val="24"/>
          <w:szCs w:val="24"/>
          <w:lang w:eastAsia="zh-TW"/>
        </w:rPr>
        <w:t xml:space="preserve"> (McNie et al., 2016, p. 890) (McNie et al., 2016, p. 890)</w:t>
      </w:r>
      <w:r w:rsidR="006D59D3">
        <w:rPr>
          <w:sz w:val="24"/>
          <w:szCs w:val="24"/>
          <w:lang w:eastAsia="zh-TW"/>
        </w:rPr>
        <w:t xml:space="preserve"> (McNie et al., 2016, p. 890)</w:t>
      </w:r>
      <w:r w:rsidR="0095296C">
        <w:rPr>
          <w:sz w:val="24"/>
          <w:szCs w:val="24"/>
          <w:lang w:eastAsia="zh-TW"/>
        </w:rPr>
        <w:t xml:space="preserve"> (McNie et al., 2016, p. 890)</w:t>
      </w:r>
      <w:r w:rsidR="00432072">
        <w:rPr>
          <w:sz w:val="24"/>
          <w:szCs w:val="24"/>
          <w:lang w:eastAsia="zh-TW"/>
        </w:rPr>
        <w:t xml:space="preserve"> (McNie et al., 2016, p. 890)</w:t>
      </w:r>
      <w:r w:rsidR="00B21CB2">
        <w:rPr>
          <w:sz w:val="24"/>
          <w:szCs w:val="24"/>
          <w:lang w:eastAsia="zh-TW"/>
        </w:rPr>
        <w:t xml:space="preserve"> (McNie et al., 2016, p. 890)</w:t>
      </w:r>
      <w:r w:rsidR="003A0D1B">
        <w:rPr>
          <w:sz w:val="24"/>
          <w:szCs w:val="24"/>
          <w:lang w:eastAsia="zh-TW"/>
        </w:rPr>
        <w:t xml:space="preserve"> (McNie et al., 2016, p. 890)</w:t>
      </w:r>
      <w:r w:rsidR="00BD46D9">
        <w:rPr>
          <w:sz w:val="24"/>
          <w:szCs w:val="24"/>
          <w:lang w:eastAsia="zh-TW"/>
        </w:rPr>
        <w:t xml:space="preserve"> (McNie et al., 2016, p. 890) (McNie et al., 2016, p. 890)</w:t>
      </w:r>
      <w:r w:rsidR="00B353BE">
        <w:rPr>
          <w:sz w:val="24"/>
          <w:szCs w:val="24"/>
          <w:lang w:eastAsia="zh-TW"/>
        </w:rPr>
        <w:t xml:space="preserve"> (McNie et al., 2016, p. 890)</w:t>
      </w:r>
      <w:r w:rsidR="00446E23">
        <w:rPr>
          <w:sz w:val="24"/>
          <w:szCs w:val="24"/>
          <w:lang w:eastAsia="zh-TW"/>
        </w:rPr>
        <w:t xml:space="preserve"> (McNie et al., 2016, p. 890) (McNie et al., 2016, p. 890)</w:t>
      </w:r>
      <w:r w:rsidR="00AF0424">
        <w:rPr>
          <w:sz w:val="24"/>
          <w:szCs w:val="24"/>
          <w:lang w:eastAsia="zh-TW"/>
        </w:rPr>
        <w:t xml:space="preserve"> (McNie et al., 2016, p. 890)</w:t>
      </w:r>
      <w:r w:rsidR="000B6C6E">
        <w:rPr>
          <w:sz w:val="24"/>
          <w:szCs w:val="24"/>
          <w:lang w:eastAsia="zh-TW"/>
        </w:rPr>
        <w:t xml:space="preserve"> (McNie et al., 2016, p. 890) (McNie et al., 2016, p. 890)</w:t>
      </w:r>
      <w:r w:rsidR="00794385">
        <w:rPr>
          <w:sz w:val="24"/>
          <w:szCs w:val="24"/>
          <w:lang w:eastAsia="zh-TW"/>
        </w:rPr>
        <w:t xml:space="preserve"> (McNie et al., 2016, p. 890)</w:t>
      </w:r>
      <w:r w:rsidR="00FF39CA">
        <w:rPr>
          <w:sz w:val="24"/>
          <w:szCs w:val="24"/>
          <w:lang w:eastAsia="zh-TW"/>
        </w:rPr>
        <w:t xml:space="preserve"> (McNie et al., 2016, p. 890) (McNie et al., 2016, p. 890) (McNie et al., 2016, p. 890) (McNie et al., 2016, p. 890) (McNie et al., 2016, p. 890)</w:t>
      </w:r>
      <w:r w:rsidR="00AE1BF5">
        <w:rPr>
          <w:sz w:val="24"/>
          <w:szCs w:val="24"/>
          <w:lang w:eastAsia="zh-TW"/>
        </w:rPr>
        <w:t xml:space="preserve"> (McNie et al., 2016, p. 890)</w:t>
      </w:r>
      <w:r w:rsidR="00D66200">
        <w:rPr>
          <w:sz w:val="24"/>
          <w:szCs w:val="24"/>
          <w:lang w:eastAsia="zh-TW"/>
        </w:rPr>
        <w:t xml:space="preserve"> (McNie et al., 2016, p. 890)</w:t>
      </w:r>
      <w:r w:rsidR="00D84588">
        <w:rPr>
          <w:sz w:val="24"/>
          <w:szCs w:val="24"/>
          <w:lang w:eastAsia="zh-TW"/>
        </w:rPr>
        <w:t xml:space="preserve"> (McNie et al., 2016, p. 890)</w:t>
      </w:r>
      <w:r w:rsidR="00DE69D9">
        <w:rPr>
          <w:sz w:val="24"/>
          <w:szCs w:val="24"/>
          <w:lang w:eastAsia="zh-TW"/>
        </w:rPr>
        <w:t xml:space="preserve"> (McNie et al., 2016, p. 890)</w:t>
      </w:r>
      <w:r w:rsidR="009002F8">
        <w:rPr>
          <w:sz w:val="24"/>
          <w:szCs w:val="24"/>
          <w:lang w:eastAsia="zh-TW"/>
        </w:rPr>
        <w:t xml:space="preserve"> (McNie et al., 2016, p. 890)</w:t>
      </w:r>
      <w:r w:rsidR="000F0A1F">
        <w:rPr>
          <w:sz w:val="24"/>
          <w:szCs w:val="24"/>
          <w:lang w:eastAsia="zh-TW"/>
        </w:rPr>
        <w:t xml:space="preserve"> (McNie et al., 2016, p. 890)</w:t>
      </w:r>
      <w:r w:rsidR="009E40BD">
        <w:rPr>
          <w:sz w:val="24"/>
          <w:szCs w:val="24"/>
          <w:lang w:eastAsia="zh-TW"/>
        </w:rPr>
        <w:t xml:space="preserve"> (McNie et al., 2016, p. 890)</w:t>
      </w:r>
      <w:r w:rsidR="004E1D20">
        <w:rPr>
          <w:sz w:val="24"/>
          <w:szCs w:val="24"/>
          <w:lang w:eastAsia="zh-TW"/>
        </w:rPr>
        <w:t xml:space="preserve"> (McNie et al., 2016, p. 890)</w:t>
      </w:r>
      <w:r w:rsidR="00AB2D4C">
        <w:rPr>
          <w:sz w:val="24"/>
          <w:szCs w:val="24"/>
          <w:lang w:eastAsia="zh-TW"/>
        </w:rPr>
        <w:t xml:space="preserve"> (McNie et al., 2016, p. 890) (McNie et al., 2016, p. 890)</w:t>
      </w:r>
      <w:r w:rsidR="00AF17E8">
        <w:rPr>
          <w:sz w:val="24"/>
          <w:szCs w:val="24"/>
          <w:lang w:eastAsia="zh-TW"/>
        </w:rPr>
        <w:t xml:space="preserve"> (McNie et al., 2016, p. 890) (McNie et al., 2016, p. 890) (McNie et al., 2016, p. 890)</w:t>
      </w:r>
      <w:r w:rsidR="00E10B0E">
        <w:rPr>
          <w:sz w:val="24"/>
          <w:szCs w:val="24"/>
          <w:lang w:eastAsia="zh-TW"/>
        </w:rPr>
        <w:t xml:space="preserve">. </w:t>
      </w:r>
      <w:r w:rsidR="00A765E9">
        <w:rPr>
          <w:sz w:val="24"/>
          <w:szCs w:val="24"/>
          <w:lang w:eastAsia="zh-TW"/>
        </w:rPr>
        <w:t>By contrast</w:t>
      </w:r>
      <w:r w:rsidR="00E10B0E">
        <w:rPr>
          <w:sz w:val="24"/>
          <w:szCs w:val="24"/>
          <w:lang w:eastAsia="zh-TW"/>
        </w:rPr>
        <w:t xml:space="preserve">, in </w:t>
      </w:r>
      <w:r w:rsidR="00C110B6">
        <w:rPr>
          <w:sz w:val="24"/>
          <w:szCs w:val="24"/>
          <w:lang w:eastAsia="zh-TW"/>
        </w:rPr>
        <w:t>much ‘unbounded research’</w:t>
      </w:r>
      <w:r w:rsidR="00E10B0E">
        <w:rPr>
          <w:sz w:val="24"/>
          <w:szCs w:val="24"/>
          <w:lang w:eastAsia="zh-TW"/>
        </w:rPr>
        <w:t xml:space="preserve">, </w:t>
      </w:r>
      <w:r w:rsidR="00D9659A">
        <w:rPr>
          <w:sz w:val="24"/>
          <w:szCs w:val="24"/>
          <w:lang w:eastAsia="zh-TW"/>
        </w:rPr>
        <w:t xml:space="preserve">a range of “soft skills”, such as “[e]ffective communication, translation and mediation skills ... and experience in managing </w:t>
      </w:r>
      <w:r w:rsidR="00E10B0E">
        <w:rPr>
          <w:sz w:val="24"/>
          <w:szCs w:val="24"/>
          <w:lang w:eastAsia="zh-TW"/>
        </w:rPr>
        <w:t xml:space="preserve">... </w:t>
      </w:r>
      <w:r w:rsidR="00D9659A">
        <w:rPr>
          <w:sz w:val="24"/>
          <w:szCs w:val="24"/>
          <w:lang w:eastAsia="zh-TW"/>
        </w:rPr>
        <w:t>complex research-policy interfaces”</w:t>
      </w:r>
      <w:r w:rsidR="001A755A">
        <w:rPr>
          <w:sz w:val="24"/>
          <w:szCs w:val="24"/>
          <w:lang w:eastAsia="zh-TW"/>
        </w:rPr>
        <w:t xml:space="preserve"> (ibid., p. 890)</w:t>
      </w:r>
      <w:r w:rsidR="00E10B0E">
        <w:rPr>
          <w:sz w:val="24"/>
          <w:szCs w:val="24"/>
          <w:lang w:eastAsia="zh-TW"/>
        </w:rPr>
        <w:t xml:space="preserve">, will also be important to achieving a goal. </w:t>
      </w:r>
      <w:r w:rsidR="00A765E9">
        <w:rPr>
          <w:sz w:val="24"/>
          <w:szCs w:val="24"/>
          <w:lang w:eastAsia="zh-TW"/>
        </w:rPr>
        <w:t>The point here is not to play ‘hard’ and ‘soft’ skills against each other</w:t>
      </w:r>
      <w:r w:rsidR="00F34036">
        <w:rPr>
          <w:sz w:val="24"/>
          <w:szCs w:val="24"/>
          <w:lang w:eastAsia="zh-TW"/>
        </w:rPr>
        <w:t>, but rather that,</w:t>
      </w:r>
      <w:r w:rsidR="00A765E9">
        <w:rPr>
          <w:sz w:val="24"/>
          <w:szCs w:val="24"/>
          <w:lang w:eastAsia="zh-TW"/>
        </w:rPr>
        <w:t xml:space="preserve"> in ‘bounded’ research, </w:t>
      </w:r>
      <w:r w:rsidR="00AE0653">
        <w:rPr>
          <w:sz w:val="24"/>
          <w:szCs w:val="24"/>
          <w:lang w:eastAsia="zh-TW"/>
        </w:rPr>
        <w:t>‘</w:t>
      </w:r>
      <w:r w:rsidR="00A765E9">
        <w:rPr>
          <w:sz w:val="24"/>
          <w:szCs w:val="24"/>
          <w:lang w:eastAsia="zh-TW"/>
        </w:rPr>
        <w:t>hard</w:t>
      </w:r>
      <w:r w:rsidR="00AE0653">
        <w:rPr>
          <w:sz w:val="24"/>
          <w:szCs w:val="24"/>
          <w:lang w:eastAsia="zh-TW"/>
        </w:rPr>
        <w:t>’</w:t>
      </w:r>
      <w:r w:rsidR="00A765E9">
        <w:rPr>
          <w:sz w:val="24"/>
          <w:szCs w:val="24"/>
          <w:lang w:eastAsia="zh-TW"/>
        </w:rPr>
        <w:t xml:space="preserve"> skills are likely to be all-important,</w:t>
      </w:r>
      <w:r w:rsidR="00776664">
        <w:rPr>
          <w:sz w:val="24"/>
          <w:szCs w:val="24"/>
          <w:lang w:eastAsia="zh-TW"/>
        </w:rPr>
        <w:t xml:space="preserve"> while</w:t>
      </w:r>
      <w:r w:rsidR="00A765E9">
        <w:rPr>
          <w:sz w:val="24"/>
          <w:szCs w:val="24"/>
          <w:lang w:eastAsia="zh-TW"/>
        </w:rPr>
        <w:t xml:space="preserve"> in ‘unbounded’ research, they are likely to be insufficient, </w:t>
      </w:r>
      <w:r w:rsidR="00495899">
        <w:rPr>
          <w:sz w:val="24"/>
          <w:szCs w:val="24"/>
          <w:lang w:eastAsia="zh-TW"/>
        </w:rPr>
        <w:t>with</w:t>
      </w:r>
      <w:r w:rsidR="00A765E9">
        <w:rPr>
          <w:sz w:val="24"/>
          <w:szCs w:val="24"/>
          <w:lang w:eastAsia="zh-TW"/>
        </w:rPr>
        <w:t xml:space="preserve"> </w:t>
      </w:r>
      <w:r w:rsidR="00AE0653">
        <w:rPr>
          <w:sz w:val="24"/>
          <w:szCs w:val="24"/>
          <w:lang w:eastAsia="zh-TW"/>
        </w:rPr>
        <w:t>‘</w:t>
      </w:r>
      <w:r w:rsidR="00A765E9">
        <w:rPr>
          <w:sz w:val="24"/>
          <w:szCs w:val="24"/>
          <w:lang w:eastAsia="zh-TW"/>
        </w:rPr>
        <w:t>soft</w:t>
      </w:r>
      <w:r w:rsidR="00AE0653">
        <w:rPr>
          <w:sz w:val="24"/>
          <w:szCs w:val="24"/>
          <w:lang w:eastAsia="zh-TW"/>
        </w:rPr>
        <w:t>’</w:t>
      </w:r>
      <w:r w:rsidR="00A765E9">
        <w:rPr>
          <w:sz w:val="24"/>
          <w:szCs w:val="24"/>
          <w:lang w:eastAsia="zh-TW"/>
        </w:rPr>
        <w:t xml:space="preserve"> skills</w:t>
      </w:r>
      <w:r w:rsidR="00495899">
        <w:rPr>
          <w:sz w:val="24"/>
          <w:szCs w:val="24"/>
          <w:lang w:eastAsia="zh-TW"/>
        </w:rPr>
        <w:t xml:space="preserve"> being as or </w:t>
      </w:r>
      <w:r w:rsidR="007327FB">
        <w:rPr>
          <w:sz w:val="24"/>
          <w:szCs w:val="24"/>
          <w:lang w:eastAsia="zh-TW"/>
        </w:rPr>
        <w:t>more</w:t>
      </w:r>
      <w:r w:rsidR="00495899">
        <w:rPr>
          <w:i/>
          <w:iCs/>
          <w:sz w:val="24"/>
          <w:szCs w:val="24"/>
          <w:lang w:eastAsia="zh-TW"/>
        </w:rPr>
        <w:t xml:space="preserve"> </w:t>
      </w:r>
      <w:r w:rsidR="00495899">
        <w:rPr>
          <w:sz w:val="24"/>
          <w:szCs w:val="24"/>
          <w:lang w:eastAsia="zh-TW"/>
        </w:rPr>
        <w:t>important</w:t>
      </w:r>
      <w:r w:rsidR="00A765E9">
        <w:rPr>
          <w:sz w:val="24"/>
          <w:szCs w:val="24"/>
          <w:lang w:eastAsia="zh-TW"/>
        </w:rPr>
        <w:t xml:space="preserve">. </w:t>
      </w:r>
    </w:p>
    <w:p w14:paraId="277574ED" w14:textId="1A10E760" w:rsidR="0045378D" w:rsidRDefault="002775BC" w:rsidP="004A0202">
      <w:pPr>
        <w:pStyle w:val="Heading2"/>
      </w:pPr>
      <w:bookmarkStart w:id="49" w:name="_Toc31701957"/>
      <w:bookmarkEnd w:id="42"/>
      <w:r>
        <w:t>Analytical frame</w:t>
      </w:r>
      <w:r w:rsidR="00444F00">
        <w:t>w</w:t>
      </w:r>
      <w:r>
        <w:t>ork</w:t>
      </w:r>
      <w:bookmarkEnd w:id="49"/>
    </w:p>
    <w:p w14:paraId="15735217" w14:textId="4D042188" w:rsidR="0026627D" w:rsidRPr="002C01A5" w:rsidRDefault="00F51E3D" w:rsidP="0026627D">
      <w:pPr>
        <w:spacing w:after="120" w:line="360" w:lineRule="auto"/>
        <w:rPr>
          <w:sz w:val="24"/>
          <w:szCs w:val="24"/>
        </w:rPr>
      </w:pPr>
      <w:r>
        <w:rPr>
          <w:sz w:val="24"/>
          <w:szCs w:val="24"/>
        </w:rPr>
        <w:t xml:space="preserve">My analytical framework </w:t>
      </w:r>
      <w:r w:rsidR="00510FBA">
        <w:rPr>
          <w:sz w:val="24"/>
          <w:szCs w:val="24"/>
        </w:rPr>
        <w:t>is derived from a combination of the</w:t>
      </w:r>
      <w:r w:rsidR="002F3BF9">
        <w:rPr>
          <w:sz w:val="24"/>
          <w:szCs w:val="24"/>
        </w:rPr>
        <w:t xml:space="preserve"> three main sections of this chapter (</w:t>
      </w:r>
      <w:r w:rsidR="00F75F2D">
        <w:rPr>
          <w:i/>
          <w:iCs/>
          <w:sz w:val="24"/>
          <w:szCs w:val="24"/>
        </w:rPr>
        <w:t>P</w:t>
      </w:r>
      <w:r w:rsidR="002F3BF9" w:rsidRPr="002F3BF9">
        <w:rPr>
          <w:i/>
          <w:iCs/>
          <w:sz w:val="24"/>
          <w:szCs w:val="24"/>
        </w:rPr>
        <w:t>ower and control through the ‘boundary’ lens</w:t>
      </w:r>
      <w:r w:rsidR="002F3BF9">
        <w:rPr>
          <w:sz w:val="24"/>
          <w:szCs w:val="24"/>
        </w:rPr>
        <w:t xml:space="preserve">; </w:t>
      </w:r>
      <w:r w:rsidR="00F75F2D">
        <w:rPr>
          <w:i/>
          <w:iCs/>
          <w:sz w:val="24"/>
          <w:szCs w:val="24"/>
        </w:rPr>
        <w:t>F</w:t>
      </w:r>
      <w:r w:rsidR="002F3BF9">
        <w:rPr>
          <w:i/>
          <w:iCs/>
          <w:sz w:val="24"/>
          <w:szCs w:val="24"/>
        </w:rPr>
        <w:t>orms of boundary transaction</w:t>
      </w:r>
      <w:r w:rsidR="002F3BF9">
        <w:rPr>
          <w:sz w:val="24"/>
          <w:szCs w:val="24"/>
        </w:rPr>
        <w:t xml:space="preserve">; and </w:t>
      </w:r>
      <w:r w:rsidR="00F75F2D">
        <w:rPr>
          <w:i/>
          <w:iCs/>
          <w:sz w:val="24"/>
          <w:szCs w:val="24"/>
        </w:rPr>
        <w:t>B</w:t>
      </w:r>
      <w:r w:rsidR="002F3BF9">
        <w:rPr>
          <w:i/>
          <w:iCs/>
          <w:sz w:val="24"/>
          <w:szCs w:val="24"/>
        </w:rPr>
        <w:t>oundary transactions in context</w:t>
      </w:r>
      <w:r w:rsidR="002F3BF9">
        <w:rPr>
          <w:sz w:val="24"/>
          <w:szCs w:val="24"/>
        </w:rPr>
        <w:t>).</w:t>
      </w:r>
      <w:r w:rsidR="00A7043D">
        <w:rPr>
          <w:sz w:val="24"/>
          <w:szCs w:val="24"/>
        </w:rPr>
        <w:t xml:space="preserve"> </w:t>
      </w:r>
      <w:r w:rsidR="0026627D">
        <w:rPr>
          <w:sz w:val="24"/>
          <w:szCs w:val="24"/>
        </w:rPr>
        <w:t xml:space="preserve">This can be condensed into a key theoretical idea: that boundary transactions take place in complex research contexts, and that they are key – albeit complex and not necessarily deterministic – causal mechanisms vis-à-vis the reproduction (or potential weakening or transformation) of academic boundaries. </w:t>
      </w:r>
    </w:p>
    <w:p w14:paraId="04846C69" w14:textId="0E208985" w:rsidR="00D47094" w:rsidRDefault="003C4EB7" w:rsidP="00C14D1D">
      <w:pPr>
        <w:spacing w:after="120" w:line="360" w:lineRule="auto"/>
        <w:rPr>
          <w:sz w:val="24"/>
          <w:szCs w:val="24"/>
        </w:rPr>
      </w:pPr>
      <w:r>
        <w:rPr>
          <w:sz w:val="24"/>
          <w:szCs w:val="24"/>
        </w:rPr>
        <w:t xml:space="preserve">I slightly adapt </w:t>
      </w:r>
      <w:r w:rsidR="004349A2">
        <w:rPr>
          <w:sz w:val="24"/>
          <w:szCs w:val="24"/>
        </w:rPr>
        <w:t>McNie et al</w:t>
      </w:r>
      <w:r w:rsidR="00335406">
        <w:rPr>
          <w:sz w:val="24"/>
          <w:szCs w:val="24"/>
        </w:rPr>
        <w:t>.</w:t>
      </w:r>
      <w:r w:rsidR="004349A2">
        <w:rPr>
          <w:sz w:val="24"/>
          <w:szCs w:val="24"/>
        </w:rPr>
        <w:t>’s (2016)</w:t>
      </w:r>
      <w:r>
        <w:rPr>
          <w:sz w:val="24"/>
          <w:szCs w:val="24"/>
        </w:rPr>
        <w:t xml:space="preserve"> typology for my purposes </w:t>
      </w:r>
      <w:r w:rsidR="00C34CA3">
        <w:rPr>
          <w:sz w:val="24"/>
          <w:szCs w:val="24"/>
        </w:rPr>
        <w:t xml:space="preserve">by incorporating </w:t>
      </w:r>
      <w:r>
        <w:rPr>
          <w:sz w:val="24"/>
          <w:szCs w:val="24"/>
        </w:rPr>
        <w:t>the</w:t>
      </w:r>
      <w:r w:rsidR="00C34CA3">
        <w:rPr>
          <w:sz w:val="24"/>
          <w:szCs w:val="24"/>
        </w:rPr>
        <w:t xml:space="preserve"> notion of ‘boundedness’, derived from </w:t>
      </w:r>
      <w:r w:rsidR="00702E41">
        <w:rPr>
          <w:sz w:val="24"/>
          <w:szCs w:val="24"/>
        </w:rPr>
        <w:t>a Bernsteinian sociological lens</w:t>
      </w:r>
      <w:r w:rsidR="00C34CA3">
        <w:rPr>
          <w:sz w:val="24"/>
          <w:szCs w:val="24"/>
        </w:rPr>
        <w:t xml:space="preserve"> and further developed through my broader review of literature on ‘boundary transaction</w:t>
      </w:r>
      <w:r w:rsidR="0093216E">
        <w:rPr>
          <w:sz w:val="24"/>
          <w:szCs w:val="24"/>
        </w:rPr>
        <w:t>s</w:t>
      </w:r>
      <w:r w:rsidR="00C34CA3">
        <w:rPr>
          <w:sz w:val="24"/>
          <w:szCs w:val="24"/>
        </w:rPr>
        <w:t>’</w:t>
      </w:r>
      <w:r>
        <w:rPr>
          <w:sz w:val="24"/>
          <w:szCs w:val="24"/>
        </w:rPr>
        <w:t xml:space="preserve"> which drew </w:t>
      </w:r>
      <w:r w:rsidR="0093216E">
        <w:rPr>
          <w:sz w:val="24"/>
          <w:szCs w:val="24"/>
        </w:rPr>
        <w:t>from the sociologies of higher education, science and organisation</w:t>
      </w:r>
      <w:r>
        <w:rPr>
          <w:sz w:val="24"/>
          <w:szCs w:val="24"/>
        </w:rPr>
        <w:t>. Following the authors’ recommendations, I</w:t>
      </w:r>
      <w:r w:rsidR="00E60A04">
        <w:rPr>
          <w:sz w:val="24"/>
          <w:szCs w:val="24"/>
          <w:lang w:eastAsia="zh-TW"/>
        </w:rPr>
        <w:t xml:space="preserve"> </w:t>
      </w:r>
      <w:r w:rsidR="005A6838">
        <w:rPr>
          <w:sz w:val="24"/>
          <w:szCs w:val="24"/>
        </w:rPr>
        <w:t>operationalise th</w:t>
      </w:r>
      <w:r w:rsidR="00E60A04">
        <w:rPr>
          <w:sz w:val="24"/>
          <w:szCs w:val="24"/>
        </w:rPr>
        <w:t>e</w:t>
      </w:r>
      <w:r>
        <w:rPr>
          <w:sz w:val="24"/>
          <w:szCs w:val="24"/>
        </w:rPr>
        <w:t xml:space="preserve"> </w:t>
      </w:r>
      <w:r w:rsidR="00E60A04">
        <w:rPr>
          <w:sz w:val="24"/>
          <w:szCs w:val="24"/>
        </w:rPr>
        <w:t xml:space="preserve">typology </w:t>
      </w:r>
      <w:r w:rsidR="005A6838">
        <w:rPr>
          <w:sz w:val="24"/>
          <w:szCs w:val="24"/>
        </w:rPr>
        <w:t>by valuing</w:t>
      </w:r>
      <w:r w:rsidR="00E60A04">
        <w:rPr>
          <w:sz w:val="24"/>
          <w:szCs w:val="24"/>
        </w:rPr>
        <w:t xml:space="preserve"> the attributes/activities associated with given body of research</w:t>
      </w:r>
      <w:r w:rsidR="005A6838">
        <w:rPr>
          <w:sz w:val="24"/>
          <w:szCs w:val="24"/>
        </w:rPr>
        <w:t xml:space="preserve"> on a spectrum of 1-5, where 1 denotes </w:t>
      </w:r>
      <w:r>
        <w:rPr>
          <w:sz w:val="24"/>
          <w:szCs w:val="24"/>
          <w:lang w:eastAsia="zh-TW"/>
        </w:rPr>
        <w:t xml:space="preserve">that a given activity/attribute was ‘strongly’ </w:t>
      </w:r>
      <w:r w:rsidRPr="001C27EF">
        <w:rPr>
          <w:i/>
          <w:sz w:val="24"/>
          <w:szCs w:val="24"/>
          <w:lang w:eastAsia="zh-TW"/>
        </w:rPr>
        <w:t xml:space="preserve">bounded </w:t>
      </w:r>
      <w:r>
        <w:rPr>
          <w:sz w:val="24"/>
          <w:szCs w:val="24"/>
          <w:lang w:eastAsia="zh-TW"/>
        </w:rPr>
        <w:t xml:space="preserve">or ‘insulated’, involving no or negligible interaction with or consideration of actors or issues beyond academic boundaries, while 5 denotes that the activity/attribute was </w:t>
      </w:r>
      <w:r>
        <w:rPr>
          <w:i/>
          <w:sz w:val="24"/>
          <w:szCs w:val="24"/>
          <w:lang w:eastAsia="zh-TW"/>
        </w:rPr>
        <w:t>unbounded</w:t>
      </w:r>
      <w:r>
        <w:rPr>
          <w:sz w:val="24"/>
          <w:szCs w:val="24"/>
          <w:lang w:eastAsia="zh-TW"/>
        </w:rPr>
        <w:t xml:space="preserve">, involving significant boundary-crossing transactions (see </w:t>
      </w:r>
      <w:r w:rsidRPr="00E60A04">
        <w:rPr>
          <w:sz w:val="24"/>
          <w:szCs w:val="24"/>
          <w:lang w:eastAsia="zh-TW"/>
        </w:rPr>
        <w:fldChar w:fldCharType="begin"/>
      </w:r>
      <w:r w:rsidRPr="00E60A04">
        <w:rPr>
          <w:sz w:val="24"/>
          <w:szCs w:val="24"/>
          <w:lang w:eastAsia="zh-TW"/>
        </w:rPr>
        <w:instrText xml:space="preserve"> REF _Ref7182115 \h </w:instrText>
      </w:r>
      <w:r>
        <w:rPr>
          <w:sz w:val="24"/>
          <w:szCs w:val="24"/>
          <w:lang w:eastAsia="zh-TW"/>
        </w:rPr>
        <w:instrText xml:space="preserve"> \* MERGEFORMAT </w:instrText>
      </w:r>
      <w:r w:rsidRPr="00E60A04">
        <w:rPr>
          <w:sz w:val="24"/>
          <w:szCs w:val="24"/>
          <w:lang w:eastAsia="zh-TW"/>
        </w:rPr>
      </w:r>
      <w:r w:rsidRPr="00E60A04">
        <w:rPr>
          <w:sz w:val="24"/>
          <w:szCs w:val="24"/>
          <w:lang w:eastAsia="zh-TW"/>
        </w:rPr>
        <w:fldChar w:fldCharType="separate"/>
      </w:r>
      <w:r w:rsidR="0011424E" w:rsidRPr="0011424E">
        <w:rPr>
          <w:sz w:val="24"/>
          <w:szCs w:val="24"/>
        </w:rPr>
        <w:t xml:space="preserve">Table </w:t>
      </w:r>
      <w:r w:rsidR="0011424E" w:rsidRPr="0011424E">
        <w:rPr>
          <w:noProof/>
          <w:sz w:val="24"/>
          <w:szCs w:val="24"/>
        </w:rPr>
        <w:t>2</w:t>
      </w:r>
      <w:r w:rsidRPr="00E60A04">
        <w:rPr>
          <w:sz w:val="24"/>
          <w:szCs w:val="24"/>
          <w:lang w:eastAsia="zh-TW"/>
        </w:rPr>
        <w:fldChar w:fldCharType="end"/>
      </w:r>
      <w:r>
        <w:rPr>
          <w:sz w:val="24"/>
          <w:szCs w:val="24"/>
          <w:lang w:eastAsia="zh-TW"/>
        </w:rPr>
        <w:t xml:space="preserve"> above, p. </w:t>
      </w:r>
      <w:r>
        <w:rPr>
          <w:sz w:val="24"/>
          <w:szCs w:val="24"/>
          <w:lang w:eastAsia="zh-TW"/>
        </w:rPr>
        <w:fldChar w:fldCharType="begin"/>
      </w:r>
      <w:r>
        <w:rPr>
          <w:sz w:val="24"/>
          <w:szCs w:val="24"/>
          <w:lang w:eastAsia="zh-TW"/>
        </w:rPr>
        <w:instrText xml:space="preserve"> PAGEREF _Ref11355250 \h </w:instrText>
      </w:r>
      <w:r>
        <w:rPr>
          <w:sz w:val="24"/>
          <w:szCs w:val="24"/>
          <w:lang w:eastAsia="zh-TW"/>
        </w:rPr>
      </w:r>
      <w:r>
        <w:rPr>
          <w:sz w:val="24"/>
          <w:szCs w:val="24"/>
          <w:lang w:eastAsia="zh-TW"/>
        </w:rPr>
        <w:fldChar w:fldCharType="separate"/>
      </w:r>
      <w:r w:rsidR="0011424E">
        <w:rPr>
          <w:noProof/>
          <w:sz w:val="24"/>
          <w:szCs w:val="24"/>
          <w:lang w:eastAsia="zh-TW"/>
        </w:rPr>
        <w:t>61</w:t>
      </w:r>
      <w:r>
        <w:rPr>
          <w:sz w:val="24"/>
          <w:szCs w:val="24"/>
          <w:lang w:eastAsia="zh-TW"/>
        </w:rPr>
        <w:fldChar w:fldCharType="end"/>
      </w:r>
      <w:r>
        <w:rPr>
          <w:sz w:val="24"/>
          <w:szCs w:val="24"/>
          <w:lang w:eastAsia="zh-TW"/>
        </w:rPr>
        <w:t xml:space="preserve">). </w:t>
      </w:r>
      <w:r w:rsidR="005A6838">
        <w:rPr>
          <w:sz w:val="24"/>
          <w:szCs w:val="24"/>
        </w:rPr>
        <w:t xml:space="preserve">As I read </w:t>
      </w:r>
      <w:r w:rsidR="005F196E">
        <w:rPr>
          <w:sz w:val="24"/>
          <w:szCs w:val="24"/>
        </w:rPr>
        <w:t xml:space="preserve">through the documentary and interview data associated with the </w:t>
      </w:r>
      <w:r w:rsidR="005A6838">
        <w:rPr>
          <w:sz w:val="24"/>
          <w:szCs w:val="24"/>
        </w:rPr>
        <w:t>n=19 sampled bodies of research (BoRs</w:t>
      </w:r>
      <w:r>
        <w:rPr>
          <w:sz w:val="24"/>
          <w:szCs w:val="24"/>
        </w:rPr>
        <w:t>)</w:t>
      </w:r>
      <w:r w:rsidR="005F196E">
        <w:rPr>
          <w:sz w:val="24"/>
          <w:szCs w:val="24"/>
        </w:rPr>
        <w:t>,</w:t>
      </w:r>
      <w:r w:rsidR="00524409">
        <w:rPr>
          <w:sz w:val="24"/>
          <w:szCs w:val="24"/>
        </w:rPr>
        <w:t xml:space="preserve"> I seek evidence of and pay particular attention to </w:t>
      </w:r>
      <w:r w:rsidR="00080ABC">
        <w:rPr>
          <w:sz w:val="24"/>
          <w:szCs w:val="24"/>
        </w:rPr>
        <w:t>‘</w:t>
      </w:r>
      <w:r w:rsidR="00524409">
        <w:rPr>
          <w:sz w:val="24"/>
          <w:szCs w:val="24"/>
        </w:rPr>
        <w:t>boundary transactions</w:t>
      </w:r>
      <w:r w:rsidR="00080ABC">
        <w:rPr>
          <w:sz w:val="24"/>
          <w:szCs w:val="24"/>
        </w:rPr>
        <w:t>’</w:t>
      </w:r>
      <w:r w:rsidR="00524409">
        <w:rPr>
          <w:sz w:val="24"/>
          <w:szCs w:val="24"/>
        </w:rPr>
        <w:t xml:space="preserve">. </w:t>
      </w:r>
      <w:r w:rsidR="005F196E">
        <w:rPr>
          <w:sz w:val="24"/>
          <w:szCs w:val="24"/>
        </w:rPr>
        <w:t xml:space="preserve">I </w:t>
      </w:r>
      <w:r w:rsidR="000A0F32">
        <w:rPr>
          <w:sz w:val="24"/>
          <w:szCs w:val="24"/>
        </w:rPr>
        <w:t xml:space="preserve">make judgements about </w:t>
      </w:r>
      <w:r w:rsidR="00FF7727">
        <w:rPr>
          <w:sz w:val="24"/>
          <w:szCs w:val="24"/>
        </w:rPr>
        <w:t xml:space="preserve">a </w:t>
      </w:r>
      <w:r w:rsidR="005F196E">
        <w:rPr>
          <w:sz w:val="24"/>
          <w:szCs w:val="24"/>
        </w:rPr>
        <w:t xml:space="preserve">BoR’s ‘boundedness’ on each activity/attribute and plot it on the typology’s spectrum accordingly (Appendix </w:t>
      </w:r>
      <w:r w:rsidR="004D3BA5">
        <w:rPr>
          <w:sz w:val="24"/>
          <w:szCs w:val="24"/>
        </w:rPr>
        <w:t>D</w:t>
      </w:r>
      <w:r w:rsidR="005F196E">
        <w:rPr>
          <w:sz w:val="24"/>
          <w:szCs w:val="24"/>
        </w:rPr>
        <w:t xml:space="preserve"> shows the full plotted typologies for all BoRs). </w:t>
      </w:r>
      <w:r>
        <w:rPr>
          <w:sz w:val="24"/>
          <w:szCs w:val="24"/>
          <w:lang w:eastAsia="zh-TW"/>
        </w:rPr>
        <w:t>This allow</w:t>
      </w:r>
      <w:r w:rsidR="003F0A00">
        <w:rPr>
          <w:sz w:val="24"/>
          <w:szCs w:val="24"/>
          <w:lang w:eastAsia="zh-TW"/>
        </w:rPr>
        <w:t>s</w:t>
      </w:r>
      <w:r>
        <w:rPr>
          <w:sz w:val="24"/>
          <w:szCs w:val="24"/>
          <w:lang w:eastAsia="zh-TW"/>
        </w:rPr>
        <w:t xml:space="preserve"> me to</w:t>
      </w:r>
      <w:r w:rsidR="005A6838">
        <w:rPr>
          <w:sz w:val="24"/>
          <w:szCs w:val="24"/>
          <w:lang w:eastAsia="zh-TW"/>
        </w:rPr>
        <w:t xml:space="preserve"> </w:t>
      </w:r>
      <w:r w:rsidR="005A6838" w:rsidRPr="001D66B6">
        <w:rPr>
          <w:i/>
          <w:iCs/>
          <w:sz w:val="24"/>
          <w:szCs w:val="24"/>
          <w:lang w:eastAsia="zh-TW"/>
        </w:rPr>
        <w:t>organis</w:t>
      </w:r>
      <w:r>
        <w:rPr>
          <w:i/>
          <w:iCs/>
          <w:sz w:val="24"/>
          <w:szCs w:val="24"/>
          <w:lang w:eastAsia="zh-TW"/>
        </w:rPr>
        <w:t>e</w:t>
      </w:r>
      <w:r w:rsidR="005A6838" w:rsidRPr="001D66B6">
        <w:rPr>
          <w:i/>
          <w:iCs/>
          <w:sz w:val="24"/>
          <w:szCs w:val="24"/>
          <w:lang w:eastAsia="zh-TW"/>
        </w:rPr>
        <w:t xml:space="preserve"> and quantify</w:t>
      </w:r>
      <w:r w:rsidR="005A6838">
        <w:rPr>
          <w:sz w:val="24"/>
          <w:szCs w:val="24"/>
          <w:lang w:eastAsia="zh-TW"/>
        </w:rPr>
        <w:t xml:space="preserve"> my </w:t>
      </w:r>
      <w:r>
        <w:rPr>
          <w:sz w:val="24"/>
          <w:szCs w:val="24"/>
          <w:lang w:eastAsia="zh-TW"/>
        </w:rPr>
        <w:t>interpretation of the sampled research</w:t>
      </w:r>
      <w:r w:rsidR="00D47094">
        <w:rPr>
          <w:sz w:val="24"/>
          <w:szCs w:val="24"/>
          <w:lang w:eastAsia="zh-TW"/>
        </w:rPr>
        <w:t>.</w:t>
      </w:r>
    </w:p>
    <w:p w14:paraId="4B3A0D72" w14:textId="77777777" w:rsidR="00820413" w:rsidRDefault="00D47094" w:rsidP="00C14D1D">
      <w:pPr>
        <w:spacing w:after="120" w:line="360" w:lineRule="auto"/>
        <w:rPr>
          <w:sz w:val="24"/>
          <w:szCs w:val="24"/>
          <w:lang w:eastAsia="zh-TW"/>
        </w:rPr>
      </w:pPr>
      <w:r>
        <w:rPr>
          <w:sz w:val="24"/>
          <w:szCs w:val="24"/>
          <w:lang w:eastAsia="zh-TW"/>
        </w:rPr>
        <w:t>T</w:t>
      </w:r>
      <w:r w:rsidR="00C629C0">
        <w:rPr>
          <w:sz w:val="24"/>
          <w:szCs w:val="24"/>
          <w:lang w:eastAsia="zh-TW"/>
        </w:rPr>
        <w:t xml:space="preserve">hese quantifications then </w:t>
      </w:r>
      <w:r w:rsidR="003C4EB7">
        <w:rPr>
          <w:sz w:val="24"/>
          <w:szCs w:val="24"/>
          <w:lang w:eastAsia="zh-TW"/>
        </w:rPr>
        <w:t xml:space="preserve">lend </w:t>
      </w:r>
      <w:r w:rsidR="00C629C0">
        <w:rPr>
          <w:sz w:val="24"/>
          <w:szCs w:val="24"/>
          <w:lang w:eastAsia="zh-TW"/>
        </w:rPr>
        <w:t>themselves to</w:t>
      </w:r>
      <w:r w:rsidR="003C4EB7">
        <w:rPr>
          <w:sz w:val="24"/>
          <w:szCs w:val="24"/>
          <w:lang w:eastAsia="zh-TW"/>
        </w:rPr>
        <w:t xml:space="preserve"> </w:t>
      </w:r>
      <w:r w:rsidR="00C84A89">
        <w:rPr>
          <w:sz w:val="24"/>
          <w:szCs w:val="24"/>
          <w:lang w:eastAsia="zh-TW"/>
        </w:rPr>
        <w:t xml:space="preserve">‘interpretive quantitative’ analysis </w:t>
      </w:r>
      <w:r w:rsidR="00C84A89" w:rsidRPr="00AB13DA">
        <w:rPr>
          <w:sz w:val="24"/>
          <w:szCs w:val="24"/>
        </w:rPr>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00C84A89" w:rsidRPr="00AB13DA">
        <w:rPr>
          <w:sz w:val="24"/>
          <w:szCs w:val="24"/>
        </w:rPr>
        <w:instrText xml:space="preserve"> ADDIN EN.CITE </w:instrText>
      </w:r>
      <w:r w:rsidR="00C84A89" w:rsidRPr="00AB13DA">
        <w:rPr>
          <w:sz w:val="24"/>
          <w:szCs w:val="24"/>
        </w:rPr>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00C84A89" w:rsidRPr="00AB13DA">
        <w:rPr>
          <w:sz w:val="24"/>
          <w:szCs w:val="24"/>
        </w:rPr>
        <w:instrText xml:space="preserve"> ADDIN EN.CITE.DATA </w:instrText>
      </w:r>
      <w:r w:rsidR="00C84A89" w:rsidRPr="00AB13DA">
        <w:rPr>
          <w:sz w:val="24"/>
          <w:szCs w:val="24"/>
        </w:rPr>
      </w:r>
      <w:r w:rsidR="00C84A89" w:rsidRPr="00AB13DA">
        <w:rPr>
          <w:sz w:val="24"/>
          <w:szCs w:val="24"/>
        </w:rPr>
        <w:fldChar w:fldCharType="end"/>
      </w:r>
      <w:r w:rsidR="00C84A89" w:rsidRPr="00AB13DA">
        <w:rPr>
          <w:sz w:val="24"/>
          <w:szCs w:val="24"/>
        </w:rPr>
      </w:r>
      <w:r w:rsidR="00C84A89" w:rsidRPr="00AB13DA">
        <w:rPr>
          <w:sz w:val="24"/>
          <w:szCs w:val="24"/>
        </w:rPr>
        <w:fldChar w:fldCharType="separate"/>
      </w:r>
      <w:r w:rsidR="00C84A89" w:rsidRPr="00AB13DA">
        <w:rPr>
          <w:noProof/>
          <w:sz w:val="24"/>
          <w:szCs w:val="24"/>
        </w:rPr>
        <w:t>(Babones, 2016; Westerman &amp; Yanchar, 2011)</w:t>
      </w:r>
      <w:r w:rsidR="00C84A89" w:rsidRPr="00AB13DA">
        <w:rPr>
          <w:sz w:val="24"/>
          <w:szCs w:val="24"/>
        </w:rPr>
        <w:fldChar w:fldCharType="end"/>
      </w:r>
      <w:r w:rsidR="003C4EB7">
        <w:rPr>
          <w:sz w:val="24"/>
          <w:szCs w:val="24"/>
          <w:lang w:eastAsia="zh-TW"/>
        </w:rPr>
        <w:t>.</w:t>
      </w:r>
      <w:r w:rsidR="00284CA7">
        <w:rPr>
          <w:sz w:val="24"/>
          <w:szCs w:val="24"/>
          <w:lang w:eastAsia="zh-TW"/>
        </w:rPr>
        <w:t xml:space="preserve"> Quantified typology values belonging to individual BoRs </w:t>
      </w:r>
      <w:r w:rsidR="003F0A00">
        <w:rPr>
          <w:sz w:val="24"/>
          <w:szCs w:val="24"/>
          <w:lang w:eastAsia="zh-TW"/>
        </w:rPr>
        <w:t>will be</w:t>
      </w:r>
      <w:r w:rsidR="00284CA7">
        <w:rPr>
          <w:sz w:val="24"/>
          <w:szCs w:val="24"/>
          <w:lang w:eastAsia="zh-TW"/>
        </w:rPr>
        <w:t xml:space="preserve"> aggregated in two ways to advance my analysis. </w:t>
      </w:r>
      <w:r w:rsidR="00BD52C4">
        <w:rPr>
          <w:sz w:val="24"/>
          <w:szCs w:val="24"/>
          <w:lang w:eastAsia="zh-TW"/>
        </w:rPr>
        <w:t xml:space="preserve">First, I aggregate </w:t>
      </w:r>
      <w:r w:rsidR="003F0A00">
        <w:rPr>
          <w:sz w:val="24"/>
          <w:szCs w:val="24"/>
          <w:lang w:eastAsia="zh-TW"/>
        </w:rPr>
        <w:t>by</w:t>
      </w:r>
      <w:r w:rsidR="00284CA7">
        <w:rPr>
          <w:sz w:val="24"/>
          <w:szCs w:val="24"/>
          <w:lang w:eastAsia="zh-TW"/>
        </w:rPr>
        <w:t xml:space="preserve"> attribute/activity</w:t>
      </w:r>
      <w:r w:rsidR="003F0A00">
        <w:rPr>
          <w:sz w:val="24"/>
          <w:szCs w:val="24"/>
          <w:lang w:eastAsia="zh-TW"/>
        </w:rPr>
        <w:t>.</w:t>
      </w:r>
      <w:r w:rsidR="00616DAF">
        <w:rPr>
          <w:sz w:val="24"/>
          <w:szCs w:val="24"/>
          <w:lang w:eastAsia="zh-TW"/>
        </w:rPr>
        <w:t xml:space="preserve"> Within my analytical framework, ‘high’ values on the typology will be taken to indicate that the given activity/attribute has a boundary-crossing role associated with </w:t>
      </w:r>
      <w:r w:rsidR="00616DAF">
        <w:rPr>
          <w:i/>
          <w:sz w:val="24"/>
          <w:szCs w:val="24"/>
          <w:lang w:eastAsia="zh-TW"/>
        </w:rPr>
        <w:t>unbounding</w:t>
      </w:r>
      <w:r w:rsidR="00616DAF">
        <w:rPr>
          <w:sz w:val="24"/>
          <w:szCs w:val="24"/>
          <w:lang w:eastAsia="zh-TW"/>
        </w:rPr>
        <w:t xml:space="preserve"> academia from society; by contrast, ‘low’ values on the typology will be taken to indicate that the activity/attribute is associated with reinforcing/reproducing academic boundaries.</w:t>
      </w:r>
      <w:r w:rsidR="009B2EBC">
        <w:rPr>
          <w:sz w:val="24"/>
          <w:szCs w:val="24"/>
          <w:lang w:eastAsia="zh-TW"/>
        </w:rPr>
        <w:t xml:space="preserve"> This contributes to </w:t>
      </w:r>
      <w:r w:rsidR="00293995">
        <w:rPr>
          <w:sz w:val="24"/>
          <w:szCs w:val="24"/>
          <w:lang w:eastAsia="zh-TW"/>
        </w:rPr>
        <w:t xml:space="preserve">my research </w:t>
      </w:r>
      <w:r w:rsidR="004622F4">
        <w:rPr>
          <w:sz w:val="24"/>
          <w:szCs w:val="24"/>
          <w:lang w:eastAsia="zh-TW"/>
        </w:rPr>
        <w:t xml:space="preserve">questions by yielding indicators of </w:t>
      </w:r>
      <w:r w:rsidR="009B2EBC">
        <w:rPr>
          <w:sz w:val="24"/>
          <w:szCs w:val="24"/>
          <w:lang w:eastAsia="zh-TW"/>
        </w:rPr>
        <w:t>the overall tendency of the sampled research towards the reproduction or potential weakening of boundaries, and</w:t>
      </w:r>
      <w:r w:rsidR="00A72745">
        <w:rPr>
          <w:sz w:val="24"/>
          <w:szCs w:val="24"/>
          <w:lang w:eastAsia="zh-TW"/>
        </w:rPr>
        <w:t xml:space="preserve"> of </w:t>
      </w:r>
      <w:r w:rsidR="009B2EBC">
        <w:rPr>
          <w:sz w:val="24"/>
          <w:szCs w:val="24"/>
          <w:lang w:eastAsia="zh-TW"/>
        </w:rPr>
        <w:t xml:space="preserve">which aspects (activities and attributes) of research are </w:t>
      </w:r>
      <w:r w:rsidR="001F4381">
        <w:rPr>
          <w:sz w:val="24"/>
          <w:szCs w:val="24"/>
          <w:lang w:eastAsia="zh-TW"/>
        </w:rPr>
        <w:t xml:space="preserve">primarily </w:t>
      </w:r>
      <w:r w:rsidR="009B2EBC">
        <w:rPr>
          <w:sz w:val="24"/>
          <w:szCs w:val="24"/>
          <w:lang w:eastAsia="zh-TW"/>
        </w:rPr>
        <w:t xml:space="preserve">responsible. </w:t>
      </w:r>
      <w:r w:rsidR="00BD52C4">
        <w:rPr>
          <w:sz w:val="24"/>
          <w:szCs w:val="24"/>
          <w:lang w:eastAsia="zh-TW"/>
        </w:rPr>
        <w:t>Second,</w:t>
      </w:r>
      <w:r w:rsidR="00DD366A">
        <w:rPr>
          <w:sz w:val="24"/>
          <w:szCs w:val="24"/>
          <w:lang w:eastAsia="zh-TW"/>
        </w:rPr>
        <w:t xml:space="preserve"> I aggregate according to the three contextual dimensions; I analyse variations </w:t>
      </w:r>
      <w:r w:rsidR="00B0724B">
        <w:rPr>
          <w:sz w:val="24"/>
          <w:szCs w:val="24"/>
          <w:lang w:eastAsia="zh-TW"/>
        </w:rPr>
        <w:t xml:space="preserve">by research from different status departments (‘elite’, ‘more prestigious’ and ‘less prestigious’), different branches of science (Life, Natural, Formal), and different disciplinary orientations </w:t>
      </w:r>
      <w:r w:rsidR="00BD52C4">
        <w:rPr>
          <w:sz w:val="24"/>
          <w:szCs w:val="24"/>
          <w:lang w:eastAsia="zh-TW"/>
        </w:rPr>
        <w:t xml:space="preserve">(Basic, Applied, Basic/Applied). </w:t>
      </w:r>
    </w:p>
    <w:p w14:paraId="084758D8" w14:textId="7822F8FC" w:rsidR="00286C5B" w:rsidRDefault="00820413" w:rsidP="00C14D1D">
      <w:pPr>
        <w:spacing w:after="120" w:line="360" w:lineRule="auto"/>
        <w:rPr>
          <w:sz w:val="24"/>
          <w:szCs w:val="24"/>
          <w:lang w:eastAsia="zh-TW"/>
        </w:rPr>
      </w:pPr>
      <w:r>
        <w:rPr>
          <w:sz w:val="24"/>
          <w:szCs w:val="24"/>
          <w:lang w:eastAsia="zh-TW"/>
        </w:rPr>
        <w:t xml:space="preserve">Within the critical realist ontological and epistemological framework adopted (see Methodology, Chapter 3), the above two sets of aggregated data </w:t>
      </w:r>
      <w:r w:rsidR="00BD536A">
        <w:rPr>
          <w:sz w:val="24"/>
          <w:szCs w:val="24"/>
          <w:lang w:eastAsia="zh-TW"/>
        </w:rPr>
        <w:t>are</w:t>
      </w:r>
      <w:r w:rsidR="0040669E">
        <w:rPr>
          <w:sz w:val="24"/>
          <w:szCs w:val="24"/>
          <w:lang w:eastAsia="zh-TW"/>
        </w:rPr>
        <w:t xml:space="preserve"> ‘surface’ level</w:t>
      </w:r>
      <w:r w:rsidR="00286C5B">
        <w:rPr>
          <w:sz w:val="24"/>
          <w:szCs w:val="24"/>
          <w:lang w:eastAsia="zh-TW"/>
        </w:rPr>
        <w:t xml:space="preserve"> </w:t>
      </w:r>
      <w:r w:rsidR="00016734">
        <w:rPr>
          <w:sz w:val="24"/>
          <w:szCs w:val="24"/>
          <w:lang w:eastAsia="zh-TW"/>
        </w:rPr>
        <w:t xml:space="preserve">(Danermark et al., 2002, p. 59) </w:t>
      </w:r>
      <w:r w:rsidR="00286C5B">
        <w:rPr>
          <w:sz w:val="24"/>
          <w:szCs w:val="24"/>
          <w:lang w:eastAsia="zh-TW"/>
        </w:rPr>
        <w:t xml:space="preserve">phenomena. To obtain a deeper level of understanding of the underpinning causal structures and mechanisms determining the overall reproduction (or weakening) of boundaries, and whether indicators of reproduction (or weakening) vary by institutional and epistemic contexts, further analysis is needed. Specifically, from the Bernsteinian theoretical perspective adopted, what is needed is an analysis which </w:t>
      </w:r>
      <w:r w:rsidR="00FA143F">
        <w:rPr>
          <w:sz w:val="24"/>
          <w:szCs w:val="24"/>
          <w:lang w:eastAsia="zh-TW"/>
        </w:rPr>
        <w:t xml:space="preserve">yields insight into underlying interplays of power and control over academic boundaries and boundary-crossing activities. </w:t>
      </w:r>
      <w:r w:rsidR="00286C5B">
        <w:rPr>
          <w:sz w:val="24"/>
          <w:szCs w:val="24"/>
          <w:lang w:eastAsia="zh-TW"/>
        </w:rPr>
        <w:t>For this I conduct in-depth analyses of the specific boundary transactions associated with the sampled research, as well as in-depth interviews with some of the individuals responsible for the research</w:t>
      </w:r>
      <w:r w:rsidR="00FA143F">
        <w:rPr>
          <w:sz w:val="24"/>
          <w:szCs w:val="24"/>
          <w:lang w:eastAsia="zh-TW"/>
        </w:rPr>
        <w:t xml:space="preserve">. Further details of this analysis will be presented in the Methodology (Chapter 3), but I note here that they permit me to investigate how broader plays of power and control play out in specific contexts which contribute to either the reproduction or potential weakening of academic boundaries. </w:t>
      </w:r>
      <w:r w:rsidR="00286C5B">
        <w:rPr>
          <w:sz w:val="24"/>
          <w:szCs w:val="24"/>
          <w:lang w:eastAsia="zh-TW"/>
        </w:rPr>
        <w:t xml:space="preserve"> </w:t>
      </w:r>
    </w:p>
    <w:p w14:paraId="3C998DDB" w14:textId="7EA28FF1" w:rsidR="00FA23AF" w:rsidRDefault="00274038" w:rsidP="00C14D1D">
      <w:pPr>
        <w:spacing w:after="120" w:line="360" w:lineRule="auto"/>
      </w:pPr>
      <w:r w:rsidRPr="00274038">
        <w:rPr>
          <w:sz w:val="24"/>
          <w:szCs w:val="24"/>
          <w:lang w:eastAsia="zh-TW"/>
        </w:rPr>
        <w:fldChar w:fldCharType="begin"/>
      </w:r>
      <w:r w:rsidRPr="00274038">
        <w:rPr>
          <w:sz w:val="24"/>
          <w:szCs w:val="24"/>
          <w:lang w:eastAsia="zh-TW"/>
        </w:rPr>
        <w:instrText xml:space="preserve"> REF _Ref11859168 \h </w:instrText>
      </w:r>
      <w:r>
        <w:rPr>
          <w:sz w:val="24"/>
          <w:szCs w:val="24"/>
          <w:lang w:eastAsia="zh-TW"/>
        </w:rPr>
        <w:instrText xml:space="preserve"> \* MERGEFORMAT </w:instrText>
      </w:r>
      <w:r w:rsidRPr="00274038">
        <w:rPr>
          <w:sz w:val="24"/>
          <w:szCs w:val="24"/>
          <w:lang w:eastAsia="zh-TW"/>
        </w:rPr>
      </w:r>
      <w:r w:rsidRPr="00274038">
        <w:rPr>
          <w:sz w:val="24"/>
          <w:szCs w:val="24"/>
          <w:lang w:eastAsia="zh-TW"/>
        </w:rPr>
        <w:fldChar w:fldCharType="separate"/>
      </w:r>
      <w:r w:rsidR="0011424E" w:rsidRPr="0011424E">
        <w:rPr>
          <w:sz w:val="24"/>
          <w:szCs w:val="24"/>
        </w:rPr>
        <w:t xml:space="preserve">Figure </w:t>
      </w:r>
      <w:r w:rsidR="0011424E" w:rsidRPr="0011424E">
        <w:rPr>
          <w:noProof/>
          <w:sz w:val="24"/>
          <w:szCs w:val="24"/>
        </w:rPr>
        <w:t>1</w:t>
      </w:r>
      <w:r w:rsidRPr="00274038">
        <w:rPr>
          <w:sz w:val="24"/>
          <w:szCs w:val="24"/>
          <w:lang w:eastAsia="zh-TW"/>
        </w:rPr>
        <w:fldChar w:fldCharType="end"/>
      </w:r>
      <w:r>
        <w:rPr>
          <w:sz w:val="24"/>
          <w:szCs w:val="24"/>
          <w:lang w:eastAsia="zh-TW"/>
        </w:rPr>
        <w:t xml:space="preserve"> diagrammati</w:t>
      </w:r>
      <w:r w:rsidR="00864B5B">
        <w:rPr>
          <w:sz w:val="24"/>
          <w:szCs w:val="24"/>
          <w:lang w:eastAsia="zh-TW"/>
        </w:rPr>
        <w:t>cally represents the key conceptual relations</w:t>
      </w:r>
      <w:r w:rsidR="003E78B1">
        <w:rPr>
          <w:sz w:val="24"/>
          <w:szCs w:val="24"/>
          <w:lang w:eastAsia="zh-TW"/>
        </w:rPr>
        <w:t xml:space="preserve"> of the analytical framework, albeit not attempting to capture </w:t>
      </w:r>
      <w:r w:rsidR="003525C1">
        <w:rPr>
          <w:sz w:val="24"/>
          <w:szCs w:val="24"/>
          <w:lang w:eastAsia="zh-TW"/>
        </w:rPr>
        <w:t>all</w:t>
      </w:r>
      <w:r w:rsidR="003E78B1">
        <w:rPr>
          <w:sz w:val="24"/>
          <w:szCs w:val="24"/>
          <w:lang w:eastAsia="zh-TW"/>
        </w:rPr>
        <w:t xml:space="preserve"> its nuances.</w:t>
      </w:r>
      <w:r w:rsidR="000A5ECE">
        <w:rPr>
          <w:sz w:val="24"/>
          <w:szCs w:val="24"/>
          <w:lang w:eastAsia="zh-TW"/>
        </w:rPr>
        <w:t xml:space="preserve"> It highlights that internal and external sources of power operate to control the boundary transactions, and that these boundary transactions act mechanistically upon the research, such that: boundary transactions influenced primarily by internal sources of power operate to make the research more ‘bounded’, tending towards the reproduction of boundaries; by contrast, boundary transactions influenced primarily by external sources of power operate to make the research more ‘unbounded’, tending towards the weakening of boundaries.</w:t>
      </w:r>
      <w:r w:rsidR="00EB4FB7">
        <w:rPr>
          <w:sz w:val="24"/>
          <w:szCs w:val="24"/>
          <w:lang w:eastAsia="zh-TW"/>
        </w:rPr>
        <w:t xml:space="preserve"> Power forces therefore tend to </w:t>
      </w:r>
      <w:r w:rsidR="00147413">
        <w:rPr>
          <w:sz w:val="24"/>
          <w:szCs w:val="24"/>
          <w:lang w:eastAsia="zh-TW"/>
        </w:rPr>
        <w:t>exert control over boundary transactions such that t</w:t>
      </w:r>
      <w:r w:rsidR="00101624">
        <w:rPr>
          <w:sz w:val="24"/>
          <w:szCs w:val="24"/>
          <w:lang w:eastAsia="zh-TW"/>
        </w:rPr>
        <w:t>hey reinforce their own sources of power. Conflicting underpinning structural realities, such as differing sources of power, will always be</w:t>
      </w:r>
      <w:r w:rsidR="000A5ECE">
        <w:rPr>
          <w:sz w:val="24"/>
          <w:szCs w:val="24"/>
          <w:lang w:eastAsia="zh-TW"/>
        </w:rPr>
        <w:t xml:space="preserve"> </w:t>
      </w:r>
      <w:r w:rsidR="00101624">
        <w:rPr>
          <w:sz w:val="24"/>
          <w:szCs w:val="24"/>
          <w:lang w:eastAsia="zh-TW"/>
        </w:rPr>
        <w:t xml:space="preserve">acting upon academia and academic research, so that it is an empirical question as to where the balance of power and control lies and what the implications are for the reproduction of boundaries. </w:t>
      </w:r>
      <w:r w:rsidR="00FA23AF" w:rsidRPr="00FA23AF">
        <w:rPr>
          <w:noProof/>
          <w:sz w:val="24"/>
          <w:szCs w:val="24"/>
          <w:lang w:eastAsia="zh-TW"/>
        </w:rPr>
        <w:drawing>
          <wp:inline distT="0" distB="0" distL="0" distR="0" wp14:anchorId="663C948B" wp14:editId="3D1B91E1">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69E3E106" w14:textId="5E344426" w:rsidR="00FA23AF" w:rsidRPr="00836950" w:rsidRDefault="00FA23AF" w:rsidP="00FA23AF">
      <w:pPr>
        <w:pStyle w:val="Caption"/>
        <w:rPr>
          <w:sz w:val="24"/>
          <w:szCs w:val="24"/>
        </w:rPr>
      </w:pPr>
      <w:bookmarkStart w:id="50" w:name="_Ref11859168"/>
      <w:bookmarkStart w:id="51" w:name="_Ref11906417"/>
      <w:bookmarkStart w:id="52" w:name="_Toc31702070"/>
      <w:r>
        <w:t xml:space="preserve">Figure </w:t>
      </w:r>
      <w:r w:rsidR="00504D08">
        <w:rPr>
          <w:noProof/>
        </w:rPr>
        <w:fldChar w:fldCharType="begin"/>
      </w:r>
      <w:r w:rsidR="00504D08">
        <w:rPr>
          <w:noProof/>
        </w:rPr>
        <w:instrText xml:space="preserve"> SEQ Figure \* ARABIC </w:instrText>
      </w:r>
      <w:r w:rsidR="00504D08">
        <w:rPr>
          <w:noProof/>
        </w:rPr>
        <w:fldChar w:fldCharType="separate"/>
      </w:r>
      <w:r w:rsidR="0011424E">
        <w:rPr>
          <w:noProof/>
        </w:rPr>
        <w:t>1</w:t>
      </w:r>
      <w:r w:rsidR="00504D08">
        <w:rPr>
          <w:noProof/>
        </w:rPr>
        <w:fldChar w:fldCharType="end"/>
      </w:r>
      <w:bookmarkEnd w:id="50"/>
      <w:r>
        <w:t>. Conceptual framework</w:t>
      </w:r>
      <w:r w:rsidR="00EB4FB7">
        <w:t xml:space="preserve"> of the functioning of research-related boundary transactions</w:t>
      </w:r>
      <w:bookmarkEnd w:id="51"/>
      <w:bookmarkEnd w:id="52"/>
    </w:p>
    <w:p w14:paraId="62508E11" w14:textId="5E3F1FBC" w:rsidR="00910646" w:rsidRDefault="00910646" w:rsidP="00C14D1D">
      <w:pPr>
        <w:spacing w:after="120" w:line="360" w:lineRule="auto"/>
        <w:rPr>
          <w:sz w:val="24"/>
          <w:szCs w:val="24"/>
          <w:lang w:eastAsia="zh-TW"/>
        </w:rPr>
      </w:pPr>
      <w:r>
        <w:rPr>
          <w:sz w:val="24"/>
          <w:szCs w:val="24"/>
          <w:lang w:eastAsia="zh-TW"/>
        </w:rPr>
        <w:t xml:space="preserve">In the Methodology (Chapter </w:t>
      </w:r>
      <w:r w:rsidR="00D66BB5">
        <w:rPr>
          <w:sz w:val="24"/>
          <w:szCs w:val="24"/>
          <w:lang w:eastAsia="zh-TW"/>
        </w:rPr>
        <w:t>3</w:t>
      </w:r>
      <w:r>
        <w:rPr>
          <w:sz w:val="24"/>
          <w:szCs w:val="24"/>
          <w:lang w:eastAsia="zh-TW"/>
        </w:rPr>
        <w:t>), I discuss the analytical procedures in greater detail and emphasise the alignment of each analytical procedure with the critical realist epistemological framework adopted.</w:t>
      </w:r>
      <w:r w:rsidR="007647D1">
        <w:rPr>
          <w:sz w:val="24"/>
          <w:szCs w:val="24"/>
          <w:lang w:eastAsia="zh-TW"/>
        </w:rPr>
        <w:t xml:space="preserve"> From the critical realist perspective, the final analytical step described above allows a level of inference which goes deeper than a surface-level explanation of observed events. From the critical realist perspective</w:t>
      </w:r>
      <w:r w:rsidR="00836950">
        <w:rPr>
          <w:sz w:val="24"/>
          <w:szCs w:val="24"/>
          <w:lang w:eastAsia="zh-TW"/>
        </w:rPr>
        <w:t xml:space="preserve">: </w:t>
      </w:r>
      <w:r w:rsidR="007647D1">
        <w:rPr>
          <w:sz w:val="24"/>
          <w:szCs w:val="24"/>
          <w:lang w:eastAsia="zh-TW"/>
        </w:rPr>
        <w:t xml:space="preserve">the </w:t>
      </w:r>
      <w:r w:rsidR="007647D1" w:rsidRPr="007647D1">
        <w:rPr>
          <w:i/>
          <w:sz w:val="24"/>
          <w:szCs w:val="24"/>
          <w:lang w:eastAsia="zh-TW"/>
        </w:rPr>
        <w:t xml:space="preserve">underpinning </w:t>
      </w:r>
      <w:r w:rsidR="006D2572">
        <w:rPr>
          <w:i/>
          <w:sz w:val="24"/>
          <w:szCs w:val="24"/>
          <w:lang w:eastAsia="zh-TW"/>
        </w:rPr>
        <w:t>source</w:t>
      </w:r>
      <w:r w:rsidR="007647D1">
        <w:rPr>
          <w:i/>
          <w:sz w:val="24"/>
          <w:szCs w:val="24"/>
          <w:lang w:eastAsia="zh-TW"/>
        </w:rPr>
        <w:t>s</w:t>
      </w:r>
      <w:r w:rsidR="007647D1" w:rsidRPr="007647D1">
        <w:rPr>
          <w:i/>
          <w:sz w:val="24"/>
          <w:szCs w:val="24"/>
          <w:lang w:eastAsia="zh-TW"/>
        </w:rPr>
        <w:t xml:space="preserve"> </w:t>
      </w:r>
      <w:r w:rsidR="007647D1" w:rsidRPr="007647D1">
        <w:rPr>
          <w:sz w:val="24"/>
          <w:szCs w:val="24"/>
          <w:lang w:eastAsia="zh-TW"/>
        </w:rPr>
        <w:t>of power and control</w:t>
      </w:r>
      <w:r w:rsidR="007647D1">
        <w:rPr>
          <w:sz w:val="24"/>
          <w:szCs w:val="24"/>
          <w:lang w:eastAsia="zh-TW"/>
        </w:rPr>
        <w:t xml:space="preserve"> over boundary transactions leading to the observed variations in the typology data in different institutional contexts are conceptualised </w:t>
      </w:r>
      <w:r w:rsidR="006D2572">
        <w:rPr>
          <w:sz w:val="24"/>
          <w:szCs w:val="24"/>
          <w:lang w:eastAsia="zh-TW"/>
        </w:rPr>
        <w:t xml:space="preserve">as </w:t>
      </w:r>
      <w:r w:rsidR="006D2572">
        <w:rPr>
          <w:i/>
          <w:sz w:val="24"/>
          <w:szCs w:val="24"/>
          <w:lang w:eastAsia="zh-TW"/>
        </w:rPr>
        <w:t xml:space="preserve">deep structural realities </w:t>
      </w:r>
      <w:r w:rsidR="006D2572">
        <w:rPr>
          <w:sz w:val="24"/>
          <w:szCs w:val="24"/>
          <w:lang w:eastAsia="zh-TW"/>
        </w:rPr>
        <w:t xml:space="preserve">whose existence </w:t>
      </w:r>
      <w:r w:rsidR="006D2572">
        <w:rPr>
          <w:i/>
          <w:sz w:val="24"/>
          <w:szCs w:val="24"/>
          <w:lang w:eastAsia="zh-TW"/>
        </w:rPr>
        <w:t xml:space="preserve">shapes and transcends </w:t>
      </w:r>
      <w:r w:rsidR="006D2572">
        <w:rPr>
          <w:sz w:val="24"/>
          <w:szCs w:val="24"/>
          <w:lang w:eastAsia="zh-TW"/>
        </w:rPr>
        <w:t xml:space="preserve">the specific phenomena studied, </w:t>
      </w:r>
      <w:r w:rsidR="00836950">
        <w:rPr>
          <w:sz w:val="24"/>
          <w:szCs w:val="24"/>
          <w:lang w:eastAsia="zh-TW"/>
        </w:rPr>
        <w:t xml:space="preserve">but </w:t>
      </w:r>
      <w:r w:rsidR="00836950">
        <w:rPr>
          <w:i/>
          <w:sz w:val="24"/>
          <w:szCs w:val="24"/>
          <w:lang w:eastAsia="zh-TW"/>
        </w:rPr>
        <w:t>which interacts with more surface-level structures</w:t>
      </w:r>
      <w:r w:rsidR="00836950">
        <w:rPr>
          <w:sz w:val="24"/>
          <w:szCs w:val="24"/>
          <w:lang w:eastAsia="zh-TW"/>
        </w:rPr>
        <w:t xml:space="preserve">, such as disciplinary and institutional context, in order to contribute causally to produce the observed effects. </w:t>
      </w:r>
      <w:r w:rsidR="00EA0E48">
        <w:rPr>
          <w:sz w:val="24"/>
          <w:szCs w:val="24"/>
          <w:lang w:eastAsia="zh-TW"/>
        </w:rPr>
        <w:t>Thus, the</w:t>
      </w:r>
      <w:r w:rsidR="005E3FE0">
        <w:rPr>
          <w:sz w:val="24"/>
          <w:szCs w:val="24"/>
          <w:lang w:eastAsia="zh-TW"/>
        </w:rPr>
        <w:t xml:space="preserve"> in-depth</w:t>
      </w:r>
      <w:r w:rsidR="00EA0E48">
        <w:rPr>
          <w:sz w:val="24"/>
          <w:szCs w:val="24"/>
          <w:lang w:eastAsia="zh-TW"/>
        </w:rPr>
        <w:t xml:space="preserve"> comparativ</w:t>
      </w:r>
      <w:r w:rsidR="005E3FE0">
        <w:rPr>
          <w:sz w:val="24"/>
          <w:szCs w:val="24"/>
          <w:lang w:eastAsia="zh-TW"/>
        </w:rPr>
        <w:t>e</w:t>
      </w:r>
      <w:r w:rsidR="00EA0E48">
        <w:rPr>
          <w:sz w:val="24"/>
          <w:szCs w:val="24"/>
          <w:lang w:eastAsia="zh-TW"/>
        </w:rPr>
        <w:t xml:space="preserve"> analysis of variations between contexts allows me to reveal some of the underpinning structur</w:t>
      </w:r>
      <w:r w:rsidR="005E3FE0">
        <w:rPr>
          <w:sz w:val="24"/>
          <w:szCs w:val="24"/>
          <w:lang w:eastAsia="zh-TW"/>
        </w:rPr>
        <w:t xml:space="preserve">al realities which continually act upon academia, albeit that their precise manifestation is mediated by other, more surface-level structural realities. </w:t>
      </w:r>
    </w:p>
    <w:p w14:paraId="36B155F3" w14:textId="1ECC9302" w:rsidR="00BE115E" w:rsidRDefault="00BE115E" w:rsidP="00BE115E">
      <w:pPr>
        <w:pStyle w:val="Heading2"/>
        <w:rPr>
          <w:lang w:eastAsia="zh-TW"/>
        </w:rPr>
      </w:pPr>
      <w:bookmarkStart w:id="53" w:name="_Toc31701958"/>
      <w:r>
        <w:rPr>
          <w:lang w:eastAsia="zh-TW"/>
        </w:rPr>
        <w:t>Chapter summary</w:t>
      </w:r>
      <w:bookmarkEnd w:id="53"/>
    </w:p>
    <w:p w14:paraId="06CF28CE" w14:textId="4E06081F" w:rsidR="0004747B" w:rsidRDefault="0004747B" w:rsidP="0004747B">
      <w:pPr>
        <w:pStyle w:val="CommentText"/>
        <w:spacing w:after="120" w:line="360" w:lineRule="auto"/>
        <w:rPr>
          <w:sz w:val="24"/>
          <w:szCs w:val="24"/>
        </w:rPr>
      </w:pPr>
      <w:r w:rsidRPr="009E6E82">
        <w:rPr>
          <w:sz w:val="24"/>
          <w:szCs w:val="24"/>
        </w:rPr>
        <w:t xml:space="preserve">This chapter </w:t>
      </w:r>
      <w:r>
        <w:rPr>
          <w:sz w:val="24"/>
          <w:szCs w:val="24"/>
        </w:rPr>
        <w:t xml:space="preserve">has </w:t>
      </w:r>
      <w:r w:rsidR="002024F7">
        <w:rPr>
          <w:sz w:val="24"/>
          <w:szCs w:val="24"/>
        </w:rPr>
        <w:t>reviewed</w:t>
      </w:r>
      <w:r>
        <w:rPr>
          <w:sz w:val="24"/>
          <w:szCs w:val="24"/>
        </w:rPr>
        <w:t xml:space="preserve"> a substantial and purposeful review of a range of theoretical and empirical literature. This started with an elaboration of the ‘boundary’ lens adopted, grounded primarily within a Bernsteinian sociology </w:t>
      </w:r>
      <w:r w:rsidRPr="009E6E82">
        <w:rPr>
          <w:sz w:val="24"/>
          <w:szCs w:val="24"/>
        </w:rPr>
        <w:t xml:space="preserve">of ‘power’ and ‘control’ over academic </w:t>
      </w:r>
      <w:r>
        <w:rPr>
          <w:sz w:val="24"/>
          <w:szCs w:val="24"/>
        </w:rPr>
        <w:t>knowledge, research and related activities</w:t>
      </w:r>
      <w:r w:rsidRPr="009E6E82">
        <w:rPr>
          <w:sz w:val="24"/>
          <w:szCs w:val="24"/>
        </w:rPr>
        <w:t>.</w:t>
      </w:r>
      <w:r>
        <w:rPr>
          <w:sz w:val="24"/>
          <w:szCs w:val="24"/>
        </w:rPr>
        <w:t xml:space="preserve"> However, it also drew more widely from sociological theory, such as the sociology of science and organisation in order to add greater a</w:t>
      </w:r>
      <w:r w:rsidR="001935B5">
        <w:rPr>
          <w:sz w:val="24"/>
          <w:szCs w:val="24"/>
        </w:rPr>
        <w:t>nalytical clarity, particularly</w:t>
      </w:r>
      <w:r>
        <w:rPr>
          <w:sz w:val="24"/>
          <w:szCs w:val="24"/>
        </w:rPr>
        <w:t xml:space="preserve"> my use of the concept of ‘transactions’, which I linked to Bernstein’s notion of ‘control’. </w:t>
      </w:r>
      <w:r w:rsidR="002024F7">
        <w:rPr>
          <w:sz w:val="24"/>
          <w:szCs w:val="24"/>
        </w:rPr>
        <w:t>This comprised the first main section of this chapter.</w:t>
      </w:r>
    </w:p>
    <w:p w14:paraId="779ED7F3" w14:textId="6A7A5743" w:rsidR="0004747B" w:rsidRDefault="002024F7" w:rsidP="0004747B">
      <w:pPr>
        <w:pStyle w:val="CommentText"/>
        <w:spacing w:after="120" w:line="360" w:lineRule="auto"/>
        <w:rPr>
          <w:sz w:val="24"/>
          <w:szCs w:val="24"/>
        </w:rPr>
      </w:pPr>
      <w:r>
        <w:rPr>
          <w:sz w:val="24"/>
          <w:szCs w:val="24"/>
        </w:rPr>
        <w:t>Next, a</w:t>
      </w:r>
      <w:r w:rsidR="0004747B">
        <w:rPr>
          <w:sz w:val="24"/>
          <w:szCs w:val="24"/>
        </w:rPr>
        <w:t xml:space="preserve"> still broader set of literature was draw</w:t>
      </w:r>
      <w:r>
        <w:rPr>
          <w:sz w:val="24"/>
          <w:szCs w:val="24"/>
        </w:rPr>
        <w:t>n</w:t>
      </w:r>
      <w:r w:rsidR="0004747B">
        <w:rPr>
          <w:sz w:val="24"/>
          <w:szCs w:val="24"/>
        </w:rPr>
        <w:t xml:space="preserve"> upon to identif</w:t>
      </w:r>
      <w:r>
        <w:rPr>
          <w:sz w:val="24"/>
          <w:szCs w:val="24"/>
        </w:rPr>
        <w:t>y different forms of</w:t>
      </w:r>
      <w:r w:rsidR="0004747B">
        <w:rPr>
          <w:sz w:val="24"/>
          <w:szCs w:val="24"/>
        </w:rPr>
        <w:t xml:space="preserve"> ‘boundary transaction’, </w:t>
      </w:r>
      <w:r>
        <w:rPr>
          <w:sz w:val="24"/>
          <w:szCs w:val="24"/>
        </w:rPr>
        <w:t>which I broke down into</w:t>
      </w:r>
      <w:r w:rsidR="0004747B">
        <w:rPr>
          <w:sz w:val="24"/>
          <w:szCs w:val="24"/>
        </w:rPr>
        <w:t xml:space="preserve"> five</w:t>
      </w:r>
      <w:r>
        <w:rPr>
          <w:sz w:val="24"/>
          <w:szCs w:val="24"/>
        </w:rPr>
        <w:t xml:space="preserve"> main forms</w:t>
      </w:r>
      <w:r w:rsidR="0004747B">
        <w:rPr>
          <w:sz w:val="24"/>
          <w:szCs w:val="24"/>
        </w:rPr>
        <w:t xml:space="preserve">: outreach, collaboration, use-oriented outputs (‘boundary objects’), boundary structures, and boundary-spanners. </w:t>
      </w:r>
      <w:r w:rsidR="0004747B" w:rsidRPr="009E6E82">
        <w:rPr>
          <w:sz w:val="24"/>
          <w:szCs w:val="24"/>
        </w:rPr>
        <w:t>This section of the literature gives some indication of how boundary transactions</w:t>
      </w:r>
      <w:r w:rsidR="0004747B">
        <w:rPr>
          <w:sz w:val="24"/>
          <w:szCs w:val="24"/>
        </w:rPr>
        <w:t xml:space="preserve"> </w:t>
      </w:r>
      <w:r w:rsidR="0004747B" w:rsidRPr="009E6E82">
        <w:rPr>
          <w:sz w:val="24"/>
          <w:szCs w:val="24"/>
        </w:rPr>
        <w:t>play out in actual contexts of academia’s relations with wider society</w:t>
      </w:r>
      <w:r w:rsidR="0004747B">
        <w:rPr>
          <w:sz w:val="24"/>
          <w:szCs w:val="24"/>
        </w:rPr>
        <w:t xml:space="preserve"> and will help </w:t>
      </w:r>
      <w:r w:rsidR="0004747B" w:rsidRPr="009E6E82">
        <w:rPr>
          <w:sz w:val="24"/>
          <w:szCs w:val="24"/>
        </w:rPr>
        <w:t>to orient and contextualise my empirical analysis</w:t>
      </w:r>
      <w:r w:rsidR="0004747B">
        <w:rPr>
          <w:sz w:val="24"/>
          <w:szCs w:val="24"/>
        </w:rPr>
        <w:t xml:space="preserve"> by </w:t>
      </w:r>
      <w:r>
        <w:rPr>
          <w:sz w:val="24"/>
          <w:szCs w:val="24"/>
        </w:rPr>
        <w:t xml:space="preserve">pointing towards the kinds of transaction I am likely to find </w:t>
      </w:r>
      <w:r w:rsidR="0004747B">
        <w:rPr>
          <w:sz w:val="24"/>
          <w:szCs w:val="24"/>
        </w:rPr>
        <w:t xml:space="preserve">in my own sample of STEMM research. </w:t>
      </w:r>
    </w:p>
    <w:p w14:paraId="5BD96D2D" w14:textId="77777777" w:rsidR="0004747B" w:rsidRDefault="0004747B" w:rsidP="0004747B">
      <w:pPr>
        <w:pStyle w:val="CommentText"/>
        <w:spacing w:after="120" w:line="360" w:lineRule="auto"/>
        <w:rPr>
          <w:sz w:val="24"/>
          <w:szCs w:val="24"/>
        </w:rPr>
      </w:pPr>
      <w:r>
        <w:rPr>
          <w:sz w:val="24"/>
          <w:szCs w:val="24"/>
        </w:rPr>
        <w:t xml:space="preserve">In the third main section of this chapter, I discussed McNie et al.’s (2016) typology and explained how it will be relevant to my analysis, providing me with a way to organise and quantify my interpretation of the sampled STEMM research, while simultaneously allowing me to capture the multi-dimensionality and complexity of research and research-related activities. </w:t>
      </w:r>
    </w:p>
    <w:p w14:paraId="4FED50EB" w14:textId="720E764B" w:rsidR="008B707B" w:rsidRDefault="0004747B" w:rsidP="003F3F0C">
      <w:pPr>
        <w:pStyle w:val="CommentText"/>
        <w:spacing w:after="120" w:line="360" w:lineRule="auto"/>
        <w:rPr>
          <w:sz w:val="24"/>
          <w:szCs w:val="24"/>
        </w:rPr>
      </w:pPr>
      <w:r>
        <w:rPr>
          <w:sz w:val="24"/>
          <w:szCs w:val="24"/>
        </w:rPr>
        <w:t xml:space="preserve">All of these strands of literature were brought together in the fourth and final main section, where they each contributed key elements to my analytical framework. </w:t>
      </w:r>
      <w:r>
        <w:rPr>
          <w:iCs/>
          <w:sz w:val="24"/>
          <w:szCs w:val="24"/>
        </w:rPr>
        <w:t>In the following chapter, I present the methodology, which will explain</w:t>
      </w:r>
      <w:r w:rsidR="007F509F">
        <w:rPr>
          <w:iCs/>
          <w:sz w:val="24"/>
          <w:szCs w:val="24"/>
        </w:rPr>
        <w:t xml:space="preserve"> how my methods of data and analysis will operationalise and implement this analytical framework, and how the analysis which this enables will be able to address my research questions. </w:t>
      </w:r>
    </w:p>
    <w:p w14:paraId="018130F7" w14:textId="6BE88E10" w:rsidR="00082217" w:rsidRPr="00A80A5A" w:rsidRDefault="002074DC" w:rsidP="008804CD">
      <w:pPr>
        <w:pStyle w:val="Heading1"/>
        <w:spacing w:before="0"/>
      </w:pPr>
      <w:r>
        <w:br w:type="page"/>
      </w:r>
      <w:bookmarkStart w:id="54" w:name="_Toc536717931"/>
      <w:bookmarkStart w:id="55" w:name="_Toc31701959"/>
      <w:bookmarkEnd w:id="28"/>
      <w:r w:rsidR="00082217">
        <w:rPr>
          <w:lang w:eastAsia="ko-KR"/>
        </w:rPr>
        <w:t xml:space="preserve">Chapter </w:t>
      </w:r>
      <w:r w:rsidR="001B4926">
        <w:rPr>
          <w:lang w:eastAsia="ko-KR"/>
        </w:rPr>
        <w:t>3</w:t>
      </w:r>
      <w:r w:rsidR="00082217">
        <w:rPr>
          <w:lang w:eastAsia="ko-KR"/>
        </w:rPr>
        <w:t>. Methodology</w:t>
      </w:r>
      <w:bookmarkEnd w:id="54"/>
      <w:bookmarkEnd w:id="55"/>
    </w:p>
    <w:p w14:paraId="5440130D" w14:textId="0805B2BC" w:rsidR="00082217" w:rsidRDefault="00082217" w:rsidP="008804CD">
      <w:pPr>
        <w:pStyle w:val="Heading2"/>
        <w:spacing w:before="0"/>
        <w:rPr>
          <w:lang w:eastAsia="ko-KR"/>
        </w:rPr>
      </w:pPr>
      <w:bookmarkStart w:id="56" w:name="_Toc536717932"/>
      <w:bookmarkStart w:id="57" w:name="_Toc31701960"/>
      <w:r>
        <w:rPr>
          <w:lang w:eastAsia="ko-KR"/>
        </w:rPr>
        <w:t>Introduction</w:t>
      </w:r>
      <w:bookmarkEnd w:id="56"/>
      <w:bookmarkEnd w:id="57"/>
    </w:p>
    <w:p w14:paraId="143AE498" w14:textId="0E432C1D" w:rsidR="00B41FC1" w:rsidRPr="00B41FC1" w:rsidRDefault="00DE0FFA" w:rsidP="00046D95">
      <w:pPr>
        <w:pStyle w:val="NormalWeb"/>
        <w:spacing w:before="0" w:beforeAutospacing="0" w:after="120" w:afterAutospacing="0" w:line="360" w:lineRule="auto"/>
        <w:rPr>
          <w:i/>
          <w:iCs/>
        </w:rPr>
      </w:pPr>
      <w:r w:rsidRPr="00A85BFB">
        <w:t>As a reminder, the main guiding research question</w:t>
      </w:r>
      <w:r w:rsidR="003C7126" w:rsidRPr="00A85BFB">
        <w:t xml:space="preserve"> for my study</w:t>
      </w:r>
      <w:r w:rsidRPr="00A85BFB">
        <w:t xml:space="preserve"> is: </w:t>
      </w:r>
      <w:r w:rsidR="00B41FC1" w:rsidRPr="00B41FC1">
        <w:rPr>
          <w:i/>
          <w:iCs/>
        </w:rPr>
        <w:t>What is the balance of ‘power’ and ‘control’ over the organisation, activities and societal relations associated with ‘high-impact’ academic STEMM research in the REF2014 context?</w:t>
      </w:r>
    </w:p>
    <w:p w14:paraId="32605943" w14:textId="77777777" w:rsidR="00B41FC1" w:rsidRPr="00B41FC1" w:rsidRDefault="00B41FC1" w:rsidP="00046D95">
      <w:pPr>
        <w:pStyle w:val="NormalWeb"/>
        <w:spacing w:before="0" w:beforeAutospacing="0" w:after="120" w:afterAutospacing="0" w:line="360" w:lineRule="auto"/>
      </w:pPr>
      <w:r w:rsidRPr="00B41FC1">
        <w:t>Sub-questions:</w:t>
      </w:r>
    </w:p>
    <w:p w14:paraId="66FBE1B2" w14:textId="75285E85" w:rsidR="00680971" w:rsidRPr="00B41FC1" w:rsidRDefault="00680971" w:rsidP="00046D95">
      <w:pPr>
        <w:pStyle w:val="NormalWeb"/>
        <w:numPr>
          <w:ilvl w:val="0"/>
          <w:numId w:val="12"/>
        </w:numPr>
        <w:spacing w:before="0" w:beforeAutospacing="0" w:after="120" w:afterAutospacing="0" w:line="360" w:lineRule="auto"/>
        <w:rPr>
          <w:i/>
          <w:iCs/>
        </w:rPr>
      </w:pPr>
      <w:r w:rsidRPr="00B41FC1">
        <w:rPr>
          <w:i/>
          <w:iCs/>
        </w:rPr>
        <w:t>What role do different institutional and epistemic contexts play in shaping the balance of ‘power’ and ‘control’</w:t>
      </w:r>
      <w:r>
        <w:rPr>
          <w:i/>
          <w:iCs/>
        </w:rPr>
        <w:t xml:space="preserve"> over academic STEMM research</w:t>
      </w:r>
      <w:r w:rsidRPr="00B41FC1">
        <w:rPr>
          <w:i/>
          <w:iCs/>
        </w:rPr>
        <w:t xml:space="preserve">? </w:t>
      </w:r>
    </w:p>
    <w:p w14:paraId="680E5DE0" w14:textId="77777777" w:rsidR="00680971" w:rsidRPr="00B41FC1" w:rsidRDefault="00680971" w:rsidP="00046D95">
      <w:pPr>
        <w:pStyle w:val="NormalWeb"/>
        <w:numPr>
          <w:ilvl w:val="0"/>
          <w:numId w:val="12"/>
        </w:numPr>
        <w:spacing w:before="0" w:beforeAutospacing="0" w:after="120" w:afterAutospacing="0" w:line="360" w:lineRule="auto"/>
        <w:rPr>
          <w:i/>
          <w:iCs/>
        </w:rPr>
      </w:pPr>
      <w:r w:rsidRPr="00B41FC1">
        <w:rPr>
          <w:i/>
          <w:iCs/>
        </w:rPr>
        <w:t>What are the main forms and functions of ‘boundary transactions’ associated with the sampled academic STEMM research?</w:t>
      </w:r>
    </w:p>
    <w:p w14:paraId="0A345004" w14:textId="77777777" w:rsidR="00680971" w:rsidRPr="00B41FC1" w:rsidRDefault="00680971" w:rsidP="00046D95">
      <w:pPr>
        <w:pStyle w:val="NormalWeb"/>
        <w:numPr>
          <w:ilvl w:val="0"/>
          <w:numId w:val="12"/>
        </w:numPr>
        <w:spacing w:before="0" w:beforeAutospacing="0" w:after="120" w:afterAutospacing="0" w:line="360" w:lineRule="auto"/>
        <w:rPr>
          <w:i/>
          <w:iCs/>
        </w:rPr>
      </w:pPr>
      <w:r w:rsidRPr="00B41FC1">
        <w:rPr>
          <w:i/>
          <w:iCs/>
        </w:rPr>
        <w:t>What are the implications of the balance of ‘power’ and ‘control’ for academic boundaries</w:t>
      </w:r>
      <w:r>
        <w:rPr>
          <w:i/>
          <w:iCs/>
        </w:rPr>
        <w:t xml:space="preserve"> in the context of the ‘impact agenda’</w:t>
      </w:r>
      <w:r w:rsidRPr="00B41FC1">
        <w:rPr>
          <w:i/>
          <w:iCs/>
        </w:rPr>
        <w:t>?</w:t>
      </w:r>
    </w:p>
    <w:p w14:paraId="5F75805B" w14:textId="3E74AF3E" w:rsidR="00CF1BD6" w:rsidRDefault="003C7126" w:rsidP="0026735C">
      <w:pPr>
        <w:pStyle w:val="NormalWeb"/>
        <w:spacing w:before="0" w:beforeAutospacing="0" w:after="120" w:afterAutospacing="0" w:line="360" w:lineRule="auto"/>
      </w:pPr>
      <w:r w:rsidRPr="00A85BFB">
        <w:t>This chapter explains and justifies my approach to answering the questions. In brief,</w:t>
      </w:r>
      <w:r w:rsidR="005733FD">
        <w:t xml:space="preserve"> </w:t>
      </w:r>
      <w:r w:rsidR="005B4EA3">
        <w:t>a key</w:t>
      </w:r>
      <w:r w:rsidR="005733FD">
        <w:t xml:space="preserve"> </w:t>
      </w:r>
      <w:r w:rsidR="00C01043">
        <w:t>tool used to address</w:t>
      </w:r>
      <w:r w:rsidR="005733FD">
        <w:t xml:space="preserve"> the overarching </w:t>
      </w:r>
      <w:r w:rsidR="0026735C">
        <w:t xml:space="preserve">research question is </w:t>
      </w:r>
      <w:r w:rsidR="00127075">
        <w:t>a</w:t>
      </w:r>
      <w:r w:rsidR="0026735C">
        <w:t xml:space="preserve"> slightly adapted version of </w:t>
      </w:r>
      <w:r w:rsidR="0041406E">
        <w:t>McNie et al.’s (2016) typology</w:t>
      </w:r>
      <w:r w:rsidR="00DE0FFA" w:rsidRPr="00A85BFB">
        <w:t xml:space="preserve"> which allow</w:t>
      </w:r>
      <w:r w:rsidR="00A228FC" w:rsidRPr="00A85BFB">
        <w:t xml:space="preserve">ed </w:t>
      </w:r>
      <w:r w:rsidR="00DE0FFA" w:rsidRPr="00A85BFB">
        <w:t xml:space="preserve">me to “holistic[ally] ... investigate, understand, [and] assess” </w:t>
      </w:r>
      <w:r w:rsidR="00DE0FFA" w:rsidRPr="00A85BFB">
        <w:fldChar w:fldCharType="begin"/>
      </w:r>
      <w:r w:rsidR="00DE0FFA" w:rsidRPr="00A85BFB">
        <w:instrText xml:space="preserve"> ADDIN EN.CITE &lt;EndNote&gt;&lt;Cite&gt;&lt;Author&gt;McNie&lt;/Author&gt;&lt;Year&gt;2016&lt;/Year&gt;&lt;IDText&gt;Improving the public value of science: A typology to inform discussion, design and implementation of research&lt;/IDText&gt;&lt;Pages&gt;893&lt;/Pages&gt;&lt;DisplayText&gt;(McNie et al., 2016, p. 893)&lt;/DisplayText&gt;&lt;record&gt;&lt;urls&gt;&lt;related-urls&gt;&lt;url&gt;https://www.scopus.com/inward/record.uri?eid=2-s2.0-84959431924&amp;amp;partnerID=40&amp;amp;md5=6e4fc01d19d1b61b09084e6d6aa244db&lt;/url&gt;&lt;/related-urls&gt;&lt;/urls&gt;&lt;work-type&gt;Article&lt;/work-type&gt;&lt;titles&gt;&lt;title&gt;Improving the public value of science: A typology to inform discussion, design and implementation of research&lt;/title&gt;&lt;secondary-title&gt;Research Policy&lt;/secondary-title&gt;&lt;/titles&gt;&lt;pages&gt;884-895&lt;/pages&gt;&lt;number&gt;4&lt;/number&gt;&lt;contributors&gt;&lt;authors&gt;&lt;author&gt;McNie, E. C.&lt;/author&gt;&lt;author&gt;Parris, A.&lt;/author&gt;&lt;author&gt;Sarewitz, D.&lt;/author&gt;&lt;/authors&gt;&lt;/contributors&gt;&lt;added-date format="utc"&gt;1473704837&lt;/added-date&gt;&lt;ref-type name="Journal Article"&gt;17&lt;/ref-type&gt;&lt;dates&gt;&lt;year&gt;2016&lt;/year&gt;&lt;/dates&gt;&lt;rec-number&gt;3484&lt;/rec-number&gt;&lt;last-updated-date format="utc"&gt;1473704837&lt;/last-updated-date&gt;&lt;electronic-resource-num&gt;10.1016/j.respol.2016.01.004&lt;/electronic-resource-num&gt;&lt;volume&gt;45&lt;/volume&gt;&lt;remote-database-name&gt;Scopus&lt;/remote-database-name&gt;&lt;/record&gt;&lt;/Cite&gt;&lt;/EndNote&gt;</w:instrText>
      </w:r>
      <w:r w:rsidR="00DE0FFA" w:rsidRPr="00A85BFB">
        <w:fldChar w:fldCharType="separate"/>
      </w:r>
      <w:r w:rsidR="00DE0FFA" w:rsidRPr="00A85BFB">
        <w:rPr>
          <w:noProof/>
        </w:rPr>
        <w:t>(McNie et al., 2016, p. 893)</w:t>
      </w:r>
      <w:r w:rsidR="00DE0FFA" w:rsidRPr="00A85BFB">
        <w:fldChar w:fldCharType="end"/>
      </w:r>
      <w:r w:rsidR="00DE0FFA" w:rsidRPr="00A85BFB">
        <w:t xml:space="preserve"> the complex ways in which, and overall extent to which, the sampled </w:t>
      </w:r>
      <w:r w:rsidR="00A228FC" w:rsidRPr="00A85BFB">
        <w:t>bodies of research (</w:t>
      </w:r>
      <w:r w:rsidR="00DE0FFA" w:rsidRPr="00A85BFB">
        <w:t>BoRs</w:t>
      </w:r>
      <w:r w:rsidR="00A228FC" w:rsidRPr="00A85BFB">
        <w:t>)</w:t>
      </w:r>
      <w:r w:rsidR="00DE0FFA" w:rsidRPr="00A85BFB">
        <w:t xml:space="preserve"> tended towards either strengthening or weakening (reproducing or reshaping, etc.) academic boundaries. The t</w:t>
      </w:r>
      <w:r w:rsidR="00500783">
        <w:t>ypology</w:t>
      </w:r>
      <w:r w:rsidR="001C65F3" w:rsidRPr="00A85BFB">
        <w:t xml:space="preserve">, </w:t>
      </w:r>
      <w:r w:rsidR="001451F2">
        <w:t>introduced in</w:t>
      </w:r>
      <w:r w:rsidR="001C65F3" w:rsidRPr="00A85BFB">
        <w:t xml:space="preserve"> Chapter 2</w:t>
      </w:r>
      <w:r w:rsidR="00D6274F" w:rsidRPr="00A85BFB">
        <w:t xml:space="preserve"> and also</w:t>
      </w:r>
      <w:r w:rsidR="00500783">
        <w:t xml:space="preserve"> further</w:t>
      </w:r>
      <w:r w:rsidR="00D6274F" w:rsidRPr="00A85BFB">
        <w:t xml:space="preserve"> explained </w:t>
      </w:r>
      <w:r w:rsidR="00500783">
        <w:t>later</w:t>
      </w:r>
      <w:r w:rsidR="00D6274F" w:rsidRPr="00A85BFB">
        <w:t xml:space="preserve"> in </w:t>
      </w:r>
      <w:r w:rsidR="00500783">
        <w:t>this</w:t>
      </w:r>
      <w:r w:rsidR="00D6274F" w:rsidRPr="00A85BFB">
        <w:t xml:space="preserve"> chapter</w:t>
      </w:r>
      <w:r w:rsidR="001C65F3" w:rsidRPr="00A85BFB">
        <w:t>,</w:t>
      </w:r>
      <w:r w:rsidR="00DE0FFA" w:rsidRPr="00A85BFB">
        <w:t xml:space="preserve"> </w:t>
      </w:r>
      <w:r w:rsidR="00500783">
        <w:t>was designed</w:t>
      </w:r>
      <w:r w:rsidR="00DE0FFA" w:rsidRPr="00A85BFB">
        <w:t xml:space="preserve"> to capture the full “multi-dimensional” (p. 885) complexity of research, with particular focus on the ways that the ‘user’, or at least researchers’ consideration of perceived users, can influence the research process.</w:t>
      </w:r>
      <w:r w:rsidR="00CF1BD6">
        <w:t xml:space="preserve"> My adapted version, drawing on Bernstein</w:t>
      </w:r>
      <w:r w:rsidR="00500783">
        <w:t>’s interrelated</w:t>
      </w:r>
      <w:r w:rsidR="00CF1BD6">
        <w:t xml:space="preserve"> concepts of ‘boundaries’, ‘power’ and ‘control’, allow me to conceptualise the results of the typology data as indicators of ‘power’ and ‘control’ over academic research, which I capture in the term </w:t>
      </w:r>
      <w:r w:rsidR="00CF1BD6">
        <w:rPr>
          <w:i/>
        </w:rPr>
        <w:t xml:space="preserve">‘boundedness’ </w:t>
      </w:r>
      <w:r w:rsidR="00CF1BD6">
        <w:t xml:space="preserve">of research. </w:t>
      </w:r>
    </w:p>
    <w:p w14:paraId="034D052E" w14:textId="00AFC3DD" w:rsidR="002E1661" w:rsidRDefault="00D6274F" w:rsidP="0026735C">
      <w:pPr>
        <w:pStyle w:val="NormalWeb"/>
        <w:spacing w:before="0" w:beforeAutospacing="0" w:after="120" w:afterAutospacing="0" w:line="360" w:lineRule="auto"/>
      </w:pPr>
      <w:r w:rsidRPr="00A85BFB">
        <w:t xml:space="preserve">Plotting a given BoR against the typology’s fifteen attributes/activities yields data which lends itself to ‘interpretative quantitative’ </w:t>
      </w:r>
      <w:r w:rsidRPr="00A85BFB">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Pr="00A85BFB">
        <w:instrText xml:space="preserve"> ADDIN EN.CITE </w:instrText>
      </w:r>
      <w:r w:rsidRPr="00A85BFB">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Pr="00A85BFB">
        <w:instrText xml:space="preserve"> ADDIN EN.CITE.DATA </w:instrText>
      </w:r>
      <w:r w:rsidRPr="00A85BFB">
        <w:fldChar w:fldCharType="end"/>
      </w:r>
      <w:r w:rsidRPr="00A85BFB">
        <w:fldChar w:fldCharType="separate"/>
      </w:r>
      <w:r w:rsidRPr="00A85BFB">
        <w:rPr>
          <w:noProof/>
        </w:rPr>
        <w:t>(Babones, 2016; Westerman &amp; Yanchar, 2011)</w:t>
      </w:r>
      <w:r w:rsidRPr="00A85BFB">
        <w:fldChar w:fldCharType="end"/>
      </w:r>
      <w:r w:rsidRPr="00A85BFB">
        <w:t xml:space="preserve"> analysis (see </w:t>
      </w:r>
      <w:r w:rsidRPr="00A85BFB">
        <w:fldChar w:fldCharType="begin"/>
      </w:r>
      <w:r w:rsidRPr="00A85BFB">
        <w:instrText xml:space="preserve"> REF _Ref16671415 \h </w:instrText>
      </w:r>
      <w:r w:rsidR="00EC6545" w:rsidRPr="00A85BFB">
        <w:instrText xml:space="preserve"> \* MERGEFORMAT </w:instrText>
      </w:r>
      <w:r w:rsidRPr="00A85BFB">
        <w:fldChar w:fldCharType="separate"/>
      </w:r>
      <w:r w:rsidR="0011424E" w:rsidRPr="00A85BFB">
        <w:t xml:space="preserve">Figure </w:t>
      </w:r>
      <w:r w:rsidR="0011424E">
        <w:rPr>
          <w:noProof/>
        </w:rPr>
        <w:t>2</w:t>
      </w:r>
      <w:r w:rsidRPr="00A85BFB">
        <w:fldChar w:fldCharType="end"/>
      </w:r>
      <w:r w:rsidRPr="00A85BFB">
        <w:t xml:space="preserve"> for an example of a plotted typology). Typology data from all n=19 BoRs can</w:t>
      </w:r>
      <w:r w:rsidR="00CF1BD6">
        <w:t xml:space="preserve"> then</w:t>
      </w:r>
      <w:r w:rsidRPr="00A85BFB">
        <w:t xml:space="preserve"> be aggregated in various ways to yield insight into the overall extent to which the sampled research tends towards the maintenance and reproduction of boundaries or rather towards their weakening. At a greater level of granularity, they also highlight which activities/attributes of research tend to be mainly associated with the reproduction of boundaries and which with their weakening.</w:t>
      </w:r>
      <w:r w:rsidR="002E1661">
        <w:t xml:space="preserve"> This data can also be aggregated according to the institutional and epistemic contexts of the BoR, thereby directly addressing </w:t>
      </w:r>
      <w:r w:rsidR="00CF1BD6">
        <w:t>S</w:t>
      </w:r>
      <w:r w:rsidR="002E1661">
        <w:t xml:space="preserve">ub-question (a). </w:t>
      </w:r>
    </w:p>
    <w:p w14:paraId="0CE1A8BB" w14:textId="35E0FFDC" w:rsidR="003F3F0C" w:rsidRPr="00A85BFB" w:rsidRDefault="003F3F0C" w:rsidP="003F3F0C">
      <w:pPr>
        <w:pStyle w:val="NormalWeb"/>
        <w:spacing w:before="0" w:beforeAutospacing="0" w:after="120" w:afterAutospacing="0" w:line="360" w:lineRule="auto"/>
      </w:pPr>
      <w:r w:rsidRPr="00A85BFB">
        <w:t>I addressed Sub-question (b) by analysing the documentary and interview data to identify different forms of boundary transaction. A literature review (see Chapter 2) had already pointed to five main forms of boundary transaction</w:t>
      </w:r>
      <w:r w:rsidR="00F06E43">
        <w:t xml:space="preserve"> (</w:t>
      </w:r>
      <w:r w:rsidRPr="00A85BFB">
        <w:t>outreach, collaboration, boundary-spanning outputs, boundary-spanning individuals, and boundary-spanning structures</w:t>
      </w:r>
      <w:r w:rsidR="00F06E43">
        <w:t>)</w:t>
      </w:r>
      <w:r w:rsidRPr="00A85BFB">
        <w:t>. This helped me focus my search for important boundary transactions within the contexts of their specific BoRs.</w:t>
      </w:r>
      <w:r w:rsidR="00B87ED0">
        <w:t xml:space="preserve"> T</w:t>
      </w:r>
      <w:r w:rsidR="00B25CA8">
        <w:t>he</w:t>
      </w:r>
      <w:r w:rsidRPr="00A85BFB">
        <w:t xml:space="preserve"> combination of</w:t>
      </w:r>
      <w:r w:rsidR="00B25CA8">
        <w:t xml:space="preserve"> (i) a</w:t>
      </w:r>
      <w:r w:rsidRPr="00A85BFB">
        <w:t xml:space="preserve"> highly contextualised analysis of specific boundary transactions </w:t>
      </w:r>
      <w:r w:rsidR="00B87ED0">
        <w:t xml:space="preserve">in their contexts, based on both documentary and interview data, </w:t>
      </w:r>
      <w:r w:rsidRPr="00A85BFB">
        <w:t xml:space="preserve">and </w:t>
      </w:r>
      <w:r w:rsidR="00B25CA8">
        <w:t xml:space="preserve">(ii) </w:t>
      </w:r>
      <w:r w:rsidRPr="00A85BFB">
        <w:t>a more abstracted analysis of the ways</w:t>
      </w:r>
      <w:r w:rsidR="00B25CA8">
        <w:t xml:space="preserve"> in which and frequency with which</w:t>
      </w:r>
      <w:r w:rsidRPr="00A85BFB">
        <w:t xml:space="preserve"> the different forms of boundary transactions tended to operate in different contexts allowed me to </w:t>
      </w:r>
      <w:r w:rsidR="00B25CA8">
        <w:t xml:space="preserve">fully </w:t>
      </w:r>
      <w:r w:rsidRPr="00A85BFB">
        <w:t xml:space="preserve">address </w:t>
      </w:r>
      <w:r w:rsidR="00EE548A">
        <w:t>S</w:t>
      </w:r>
      <w:r w:rsidRPr="00A85BFB">
        <w:t xml:space="preserve">ub-question (b). </w:t>
      </w:r>
    </w:p>
    <w:tbl>
      <w:tblPr>
        <w:tblW w:w="7320" w:type="dxa"/>
        <w:tblLook w:val="04A0" w:firstRow="1" w:lastRow="0" w:firstColumn="1" w:lastColumn="0" w:noHBand="0" w:noVBand="1"/>
      </w:tblPr>
      <w:tblGrid>
        <w:gridCol w:w="2694"/>
        <w:gridCol w:w="4626"/>
      </w:tblGrid>
      <w:tr w:rsidR="00DE0FFA" w:rsidRPr="00A85BFB" w14:paraId="37F07499" w14:textId="77777777" w:rsidTr="00D5630C">
        <w:tc>
          <w:tcPr>
            <w:tcW w:w="2694" w:type="dxa"/>
            <w:tcBorders>
              <w:top w:val="single" w:sz="4" w:space="0" w:color="auto"/>
              <w:left w:val="single" w:sz="4" w:space="0" w:color="auto"/>
              <w:bottom w:val="single" w:sz="4" w:space="0" w:color="auto"/>
              <w:right w:val="single" w:sz="4" w:space="0" w:color="auto"/>
            </w:tcBorders>
          </w:tcPr>
          <w:p w14:paraId="53B18DCA" w14:textId="77777777" w:rsidR="00DE0FFA" w:rsidRPr="00A85BFB" w:rsidRDefault="00DE0FFA" w:rsidP="00A8496A">
            <w:pPr>
              <w:spacing w:after="0" w:line="240" w:lineRule="auto"/>
              <w:rPr>
                <w:b/>
                <w:sz w:val="24"/>
                <w:szCs w:val="24"/>
              </w:rPr>
            </w:pPr>
            <w:r w:rsidRPr="00A85BFB">
              <w:rPr>
                <w:b/>
                <w:sz w:val="24"/>
                <w:szCs w:val="24"/>
              </w:rPr>
              <w:t>Attributes/activities</w:t>
            </w:r>
          </w:p>
        </w:tc>
        <w:tc>
          <w:tcPr>
            <w:tcW w:w="4626" w:type="dxa"/>
            <w:tcBorders>
              <w:top w:val="single" w:sz="4" w:space="0" w:color="auto"/>
              <w:left w:val="single" w:sz="4" w:space="0" w:color="auto"/>
              <w:bottom w:val="single" w:sz="4" w:space="0" w:color="auto"/>
              <w:right w:val="single" w:sz="4" w:space="0" w:color="auto"/>
            </w:tcBorders>
          </w:tcPr>
          <w:p w14:paraId="5D9956DF" w14:textId="77777777" w:rsidR="00DE0FFA" w:rsidRPr="00A85BFB" w:rsidRDefault="00DE0FFA" w:rsidP="00A8496A">
            <w:pPr>
              <w:spacing w:after="0" w:line="240" w:lineRule="auto"/>
              <w:jc w:val="center"/>
              <w:rPr>
                <w:b/>
                <w:sz w:val="24"/>
                <w:szCs w:val="24"/>
              </w:rPr>
            </w:pPr>
            <w:r w:rsidRPr="00A85BFB">
              <w:rPr>
                <w:b/>
                <w:sz w:val="24"/>
                <w:szCs w:val="24"/>
              </w:rPr>
              <w:t>‘Bounded’                                ‘Unbounded’</w:t>
            </w:r>
          </w:p>
          <w:p w14:paraId="5EA696B5" w14:textId="77777777" w:rsidR="00DE0FFA" w:rsidRPr="00A85BFB" w:rsidRDefault="00DE0FFA" w:rsidP="00A8496A">
            <w:pPr>
              <w:spacing w:after="0" w:line="240" w:lineRule="auto"/>
              <w:jc w:val="center"/>
              <w:rPr>
                <w:b/>
                <w:sz w:val="24"/>
                <w:szCs w:val="24"/>
              </w:rPr>
            </w:pPr>
            <w:r w:rsidRPr="00A85BFB">
              <w:rPr>
                <w:b/>
                <w:sz w:val="24"/>
                <w:szCs w:val="24"/>
              </w:rPr>
              <w:t>1               2               3               4               5</w:t>
            </w:r>
          </w:p>
        </w:tc>
      </w:tr>
      <w:tr w:rsidR="00DE0FFA" w:rsidRPr="00A85BFB" w14:paraId="79A9C974"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1EB5D911" w14:textId="77777777" w:rsidR="00DE0FFA" w:rsidRPr="00A85BFB" w:rsidRDefault="00DE0FFA" w:rsidP="00A8496A">
            <w:pPr>
              <w:spacing w:after="0" w:line="240" w:lineRule="auto"/>
              <w:rPr>
                <w:sz w:val="24"/>
                <w:szCs w:val="24"/>
              </w:rPr>
            </w:pPr>
            <w:r w:rsidRPr="00A85BFB">
              <w:rPr>
                <w:sz w:val="24"/>
                <w:szCs w:val="24"/>
              </w:rPr>
              <w:t>Goals</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41551F97" w14:textId="77777777" w:rsidR="00DE0FFA" w:rsidRPr="00A85BFB" w:rsidRDefault="00DE0FFA" w:rsidP="00A8496A">
            <w:pPr>
              <w:spacing w:after="0" w:line="240" w:lineRule="auto"/>
              <w:rPr>
                <w:sz w:val="24"/>
                <w:szCs w:val="24"/>
              </w:rPr>
            </w:pPr>
            <w:r w:rsidRPr="00A85BFB">
              <w:rPr>
                <w:sz w:val="24"/>
                <w:szCs w:val="24"/>
              </w:rPr>
              <w:t xml:space="preserve">                                    x              </w:t>
            </w:r>
          </w:p>
        </w:tc>
      </w:tr>
      <w:tr w:rsidR="00DE0FFA" w:rsidRPr="00A85BFB" w14:paraId="0A370FC9"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01A27309" w14:textId="77777777" w:rsidR="00DE0FFA" w:rsidRPr="00A85BFB" w:rsidRDefault="00DE0FFA" w:rsidP="00A8496A">
            <w:pPr>
              <w:spacing w:after="0" w:line="240" w:lineRule="auto"/>
              <w:rPr>
                <w:sz w:val="24"/>
                <w:szCs w:val="24"/>
              </w:rPr>
            </w:pPr>
            <w:r w:rsidRPr="00A85BFB">
              <w:rPr>
                <w:sz w:val="24"/>
                <w:szCs w:val="24"/>
              </w:rPr>
              <w:t>Relevance</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023D88A" w14:textId="77777777" w:rsidR="00DE0FFA" w:rsidRPr="00A85BFB" w:rsidRDefault="00DE0FFA" w:rsidP="00A8496A">
            <w:pPr>
              <w:spacing w:after="0" w:line="240" w:lineRule="auto"/>
              <w:rPr>
                <w:sz w:val="24"/>
                <w:szCs w:val="24"/>
              </w:rPr>
            </w:pPr>
            <w:r w:rsidRPr="00A85BFB">
              <w:rPr>
                <w:sz w:val="24"/>
                <w:szCs w:val="24"/>
              </w:rPr>
              <w:t xml:space="preserve">                                    x                </w:t>
            </w:r>
          </w:p>
        </w:tc>
      </w:tr>
      <w:tr w:rsidR="00DE0FFA" w:rsidRPr="00A85BFB" w14:paraId="47712798"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7D65554D" w14:textId="77777777" w:rsidR="00DE0FFA" w:rsidRPr="00A85BFB" w:rsidRDefault="00DE0FFA" w:rsidP="00A8496A">
            <w:pPr>
              <w:spacing w:after="0" w:line="240" w:lineRule="auto"/>
              <w:rPr>
                <w:sz w:val="24"/>
                <w:szCs w:val="24"/>
              </w:rPr>
            </w:pPr>
            <w:r w:rsidRPr="00A85BFB">
              <w:rPr>
                <w:sz w:val="24"/>
                <w:szCs w:val="24"/>
              </w:rPr>
              <w:t>Evaluation</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3866F86" w14:textId="77777777" w:rsidR="00DE0FFA" w:rsidRPr="00A85BFB" w:rsidRDefault="00DE0FFA" w:rsidP="00A8496A">
            <w:pPr>
              <w:spacing w:after="0" w:line="240" w:lineRule="auto"/>
              <w:rPr>
                <w:sz w:val="24"/>
                <w:szCs w:val="24"/>
              </w:rPr>
            </w:pPr>
            <w:r w:rsidRPr="00A85BFB">
              <w:rPr>
                <w:sz w:val="24"/>
                <w:szCs w:val="24"/>
              </w:rPr>
              <w:t xml:space="preserve">                   x            </w:t>
            </w:r>
          </w:p>
        </w:tc>
      </w:tr>
      <w:tr w:rsidR="00DE0FFA" w:rsidRPr="00A85BFB" w14:paraId="7E0E050A"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5B08C9BC" w14:textId="77777777" w:rsidR="00DE0FFA" w:rsidRPr="00A85BFB" w:rsidRDefault="00DE0FFA" w:rsidP="00A8496A">
            <w:pPr>
              <w:spacing w:after="0" w:line="240" w:lineRule="auto"/>
              <w:rPr>
                <w:sz w:val="24"/>
                <w:szCs w:val="24"/>
              </w:rPr>
            </w:pPr>
            <w:r w:rsidRPr="00A85BFB">
              <w:rPr>
                <w:sz w:val="24"/>
                <w:szCs w:val="24"/>
              </w:rPr>
              <w:t>Outputs and outcomes</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B301120" w14:textId="77777777" w:rsidR="00DE0FFA" w:rsidRPr="00A85BFB" w:rsidRDefault="00DE0FFA" w:rsidP="00A8496A">
            <w:pPr>
              <w:spacing w:after="0" w:line="240" w:lineRule="auto"/>
              <w:rPr>
                <w:sz w:val="24"/>
                <w:szCs w:val="24"/>
              </w:rPr>
            </w:pPr>
            <w:r w:rsidRPr="00A85BFB">
              <w:rPr>
                <w:sz w:val="24"/>
                <w:szCs w:val="24"/>
              </w:rPr>
              <w:t xml:space="preserve">                   x            </w:t>
            </w:r>
          </w:p>
        </w:tc>
      </w:tr>
      <w:tr w:rsidR="00DE0FFA" w:rsidRPr="00A85BFB" w14:paraId="33BB7C85"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7AE439C1" w14:textId="77777777" w:rsidR="00DE0FFA" w:rsidRPr="00A85BFB" w:rsidRDefault="00DE0FFA" w:rsidP="00A8496A">
            <w:pPr>
              <w:spacing w:after="0" w:line="240" w:lineRule="auto"/>
              <w:rPr>
                <w:sz w:val="24"/>
                <w:szCs w:val="24"/>
              </w:rPr>
            </w:pPr>
            <w:r w:rsidRPr="00A85BFB">
              <w:rPr>
                <w:sz w:val="24"/>
                <w:szCs w:val="24"/>
              </w:rPr>
              <w:t>Uncertainty</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0889B53" w14:textId="77777777" w:rsidR="00DE0FFA" w:rsidRPr="00A85BFB" w:rsidRDefault="00DE0FFA" w:rsidP="00A8496A">
            <w:pPr>
              <w:spacing w:after="0" w:line="240" w:lineRule="auto"/>
              <w:rPr>
                <w:sz w:val="24"/>
                <w:szCs w:val="24"/>
              </w:rPr>
            </w:pPr>
            <w:r w:rsidRPr="00A85BFB">
              <w:rPr>
                <w:sz w:val="24"/>
                <w:szCs w:val="24"/>
              </w:rPr>
              <w:t xml:space="preserve">                   x             </w:t>
            </w:r>
          </w:p>
        </w:tc>
      </w:tr>
      <w:tr w:rsidR="00DE0FFA" w:rsidRPr="00A85BFB" w14:paraId="04709B84"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3AA4CB17" w14:textId="77777777" w:rsidR="00DE0FFA" w:rsidRPr="00A85BFB" w:rsidRDefault="00DE0FFA" w:rsidP="00A8496A">
            <w:pPr>
              <w:spacing w:after="0" w:line="240" w:lineRule="auto"/>
              <w:rPr>
                <w:sz w:val="24"/>
                <w:szCs w:val="24"/>
              </w:rPr>
            </w:pPr>
            <w:r w:rsidRPr="00A85BFB">
              <w:rPr>
                <w:sz w:val="24"/>
                <w:szCs w:val="24"/>
              </w:rPr>
              <w:t>Knowledge exchange</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F1003DA" w14:textId="77777777" w:rsidR="00DE0FFA" w:rsidRPr="00A85BFB" w:rsidRDefault="00DE0FFA" w:rsidP="00A8496A">
            <w:pPr>
              <w:tabs>
                <w:tab w:val="center" w:pos="2205"/>
              </w:tabs>
              <w:spacing w:after="0" w:line="240" w:lineRule="auto"/>
              <w:rPr>
                <w:sz w:val="24"/>
                <w:szCs w:val="24"/>
              </w:rPr>
            </w:pPr>
            <w:r w:rsidRPr="00A85BFB">
              <w:rPr>
                <w:sz w:val="24"/>
                <w:szCs w:val="24"/>
              </w:rPr>
              <w:t xml:space="preserve"> </w:t>
            </w:r>
            <w:r w:rsidRPr="00A85BFB">
              <w:rPr>
                <w:sz w:val="24"/>
                <w:szCs w:val="24"/>
              </w:rPr>
              <w:tab/>
              <w:t>X</w:t>
            </w:r>
          </w:p>
        </w:tc>
      </w:tr>
      <w:tr w:rsidR="00DE0FFA" w:rsidRPr="00A85BFB" w14:paraId="569C1E81"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6F0AB7D8" w14:textId="77777777" w:rsidR="00DE0FFA" w:rsidRPr="00A85BFB" w:rsidRDefault="00DE0FFA" w:rsidP="00A8496A">
            <w:pPr>
              <w:spacing w:after="0" w:line="240" w:lineRule="auto"/>
              <w:rPr>
                <w:sz w:val="24"/>
                <w:szCs w:val="24"/>
              </w:rPr>
            </w:pPr>
            <w:r w:rsidRPr="00A85BFB">
              <w:rPr>
                <w:sz w:val="24"/>
                <w:szCs w:val="24"/>
              </w:rPr>
              <w:t>Accessibility</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093BCFB6" w14:textId="77777777" w:rsidR="00DE0FFA" w:rsidRPr="00A85BFB" w:rsidRDefault="00DE0FFA" w:rsidP="00A8496A">
            <w:pPr>
              <w:tabs>
                <w:tab w:val="left" w:pos="1227"/>
                <w:tab w:val="center" w:pos="2185"/>
                <w:tab w:val="left" w:pos="2595"/>
              </w:tabs>
              <w:spacing w:after="0" w:line="240" w:lineRule="auto"/>
              <w:rPr>
                <w:sz w:val="24"/>
                <w:szCs w:val="24"/>
              </w:rPr>
            </w:pPr>
            <w:r w:rsidRPr="00A85BFB">
              <w:rPr>
                <w:sz w:val="24"/>
                <w:szCs w:val="24"/>
              </w:rPr>
              <w:t xml:space="preserve">                                    x </w:t>
            </w:r>
          </w:p>
        </w:tc>
      </w:tr>
      <w:tr w:rsidR="00DE0FFA" w:rsidRPr="00A85BFB" w14:paraId="7F4DF472"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3E4B2D34" w14:textId="77777777" w:rsidR="00DE0FFA" w:rsidRPr="00A85BFB" w:rsidRDefault="00DE0FFA" w:rsidP="00A8496A">
            <w:pPr>
              <w:spacing w:after="0" w:line="240" w:lineRule="auto"/>
              <w:rPr>
                <w:sz w:val="24"/>
                <w:szCs w:val="24"/>
              </w:rPr>
            </w:pPr>
            <w:r w:rsidRPr="00A85BFB">
              <w:rPr>
                <w:sz w:val="24"/>
                <w:szCs w:val="24"/>
              </w:rPr>
              <w:t>Boundary management</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51204C5" w14:textId="77777777" w:rsidR="00DE0FFA" w:rsidRPr="00A85BFB" w:rsidRDefault="00DE0FFA" w:rsidP="00A8496A">
            <w:pPr>
              <w:spacing w:after="0" w:line="240" w:lineRule="auto"/>
              <w:rPr>
                <w:sz w:val="24"/>
                <w:szCs w:val="24"/>
              </w:rPr>
            </w:pPr>
            <w:r w:rsidRPr="00A85BFB">
              <w:rPr>
                <w:sz w:val="24"/>
                <w:szCs w:val="24"/>
              </w:rPr>
              <w:t xml:space="preserve">                   x           </w:t>
            </w:r>
          </w:p>
        </w:tc>
      </w:tr>
      <w:tr w:rsidR="00DE0FFA" w:rsidRPr="00A85BFB" w14:paraId="6D0CA5FF"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6CA7B56B" w14:textId="77777777" w:rsidR="00DE0FFA" w:rsidRPr="00A85BFB" w:rsidRDefault="00DE0FFA" w:rsidP="00A8496A">
            <w:pPr>
              <w:spacing w:after="0" w:line="240" w:lineRule="auto"/>
              <w:rPr>
                <w:sz w:val="24"/>
                <w:szCs w:val="24"/>
              </w:rPr>
            </w:pPr>
            <w:r w:rsidRPr="00A85BFB">
              <w:rPr>
                <w:sz w:val="24"/>
                <w:szCs w:val="24"/>
              </w:rPr>
              <w:t>Network</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8E7BB62" w14:textId="77777777" w:rsidR="00DE0FFA" w:rsidRPr="00A85BFB" w:rsidRDefault="00DE0FFA" w:rsidP="00A8496A">
            <w:pPr>
              <w:spacing w:after="0" w:line="240" w:lineRule="auto"/>
              <w:rPr>
                <w:sz w:val="24"/>
                <w:szCs w:val="24"/>
              </w:rPr>
            </w:pPr>
            <w:r w:rsidRPr="00A85BFB">
              <w:rPr>
                <w:sz w:val="24"/>
                <w:szCs w:val="24"/>
              </w:rPr>
              <w:t xml:space="preserve">                                    x              </w:t>
            </w:r>
          </w:p>
        </w:tc>
      </w:tr>
      <w:tr w:rsidR="00DE0FFA" w:rsidRPr="00A85BFB" w14:paraId="0A2EA2DB"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19490A2C" w14:textId="77777777" w:rsidR="00DE0FFA" w:rsidRPr="00A85BFB" w:rsidRDefault="00DE0FFA" w:rsidP="00A8496A">
            <w:pPr>
              <w:spacing w:after="0" w:line="240" w:lineRule="auto"/>
              <w:rPr>
                <w:sz w:val="24"/>
                <w:szCs w:val="24"/>
              </w:rPr>
            </w:pPr>
            <w:r w:rsidRPr="00A85BFB">
              <w:rPr>
                <w:sz w:val="24"/>
                <w:szCs w:val="24"/>
              </w:rPr>
              <w:t>Flexibility</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217E811" w14:textId="77777777" w:rsidR="00DE0FFA" w:rsidRPr="00A85BFB" w:rsidRDefault="00DE0FFA" w:rsidP="00A8496A">
            <w:pPr>
              <w:spacing w:after="0" w:line="240" w:lineRule="auto"/>
              <w:rPr>
                <w:sz w:val="24"/>
                <w:szCs w:val="24"/>
              </w:rPr>
            </w:pPr>
            <w:r w:rsidRPr="00A85BFB">
              <w:rPr>
                <w:sz w:val="24"/>
                <w:szCs w:val="24"/>
              </w:rPr>
              <w:t xml:space="preserve">                   x </w:t>
            </w:r>
          </w:p>
        </w:tc>
      </w:tr>
      <w:tr w:rsidR="00DE0FFA" w:rsidRPr="00A85BFB" w14:paraId="32EB1378"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3A2A5465" w14:textId="77777777" w:rsidR="00DE0FFA" w:rsidRPr="00A85BFB" w:rsidRDefault="00DE0FFA" w:rsidP="00A8496A">
            <w:pPr>
              <w:spacing w:after="0" w:line="240" w:lineRule="auto"/>
              <w:rPr>
                <w:sz w:val="24"/>
                <w:szCs w:val="24"/>
              </w:rPr>
            </w:pPr>
            <w:r w:rsidRPr="00A85BFB">
              <w:rPr>
                <w:sz w:val="24"/>
                <w:szCs w:val="24"/>
              </w:rPr>
              <w:t>Social capital</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04F4804F" w14:textId="77777777" w:rsidR="00DE0FFA" w:rsidRPr="00A85BFB" w:rsidRDefault="00DE0FFA" w:rsidP="00A8496A">
            <w:pPr>
              <w:spacing w:after="0" w:line="240" w:lineRule="auto"/>
              <w:rPr>
                <w:sz w:val="24"/>
                <w:szCs w:val="24"/>
              </w:rPr>
            </w:pPr>
            <w:r w:rsidRPr="00A85BFB">
              <w:rPr>
                <w:sz w:val="24"/>
                <w:szCs w:val="24"/>
              </w:rPr>
              <w:t xml:space="preserve">x                                </w:t>
            </w:r>
          </w:p>
        </w:tc>
      </w:tr>
      <w:tr w:rsidR="00DE0FFA" w:rsidRPr="00A85BFB" w14:paraId="0CC56FB3"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7F56A1FB" w14:textId="77777777" w:rsidR="00DE0FFA" w:rsidRPr="00A85BFB" w:rsidRDefault="00DE0FFA" w:rsidP="00A8496A">
            <w:pPr>
              <w:spacing w:after="0" w:line="240" w:lineRule="auto"/>
              <w:rPr>
                <w:sz w:val="24"/>
                <w:szCs w:val="24"/>
              </w:rPr>
            </w:pPr>
            <w:r w:rsidRPr="00A85BFB">
              <w:rPr>
                <w:sz w:val="24"/>
                <w:szCs w:val="24"/>
              </w:rPr>
              <w:t>Disciplinary focus</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9910DA6" w14:textId="77777777" w:rsidR="00DE0FFA" w:rsidRPr="00A85BFB" w:rsidRDefault="00DE0FFA" w:rsidP="00A8496A">
            <w:pPr>
              <w:spacing w:after="0" w:line="240" w:lineRule="auto"/>
              <w:rPr>
                <w:sz w:val="24"/>
                <w:szCs w:val="24"/>
              </w:rPr>
            </w:pPr>
            <w:r w:rsidRPr="00A85BFB">
              <w:rPr>
                <w:sz w:val="24"/>
                <w:szCs w:val="24"/>
              </w:rPr>
              <w:t xml:space="preserve">                    x            </w:t>
            </w:r>
          </w:p>
        </w:tc>
      </w:tr>
      <w:tr w:rsidR="00DE0FFA" w:rsidRPr="00A85BFB" w14:paraId="63C5F9FE"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0D5AEA11" w14:textId="77777777" w:rsidR="00DE0FFA" w:rsidRPr="00A85BFB" w:rsidRDefault="00DE0FFA" w:rsidP="00A8496A">
            <w:pPr>
              <w:spacing w:after="0" w:line="240" w:lineRule="auto"/>
              <w:rPr>
                <w:sz w:val="24"/>
                <w:szCs w:val="24"/>
              </w:rPr>
            </w:pPr>
            <w:r w:rsidRPr="00A85BFB">
              <w:rPr>
                <w:sz w:val="24"/>
                <w:szCs w:val="24"/>
              </w:rPr>
              <w:t>Expertise</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3D23EF4" w14:textId="77777777" w:rsidR="00DE0FFA" w:rsidRPr="00A85BFB" w:rsidRDefault="00DE0FFA" w:rsidP="00A8496A">
            <w:pPr>
              <w:spacing w:after="0" w:line="240" w:lineRule="auto"/>
              <w:rPr>
                <w:sz w:val="24"/>
                <w:szCs w:val="24"/>
              </w:rPr>
            </w:pPr>
            <w:r w:rsidRPr="00A85BFB">
              <w:rPr>
                <w:sz w:val="24"/>
                <w:szCs w:val="24"/>
              </w:rPr>
              <w:t>x</w:t>
            </w:r>
          </w:p>
        </w:tc>
      </w:tr>
      <w:tr w:rsidR="00DE0FFA" w:rsidRPr="00A85BFB" w14:paraId="65B4A388"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3D148015" w14:textId="77777777" w:rsidR="00DE0FFA" w:rsidRPr="00A85BFB" w:rsidRDefault="00DE0FFA" w:rsidP="00A8496A">
            <w:pPr>
              <w:spacing w:after="0" w:line="240" w:lineRule="auto"/>
              <w:rPr>
                <w:sz w:val="24"/>
                <w:szCs w:val="24"/>
              </w:rPr>
            </w:pPr>
            <w:r w:rsidRPr="00A85BFB">
              <w:rPr>
                <w:sz w:val="24"/>
                <w:szCs w:val="24"/>
              </w:rPr>
              <w:t>Learning</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682744D" w14:textId="77777777" w:rsidR="00DE0FFA" w:rsidRPr="00A85BFB" w:rsidRDefault="00DE0FFA" w:rsidP="00A8496A">
            <w:pPr>
              <w:keepNext/>
              <w:spacing w:after="0" w:line="240" w:lineRule="auto"/>
              <w:rPr>
                <w:sz w:val="24"/>
                <w:szCs w:val="24"/>
              </w:rPr>
            </w:pPr>
            <w:r w:rsidRPr="00A85BFB">
              <w:rPr>
                <w:sz w:val="24"/>
                <w:szCs w:val="24"/>
              </w:rPr>
              <w:t>x</w:t>
            </w:r>
          </w:p>
        </w:tc>
      </w:tr>
      <w:tr w:rsidR="00DE0FFA" w:rsidRPr="00A85BFB" w14:paraId="518A4DAF" w14:textId="77777777" w:rsidTr="00D5630C">
        <w:tc>
          <w:tcPr>
            <w:tcW w:w="2694" w:type="dxa"/>
            <w:tcBorders>
              <w:top w:val="single" w:sz="4" w:space="0" w:color="auto"/>
              <w:left w:val="single" w:sz="4" w:space="0" w:color="auto"/>
              <w:bottom w:val="single" w:sz="4" w:space="0" w:color="auto"/>
              <w:right w:val="single" w:sz="4" w:space="0" w:color="auto"/>
            </w:tcBorders>
            <w:shd w:val="clear" w:color="auto" w:fill="auto"/>
          </w:tcPr>
          <w:p w14:paraId="5DF29862" w14:textId="77777777" w:rsidR="00DE0FFA" w:rsidRPr="00A85BFB" w:rsidRDefault="00DE0FFA" w:rsidP="00A8496A">
            <w:pPr>
              <w:spacing w:after="0" w:line="240" w:lineRule="auto"/>
              <w:rPr>
                <w:sz w:val="24"/>
                <w:szCs w:val="24"/>
              </w:rPr>
            </w:pPr>
            <w:r w:rsidRPr="00A85BFB">
              <w:rPr>
                <w:sz w:val="24"/>
                <w:szCs w:val="24"/>
              </w:rPr>
              <w:t>Human capital</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ECCCABB" w14:textId="77777777" w:rsidR="00DE0FFA" w:rsidRPr="00A85BFB" w:rsidRDefault="00DE0FFA" w:rsidP="00A8496A">
            <w:pPr>
              <w:keepNext/>
              <w:spacing w:after="0" w:line="240" w:lineRule="auto"/>
              <w:rPr>
                <w:sz w:val="24"/>
                <w:szCs w:val="24"/>
              </w:rPr>
            </w:pPr>
            <w:r w:rsidRPr="00A85BFB">
              <w:rPr>
                <w:sz w:val="24"/>
                <w:szCs w:val="24"/>
              </w:rPr>
              <w:t xml:space="preserve">                    x</w:t>
            </w:r>
          </w:p>
        </w:tc>
      </w:tr>
    </w:tbl>
    <w:p w14:paraId="41D3260A" w14:textId="41D2A74E" w:rsidR="00DE0FFA" w:rsidRPr="00A85BFB" w:rsidRDefault="00DE0FFA" w:rsidP="003E2368">
      <w:pPr>
        <w:pStyle w:val="Caption"/>
        <w:spacing w:after="120"/>
      </w:pPr>
      <w:bookmarkStart w:id="58" w:name="_Ref16671415"/>
      <w:bookmarkStart w:id="59" w:name="_Toc31702071"/>
      <w:r w:rsidRPr="00A85BFB">
        <w:t xml:space="preserve">Figure </w:t>
      </w:r>
      <w:r w:rsidR="00A56355">
        <w:fldChar w:fldCharType="begin"/>
      </w:r>
      <w:r w:rsidR="00A56355">
        <w:instrText xml:space="preserve"> SEQ Figure \* ARABIC </w:instrText>
      </w:r>
      <w:r w:rsidR="00A56355">
        <w:fldChar w:fldCharType="separate"/>
      </w:r>
      <w:r w:rsidR="0011424E">
        <w:rPr>
          <w:noProof/>
        </w:rPr>
        <w:t>2</w:t>
      </w:r>
      <w:r w:rsidR="00A56355">
        <w:rPr>
          <w:noProof/>
        </w:rPr>
        <w:fldChar w:fldCharType="end"/>
      </w:r>
      <w:bookmarkEnd w:id="58"/>
      <w:r w:rsidRPr="00A85BFB">
        <w:t>. Example plotted typology</w:t>
      </w:r>
      <w:bookmarkEnd w:id="59"/>
    </w:p>
    <w:p w14:paraId="598561EC" w14:textId="442B8B23" w:rsidR="00DE0FFA" w:rsidRPr="00A85BFB" w:rsidRDefault="00AF3119" w:rsidP="006B3698">
      <w:pPr>
        <w:pStyle w:val="NormalWeb"/>
        <w:spacing w:before="0" w:beforeAutospacing="0" w:after="120" w:afterAutospacing="0" w:line="360" w:lineRule="auto"/>
      </w:pPr>
      <w:r w:rsidRPr="00A85BFB">
        <w:t xml:space="preserve">Sub-question </w:t>
      </w:r>
      <w:r w:rsidR="006C2B32" w:rsidRPr="00A85BFB">
        <w:t>(c)</w:t>
      </w:r>
      <w:r w:rsidR="00F15726">
        <w:t>, with its focus on the ‘implications’ for academic boundaries more generally,</w:t>
      </w:r>
      <w:r w:rsidRPr="00A85BFB">
        <w:t xml:space="preserve"> </w:t>
      </w:r>
      <w:r w:rsidR="00F15726">
        <w:t>relies not so much on any one specific method used, or set of data generated. Rather,</w:t>
      </w:r>
      <w:r w:rsidR="00DE0FFA" w:rsidRPr="00A85BFB">
        <w:t xml:space="preserve"> inspired by the ‘critical realist’ </w:t>
      </w:r>
      <w:r w:rsidR="00DE0FFA" w:rsidRPr="00A85BFB">
        <w:fldChar w:fldCharType="begin"/>
      </w:r>
      <w:r w:rsidR="00DE0FFA" w:rsidRPr="00A85BFB">
        <w:instrText xml:space="preserve"> ADDIN EN.CITE &lt;EndNote&gt;&lt;Cite&gt;&lt;Author&gt;Bhaskar&lt;/Author&gt;&lt;Year&gt;1998&lt;/Year&gt;&lt;IDText&gt;Philosophy and scientific realism&lt;/IDText&gt;&lt;DisplayText&gt;(Bhaskar, 1998a; Danermark, Ekstrom, Jakobsen, &amp;amp; Karlsson, 2002)&lt;/DisplayText&gt;&lt;record&gt;&lt;keywords&gt;&lt;keyword&gt;Critical realism&lt;/keyword&gt;&lt;/keywords&gt;&lt;titles&gt;&lt;title&gt;Philosophy and scientific realism&lt;/title&gt;&lt;secondary-title&gt;Critical realism: essential readings&lt;/secondary-title&gt;&lt;/titles&gt;&lt;pages&gt;16-47&lt;/pages&gt;&lt;contributors&gt;&lt;authors&gt;&lt;author&gt;Bhaskar, Roy&lt;/author&gt;&lt;/authors&gt;&lt;/contributors&gt;&lt;added-date format="utc"&gt;1452828445&lt;/added-date&gt;&lt;pub-location&gt;London&lt;/pub-location&gt;&lt;ref-type name="Book Section"&gt;5&lt;/ref-type&gt;&lt;dates&gt;&lt;year&gt;1998&lt;/year&gt;&lt;/dates&gt;&lt;rec-number&gt;206&lt;/rec-number&gt;&lt;publisher&gt;Routledge&lt;/publisher&gt;&lt;last-updated-date format="utc"&gt;1452828701&lt;/last-updated-date&gt;&lt;contributors&gt;&lt;secondary-authors&gt;&lt;author&gt;Archer, Margaret Scotford&lt;/author&gt;&lt;author&gt;Bhaskar, Roy&lt;/author&gt;&lt;author&gt;Collier, Andrew&lt;/author&gt;&lt;author&gt;Lawson, Tony&lt;/author&gt;&lt;author&gt;Norrie, Alan&lt;/author&gt;&lt;/secondary-authors&gt;&lt;/contributors&gt;&lt;/record&gt;&lt;/Cite&gt;&lt;Cite&gt;&lt;Author&gt;Danermark&lt;/Author&gt;&lt;Year&gt;2002&lt;/Year&gt;&lt;IDText&gt;Explaining society: critical realism in the social sciences&lt;/IDText&gt;&lt;record&gt;&lt;keywords&gt;&lt;keyword&gt;Sociology -- Methodology&lt;/keyword&gt;&lt;keyword&gt;Social sciences -- Methodology&lt;/keyword&gt;&lt;keyword&gt;Critical realism&lt;/keyword&gt;&lt;keyword&gt;Philosophy, Modern&lt;/keyword&gt;&lt;keyword&gt;Realism&lt;/keyword&gt;&lt;/keywords&gt;&lt;titles&gt;&lt;title&gt;Explaining society: critical realism in the social sciences&lt;/title&gt;&lt;/titles&gt;&lt;contributors&gt;&lt;authors&gt;&lt;author&gt;Danermark, Berth&lt;/author&gt;&lt;author&gt;Ekstrom, Mats&lt;/author&gt;&lt;author&gt;Jakobsen, Liselotte&lt;/author&gt;&lt;author&gt;Karlsson, Jan Ch.&lt;/author&gt;&lt;/authors&gt;&lt;/contributors&gt;&lt;added-date format="utc"&gt;1530802367&lt;/added-date&gt;&lt;pub-location&gt;London&lt;/pub-location&gt;&lt;ref-type name="Book"&gt;6&lt;/ref-type&gt;&lt;dates&gt;&lt;year&gt;2002&lt;/year&gt;&lt;/dates&gt;&lt;rec-number&gt;7593&lt;/rec-number&gt;&lt;publisher&gt;Routledge&lt;/publisher&gt;&lt;last-updated-date format="utc"&gt;1530804819&lt;/last-updated-date&gt;&lt;/record&gt;&lt;/Cite&gt;&lt;/EndNote&gt;</w:instrText>
      </w:r>
      <w:r w:rsidR="00DE0FFA" w:rsidRPr="00A85BFB">
        <w:fldChar w:fldCharType="separate"/>
      </w:r>
      <w:r w:rsidR="00DE0FFA" w:rsidRPr="00A85BFB">
        <w:rPr>
          <w:noProof/>
        </w:rPr>
        <w:t>(Bhaskar, 1998a; Danermark, Ekstrom, Jakobsen, &amp; Karlsson, 2002)</w:t>
      </w:r>
      <w:r w:rsidR="00DE0FFA" w:rsidRPr="00A85BFB">
        <w:fldChar w:fldCharType="end"/>
      </w:r>
      <w:r w:rsidR="00DE0FFA" w:rsidRPr="00A85BFB">
        <w:t xml:space="preserve"> philosophical</w:t>
      </w:r>
      <w:r w:rsidR="001C053E">
        <w:t xml:space="preserve"> and</w:t>
      </w:r>
      <w:r w:rsidR="00A13B67">
        <w:t xml:space="preserve"> metatheoretical</w:t>
      </w:r>
      <w:r w:rsidR="00DE0FFA" w:rsidRPr="00A85BFB">
        <w:t xml:space="preserve"> approach adopted in this study</w:t>
      </w:r>
      <w:r w:rsidRPr="00A85BFB">
        <w:t xml:space="preserve"> (see below discussion)</w:t>
      </w:r>
      <w:r w:rsidR="00DE0FFA" w:rsidRPr="00A85BFB">
        <w:t xml:space="preserve">, </w:t>
      </w:r>
      <w:r w:rsidR="00DE41E2">
        <w:t xml:space="preserve">my approach to addressing </w:t>
      </w:r>
      <w:r w:rsidR="00A13B67">
        <w:t>Sub-question (c) involved positing and exploring pote</w:t>
      </w:r>
      <w:r w:rsidR="00DE0FFA" w:rsidRPr="00A85BFB">
        <w:t xml:space="preserve">ntial explanations for the observed </w:t>
      </w:r>
      <w:r w:rsidR="00A13B67">
        <w:t xml:space="preserve">findings </w:t>
      </w:r>
      <w:r w:rsidR="00DC1FC3">
        <w:t>related</w:t>
      </w:r>
      <w:r w:rsidR="00A13B67">
        <w:t xml:space="preserve"> to </w:t>
      </w:r>
      <w:r w:rsidR="00DC1FC3">
        <w:t xml:space="preserve">the preceding research </w:t>
      </w:r>
      <w:r w:rsidR="00A13B67">
        <w:t xml:space="preserve">questions. </w:t>
      </w:r>
      <w:r w:rsidR="006B3698">
        <w:t>This meant taking stock of the full range of data in order to explore</w:t>
      </w:r>
      <w:r w:rsidR="00A13B67">
        <w:t xml:space="preserve"> </w:t>
      </w:r>
      <w:r w:rsidR="00A13B67">
        <w:rPr>
          <w:i/>
        </w:rPr>
        <w:t xml:space="preserve">what underpinning mechanisms and structures </w:t>
      </w:r>
      <w:r w:rsidR="00A13B67">
        <w:t xml:space="preserve">are associated with, and help to explain, (i) the observed balance of power and control in the sampled research, (ii) the observed variations in terms of the ‘boundedness’ of the different activities/attributes (from the typology) associated with the sampled research, and (iii) </w:t>
      </w:r>
      <w:r w:rsidR="00A24AC9">
        <w:t xml:space="preserve">the observed variations in the power and control associated with different institutional and epistemic contexts. </w:t>
      </w:r>
      <w:r w:rsidR="006B3698">
        <w:t xml:space="preserve">The point of this line of analysis is that it helps me to develop a theoretical understanding of how specific contexts of academic scientific research mediate deeper social mechanisms and structures associated with the interplay of academic, scientific and other knowledge-related institutions, providing me with a more informed basis for thinking about the implications for the future of academic boundaries. </w:t>
      </w:r>
    </w:p>
    <w:p w14:paraId="3927B0B7" w14:textId="5EF7DD93" w:rsidR="00082217" w:rsidRDefault="00AF3119" w:rsidP="00046D95">
      <w:pPr>
        <w:spacing w:after="120" w:line="360" w:lineRule="auto"/>
        <w:rPr>
          <w:sz w:val="24"/>
          <w:szCs w:val="24"/>
          <w:lang w:eastAsia="ko-KR"/>
        </w:rPr>
      </w:pPr>
      <w:r w:rsidRPr="00A85BFB">
        <w:rPr>
          <w:sz w:val="24"/>
          <w:szCs w:val="24"/>
          <w:lang w:eastAsia="ko-KR"/>
        </w:rPr>
        <w:t>Moving forward in this chapter,</w:t>
      </w:r>
      <w:r w:rsidR="00082217" w:rsidRPr="00A85BFB">
        <w:rPr>
          <w:sz w:val="24"/>
          <w:szCs w:val="24"/>
          <w:lang w:eastAsia="ko-KR"/>
        </w:rPr>
        <w:t xml:space="preserve"> I</w:t>
      </w:r>
      <w:r w:rsidR="006B3698">
        <w:rPr>
          <w:sz w:val="24"/>
          <w:szCs w:val="24"/>
          <w:lang w:eastAsia="ko-KR"/>
        </w:rPr>
        <w:t xml:space="preserve"> will</w:t>
      </w:r>
      <w:r w:rsidR="00082217" w:rsidRPr="00A85BFB">
        <w:rPr>
          <w:sz w:val="24"/>
          <w:szCs w:val="24"/>
          <w:lang w:eastAsia="ko-KR"/>
        </w:rPr>
        <w:t xml:space="preserve"> start with a discussion of </w:t>
      </w:r>
      <w:r w:rsidR="006B3698">
        <w:rPr>
          <w:sz w:val="24"/>
          <w:szCs w:val="24"/>
          <w:lang w:eastAsia="ko-KR"/>
        </w:rPr>
        <w:t>the critical realist approach to social science which has informed my research</w:t>
      </w:r>
      <w:r w:rsidR="00082217" w:rsidRPr="00A85BFB">
        <w:rPr>
          <w:sz w:val="24"/>
          <w:szCs w:val="24"/>
          <w:lang w:eastAsia="ko-KR"/>
        </w:rPr>
        <w:t xml:space="preserve">. I will then describe the methods used, including methods of sampling and </w:t>
      </w:r>
      <w:r w:rsidR="00996B7A">
        <w:rPr>
          <w:sz w:val="24"/>
          <w:szCs w:val="24"/>
          <w:lang w:eastAsia="ko-KR"/>
        </w:rPr>
        <w:t>of collecting and organising both documentary and interview data</w:t>
      </w:r>
      <w:r w:rsidR="00082217" w:rsidRPr="00A85BFB">
        <w:rPr>
          <w:sz w:val="24"/>
          <w:szCs w:val="24"/>
          <w:lang w:eastAsia="ko-KR"/>
        </w:rPr>
        <w:t>. I then detail my analytical procedures and discuss issues of validity and generalisability. Lastly, I will comment on ethical implications of the study.</w:t>
      </w:r>
      <w:r w:rsidR="00082217">
        <w:rPr>
          <w:sz w:val="24"/>
          <w:szCs w:val="24"/>
          <w:lang w:eastAsia="ko-KR"/>
        </w:rPr>
        <w:t xml:space="preserve"> </w:t>
      </w:r>
    </w:p>
    <w:p w14:paraId="42B33D5D" w14:textId="4B4B7D9F" w:rsidR="00082217" w:rsidRDefault="00082217" w:rsidP="00CE1B98">
      <w:pPr>
        <w:pStyle w:val="Heading2"/>
      </w:pPr>
      <w:bookmarkStart w:id="60" w:name="_Toc536717933"/>
      <w:bookmarkStart w:id="61" w:name="_Toc31701961"/>
      <w:r>
        <w:t>A critical realist approach to social science</w:t>
      </w:r>
      <w:bookmarkEnd w:id="60"/>
      <w:bookmarkEnd w:id="61"/>
    </w:p>
    <w:p w14:paraId="7145ED4D" w14:textId="3DDC48A0" w:rsidR="00082217" w:rsidRDefault="00082217" w:rsidP="00813464">
      <w:pPr>
        <w:pStyle w:val="Heading3"/>
      </w:pPr>
      <w:bookmarkStart w:id="62" w:name="_Toc536717934"/>
      <w:bookmarkStart w:id="63" w:name="_Toc31701962"/>
      <w:r>
        <w:t>A three-layered framework of reality: the ‘empirical’, the ‘actual’ and the ‘real’</w:t>
      </w:r>
      <w:bookmarkEnd w:id="62"/>
      <w:bookmarkEnd w:id="63"/>
    </w:p>
    <w:p w14:paraId="22AD9EFB" w14:textId="77777777" w:rsidR="00082217" w:rsidRDefault="00082217" w:rsidP="00813464">
      <w:pPr>
        <w:autoSpaceDE w:val="0"/>
        <w:autoSpaceDN w:val="0"/>
        <w:adjustRightInd w:val="0"/>
        <w:spacing w:after="120" w:line="360" w:lineRule="auto"/>
        <w:rPr>
          <w:sz w:val="24"/>
          <w:szCs w:val="24"/>
        </w:rPr>
      </w:pPr>
      <w:r w:rsidRPr="00103EFC">
        <w:rPr>
          <w:sz w:val="24"/>
          <w:szCs w:val="24"/>
        </w:rPr>
        <w:t xml:space="preserve">Critical realism </w:t>
      </w:r>
      <w:r>
        <w:rPr>
          <w:sz w:val="24"/>
          <w:szCs w:val="24"/>
        </w:rPr>
        <w:t>provides both a meta-theoretical framework for the production of knowledge in the natural and human</w:t>
      </w:r>
      <w:r w:rsidRPr="00103EFC">
        <w:rPr>
          <w:sz w:val="24"/>
          <w:szCs w:val="24"/>
        </w:rPr>
        <w:t xml:space="preserve"> sciences</w:t>
      </w:r>
      <w:r>
        <w:rPr>
          <w:sz w:val="24"/>
          <w:szCs w:val="24"/>
        </w:rPr>
        <w:t>, and a philosophical social theory for the emergence of social structures. In ‘critical realism’, the ‘realism’ refers to the belief that experiences and observed phenomena, both natural and social, reflect a reality that persists independent of our knowledge or consciousness of them. The ‘critical’ qualifies this view by emphasising that experiential, observable reality only constitutes the surface level of reality, the ‘empirical’ level. As such, no matter how rigorous, systematic and consistent our experiences and observations may be, our knowledge always has the potential to be fallible or incomplete to the extent that it relies only on such experiences and observations. Bhaskar</w:t>
      </w:r>
      <w:r w:rsidRPr="00103EFC">
        <w:rPr>
          <w:sz w:val="24"/>
          <w:szCs w:val="24"/>
        </w:rPr>
        <w:t xml:space="preserve"> </w:t>
      </w:r>
      <w:r w:rsidR="00233012" w:rsidRPr="00103EFC">
        <w:rPr>
          <w:sz w:val="24"/>
          <w:szCs w:val="24"/>
        </w:rPr>
        <w:fldChar w:fldCharType="begin"/>
      </w:r>
      <w:r>
        <w:rPr>
          <w:sz w:val="24"/>
          <w:szCs w:val="24"/>
        </w:rPr>
        <w:instrText xml:space="preserve"> ADDIN EN.CITE &lt;EndNote&gt;&lt;Cite ExcludeAuth="1"&gt;&lt;Author&gt;Bhaskar&lt;/Author&gt;&lt;Year&gt;1998&lt;/Year&gt;&lt;IDText&gt;The possibility of naturalism: a philosophical critique of the contemporary human sciences&lt;/IDText&gt;&lt;DisplayText&gt;(1998a, 1998b)&lt;/DisplayText&gt;&lt;record&gt;&lt;keywords&gt;&lt;keyword&gt;Naturalism&lt;/keyword&gt;&lt;keyword&gt;Science -- Philosophy&lt;/keyword&gt;&lt;keyword&gt;Social sciences -- Philosophy&lt;/keyword&gt;&lt;keyword&gt;Electronic books&lt;/keyword&gt;&lt;/keywords&gt;&lt;titles&gt;&lt;title&gt;The possibility of naturalism: a philosophical critique of the contemporary human sciences&lt;/title&gt;&lt;/titles&gt;&lt;contributors&gt;&lt;authors&gt;&lt;author&gt;Bhaskar, Roy&lt;/author&gt;&lt;/authors&gt;&lt;/contributors&gt;&lt;edition&gt;3rd&lt;/edition&gt;&lt;added-date format="utc"&gt;1452809758&lt;/added-date&gt;&lt;pub-location&gt;London&lt;/pub-location&gt;&lt;ref-type name="Book"&gt;6&lt;/ref-type&gt;&lt;dates&gt;&lt;year&gt;1998&lt;/year&gt;&lt;/dates&gt;&lt;rec-number&gt;204&lt;/rec-number&gt;&lt;publisher&gt;Routledge&lt;/publisher&gt;&lt;last-updated-date format="utc"&gt;1469215468&lt;/last-updated-date&gt;&lt;/record&gt;&lt;/Cite&gt;&lt;Cite ExcludeAuth="1"&gt;&lt;Author&gt;Bhaskar&lt;/Author&gt;&lt;Year&gt;1998&lt;/Year&gt;&lt;IDText&gt;Philosophy and scientific realism&lt;/IDText&gt;&lt;record&gt;&lt;keywords&gt;&lt;keyword&gt;Critical realism&lt;/keyword&gt;&lt;/keywords&gt;&lt;titles&gt;&lt;title&gt;Philosophy and scientific realism&lt;/title&gt;&lt;secondary-title&gt;Critical realism: essential readings&lt;/secondary-title&gt;&lt;/titles&gt;&lt;pages&gt;16-47&lt;/pages&gt;&lt;contributors&gt;&lt;authors&gt;&lt;author&gt;Bhaskar, Roy&lt;/author&gt;&lt;/authors&gt;&lt;/contributors&gt;&lt;added-date format="utc"&gt;1452810445&lt;/added-date&gt;&lt;pub-location&gt;London&lt;/pub-location&gt;&lt;ref-type name="Book Section"&gt;5&lt;/ref-type&gt;&lt;dates&gt;&lt;year&gt;1998&lt;/year&gt;&lt;/dates&gt;&lt;rec-number&gt;206&lt;/rec-number&gt;&lt;publisher&gt;Routledge&lt;/publisher&gt;&lt;last-updated-date format="utc"&gt;1452810701&lt;/last-updated-date&gt;&lt;contributors&gt;&lt;secondary-authors&gt;&lt;author&gt;Archer, Margaret Scotford&lt;/author&gt;&lt;author&gt;Bhaskar, Roy&lt;/author&gt;&lt;author&gt;Collier, Andrew&lt;/author&gt;&lt;author&gt;Lawson, Tony&lt;/author&gt;&lt;author&gt;Norrie, Alan&lt;/author&gt;&lt;/secondary-authors&gt;&lt;/contributors&gt;&lt;/record&gt;&lt;/Cite&gt;&lt;/EndNote&gt;</w:instrText>
      </w:r>
      <w:r w:rsidR="00233012" w:rsidRPr="00103EFC">
        <w:rPr>
          <w:sz w:val="24"/>
          <w:szCs w:val="24"/>
        </w:rPr>
        <w:fldChar w:fldCharType="separate"/>
      </w:r>
      <w:r>
        <w:rPr>
          <w:noProof/>
          <w:sz w:val="24"/>
          <w:szCs w:val="24"/>
        </w:rPr>
        <w:t>(1998a, 1998b)</w:t>
      </w:r>
      <w:r w:rsidR="00233012" w:rsidRPr="00103EFC">
        <w:rPr>
          <w:sz w:val="24"/>
          <w:szCs w:val="24"/>
        </w:rPr>
        <w:fldChar w:fldCharType="end"/>
      </w:r>
      <w:r>
        <w:rPr>
          <w:sz w:val="24"/>
          <w:szCs w:val="24"/>
        </w:rPr>
        <w:t>, widely credited as the founder</w:t>
      </w:r>
      <w:r>
        <w:rPr>
          <w:rStyle w:val="FootnoteReference"/>
          <w:sz w:val="24"/>
          <w:szCs w:val="24"/>
        </w:rPr>
        <w:footnoteReference w:id="7"/>
      </w:r>
      <w:r>
        <w:rPr>
          <w:sz w:val="24"/>
          <w:szCs w:val="24"/>
        </w:rPr>
        <w:t xml:space="preserve"> of critical realism, </w:t>
      </w:r>
      <w:r w:rsidRPr="00103EFC">
        <w:rPr>
          <w:sz w:val="24"/>
          <w:szCs w:val="24"/>
        </w:rPr>
        <w:t xml:space="preserve">posits </w:t>
      </w:r>
      <w:r>
        <w:rPr>
          <w:sz w:val="24"/>
          <w:szCs w:val="24"/>
        </w:rPr>
        <w:t xml:space="preserve">a </w:t>
      </w:r>
      <w:r w:rsidRPr="00103EFC">
        <w:rPr>
          <w:sz w:val="24"/>
          <w:szCs w:val="24"/>
        </w:rPr>
        <w:t>three</w:t>
      </w:r>
      <w:r>
        <w:rPr>
          <w:sz w:val="24"/>
          <w:szCs w:val="24"/>
        </w:rPr>
        <w:t xml:space="preserve">-layered framework of reality, from which critical realism derives both its ontology (how critical realism conceptualises the world to be) and its epistemology (how critical realism believes our knowledge of the world is structured). The three layers are </w:t>
      </w:r>
      <w:r w:rsidRPr="00103EFC">
        <w:rPr>
          <w:sz w:val="24"/>
          <w:szCs w:val="24"/>
        </w:rPr>
        <w:t xml:space="preserve">the </w:t>
      </w:r>
      <w:r>
        <w:rPr>
          <w:i/>
          <w:sz w:val="24"/>
          <w:szCs w:val="24"/>
        </w:rPr>
        <w:t>empirical</w:t>
      </w:r>
      <w:r w:rsidRPr="00103EFC">
        <w:rPr>
          <w:sz w:val="24"/>
          <w:szCs w:val="24"/>
        </w:rPr>
        <w:t xml:space="preserve">, the </w:t>
      </w:r>
      <w:r w:rsidRPr="00081C84">
        <w:rPr>
          <w:i/>
          <w:sz w:val="24"/>
          <w:szCs w:val="24"/>
        </w:rPr>
        <w:t>actual</w:t>
      </w:r>
      <w:r w:rsidRPr="00103EFC">
        <w:rPr>
          <w:sz w:val="24"/>
          <w:szCs w:val="24"/>
        </w:rPr>
        <w:t xml:space="preserve"> and the </w:t>
      </w:r>
      <w:r>
        <w:rPr>
          <w:i/>
          <w:sz w:val="24"/>
          <w:szCs w:val="24"/>
        </w:rPr>
        <w:t>rea</w:t>
      </w:r>
      <w:r w:rsidRPr="00081C84">
        <w:rPr>
          <w:i/>
          <w:sz w:val="24"/>
          <w:szCs w:val="24"/>
        </w:rPr>
        <w:t>l</w:t>
      </w:r>
      <w:r w:rsidRPr="00103EFC">
        <w:rPr>
          <w:sz w:val="24"/>
          <w:szCs w:val="24"/>
        </w:rPr>
        <w:t xml:space="preserve">. </w:t>
      </w:r>
    </w:p>
    <w:p w14:paraId="79B8CE55" w14:textId="05BDE4E0" w:rsidR="00082217" w:rsidRDefault="00082217" w:rsidP="00082217">
      <w:pPr>
        <w:autoSpaceDE w:val="0"/>
        <w:autoSpaceDN w:val="0"/>
        <w:adjustRightInd w:val="0"/>
        <w:spacing w:after="120" w:line="360" w:lineRule="auto"/>
        <w:rPr>
          <w:sz w:val="24"/>
          <w:szCs w:val="24"/>
        </w:rPr>
      </w:pPr>
      <w:r>
        <w:rPr>
          <w:sz w:val="24"/>
          <w:szCs w:val="24"/>
        </w:rPr>
        <w:t>The</w:t>
      </w:r>
      <w:r w:rsidRPr="00103EFC">
        <w:rPr>
          <w:sz w:val="24"/>
          <w:szCs w:val="24"/>
        </w:rPr>
        <w:t xml:space="preserve"> </w:t>
      </w:r>
      <w:r w:rsidRPr="00103EFC">
        <w:rPr>
          <w:i/>
          <w:sz w:val="24"/>
          <w:szCs w:val="24"/>
        </w:rPr>
        <w:t>empirical</w:t>
      </w:r>
      <w:r w:rsidRPr="00103EFC">
        <w:rPr>
          <w:sz w:val="24"/>
          <w:szCs w:val="24"/>
        </w:rPr>
        <w:t xml:space="preserve"> </w:t>
      </w:r>
      <w:r>
        <w:rPr>
          <w:sz w:val="24"/>
          <w:szCs w:val="24"/>
        </w:rPr>
        <w:t xml:space="preserve">refers to phenomena and events which </w:t>
      </w:r>
      <w:r w:rsidRPr="00103EFC">
        <w:rPr>
          <w:sz w:val="24"/>
          <w:szCs w:val="24"/>
        </w:rPr>
        <w:t xml:space="preserve">occur and to which we have some </w:t>
      </w:r>
      <w:r>
        <w:rPr>
          <w:sz w:val="24"/>
          <w:szCs w:val="24"/>
        </w:rPr>
        <w:t xml:space="preserve">sensual or experiential </w:t>
      </w:r>
      <w:r w:rsidRPr="00103EFC">
        <w:rPr>
          <w:sz w:val="24"/>
          <w:szCs w:val="24"/>
        </w:rPr>
        <w:t>access.</w:t>
      </w:r>
      <w:r>
        <w:rPr>
          <w:sz w:val="24"/>
          <w:szCs w:val="24"/>
        </w:rPr>
        <w:t xml:space="preserve"> However, </w:t>
      </w:r>
      <w:r w:rsidRPr="00103EFC">
        <w:rPr>
          <w:sz w:val="24"/>
          <w:szCs w:val="24"/>
        </w:rPr>
        <w:t xml:space="preserve">not every </w:t>
      </w:r>
      <w:r w:rsidRPr="00A949E7">
        <w:rPr>
          <w:sz w:val="24"/>
          <w:szCs w:val="24"/>
        </w:rPr>
        <w:t>event</w:t>
      </w:r>
      <w:r w:rsidRPr="00103EFC">
        <w:rPr>
          <w:sz w:val="24"/>
          <w:szCs w:val="24"/>
        </w:rPr>
        <w:t xml:space="preserve"> that </w:t>
      </w:r>
      <w:r w:rsidRPr="00723262">
        <w:rPr>
          <w:i/>
          <w:sz w:val="24"/>
          <w:szCs w:val="24"/>
        </w:rPr>
        <w:t>actually</w:t>
      </w:r>
      <w:r w:rsidRPr="00E36231">
        <w:rPr>
          <w:sz w:val="24"/>
          <w:szCs w:val="24"/>
        </w:rPr>
        <w:t xml:space="preserve"> </w:t>
      </w:r>
      <w:r w:rsidRPr="00103EFC">
        <w:rPr>
          <w:sz w:val="24"/>
          <w:szCs w:val="24"/>
        </w:rPr>
        <w:t>occurs is</w:t>
      </w:r>
      <w:r>
        <w:rPr>
          <w:sz w:val="24"/>
          <w:szCs w:val="24"/>
        </w:rPr>
        <w:t>, or can be,</w:t>
      </w:r>
      <w:r w:rsidRPr="00103EFC">
        <w:rPr>
          <w:sz w:val="24"/>
          <w:szCs w:val="24"/>
        </w:rPr>
        <w:t xml:space="preserve"> experienced or observed</w:t>
      </w:r>
      <w:r>
        <w:rPr>
          <w:sz w:val="24"/>
          <w:szCs w:val="24"/>
        </w:rPr>
        <w:t xml:space="preserve"> directly. The </w:t>
      </w:r>
      <w:r>
        <w:rPr>
          <w:i/>
          <w:sz w:val="24"/>
          <w:szCs w:val="24"/>
        </w:rPr>
        <w:t>actual</w:t>
      </w:r>
      <w:r>
        <w:rPr>
          <w:sz w:val="24"/>
          <w:szCs w:val="24"/>
        </w:rPr>
        <w:t>,</w:t>
      </w:r>
      <w:r>
        <w:rPr>
          <w:i/>
          <w:sz w:val="24"/>
          <w:szCs w:val="24"/>
        </w:rPr>
        <w:t xml:space="preserve"> </w:t>
      </w:r>
      <w:r>
        <w:rPr>
          <w:sz w:val="24"/>
          <w:szCs w:val="24"/>
        </w:rPr>
        <w:t xml:space="preserve">therefore, is distinct from the </w:t>
      </w:r>
      <w:r>
        <w:rPr>
          <w:i/>
          <w:sz w:val="24"/>
          <w:szCs w:val="24"/>
        </w:rPr>
        <w:t>empirical</w:t>
      </w:r>
      <w:r>
        <w:rPr>
          <w:sz w:val="24"/>
          <w:szCs w:val="24"/>
        </w:rPr>
        <w:t xml:space="preserve">, in that the </w:t>
      </w:r>
      <w:r>
        <w:rPr>
          <w:i/>
          <w:sz w:val="24"/>
          <w:szCs w:val="24"/>
        </w:rPr>
        <w:t>actual</w:t>
      </w:r>
      <w:r>
        <w:rPr>
          <w:sz w:val="24"/>
          <w:szCs w:val="24"/>
        </w:rPr>
        <w:t xml:space="preserve"> refers to all phenomena and events, not just those which we (have the capacity to) experience. This distinction achieves two things. Firstly, it makes explicit within the ontological framework the possibility that there exists a (social) world beyond </w:t>
      </w:r>
      <w:r w:rsidR="005F5202">
        <w:rPr>
          <w:sz w:val="24"/>
          <w:szCs w:val="24"/>
        </w:rPr>
        <w:t xml:space="preserve">humans’ </w:t>
      </w:r>
      <w:r>
        <w:rPr>
          <w:sz w:val="24"/>
          <w:szCs w:val="24"/>
        </w:rPr>
        <w:t xml:space="preserve">experience of it, or our capacity to sense it. Second, it presents an epistemological imperative for how science, natural or social, ought to proceed. That is, (social) science is not advanced by merely </w:t>
      </w:r>
      <w:r w:rsidRPr="00103EFC">
        <w:rPr>
          <w:sz w:val="24"/>
          <w:szCs w:val="24"/>
        </w:rPr>
        <w:t>list</w:t>
      </w:r>
      <w:r>
        <w:rPr>
          <w:sz w:val="24"/>
          <w:szCs w:val="24"/>
        </w:rPr>
        <w:t>ing, experimenting, and describing events</w:t>
      </w:r>
      <w:r w:rsidRPr="00103EFC">
        <w:rPr>
          <w:sz w:val="24"/>
          <w:szCs w:val="24"/>
        </w:rPr>
        <w:t xml:space="preserve"> and their conditions</w:t>
      </w:r>
      <w:r>
        <w:rPr>
          <w:sz w:val="24"/>
          <w:szCs w:val="24"/>
        </w:rPr>
        <w:t xml:space="preserve">, but rather by positing and testing theories about the </w:t>
      </w:r>
      <w:r w:rsidRPr="00103EFC">
        <w:rPr>
          <w:sz w:val="24"/>
          <w:szCs w:val="24"/>
        </w:rPr>
        <w:t xml:space="preserve">underlying generative </w:t>
      </w:r>
      <w:r w:rsidRPr="00103EFC">
        <w:rPr>
          <w:i/>
          <w:sz w:val="24"/>
          <w:szCs w:val="24"/>
        </w:rPr>
        <w:t>mechanisms</w:t>
      </w:r>
      <w:r w:rsidRPr="00103EFC">
        <w:rPr>
          <w:sz w:val="24"/>
          <w:szCs w:val="24"/>
        </w:rPr>
        <w:t xml:space="preserve"> that </w:t>
      </w:r>
      <w:r>
        <w:rPr>
          <w:sz w:val="24"/>
          <w:szCs w:val="24"/>
        </w:rPr>
        <w:t xml:space="preserve">produce these conditions and events. For example, natural science (biology) has theorised that the </w:t>
      </w:r>
      <w:r w:rsidR="00A022A5">
        <w:rPr>
          <w:sz w:val="24"/>
          <w:szCs w:val="24"/>
        </w:rPr>
        <w:t>empirically observed</w:t>
      </w:r>
      <w:r>
        <w:rPr>
          <w:sz w:val="24"/>
          <w:szCs w:val="24"/>
        </w:rPr>
        <w:t xml:space="preserve"> evolution of species </w:t>
      </w:r>
      <w:r>
        <w:rPr>
          <w:i/>
          <w:sz w:val="24"/>
          <w:szCs w:val="24"/>
        </w:rPr>
        <w:t xml:space="preserve">must </w:t>
      </w:r>
      <w:r>
        <w:rPr>
          <w:sz w:val="24"/>
          <w:szCs w:val="24"/>
        </w:rPr>
        <w:t xml:space="preserve">imply the existence of </w:t>
      </w:r>
      <w:r w:rsidRPr="00103EFC">
        <w:rPr>
          <w:sz w:val="24"/>
          <w:szCs w:val="24"/>
        </w:rPr>
        <w:t xml:space="preserve">the </w:t>
      </w:r>
      <w:r>
        <w:rPr>
          <w:sz w:val="24"/>
          <w:szCs w:val="24"/>
        </w:rPr>
        <w:t xml:space="preserve">underpinning </w:t>
      </w:r>
      <w:r w:rsidRPr="00EE03E2">
        <w:rPr>
          <w:sz w:val="24"/>
          <w:szCs w:val="24"/>
        </w:rPr>
        <w:t xml:space="preserve">mechanism </w:t>
      </w:r>
      <w:r w:rsidRPr="00103EFC">
        <w:rPr>
          <w:sz w:val="24"/>
          <w:szCs w:val="24"/>
        </w:rPr>
        <w:t>of natural selection</w:t>
      </w:r>
      <w:r>
        <w:rPr>
          <w:sz w:val="24"/>
          <w:szCs w:val="24"/>
        </w:rPr>
        <w:t xml:space="preserve">. Similarly, social science (economics) has theorised that certain </w:t>
      </w:r>
      <w:r w:rsidR="00A022A5">
        <w:rPr>
          <w:sz w:val="24"/>
          <w:szCs w:val="24"/>
        </w:rPr>
        <w:t>empirically observed</w:t>
      </w:r>
      <w:r>
        <w:rPr>
          <w:sz w:val="24"/>
          <w:szCs w:val="24"/>
        </w:rPr>
        <w:t xml:space="preserve"> successes and failures of private companies </w:t>
      </w:r>
      <w:r>
        <w:rPr>
          <w:i/>
          <w:sz w:val="24"/>
          <w:szCs w:val="24"/>
        </w:rPr>
        <w:t xml:space="preserve">must </w:t>
      </w:r>
      <w:r>
        <w:rPr>
          <w:sz w:val="24"/>
          <w:szCs w:val="24"/>
        </w:rPr>
        <w:t>imply the existence of underpinning market mechanisms</w:t>
      </w:r>
      <w:r>
        <w:rPr>
          <w:rStyle w:val="FootnoteReference"/>
          <w:sz w:val="24"/>
          <w:szCs w:val="24"/>
        </w:rPr>
        <w:footnoteReference w:id="8"/>
      </w:r>
      <w:r>
        <w:rPr>
          <w:sz w:val="24"/>
          <w:szCs w:val="24"/>
        </w:rPr>
        <w:t xml:space="preserve">. In both these cases, the underpinning mechanisms, those of natural selection and of the market, are not visible directly, but only in their effects, so that our endeavours to generate knowledge of these mechanisms must ultimately proceed by making inferences about the unobservable based on observable phenomena and, where possible, attempting to test these inferences. In Bhaskar’s </w:t>
      </w:r>
      <w:r w:rsidR="00233012" w:rsidRPr="00103EFC">
        <w:rPr>
          <w:sz w:val="24"/>
          <w:szCs w:val="24"/>
        </w:rPr>
        <w:fldChar w:fldCharType="begin"/>
      </w:r>
      <w:r>
        <w:rPr>
          <w:sz w:val="24"/>
          <w:szCs w:val="24"/>
        </w:rPr>
        <w:instrText xml:space="preserve"> ADDIN EN.CITE &lt;EndNote&gt;&lt;Cite ExcludeAuth="1"&gt;&lt;Author&gt;Bhaskar&lt;/Author&gt;&lt;Year&gt;1998&lt;/Year&gt;&lt;IDText&gt;Philosophy and scientific realism&lt;/IDText&gt;&lt;DisplayText&gt;(1998a)&lt;/DisplayText&gt;&lt;record&gt;&lt;keywords&gt;&lt;keyword&gt;Critical realism&lt;/keyword&gt;&lt;/keywords&gt;&lt;titles&gt;&lt;title&gt;Philosophy and scientific realism&lt;/title&gt;&lt;secondary-title&gt;Critical realism: essential readings&lt;/secondary-title&gt;&lt;/titles&gt;&lt;pages&gt;16-47&lt;/pages&gt;&lt;contributors&gt;&lt;authors&gt;&lt;author&gt;Bhaskar, Roy&lt;/author&gt;&lt;/authors&gt;&lt;/contributors&gt;&lt;added-date format="utc"&gt;1452810445&lt;/added-date&gt;&lt;pub-location&gt;London&lt;/pub-location&gt;&lt;ref-type name="Book Section"&gt;5&lt;/ref-type&gt;&lt;dates&gt;&lt;year&gt;1998&lt;/year&gt;&lt;/dates&gt;&lt;rec-number&gt;206&lt;/rec-number&gt;&lt;publisher&gt;Routledge&lt;/publisher&gt;&lt;last-updated-date format="utc"&gt;1452810701&lt;/last-updated-date&gt;&lt;contributors&gt;&lt;secondary-authors&gt;&lt;author&gt;Archer, Margaret Scotford&lt;/author&gt;&lt;author&gt;Bhaskar, Roy&lt;/author&gt;&lt;author&gt;Collier, Andrew&lt;/author&gt;&lt;author&gt;Lawson, Tony&lt;/author&gt;&lt;author&gt;Norrie, Alan&lt;/author&gt;&lt;/secondary-authors&gt;&lt;/contributors&gt;&lt;/record&gt;&lt;/Cite&gt;&lt;/EndNote&gt;</w:instrText>
      </w:r>
      <w:r w:rsidR="00233012" w:rsidRPr="00103EFC">
        <w:rPr>
          <w:sz w:val="24"/>
          <w:szCs w:val="24"/>
        </w:rPr>
        <w:fldChar w:fldCharType="separate"/>
      </w:r>
      <w:r>
        <w:rPr>
          <w:noProof/>
          <w:sz w:val="24"/>
          <w:szCs w:val="24"/>
        </w:rPr>
        <w:t>(1998a)</w:t>
      </w:r>
      <w:r w:rsidR="00233012" w:rsidRPr="00103EFC">
        <w:rPr>
          <w:sz w:val="24"/>
          <w:szCs w:val="24"/>
        </w:rPr>
        <w:fldChar w:fldCharType="end"/>
      </w:r>
      <w:r>
        <w:rPr>
          <w:sz w:val="24"/>
          <w:szCs w:val="24"/>
        </w:rPr>
        <w:t xml:space="preserve"> words, “me</w:t>
      </w:r>
      <w:r w:rsidRPr="00103EFC">
        <w:rPr>
          <w:sz w:val="24"/>
          <w:szCs w:val="24"/>
        </w:rPr>
        <w:t>chanisms, events and experiences thus constitute three overlapping domains of reality, vis. the domains of the rea</w:t>
      </w:r>
      <w:r>
        <w:rPr>
          <w:sz w:val="24"/>
          <w:szCs w:val="24"/>
        </w:rPr>
        <w:t>l, the actual and the empirical” (p. 19), so that it is “</w:t>
      </w:r>
      <w:r w:rsidRPr="00103EFC">
        <w:rPr>
          <w:sz w:val="24"/>
          <w:szCs w:val="24"/>
        </w:rPr>
        <w:t>the structures and mechanisms that generate phenomena</w:t>
      </w:r>
      <w:r>
        <w:rPr>
          <w:sz w:val="24"/>
          <w:szCs w:val="24"/>
        </w:rPr>
        <w:t>” (p. 41)</w:t>
      </w:r>
      <w:r w:rsidRPr="00103EFC">
        <w:rPr>
          <w:sz w:val="24"/>
          <w:szCs w:val="24"/>
        </w:rPr>
        <w:t xml:space="preserve"> </w:t>
      </w:r>
      <w:r>
        <w:rPr>
          <w:sz w:val="24"/>
          <w:szCs w:val="24"/>
        </w:rPr>
        <w:t>which constitute the “</w:t>
      </w:r>
      <w:r w:rsidRPr="00103EFC">
        <w:rPr>
          <w:sz w:val="24"/>
          <w:szCs w:val="24"/>
        </w:rPr>
        <w:t xml:space="preserve">objects of </w:t>
      </w:r>
      <w:r>
        <w:rPr>
          <w:sz w:val="24"/>
          <w:szCs w:val="24"/>
        </w:rPr>
        <w:t xml:space="preserve">[social scientific] </w:t>
      </w:r>
      <w:r w:rsidRPr="00103EFC">
        <w:rPr>
          <w:sz w:val="24"/>
          <w:szCs w:val="24"/>
        </w:rPr>
        <w:t>knowledge</w:t>
      </w:r>
      <w:r>
        <w:rPr>
          <w:sz w:val="24"/>
          <w:szCs w:val="24"/>
        </w:rPr>
        <w:t xml:space="preserve">” (p. 41). </w:t>
      </w:r>
    </w:p>
    <w:p w14:paraId="41D09A33" w14:textId="1FEEA809" w:rsidR="00082217" w:rsidRDefault="00F96BC4" w:rsidP="00082217">
      <w:pPr>
        <w:pStyle w:val="Heading3"/>
      </w:pPr>
      <w:bookmarkStart w:id="64" w:name="_Toc536717935"/>
      <w:bookmarkStart w:id="65" w:name="_Toc31701963"/>
      <w:r>
        <w:t>A c</w:t>
      </w:r>
      <w:r w:rsidR="00082217">
        <w:t xml:space="preserve">ritical realist </w:t>
      </w:r>
      <w:r>
        <w:t>research design</w:t>
      </w:r>
      <w:bookmarkEnd w:id="64"/>
      <w:bookmarkEnd w:id="65"/>
      <w:r w:rsidR="00082217">
        <w:t xml:space="preserve"> </w:t>
      </w:r>
    </w:p>
    <w:p w14:paraId="7AB87229" w14:textId="77777777" w:rsidR="00082217" w:rsidRDefault="00082217" w:rsidP="00046D95">
      <w:pPr>
        <w:autoSpaceDE w:val="0"/>
        <w:autoSpaceDN w:val="0"/>
        <w:adjustRightInd w:val="0"/>
        <w:spacing w:after="120" w:line="360" w:lineRule="auto"/>
        <w:rPr>
          <w:sz w:val="24"/>
          <w:szCs w:val="24"/>
        </w:rPr>
      </w:pPr>
      <w:r>
        <w:rPr>
          <w:sz w:val="24"/>
          <w:szCs w:val="24"/>
        </w:rPr>
        <w:t xml:space="preserve">Epistemologically, then, generating new knowledge begins from the following question: if experienced and observed phenomena are real, what inferences can we make about the nature of (social) reality? In other words, for critical realism, knowledge claims ideally take the form of theories and revelations about </w:t>
      </w:r>
      <w:r>
        <w:rPr>
          <w:i/>
          <w:sz w:val="24"/>
          <w:szCs w:val="24"/>
        </w:rPr>
        <w:t>what must be the case</w:t>
      </w:r>
      <w:r>
        <w:rPr>
          <w:sz w:val="24"/>
          <w:szCs w:val="24"/>
        </w:rPr>
        <w:t xml:space="preserve"> for given empirical phenomena to be ‘real’. The cognitive operations are ‘abductive’ and ‘retroductive’ reasoning, where ‘abduction’ refers to the process of theorising about possible structures and mechanisms which could have led to observed phenomena, and ‘retroduction’ to the process of scrutinising and testing the various causal elements that are assumed, posited, or implied by such a theory </w:t>
      </w:r>
      <w:r w:rsidR="00233012">
        <w:rPr>
          <w:sz w:val="24"/>
          <w:szCs w:val="24"/>
        </w:rPr>
        <w:fldChar w:fldCharType="begin"/>
      </w:r>
      <w:r>
        <w:rPr>
          <w:sz w:val="24"/>
          <w:szCs w:val="24"/>
        </w:rPr>
        <w:instrText xml:space="preserve"> ADDIN EN.CITE &lt;EndNote&gt;&lt;Cite&gt;&lt;Author&gt;Danermark&lt;/Author&gt;&lt;Year&gt;2002&lt;/Year&gt;&lt;IDText&gt;Explaining society: critical realism in the social sciences&lt;/IDText&gt;&lt;Pages&gt;109-110&lt;/Pages&gt;&lt;DisplayText&gt;(Danermark et al., 2002, pp. 109-110)&lt;/DisplayText&gt;&lt;record&gt;&lt;keywords&gt;&lt;keyword&gt;Sociology -- Methodology&lt;/keyword&gt;&lt;keyword&gt;Social sciences -- Methodology&lt;/keyword&gt;&lt;keyword&gt;Critical realism&lt;/keyword&gt;&lt;keyword&gt;Philosophy, Modern&lt;/keyword&gt;&lt;keyword&gt;Realism&lt;/keyword&gt;&lt;/keywords&gt;&lt;titles&gt;&lt;title&gt;Explaining society: critical realism in the social sciences&lt;/title&gt;&lt;/titles&gt;&lt;contributors&gt;&lt;authors&gt;&lt;author&gt;Danermark, Berth&lt;/author&gt;&lt;author&gt;Ekstrom, Mats&lt;/author&gt;&lt;author&gt;Jakobsen, Liselotte&lt;/author&gt;&lt;author&gt;Karlsson, Jan Ch.&lt;/author&gt;&lt;/authors&gt;&lt;/contributors&gt;&lt;added-date format="utc"&gt;1530802367&lt;/added-date&gt;&lt;pub-location&gt;London&lt;/pub-location&gt;&lt;ref-type name="Book"&gt;6&lt;/ref-type&gt;&lt;dates&gt;&lt;year&gt;2002&lt;/year&gt;&lt;/dates&gt;&lt;rec-number&gt;7593&lt;/rec-number&gt;&lt;publisher&gt;Routledge&lt;/publisher&gt;&lt;last-updated-date format="utc"&gt;1530804819&lt;/last-updated-date&gt;&lt;/record&gt;&lt;/Cite&gt;&lt;/EndNote&gt;</w:instrText>
      </w:r>
      <w:r w:rsidR="00233012">
        <w:rPr>
          <w:sz w:val="24"/>
          <w:szCs w:val="24"/>
        </w:rPr>
        <w:fldChar w:fldCharType="separate"/>
      </w:r>
      <w:r>
        <w:rPr>
          <w:noProof/>
          <w:sz w:val="24"/>
          <w:szCs w:val="24"/>
        </w:rPr>
        <w:t>(Danermark et al., 2002, pp. 109-110)</w:t>
      </w:r>
      <w:r w:rsidR="00233012">
        <w:rPr>
          <w:sz w:val="24"/>
          <w:szCs w:val="24"/>
        </w:rPr>
        <w:fldChar w:fldCharType="end"/>
      </w:r>
      <w:r>
        <w:rPr>
          <w:sz w:val="24"/>
          <w:szCs w:val="24"/>
        </w:rPr>
        <w:t xml:space="preserve">. However, abductive and retroductive reasoning face an additional problem in social science that is not faced by natural science, namely, the structure-agency problem. Social science must attempt to account for the mutually and reciprocally determinative nature of the relationship between social structures and human agency. This is because human agency cannot be understood apart from the socially structured contexts in which it takes place, but at the same time, social structures cannot be understood apart from the human activities through which these structures are themselves (re)produced and transformed. </w:t>
      </w:r>
    </w:p>
    <w:p w14:paraId="110094B8" w14:textId="77777777" w:rsidR="00082217" w:rsidRDefault="00082217" w:rsidP="00046D95">
      <w:pPr>
        <w:autoSpaceDE w:val="0"/>
        <w:autoSpaceDN w:val="0"/>
        <w:adjustRightInd w:val="0"/>
        <w:spacing w:after="120" w:line="360" w:lineRule="auto"/>
        <w:rPr>
          <w:sz w:val="24"/>
          <w:szCs w:val="24"/>
        </w:rPr>
      </w:pPr>
      <w:r>
        <w:rPr>
          <w:sz w:val="24"/>
          <w:szCs w:val="24"/>
        </w:rPr>
        <w:t xml:space="preserve">A novel move that the above framework allows Bhaskar to make is to present this dynamic between structure and agency not just in the negative sense, as a problem or a tension for social scientists to grapple with. Rather, this problem takes on a positive aspect, in that it is precisely this property of societies, social institutions, and social action, that makes societies, social institutions and social action </w:t>
      </w:r>
      <w:r w:rsidRPr="003839A7">
        <w:rPr>
          <w:i/>
          <w:sz w:val="24"/>
          <w:szCs w:val="24"/>
        </w:rPr>
        <w:t>possible objects of knowledge</w:t>
      </w:r>
      <w:r>
        <w:rPr>
          <w:sz w:val="24"/>
          <w:szCs w:val="24"/>
        </w:rPr>
        <w:t xml:space="preserve"> for social science. This is the case because if observable social institutions and activities constitute the surface, ‘</w:t>
      </w:r>
      <w:r w:rsidRPr="00D63259">
        <w:rPr>
          <w:sz w:val="24"/>
          <w:szCs w:val="24"/>
        </w:rPr>
        <w:t>empirical</w:t>
      </w:r>
      <w:r>
        <w:rPr>
          <w:sz w:val="24"/>
          <w:szCs w:val="24"/>
        </w:rPr>
        <w:t>’</w:t>
      </w:r>
      <w:r>
        <w:rPr>
          <w:i/>
          <w:sz w:val="24"/>
          <w:szCs w:val="24"/>
        </w:rPr>
        <w:t xml:space="preserve"> </w:t>
      </w:r>
      <w:r>
        <w:rPr>
          <w:sz w:val="24"/>
          <w:szCs w:val="24"/>
        </w:rPr>
        <w:t xml:space="preserve">level of reality, then, according to the critical realist framework, this necessarily implies that there must be some unseen underpinning interaction and interplay between, on the one hand, the human </w:t>
      </w:r>
      <w:r w:rsidRPr="008A78B4">
        <w:rPr>
          <w:i/>
          <w:sz w:val="24"/>
          <w:szCs w:val="24"/>
        </w:rPr>
        <w:t xml:space="preserve">agency </w:t>
      </w:r>
      <w:r>
        <w:rPr>
          <w:sz w:val="24"/>
          <w:szCs w:val="24"/>
        </w:rPr>
        <w:t xml:space="preserve">driving social activities, and on the other, the social </w:t>
      </w:r>
      <w:r w:rsidRPr="007B3A1A">
        <w:rPr>
          <w:i/>
          <w:sz w:val="24"/>
          <w:szCs w:val="24"/>
        </w:rPr>
        <w:t>structure(s)</w:t>
      </w:r>
      <w:r>
        <w:rPr>
          <w:i/>
          <w:sz w:val="24"/>
          <w:szCs w:val="24"/>
        </w:rPr>
        <w:t xml:space="preserve"> </w:t>
      </w:r>
      <w:r>
        <w:rPr>
          <w:sz w:val="24"/>
          <w:szCs w:val="24"/>
        </w:rPr>
        <w:t xml:space="preserve">within which all social activity takes place. In other words, social forms, social institutions and social activities are the “emergent properties” </w:t>
      </w:r>
      <w:r w:rsidR="00233012" w:rsidRPr="00103EFC">
        <w:rPr>
          <w:sz w:val="24"/>
          <w:szCs w:val="24"/>
        </w:rPr>
        <w:fldChar w:fldCharType="begin"/>
      </w:r>
      <w:r>
        <w:rPr>
          <w:sz w:val="24"/>
          <w:szCs w:val="24"/>
        </w:rPr>
        <w:instrText xml:space="preserve"> ADDIN EN.CITE &lt;EndNote&gt;&lt;Cite&gt;&lt;Author&gt;Bhaskar&lt;/Author&gt;&lt;Year&gt;1998&lt;/Year&gt;&lt;IDText&gt;Philosophy and scientific realism&lt;/IDText&gt;&lt;Pages&gt;41&lt;/Pages&gt;&lt;DisplayText&gt;(Bhaskar, 1998a, p. 41)&lt;/DisplayText&gt;&lt;record&gt;&lt;keywords&gt;&lt;keyword&gt;Critical realism&lt;/keyword&gt;&lt;/keywords&gt;&lt;titles&gt;&lt;title&gt;Philosophy and scientific realism&lt;/title&gt;&lt;secondary-title&gt;Critical realism: essential readings&lt;/secondary-title&gt;&lt;/titles&gt;&lt;pages&gt;16-47&lt;/pages&gt;&lt;contributors&gt;&lt;authors&gt;&lt;author&gt;Bhaskar, Roy&lt;/author&gt;&lt;/authors&gt;&lt;/contributors&gt;&lt;added-date format="utc"&gt;1452810445&lt;/added-date&gt;&lt;pub-location&gt;London&lt;/pub-location&gt;&lt;ref-type name="Book Section"&gt;5&lt;/ref-type&gt;&lt;dates&gt;&lt;year&gt;1998&lt;/year&gt;&lt;/dates&gt;&lt;rec-number&gt;206&lt;/rec-number&gt;&lt;publisher&gt;Routledge&lt;/publisher&gt;&lt;last-updated-date format="utc"&gt;1452810701&lt;/last-updated-date&gt;&lt;contributors&gt;&lt;secondary-authors&gt;&lt;author&gt;Archer, Margaret Scotford&lt;/author&gt;&lt;author&gt;Bhaskar, Roy&lt;/author&gt;&lt;author&gt;Collier, Andrew&lt;/author&gt;&lt;author&gt;Lawson, Tony&lt;/author&gt;&lt;author&gt;Norrie, Alan&lt;/author&gt;&lt;/secondary-authors&gt;&lt;/contributors&gt;&lt;/record&gt;&lt;/Cite&gt;&lt;/EndNote&gt;</w:instrText>
      </w:r>
      <w:r w:rsidR="00233012" w:rsidRPr="00103EFC">
        <w:rPr>
          <w:sz w:val="24"/>
          <w:szCs w:val="24"/>
        </w:rPr>
        <w:fldChar w:fldCharType="separate"/>
      </w:r>
      <w:r>
        <w:rPr>
          <w:noProof/>
          <w:sz w:val="24"/>
          <w:szCs w:val="24"/>
        </w:rPr>
        <w:t>(Bhaskar, 1998a, p. 41)</w:t>
      </w:r>
      <w:r w:rsidR="00233012" w:rsidRPr="00103EFC">
        <w:rPr>
          <w:sz w:val="24"/>
          <w:szCs w:val="24"/>
        </w:rPr>
        <w:fldChar w:fldCharType="end"/>
      </w:r>
      <w:r>
        <w:rPr>
          <w:sz w:val="24"/>
          <w:szCs w:val="24"/>
        </w:rPr>
        <w:t xml:space="preserve"> and </w:t>
      </w:r>
      <w:r w:rsidRPr="00582F2F">
        <w:rPr>
          <w:i/>
          <w:sz w:val="24"/>
          <w:szCs w:val="24"/>
        </w:rPr>
        <w:t xml:space="preserve">observable </w:t>
      </w:r>
      <w:r>
        <w:rPr>
          <w:sz w:val="24"/>
          <w:szCs w:val="24"/>
        </w:rPr>
        <w:t xml:space="preserve">realities of the </w:t>
      </w:r>
      <w:r w:rsidRPr="00582F2F">
        <w:rPr>
          <w:i/>
          <w:sz w:val="24"/>
          <w:szCs w:val="24"/>
        </w:rPr>
        <w:t>unobservable</w:t>
      </w:r>
      <w:r>
        <w:rPr>
          <w:sz w:val="24"/>
          <w:szCs w:val="24"/>
        </w:rPr>
        <w:t xml:space="preserve"> interaction between human agents and social structures. </w:t>
      </w:r>
      <w:r>
        <w:rPr>
          <w:sz w:val="24"/>
          <w:szCs w:val="24"/>
          <w:lang w:eastAsia="ko-KR"/>
        </w:rPr>
        <w:t xml:space="preserve">This is not intended to “explain away” </w:t>
      </w:r>
      <w:r w:rsidR="00233012">
        <w:rPr>
          <w:sz w:val="24"/>
          <w:szCs w:val="24"/>
        </w:rPr>
        <w:fldChar w:fldCharType="begin"/>
      </w:r>
      <w:r>
        <w:rPr>
          <w:sz w:val="24"/>
          <w:szCs w:val="24"/>
          <w:lang w:eastAsia="ko-KR"/>
        </w:rPr>
        <w:instrText xml:space="preserve"> ADDIN EN.CITE &lt;EndNote&gt;&lt;Cite&gt;&lt;Author&gt;Danermark&lt;/Author&gt;&lt;Year&gt;2002&lt;/Year&gt;&lt;IDText&gt;Explaining society: critical realism in the social sciences&lt;/IDText&gt;&lt;Pages&gt;61&lt;/Pages&gt;&lt;DisplayText&gt;(Danermark et al., 2002, p. 61)&lt;/DisplayText&gt;&lt;record&gt;&lt;keywords&gt;&lt;keyword&gt;Sociology -- Methodology&lt;/keyword&gt;&lt;keyword&gt;Social sciences -- Methodology&lt;/keyword&gt;&lt;keyword&gt;Critical realism&lt;/keyword&gt;&lt;keyword&gt;Philosophy, Modern&lt;/keyword&gt;&lt;keyword&gt;Realism&lt;/keyword&gt;&lt;/keywords&gt;&lt;titles&gt;&lt;title&gt;Explaining society: critical realism in the social sciences&lt;/title&gt;&lt;/titles&gt;&lt;contributors&gt;&lt;authors&gt;&lt;author&gt;Danermark, Berth&lt;/author&gt;&lt;author&gt;Ekstrom, Mats&lt;/author&gt;&lt;author&gt;Jakobsen, Liselotte&lt;/author&gt;&lt;author&gt;Karlsson, Jan Ch.&lt;/author&gt;&lt;/authors&gt;&lt;/contributors&gt;&lt;added-date format="utc"&gt;1530802367&lt;/added-date&gt;&lt;pub-location&gt;London&lt;/pub-location&gt;&lt;ref-type name="Book"&gt;6&lt;/ref-type&gt;&lt;dates&gt;&lt;year&gt;2002&lt;/year&gt;&lt;/dates&gt;&lt;rec-number&gt;7593&lt;/rec-number&gt;&lt;publisher&gt;Routledge&lt;/publisher&gt;&lt;last-updated-date format="utc"&gt;1530804819&lt;/last-updated-date&gt;&lt;/record&gt;&lt;/Cite&gt;&lt;/EndNote&gt;</w:instrText>
      </w:r>
      <w:r w:rsidR="00233012">
        <w:rPr>
          <w:sz w:val="24"/>
          <w:szCs w:val="24"/>
        </w:rPr>
        <w:fldChar w:fldCharType="separate"/>
      </w:r>
      <w:r>
        <w:rPr>
          <w:noProof/>
          <w:sz w:val="24"/>
          <w:szCs w:val="24"/>
          <w:lang w:eastAsia="ko-KR"/>
        </w:rPr>
        <w:t>(Danermark et al., 2002, p. 61)</w:t>
      </w:r>
      <w:r w:rsidR="00233012">
        <w:rPr>
          <w:sz w:val="24"/>
          <w:szCs w:val="24"/>
        </w:rPr>
        <w:fldChar w:fldCharType="end"/>
      </w:r>
      <w:r>
        <w:rPr>
          <w:sz w:val="24"/>
          <w:szCs w:val="24"/>
        </w:rPr>
        <w:t xml:space="preserve"> the structure-agency problem, since it remains the case that social scientists will be confronted with the structure-agency problem in any given research context, and that any social activity “may, in general, be described either in terms of the agent’s reason for engaging in it or in terms of its social function or role”</w:t>
      </w:r>
      <w:r w:rsidRPr="00DD6351">
        <w:rPr>
          <w:rStyle w:val="FootnoteReference"/>
          <w:sz w:val="24"/>
          <w:szCs w:val="24"/>
        </w:rPr>
        <w:t xml:space="preserve"> </w:t>
      </w:r>
      <w:r w:rsidR="00233012">
        <w:rPr>
          <w:sz w:val="24"/>
          <w:szCs w:val="24"/>
        </w:rPr>
        <w:fldChar w:fldCharType="begin"/>
      </w:r>
      <w:r>
        <w:rPr>
          <w:sz w:val="24"/>
          <w:szCs w:val="24"/>
        </w:rPr>
        <w:instrText xml:space="preserve"> ADDIN EN.CITE &lt;EndNote&gt;&lt;Cite&gt;&lt;Author&gt;Bhaskar&lt;/Author&gt;&lt;Year&gt;1998&lt;/Year&gt;&lt;IDText&gt;The possibility of naturalism: a philosophical critique of the contemporary human sciences&lt;/IDText&gt;&lt;Pages&gt;38-9&lt;/Pages&gt;&lt;DisplayText&gt;(Bhaskar, 1998b, pp. 38-39)&lt;/DisplayText&gt;&lt;record&gt;&lt;keywords&gt;&lt;keyword&gt;Naturalism&lt;/keyword&gt;&lt;keyword&gt;Science -- Philosophy&lt;/keyword&gt;&lt;keyword&gt;Social sciences -- Philosophy&lt;/keyword&gt;&lt;keyword&gt;Electronic books&lt;/keyword&gt;&lt;/keywords&gt;&lt;titles&gt;&lt;title&gt;The possibility of naturalism: a philosophical critique of the contemporary human sciences&lt;/title&gt;&lt;/titles&gt;&lt;contributors&gt;&lt;authors&gt;&lt;author&gt;Bhaskar, Roy&lt;/author&gt;&lt;/authors&gt;&lt;/contributors&gt;&lt;edition&gt;3rd&lt;/edition&gt;&lt;added-date format="utc"&gt;1452809758&lt;/added-date&gt;&lt;pub-location&gt;London&lt;/pub-location&gt;&lt;ref-type name="Book"&gt;6&lt;/ref-type&gt;&lt;dates&gt;&lt;year&gt;1998&lt;/year&gt;&lt;/dates&gt;&lt;rec-number&gt;204&lt;/rec-number&gt;&lt;publisher&gt;Routledge&lt;/publisher&gt;&lt;last-updated-date format="utc"&gt;1469215468&lt;/last-updated-date&gt;&lt;/record&gt;&lt;/Cite&gt;&lt;/EndNote&gt;</w:instrText>
      </w:r>
      <w:r w:rsidR="00233012">
        <w:rPr>
          <w:sz w:val="24"/>
          <w:szCs w:val="24"/>
        </w:rPr>
        <w:fldChar w:fldCharType="separate"/>
      </w:r>
      <w:r>
        <w:rPr>
          <w:noProof/>
          <w:sz w:val="24"/>
          <w:szCs w:val="24"/>
        </w:rPr>
        <w:t>(Bhaskar, 1998b, pp. 38-39)</w:t>
      </w:r>
      <w:r w:rsidR="00233012">
        <w:rPr>
          <w:sz w:val="24"/>
          <w:szCs w:val="24"/>
        </w:rPr>
        <w:fldChar w:fldCharType="end"/>
      </w:r>
      <w:r>
        <w:rPr>
          <w:sz w:val="24"/>
          <w:szCs w:val="24"/>
        </w:rPr>
        <w:t>. However, the above insight provides a philosophically-grounded rationale for proceeding with social scientific research and theorising in the face of the structure-agency problem on the basis that all social science has the potential, in principle, to contribute to knowledge of how the structure-agency interrelationship played out to generate the empirical phenomena being studied.</w:t>
      </w:r>
    </w:p>
    <w:p w14:paraId="5E561A34" w14:textId="06B44D84" w:rsidR="00082217" w:rsidRPr="00247838" w:rsidRDefault="00082217" w:rsidP="00082217">
      <w:pPr>
        <w:pStyle w:val="Heading3"/>
      </w:pPr>
      <w:bookmarkStart w:id="66" w:name="_Toc536717936"/>
      <w:bookmarkStart w:id="67" w:name="_Toc31701964"/>
      <w:r>
        <w:t>Implications of critical realism for social science research</w:t>
      </w:r>
      <w:bookmarkEnd w:id="66"/>
      <w:bookmarkEnd w:id="67"/>
    </w:p>
    <w:p w14:paraId="2838220C" w14:textId="32ADA6F2" w:rsidR="00082217" w:rsidRPr="00A16519" w:rsidRDefault="00082217" w:rsidP="00046D95">
      <w:pPr>
        <w:autoSpaceDE w:val="0"/>
        <w:autoSpaceDN w:val="0"/>
        <w:adjustRightInd w:val="0"/>
        <w:spacing w:after="120" w:line="360" w:lineRule="auto"/>
        <w:rPr>
          <w:sz w:val="24"/>
          <w:szCs w:val="24"/>
        </w:rPr>
      </w:pPr>
      <w:r>
        <w:rPr>
          <w:sz w:val="24"/>
          <w:szCs w:val="24"/>
          <w:lang w:eastAsia="ko-KR"/>
        </w:rPr>
        <w:t>A</w:t>
      </w:r>
      <w:r>
        <w:rPr>
          <w:sz w:val="24"/>
          <w:szCs w:val="24"/>
        </w:rPr>
        <w:t xml:space="preserve"> practical research implication is that all data should be considered only partial in terms of what they reveal about reality. For example, even the most thorough, intelligent and reflexive accounts of individuals in, say, a research interview situation, are unlikely to fully reveal the complex social reality that underpins any given activity that an individual has conducted, or any phenomenon experienced. The critical realist social scientist is therefore required to be critical of his or her own data. In</w:t>
      </w:r>
      <w:r w:rsidRPr="00A16519">
        <w:rPr>
          <w:sz w:val="24"/>
          <w:szCs w:val="24"/>
        </w:rPr>
        <w:t xml:space="preserve"> Bhaskar</w:t>
      </w:r>
      <w:r w:rsidR="00D90AC2">
        <w:rPr>
          <w:sz w:val="24"/>
          <w:szCs w:val="24"/>
        </w:rPr>
        <w:t>’s</w:t>
      </w:r>
      <w:r w:rsidRPr="00A16519">
        <w:rPr>
          <w:sz w:val="24"/>
          <w:szCs w:val="24"/>
        </w:rPr>
        <w:t xml:space="preserve"> </w:t>
      </w:r>
      <w:r w:rsidR="00233012" w:rsidRPr="00A16519">
        <w:rPr>
          <w:sz w:val="24"/>
          <w:szCs w:val="24"/>
        </w:rPr>
        <w:fldChar w:fldCharType="begin"/>
      </w:r>
      <w:r w:rsidRPr="00A16519">
        <w:rPr>
          <w:sz w:val="24"/>
          <w:szCs w:val="24"/>
        </w:rPr>
        <w:instrText xml:space="preserve"> ADDIN EN.CITE &lt;EndNote&gt;&lt;Cite ExcludeAuth="1"&gt;&lt;Author&gt;Bhaskar&lt;/Author&gt;&lt;Year&gt;1998&lt;/Year&gt;&lt;IDText&gt;The possibility of naturalism: a philosophical critique of the contemporary human sciences&lt;/IDText&gt;&lt;DisplayText&gt;(1998b)&lt;/DisplayText&gt;&lt;record&gt;&lt;keywords&gt;&lt;keyword&gt;Naturalism&lt;/keyword&gt;&lt;keyword&gt;Science -- Philosophy&lt;/keyword&gt;&lt;keyword&gt;Social sciences -- Philosophy&lt;/keyword&gt;&lt;keyword&gt;Electronic books&lt;/keyword&gt;&lt;/keywords&gt;&lt;titles&gt;&lt;title&gt;The possibility of naturalism: a philosophical critique of the contemporary human sciences&lt;/title&gt;&lt;/titles&gt;&lt;contributors&gt;&lt;authors&gt;&lt;author&gt;Bhaskar, Roy&lt;/author&gt;&lt;/authors&gt;&lt;/contributors&gt;&lt;edition&gt;3rd&lt;/edition&gt;&lt;added-date format="utc"&gt;1452809758&lt;/added-date&gt;&lt;pub-location&gt;London&lt;/pub-location&gt;&lt;ref-type name="Book"&gt;6&lt;/ref-type&gt;&lt;dates&gt;&lt;year&gt;1998&lt;/year&gt;&lt;/dates&gt;&lt;rec-number&gt;204&lt;/rec-number&gt;&lt;publisher&gt;Routledge&lt;/publisher&gt;&lt;last-updated-date format="utc"&gt;1469215468&lt;/last-updated-date&gt;&lt;/record&gt;&lt;/Cite&gt;&lt;/EndNote&gt;</w:instrText>
      </w:r>
      <w:r w:rsidR="00233012" w:rsidRPr="00A16519">
        <w:rPr>
          <w:sz w:val="24"/>
          <w:szCs w:val="24"/>
        </w:rPr>
        <w:fldChar w:fldCharType="separate"/>
      </w:r>
      <w:r w:rsidRPr="00A16519">
        <w:rPr>
          <w:noProof/>
          <w:sz w:val="24"/>
          <w:szCs w:val="24"/>
        </w:rPr>
        <w:t>(1998b)</w:t>
      </w:r>
      <w:r w:rsidR="00233012" w:rsidRPr="00A16519">
        <w:rPr>
          <w:sz w:val="24"/>
          <w:szCs w:val="24"/>
        </w:rPr>
        <w:fldChar w:fldCharType="end"/>
      </w:r>
      <w:r>
        <w:rPr>
          <w:sz w:val="24"/>
          <w:szCs w:val="24"/>
        </w:rPr>
        <w:t xml:space="preserve"> example</w:t>
      </w:r>
      <w:r w:rsidRPr="00A16519">
        <w:rPr>
          <w:sz w:val="24"/>
          <w:szCs w:val="24"/>
        </w:rPr>
        <w:t xml:space="preserve">, “we do not suppose that the reason why garbage is collected is necessarily the garbage collector’s reason for collecting it” </w:t>
      </w:r>
      <w:r w:rsidR="00233012" w:rsidRPr="00A16519">
        <w:rPr>
          <w:sz w:val="24"/>
          <w:szCs w:val="24"/>
        </w:rPr>
        <w:fldChar w:fldCharType="begin"/>
      </w:r>
      <w:r w:rsidRPr="00A16519">
        <w:rPr>
          <w:sz w:val="24"/>
          <w:szCs w:val="24"/>
        </w:rPr>
        <w:instrText xml:space="preserve"> ADDIN EN.CITE &lt;EndNote&gt;&lt;Cite ExcludeAuth="1" ExcludeYear="1"&gt;&lt;Author&gt;Bhaskar&lt;/Author&gt;&lt;Year&gt;1998&lt;/Year&gt;&lt;IDText&gt;The possibility of naturalism: a philosophical critique of the contemporary human sciences&lt;/IDText&gt;&lt;Pages&gt;39&lt;/Pages&gt;&lt;DisplayText&gt;(p. 39)&lt;/DisplayText&gt;&lt;record&gt;&lt;keywords&gt;&lt;keyword&gt;Naturalism&lt;/keyword&gt;&lt;keyword&gt;Science -- Philosophy&lt;/keyword&gt;&lt;keyword&gt;Social sciences -- Philosophy&lt;/keyword&gt;&lt;keyword&gt;Electronic books&lt;/keyword&gt;&lt;/keywords&gt;&lt;titles&gt;&lt;title&gt;The possibility of naturalism: a philosophical critique of the contemporary human sciences&lt;/title&gt;&lt;/titles&gt;&lt;contributors&gt;&lt;authors&gt;&lt;author&gt;Bhaskar, Roy&lt;/author&gt;&lt;/authors&gt;&lt;/contributors&gt;&lt;edition&gt;3rd&lt;/edition&gt;&lt;added-date format="utc"&gt;1452809758&lt;/added-date&gt;&lt;pub-location&gt;London&lt;/pub-location&gt;&lt;ref-type name="Book"&gt;6&lt;/ref-type&gt;&lt;dates&gt;&lt;year&gt;1998&lt;/year&gt;&lt;/dates&gt;&lt;rec-number&gt;204&lt;/rec-number&gt;&lt;publisher&gt;Routledge&lt;/publisher&gt;&lt;last-updated-date format="utc"&gt;1469215468&lt;/last-updated-date&gt;&lt;/record&gt;&lt;/Cite&gt;&lt;/EndNote&gt;</w:instrText>
      </w:r>
      <w:r w:rsidR="00233012" w:rsidRPr="00A16519">
        <w:rPr>
          <w:sz w:val="24"/>
          <w:szCs w:val="24"/>
        </w:rPr>
        <w:fldChar w:fldCharType="separate"/>
      </w:r>
      <w:r w:rsidRPr="00A16519">
        <w:rPr>
          <w:noProof/>
          <w:sz w:val="24"/>
          <w:szCs w:val="24"/>
        </w:rPr>
        <w:t>(p. 39)</w:t>
      </w:r>
      <w:r w:rsidR="00233012" w:rsidRPr="00A16519">
        <w:rPr>
          <w:sz w:val="24"/>
          <w:szCs w:val="24"/>
        </w:rPr>
        <w:fldChar w:fldCharType="end"/>
      </w:r>
      <w:r w:rsidRPr="00A16519">
        <w:rPr>
          <w:sz w:val="24"/>
          <w:szCs w:val="24"/>
        </w:rPr>
        <w:t>.</w:t>
      </w:r>
      <w:r>
        <w:rPr>
          <w:sz w:val="24"/>
          <w:szCs w:val="24"/>
        </w:rPr>
        <w:t xml:space="preserve"> In my own case, I must bear in mind that the reasons that individual academic scientists have for conducting a particular project or related activity in a particular way, or with a particular collaborator, may not perfectly correspond to the reasons that the university, sponsors, other collaborators, and wider society have for allowing, valuing and supporting the conditions which allow this scientific activity to occur – indeed, some evidence from interviews with academic scientists suggests the</w:t>
      </w:r>
      <w:r w:rsidR="00A46862">
        <w:rPr>
          <w:sz w:val="24"/>
          <w:szCs w:val="24"/>
        </w:rPr>
        <w:t>y</w:t>
      </w:r>
      <w:r>
        <w:rPr>
          <w:sz w:val="24"/>
          <w:szCs w:val="24"/>
        </w:rPr>
        <w:t xml:space="preserve"> are “generally articulate about needing resources, but not about the political alliances that shape funding” (Slaughter et al., 2004, p. 139).</w:t>
      </w:r>
    </w:p>
    <w:p w14:paraId="0C7EE215" w14:textId="77777777" w:rsidR="00082217" w:rsidRDefault="00082217" w:rsidP="00046D95">
      <w:pPr>
        <w:autoSpaceDE w:val="0"/>
        <w:autoSpaceDN w:val="0"/>
        <w:adjustRightInd w:val="0"/>
        <w:spacing w:after="120" w:line="360" w:lineRule="auto"/>
      </w:pPr>
      <w:r>
        <w:rPr>
          <w:sz w:val="24"/>
          <w:szCs w:val="24"/>
        </w:rPr>
        <w:t xml:space="preserve">Critical realism also has broader implications for how we should approach social scientific research, including the role of theory and methods. The generation of new knowledge by abductive and retroductive reasoning can in principle be attained with the support of any method of data collection and analysis. Critical realist research therefore permits of all forms of qualitative, quantitative or mixed methods, and of a whole range of data sources. Within given projects, inductive and deductive reasoning can both also have their place, although critical realism would conceive of these as auxiliary to processes of abduction and retroduction </w:t>
      </w:r>
      <w:r w:rsidR="00233012">
        <w:rPr>
          <w:sz w:val="24"/>
          <w:szCs w:val="24"/>
        </w:rPr>
        <w:fldChar w:fldCharType="begin"/>
      </w:r>
      <w:r>
        <w:rPr>
          <w:sz w:val="24"/>
          <w:szCs w:val="24"/>
        </w:rPr>
        <w:instrText xml:space="preserve"> ADDIN EN.CITE &lt;EndNote&gt;&lt;Cite&gt;&lt;Author&gt;Danermark&lt;/Author&gt;&lt;Year&gt;2002&lt;/Year&gt;&lt;IDText&gt;Explaining society: critical realism in the social sciences&lt;/IDText&gt;&lt;DisplayText&gt;(Danermark et al., 2002; Sayer, 2010)&lt;/DisplayText&gt;&lt;record&gt;&lt;keywords&gt;&lt;keyword&gt;Sociology -- Methodology&lt;/keyword&gt;&lt;keyword&gt;Social sciences -- Methodology&lt;/keyword&gt;&lt;keyword&gt;Critical realism&lt;/keyword&gt;&lt;keyword&gt;Philosophy, Modern&lt;/keyword&gt;&lt;keyword&gt;Realism&lt;/keyword&gt;&lt;/keywords&gt;&lt;titles&gt;&lt;title&gt;Explaining society: critical realism in the social sciences&lt;/title&gt;&lt;/titles&gt;&lt;contributors&gt;&lt;authors&gt;&lt;author&gt;Danermark, Berth&lt;/author&gt;&lt;author&gt;Ekstrom, Mats&lt;/author&gt;&lt;author&gt;Jakobsen, Liselotte&lt;/author&gt;&lt;author&gt;Karlsson, Jan Ch.&lt;/author&gt;&lt;/authors&gt;&lt;/contributors&gt;&lt;added-date format="utc"&gt;1530802367&lt;/added-date&gt;&lt;pub-location&gt;London&lt;/pub-location&gt;&lt;ref-type name="Book"&gt;6&lt;/ref-type&gt;&lt;dates&gt;&lt;year&gt;2002&lt;/year&gt;&lt;/dates&gt;&lt;rec-number&gt;7593&lt;/rec-number&gt;&lt;publisher&gt;Routledge&lt;/publisher&gt;&lt;last-updated-date format="utc"&gt;1530804819&lt;/last-updated-date&gt;&lt;/record&gt;&lt;/Cite&gt;&lt;Cite&gt;&lt;Author&gt;Sayer&lt;/Author&gt;&lt;Year&gt;2010&lt;/Year&gt;&lt;IDText&gt;Method in social science: a realist approach&lt;/IDText&gt;&lt;record&gt;&lt;keywords&gt;&lt;keyword&gt;Social sciences -- Methodology&lt;/keyword&gt;&lt;/keywords&gt;&lt;titles&gt;&lt;title&gt;Method in social science: a realist approach&lt;/title&gt;&lt;/titles&gt;&lt;contributors&gt;&lt;authors&gt;&lt;author&gt;Sayer, Andrew&lt;/author&gt;&lt;/authors&gt;&lt;/contributors&gt;&lt;edition&gt;2nd&lt;/edition&gt;&lt;added-date format="utc"&gt;1452614083&lt;/added-date&gt;&lt;pub-location&gt;Abingdon&lt;/pub-location&gt;&lt;ref-type name="Book"&gt;6&lt;/ref-type&gt;&lt;dates&gt;&lt;year&gt;2010&lt;/year&gt;&lt;/dates&gt;&lt;rec-number&gt;20&lt;/rec-number&gt;&lt;publisher&gt;Routledge&lt;/publisher&gt;&lt;last-updated-date format="utc"&gt;1477779891&lt;/last-updated-date&gt;&lt;/record&gt;&lt;/Cite&gt;&lt;/EndNote&gt;</w:instrText>
      </w:r>
      <w:r w:rsidR="00233012">
        <w:rPr>
          <w:sz w:val="24"/>
          <w:szCs w:val="24"/>
        </w:rPr>
        <w:fldChar w:fldCharType="separate"/>
      </w:r>
      <w:r>
        <w:rPr>
          <w:noProof/>
          <w:sz w:val="24"/>
          <w:szCs w:val="24"/>
        </w:rPr>
        <w:t>(Danermark et al., 2002; Sayer, 2010)</w:t>
      </w:r>
      <w:r w:rsidR="00233012">
        <w:rPr>
          <w:sz w:val="24"/>
          <w:szCs w:val="24"/>
        </w:rPr>
        <w:fldChar w:fldCharType="end"/>
      </w:r>
      <w:r>
        <w:rPr>
          <w:sz w:val="24"/>
          <w:szCs w:val="24"/>
        </w:rPr>
        <w:t xml:space="preserve">. Most important is that for critical realism, and for abductive and retroductive reasoning more generally, theory takes priority as the driver of new knowledge generation: theorising about “generative mechanisms” can be considered the “main undertaking in research” so that “theory should guide research and not be subordinate to specific methodological rules of how research should be conducted” </w:t>
      </w:r>
      <w:r w:rsidR="00233012">
        <w:rPr>
          <w:sz w:val="24"/>
          <w:szCs w:val="24"/>
        </w:rPr>
        <w:fldChar w:fldCharType="begin"/>
      </w:r>
      <w:r>
        <w:rPr>
          <w:sz w:val="24"/>
          <w:szCs w:val="24"/>
        </w:rPr>
        <w:instrText xml:space="preserve"> ADDIN EN.CITE &lt;EndNote&gt;&lt;Cite&gt;&lt;Author&gt;Danermark&lt;/Author&gt;&lt;Year&gt;2002&lt;/Year&gt;&lt;IDText&gt;Explaining society: critical realism in the social sciences&lt;/IDText&gt;&lt;Pages&gt; 2`, 154&lt;/Pages&gt;&lt;DisplayText&gt;(Danermark et al., 2002, pp. 2, 154)&lt;/DisplayText&gt;&lt;record&gt;&lt;keywords&gt;&lt;keyword&gt;Sociology -- Methodology&lt;/keyword&gt;&lt;keyword&gt;Social sciences -- Methodology&lt;/keyword&gt;&lt;keyword&gt;Critical realism&lt;/keyword&gt;&lt;keyword&gt;Philosophy, Modern&lt;/keyword&gt;&lt;keyword&gt;Realism&lt;/keyword&gt;&lt;/keywords&gt;&lt;titles&gt;&lt;title&gt;Explaining society: critical realism in the social sciences&lt;/title&gt;&lt;/titles&gt;&lt;contributors&gt;&lt;authors&gt;&lt;author&gt;Danermark, Berth&lt;/author&gt;&lt;author&gt;Ekstrom, Mats&lt;/author&gt;&lt;author&gt;Jakobsen, Liselotte&lt;/author&gt;&lt;author&gt;Karlsson, Jan Ch.&lt;/author&gt;&lt;/authors&gt;&lt;/contributors&gt;&lt;added-date format="utc"&gt;1530787967&lt;/added-date&gt;&lt;pub-location&gt;London&lt;/pub-location&gt;&lt;ref-type name="Book"&gt;6&lt;/ref-type&gt;&lt;dates&gt;&lt;year&gt;2002&lt;/year&gt;&lt;/dates&gt;&lt;rec-number&gt;7593&lt;/rec-number&gt;&lt;publisher&gt;Routledge&lt;/publisher&gt;&lt;last-updated-date format="utc"&gt;1530790419&lt;/last-updated-date&gt;&lt;/record&gt;&lt;/Cite&gt;&lt;/EndNote&gt;</w:instrText>
      </w:r>
      <w:r w:rsidR="00233012">
        <w:rPr>
          <w:sz w:val="24"/>
          <w:szCs w:val="24"/>
        </w:rPr>
        <w:fldChar w:fldCharType="separate"/>
      </w:r>
      <w:r>
        <w:rPr>
          <w:noProof/>
          <w:sz w:val="24"/>
          <w:szCs w:val="24"/>
        </w:rPr>
        <w:t>(Danermark et al., 2002, pp. 2, 154)</w:t>
      </w:r>
      <w:r w:rsidR="00233012">
        <w:rPr>
          <w:sz w:val="24"/>
          <w:szCs w:val="24"/>
        </w:rPr>
        <w:fldChar w:fldCharType="end"/>
      </w:r>
      <w:r>
        <w:rPr>
          <w:sz w:val="24"/>
          <w:szCs w:val="24"/>
        </w:rPr>
        <w:t xml:space="preserve">. </w:t>
      </w:r>
    </w:p>
    <w:p w14:paraId="7AB3EA2F" w14:textId="77777777" w:rsidR="00082217" w:rsidRDefault="00082217" w:rsidP="00046D95">
      <w:pPr>
        <w:autoSpaceDE w:val="0"/>
        <w:autoSpaceDN w:val="0"/>
        <w:adjustRightInd w:val="0"/>
        <w:spacing w:after="120" w:line="360" w:lineRule="auto"/>
        <w:rPr>
          <w:sz w:val="24"/>
          <w:szCs w:val="24"/>
        </w:rPr>
      </w:pPr>
      <w:r>
        <w:rPr>
          <w:sz w:val="24"/>
          <w:szCs w:val="24"/>
        </w:rPr>
        <w:t xml:space="preserve">Regarding the compatibility of my philosophical and my theoretical influences, Bernstein </w:t>
      </w:r>
      <w:r w:rsidR="00233012">
        <w:rPr>
          <w:sz w:val="24"/>
          <w:szCs w:val="24"/>
        </w:rPr>
        <w:fldChar w:fldCharType="begin"/>
      </w:r>
      <w:r>
        <w:rPr>
          <w:sz w:val="24"/>
          <w:szCs w:val="24"/>
        </w:rPr>
        <w:instrText xml:space="preserve"> ADDIN EN.CITE &lt;EndNote&gt;&lt;Cite ExcludeAuth="1"&gt;&lt;Author&gt;Bernstein&lt;/Author&gt;&lt;Year&gt;2000&lt;/Year&gt;&lt;IDText&gt;Pedagogy, symbolic control, and identity: Theory, research, critique&lt;/IDText&gt;&lt;DisplayText&gt;(2000)&lt;/DisplayText&gt;&lt;record&gt;&lt;isbn&gt;084769576X&lt;/isbn&gt;&lt;titles&gt;&lt;title&gt;Pedagogy,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format="utc"&gt;1452725855&lt;/added-date&gt;&lt;pub-location&gt;Oxford&lt;/pub-location&gt;&lt;ref-type name="Book"&gt;6&lt;/ref-type&gt;&lt;dates&gt;&lt;year&gt;2000&lt;/year&gt;&lt;/dates&gt;&lt;rec-number&gt;185&lt;/rec-number&gt;&lt;publisher&gt;Rowman &amp;amp; Littlefield&lt;/publisher&gt;&lt;last-updated-date format="utc"&gt;1477781208&lt;/last-updated-date&gt;&lt;/record&gt;&lt;/Cite&gt;&lt;/EndNote&gt;</w:instrText>
      </w:r>
      <w:r w:rsidR="00233012">
        <w:rPr>
          <w:sz w:val="24"/>
          <w:szCs w:val="24"/>
        </w:rPr>
        <w:fldChar w:fldCharType="separate"/>
      </w:r>
      <w:r>
        <w:rPr>
          <w:noProof/>
          <w:sz w:val="24"/>
          <w:szCs w:val="24"/>
        </w:rPr>
        <w:t>(2000)</w:t>
      </w:r>
      <w:r w:rsidR="00233012">
        <w:rPr>
          <w:sz w:val="24"/>
          <w:szCs w:val="24"/>
        </w:rPr>
        <w:fldChar w:fldCharType="end"/>
      </w:r>
      <w:r>
        <w:rPr>
          <w:sz w:val="24"/>
          <w:szCs w:val="24"/>
        </w:rPr>
        <w:t xml:space="preserve"> is himself equally clear that theory is the main driver of knowledge-generation – “the theory, however primitive, has always come before the research” </w:t>
      </w:r>
      <w:r w:rsidR="00233012">
        <w:rPr>
          <w:sz w:val="24"/>
          <w:szCs w:val="24"/>
        </w:rPr>
        <w:fldChar w:fldCharType="begin"/>
      </w:r>
      <w:r>
        <w:rPr>
          <w:sz w:val="24"/>
          <w:szCs w:val="24"/>
        </w:rPr>
        <w:instrText xml:space="preserve"> ADDIN EN.CITE &lt;EndNote&gt;&lt;Cite ExcludeAuth="1" ExcludeYear="1"&gt;&lt;Author&gt;Bernstein&lt;/Author&gt;&lt;Year&gt;2000&lt;/Year&gt;&lt;IDText&gt;Pedagogy, symbolic control, and identity: Theory, research, critique&lt;/IDText&gt;&lt;Pages&gt;93&lt;/Pages&gt;&lt;DisplayText&gt;(p. 93)&lt;/DisplayText&gt;&lt;record&gt;&lt;isbn&gt;084769576X&lt;/isbn&gt;&lt;titles&gt;&lt;title&gt;Pedagogy,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format="utc"&gt;1452725855&lt;/added-date&gt;&lt;pub-location&gt;Oxford&lt;/pub-location&gt;&lt;ref-type name="Book"&gt;6&lt;/ref-type&gt;&lt;dates&gt;&lt;year&gt;2000&lt;/year&gt;&lt;/dates&gt;&lt;rec-number&gt;185&lt;/rec-number&gt;&lt;publisher&gt;Rowman &amp;amp; Littlefield&lt;/publisher&gt;&lt;last-updated-date format="utc"&gt;1477781208&lt;/last-updated-date&gt;&lt;/record&gt;&lt;/Cite&gt;&lt;/EndNote&gt;</w:instrText>
      </w:r>
      <w:r w:rsidR="00233012">
        <w:rPr>
          <w:sz w:val="24"/>
          <w:szCs w:val="24"/>
        </w:rPr>
        <w:fldChar w:fldCharType="separate"/>
      </w:r>
      <w:r>
        <w:rPr>
          <w:noProof/>
          <w:sz w:val="24"/>
          <w:szCs w:val="24"/>
        </w:rPr>
        <w:t>(p. 93)</w:t>
      </w:r>
      <w:r w:rsidR="00233012">
        <w:rPr>
          <w:sz w:val="24"/>
          <w:szCs w:val="24"/>
        </w:rPr>
        <w:fldChar w:fldCharType="end"/>
      </w:r>
      <w:r>
        <w:rPr>
          <w:sz w:val="24"/>
          <w:szCs w:val="24"/>
        </w:rPr>
        <w:t>. Indeed, the compatibility of Bernstein with critical realism has been emphasised by recent Bernsteinian scholarship. Bernstein’s intellectual ‘offspring’ (his students and theirs)</w:t>
      </w:r>
      <w:r w:rsidRPr="00B13DEE">
        <w:rPr>
          <w:sz w:val="24"/>
          <w:szCs w:val="24"/>
        </w:rPr>
        <w:t xml:space="preserve"> have explicitly drawn on Bhaskar’s critical realism to build upon Bernstein’s legacy in the sociology of education, primarily in order to make the case for a social basis for the objectivity of knowledge</w:t>
      </w:r>
      <w:r>
        <w:rPr>
          <w:sz w:val="24"/>
          <w:szCs w:val="24"/>
        </w:rPr>
        <w:t xml:space="preserve"> and for the centrality of knowledge in educational curricula</w:t>
      </w:r>
      <w:r w:rsidRPr="00B13DEE">
        <w:rPr>
          <w:sz w:val="24"/>
          <w:szCs w:val="24"/>
        </w:rPr>
        <w:t xml:space="preserve">, coalescing around what they term ‘social realism’ </w:t>
      </w:r>
      <w:r w:rsidR="00233012" w:rsidRPr="00B13DEE">
        <w:rPr>
          <w:sz w:val="24"/>
          <w:szCs w:val="24"/>
        </w:rPr>
        <w:fldChar w:fldCharType="begin"/>
      </w:r>
      <w:r w:rsidRPr="00B13DEE">
        <w:rPr>
          <w:sz w:val="24"/>
          <w:szCs w:val="24"/>
        </w:rPr>
        <w:instrText xml:space="preserve"> ADDIN EN.CITE &lt;EndNote&gt;&lt;Cite&gt;&lt;Author&gt;Maton&lt;/Author&gt;&lt;Year&gt;2010&lt;/Year&gt;&lt;IDText&gt;Social realism, knowledge and the sociology of education: coalitions of the mind&lt;/IDText&gt;&lt;DisplayText&gt;(Maton &amp;amp; Moore, 2010; Young, 2008)&lt;/DisplayText&gt;&lt;record&gt;&lt;titles&gt;&lt;title&gt;Social realism, knowledge and the sociology of education: coalitions of the mind&lt;/title&gt;&lt;/titles&gt;&lt;contributors&gt;&lt;authors&gt;&lt;author&gt;Maton, Karl&lt;/author&gt;&lt;author&gt;Moore, Rob&lt;/author&gt;&lt;/authors&gt;&lt;/contributors&gt;&lt;added-date format="utc"&gt;1452829748&lt;/added-date&gt;&lt;pub-location&gt;London&lt;/pub-location&gt;&lt;ref-type name="Edited Book"&gt;28&lt;/ref-type&gt;&lt;dates&gt;&lt;year&gt;2010&lt;/year&gt;&lt;/dates&gt;&lt;rec-number&gt;207&lt;/rec-number&gt;&lt;publisher&gt;Continuum&lt;/publisher&gt;&lt;last-updated-date format="utc"&gt;1469229868&lt;/last-updated-date&gt;&lt;/record&gt;&lt;/Cite&gt;&lt;Cite&gt;&lt;Author&gt;Young&lt;/Author&gt;&lt;Year&gt;2008&lt;/Year&gt;&lt;IDText&gt;Bringing knowledge back in: from social constructivism to social realism in the sociology of education&lt;/IDText&gt;&lt;record&gt;&lt;keywords&gt;&lt;keyword&gt;Educational sociology&lt;/keyword&gt;&lt;keyword&gt;Education -- Curricula&lt;/keyword&gt;&lt;keyword&gt;Constructivism (Education)&lt;/keyword&gt;&lt;/keywords&gt;&lt;titles&gt;&lt;title&gt;Bringing knowledge back in: from social constructivism to social realism in the sociology of education&lt;/title&gt;&lt;/titles&gt;&lt;contributors&gt;&lt;authors&gt;&lt;author&gt;Young, Michael F. D.&lt;/author&gt;&lt;/authors&gt;&lt;/contributors&gt;&lt;added-date format="utc"&gt;1452829937&lt;/added-date&gt;&lt;pub-location&gt;London&lt;/pub-location&gt;&lt;ref-type name="Book"&gt;6&lt;/ref-type&gt;&lt;dates&gt;&lt;year&gt;2008&lt;/year&gt;&lt;/dates&gt;&lt;rec-number&gt;208&lt;/rec-number&gt;&lt;publisher&gt;Routledge&lt;/publisher&gt;&lt;last-updated-date format="utc"&gt;1469229868&lt;/last-updated-date&gt;&lt;/record&gt;&lt;/Cite&gt;&lt;/EndNote&gt;</w:instrText>
      </w:r>
      <w:r w:rsidR="00233012" w:rsidRPr="00B13DEE">
        <w:rPr>
          <w:sz w:val="24"/>
          <w:szCs w:val="24"/>
        </w:rPr>
        <w:fldChar w:fldCharType="separate"/>
      </w:r>
      <w:r w:rsidRPr="00B13DEE">
        <w:rPr>
          <w:noProof/>
          <w:sz w:val="24"/>
          <w:szCs w:val="24"/>
        </w:rPr>
        <w:t>(Maton &amp; Moore, 2010; Young, 2008)</w:t>
      </w:r>
      <w:r w:rsidR="00233012" w:rsidRPr="00B13DEE">
        <w:rPr>
          <w:sz w:val="24"/>
          <w:szCs w:val="24"/>
        </w:rPr>
        <w:fldChar w:fldCharType="end"/>
      </w:r>
      <w:r w:rsidRPr="00B13DEE">
        <w:rPr>
          <w:sz w:val="24"/>
          <w:szCs w:val="24"/>
        </w:rPr>
        <w:t>.</w:t>
      </w:r>
      <w:r>
        <w:rPr>
          <w:sz w:val="24"/>
          <w:szCs w:val="24"/>
        </w:rPr>
        <w:t xml:space="preserve"> And the following accounts of Bernstein’s work clearly indicate the theory-driven abductive and retroductive reasoning at its heart:</w:t>
      </w:r>
    </w:p>
    <w:p w14:paraId="632C13DE" w14:textId="77777777" w:rsidR="00082217" w:rsidRDefault="00082217" w:rsidP="008D30CC">
      <w:pPr>
        <w:autoSpaceDE w:val="0"/>
        <w:autoSpaceDN w:val="0"/>
        <w:adjustRightInd w:val="0"/>
        <w:spacing w:after="120" w:line="240" w:lineRule="auto"/>
        <w:ind w:left="720"/>
        <w:rPr>
          <w:sz w:val="24"/>
          <w:szCs w:val="24"/>
        </w:rPr>
      </w:pPr>
      <w:r>
        <w:rPr>
          <w:sz w:val="24"/>
          <w:szCs w:val="24"/>
        </w:rPr>
        <w:t xml:space="preserve">“Theory, for Bernstein, has at least a two-pronged role. The first is to grasp the real... But the real itself is to be understood not in a static sense but in a dynamic one; every actually existing real nurtures within it a series of logical alternative possible futures. This second, pre-eminent role of theory is to grasp the real as the realization of only one of a series of logical possibilities.” </w:t>
      </w:r>
      <w:r w:rsidR="00233012">
        <w:rPr>
          <w:sz w:val="24"/>
          <w:szCs w:val="24"/>
        </w:rPr>
        <w:fldChar w:fldCharType="begin"/>
      </w:r>
      <w:r>
        <w:rPr>
          <w:sz w:val="24"/>
          <w:szCs w:val="24"/>
        </w:rPr>
        <w:instrText xml:space="preserve"> ADDIN EN.CITE &lt;EndNote&gt;&lt;Cite&gt;&lt;Author&gt;Muller&lt;/Author&gt;&lt;Year&gt;2004&lt;/Year&gt;&lt;IDText&gt;Introduction: The possibilities of Basil Bernstein&lt;/IDText&gt;&lt;Pages&gt;4&lt;/Pages&gt;&lt;DisplayText&gt;(Muller, 2004, p. 4)&lt;/DisplayText&gt;&lt;record&gt;&lt;keywords&gt;&lt;keyword&gt;Bernstein, Basil B -- Congresses&lt;/keyword&gt;&lt;keyword&gt;Educational sociology -- Congresses&lt;/keyword&gt;&lt;keyword&gt;Critical pedagogy -- Congresses&lt;/keyword&gt;&lt;keyword&gt;Critical humanism in education&lt;/keyword&gt;&lt;keyword&gt;Radical pedagogy&lt;/keyword&gt;&lt;keyword&gt;Critical theory&lt;/keyword&gt;&lt;keyword&gt;Education&lt;/keyword&gt;&lt;keyword&gt;Popular education&lt;/keyword&gt;&lt;keyword&gt;Transformative learning&lt;/keyword&gt;&lt;/keywords&gt;&lt;titles&gt;&lt;title&gt;Introduction: The possibilities of Basil Bernstein&lt;/title&gt;&lt;secondary-title&gt;Reading Bernstein, researching Bernstein&lt;/secondary-title&gt;&lt;/titles&gt;&lt;contributors&gt;&lt;authors&gt;&lt;author&gt;Muller, Johan&lt;/author&gt;&lt;/authors&gt;&lt;/contributors&gt;&lt;added-date format="utc"&gt;1543765091&lt;/added-date&gt;&lt;pub-location&gt;London&lt;/pub-location&gt;&lt;ref-type name="Book Section"&gt;5&lt;/ref-type&gt;&lt;dates&gt;&lt;year&gt;2004&lt;/year&gt;&lt;/dates&gt;&lt;rec-number&gt;7685&lt;/rec-number&gt;&lt;publisher&gt;RoutledgeFalmer&lt;/publisher&gt;&lt;last-updated-date format="utc"&gt;1543765222&lt;/last-updated-date&gt;&lt;contributors&gt;&lt;secondary-authors&gt;&lt;author&gt;Muller, Johan&lt;/author&gt;&lt;author&gt;Davies, Brian&lt;/author&gt;&lt;author&gt;Morais, Ana&lt;/author&gt;&lt;/secondary-authors&gt;&lt;/contributors&gt;&lt;/record&gt;&lt;/Cite&gt;&lt;/EndNote&gt;</w:instrText>
      </w:r>
      <w:r w:rsidR="00233012">
        <w:rPr>
          <w:sz w:val="24"/>
          <w:szCs w:val="24"/>
        </w:rPr>
        <w:fldChar w:fldCharType="separate"/>
      </w:r>
      <w:r>
        <w:rPr>
          <w:noProof/>
          <w:sz w:val="24"/>
          <w:szCs w:val="24"/>
        </w:rPr>
        <w:t>(Muller, 2004, p. 4)</w:t>
      </w:r>
      <w:r w:rsidR="00233012">
        <w:rPr>
          <w:sz w:val="24"/>
          <w:szCs w:val="24"/>
        </w:rPr>
        <w:fldChar w:fldCharType="end"/>
      </w:r>
    </w:p>
    <w:p w14:paraId="2D032329" w14:textId="77777777" w:rsidR="00082217" w:rsidRDefault="00082217" w:rsidP="008D30CC">
      <w:pPr>
        <w:autoSpaceDE w:val="0"/>
        <w:autoSpaceDN w:val="0"/>
        <w:adjustRightInd w:val="0"/>
        <w:spacing w:after="120" w:line="240" w:lineRule="auto"/>
        <w:ind w:left="720"/>
        <w:rPr>
          <w:sz w:val="24"/>
          <w:szCs w:val="24"/>
        </w:rPr>
      </w:pPr>
      <w:r>
        <w:rPr>
          <w:sz w:val="24"/>
          <w:szCs w:val="24"/>
        </w:rPr>
        <w:t xml:space="preserve">“Theory comes first and the first task of theory is the construction of ‘models’. ...The model’s principles act as </w:t>
      </w:r>
      <w:r>
        <w:rPr>
          <w:i/>
          <w:sz w:val="24"/>
          <w:szCs w:val="24"/>
        </w:rPr>
        <w:t xml:space="preserve">generative </w:t>
      </w:r>
      <w:r>
        <w:rPr>
          <w:sz w:val="24"/>
          <w:szCs w:val="24"/>
        </w:rPr>
        <w:t xml:space="preserve">principles that describe in </w:t>
      </w:r>
      <w:r>
        <w:rPr>
          <w:i/>
          <w:sz w:val="24"/>
          <w:szCs w:val="24"/>
        </w:rPr>
        <w:t xml:space="preserve">theory </w:t>
      </w:r>
      <w:r>
        <w:rPr>
          <w:sz w:val="24"/>
          <w:szCs w:val="24"/>
        </w:rPr>
        <w:t xml:space="preserve">a range of possible ‘somethings’ that </w:t>
      </w:r>
      <w:r>
        <w:rPr>
          <w:i/>
          <w:sz w:val="24"/>
          <w:szCs w:val="24"/>
        </w:rPr>
        <w:t>might</w:t>
      </w:r>
      <w:r>
        <w:rPr>
          <w:sz w:val="24"/>
          <w:szCs w:val="24"/>
        </w:rPr>
        <w:t xml:space="preserve"> be empirically present... The key methodological issue is to refine the concepts generated by the theory ... in such a way that theoretical constructs can be matched against </w:t>
      </w:r>
      <w:r>
        <w:rPr>
          <w:i/>
          <w:sz w:val="24"/>
          <w:szCs w:val="24"/>
        </w:rPr>
        <w:t xml:space="preserve">actual </w:t>
      </w:r>
      <w:r>
        <w:rPr>
          <w:sz w:val="24"/>
          <w:szCs w:val="24"/>
        </w:rPr>
        <w:t xml:space="preserve">manifestations of ... real ‘things’ in the </w:t>
      </w:r>
      <w:r>
        <w:rPr>
          <w:i/>
          <w:sz w:val="24"/>
          <w:szCs w:val="24"/>
        </w:rPr>
        <w:t xml:space="preserve">real </w:t>
      </w:r>
      <w:r>
        <w:rPr>
          <w:sz w:val="24"/>
          <w:szCs w:val="24"/>
        </w:rPr>
        <w:t xml:space="preserve">world.” </w:t>
      </w:r>
      <w:r w:rsidR="00233012">
        <w:rPr>
          <w:sz w:val="24"/>
          <w:szCs w:val="24"/>
        </w:rPr>
        <w:fldChar w:fldCharType="begin"/>
      </w:r>
      <w:r>
        <w:rPr>
          <w:sz w:val="24"/>
          <w:szCs w:val="24"/>
        </w:rPr>
        <w:instrText xml:space="preserve"> ADDIN EN.CITE &lt;EndNote&gt;&lt;Cite&gt;&lt;Author&gt;Moore&lt;/Author&gt;&lt;Year&gt;2013&lt;/Year&gt;&lt;IDText&gt;Basil Bernstein: the thinker and the field&lt;/IDText&gt;&lt;Suffix&gt;`, original emphases&lt;/Suffix&gt;&lt;Pages&gt;126&lt;/Pages&gt;&lt;DisplayText&gt;(Moore, 2013, p. 126, original emphases)&lt;/DisplayText&gt;&lt;record&gt;&lt;keywords&gt;&lt;keyword&gt;Bernstein, Basil B.&lt;/keyword&gt;&lt;keyword&gt;Educational sociology.&lt;/keyword&gt;&lt;keyword&gt;Education Philosophy.&lt;/keyword&gt;&lt;/keywords&gt;&lt;isbn&gt;9780415577038 (hbk.) : ¹75.00&amp;#xD;0415577039 (hbk.) : ¹75.00&amp;#xD;9780203818251 (ebk) : No price&lt;/isbn&gt;&lt;titles&gt;&lt;title&gt;Basil Bernstein: the thinker and the field&lt;/title&gt;&lt;/titles&gt;&lt;call-num&gt;306.43 23&amp;#xD;British Library DSC m13/.10419&lt;/call-num&gt;&lt;contributors&gt;&lt;authors&gt;&lt;author&gt;Moore, Rob&lt;/author&gt;&lt;/authors&gt;&lt;/contributors&gt;&lt;added-date format="utc"&gt;1452837687&lt;/added-date&gt;&lt;pub-location&gt;London&lt;/pub-location&gt;&lt;ref-type name="Book"&gt;6&lt;/ref-type&gt;&lt;dates&gt;&lt;year&gt;2013&lt;/year&gt;&lt;/dates&gt;&lt;rec-number&gt;213&lt;/rec-number&gt;&lt;publisher&gt;Routledge&lt;/publisher&gt;&lt;last-updated-date format="utc"&gt;1469229868&lt;/last-updated-date&gt;&lt;/record&gt;&lt;/Cite&gt;&lt;/EndNote&gt;</w:instrText>
      </w:r>
      <w:r w:rsidR="00233012">
        <w:rPr>
          <w:sz w:val="24"/>
          <w:szCs w:val="24"/>
        </w:rPr>
        <w:fldChar w:fldCharType="separate"/>
      </w:r>
      <w:r>
        <w:rPr>
          <w:noProof/>
          <w:sz w:val="24"/>
          <w:szCs w:val="24"/>
        </w:rPr>
        <w:t>(Moore, 2013, p. 126, original emphases)</w:t>
      </w:r>
      <w:r w:rsidR="00233012">
        <w:rPr>
          <w:sz w:val="24"/>
          <w:szCs w:val="24"/>
        </w:rPr>
        <w:fldChar w:fldCharType="end"/>
      </w:r>
    </w:p>
    <w:p w14:paraId="6C68AADE" w14:textId="77777777" w:rsidR="00082217" w:rsidRDefault="00082217" w:rsidP="00046D95">
      <w:pPr>
        <w:autoSpaceDE w:val="0"/>
        <w:autoSpaceDN w:val="0"/>
        <w:adjustRightInd w:val="0"/>
        <w:spacing w:after="120" w:line="360" w:lineRule="auto"/>
        <w:rPr>
          <w:sz w:val="24"/>
          <w:szCs w:val="24"/>
        </w:rPr>
      </w:pPr>
      <w:r>
        <w:rPr>
          <w:sz w:val="24"/>
          <w:szCs w:val="24"/>
        </w:rPr>
        <w:t xml:space="preserve">My research has indeed been driven primarily by theory, specifically the theoretical framing of universities through the boundary lens (Vakkuri, 2004). This allowed the problem of the role of universities in the context of the impact agenda to be framed in terms of the relative strength and shape of academic boundaries. </w:t>
      </w:r>
    </w:p>
    <w:p w14:paraId="066FF1BA" w14:textId="39615CC5" w:rsidR="00082217" w:rsidRDefault="00082217" w:rsidP="00CE1B98">
      <w:pPr>
        <w:pStyle w:val="Heading2"/>
      </w:pPr>
      <w:bookmarkStart w:id="68" w:name="_Toc536717937"/>
      <w:bookmarkStart w:id="69" w:name="_Toc31701965"/>
      <w:r>
        <w:t>Methods</w:t>
      </w:r>
      <w:bookmarkEnd w:id="68"/>
      <w:bookmarkEnd w:id="69"/>
    </w:p>
    <w:p w14:paraId="47BF23EB" w14:textId="3331C5DE" w:rsidR="00082217" w:rsidRDefault="00082217" w:rsidP="004855DD">
      <w:pPr>
        <w:pStyle w:val="Heading3"/>
      </w:pPr>
      <w:bookmarkStart w:id="70" w:name="_Toc536717939"/>
      <w:bookmarkStart w:id="71" w:name="_Toc31701966"/>
      <w:r>
        <w:t>Sampl</w:t>
      </w:r>
      <w:bookmarkEnd w:id="70"/>
      <w:r w:rsidR="00B37625">
        <w:t>e and sampling strategy</w:t>
      </w:r>
      <w:bookmarkEnd w:id="71"/>
    </w:p>
    <w:p w14:paraId="486EF32C" w14:textId="4C87DDC7" w:rsidR="009379D5" w:rsidRDefault="00544E36" w:rsidP="00046D95">
      <w:pPr>
        <w:spacing w:after="120" w:line="360" w:lineRule="auto"/>
        <w:rPr>
          <w:sz w:val="24"/>
          <w:szCs w:val="24"/>
        </w:rPr>
      </w:pPr>
      <w:r>
        <w:rPr>
          <w:sz w:val="24"/>
          <w:szCs w:val="24"/>
        </w:rPr>
        <w:t xml:space="preserve">Qualitative critical realist research emphasises </w:t>
      </w:r>
      <w:r>
        <w:rPr>
          <w:i/>
          <w:sz w:val="24"/>
          <w:szCs w:val="24"/>
        </w:rPr>
        <w:t>context</w:t>
      </w:r>
      <w:r w:rsidR="00585B9E">
        <w:rPr>
          <w:i/>
          <w:sz w:val="24"/>
          <w:szCs w:val="24"/>
        </w:rPr>
        <w:t xml:space="preserve"> </w:t>
      </w:r>
      <w:r w:rsidR="00585B9E">
        <w:rPr>
          <w:sz w:val="24"/>
          <w:szCs w:val="24"/>
        </w:rPr>
        <w:t>– it involves intensive study of the contexts of phenomena of interest in order to understand structures and mechanisms which help to explain how the phenomena of interest play out in the ways they do</w:t>
      </w:r>
      <w:r>
        <w:rPr>
          <w:i/>
          <w:sz w:val="24"/>
          <w:szCs w:val="24"/>
        </w:rPr>
        <w:t xml:space="preserve"> </w:t>
      </w:r>
      <w:r w:rsidR="00F2774F">
        <w:rPr>
          <w:sz w:val="24"/>
          <w:szCs w:val="24"/>
        </w:rPr>
        <w:fldChar w:fldCharType="begin">
          <w:fldData xml:space="preserve">PEVuZE5vdGU+PENpdGU+PEF1dGhvcj5LZXNzbGVyPC9BdXRob3I+PFllYXI+MjAxNDwvWWVhcj48
SURUZXh0PkNvbXBhcmluZyBDYXNlczwvSURUZXh0PjxEaXNwbGF5VGV4dD4oRGFuZXJtYXJrIGV0
IGFsLiwgMjAwMjsgS2Vzc2xlciAmYW1wOyBCYWNoLCAyMDE0KTwvRGlzcGxheVRleHQ+PHJlY29y
ZD48a2V5d29yZHM+PGtleXdvcmQ+T3JnYW5pemF0aW9uYWwgYmVoYXZpb3IgLS0gUmVzZWFyY2g8
L2tleXdvcmQ+PGtleXdvcmQ+Q3JpdGljYWwgcmVhbGlzbTwva2V5d29yZD48a2V5d29yZD5QaGls
b3NvcGh5LCBNb2Rlcm48L2tleXdvcmQ+PGtleXdvcmQ+UmVhbGlzbTwva2V5d29yZD48a2V5d29y
ZD5CZWhhdmlvciBpbiBvcmdhbml6YXRpb25zPC9rZXl3b3JkPjxrZXl3b3JkPk1hbmFnZW1lbnQ8
L2tleXdvcmQ+PGtleXdvcmQ+T3JnYW5pemF0aW9uPC9rZXl3b3JkPjxrZXl3b3JkPlBzeWNob2xv
Z3ksIEluZHVzdHJpYWw8L2tleXdvcmQ+PGtleXdvcmQ+U29jaWFsIHBzeWNob2xvZ3k8L2tleXdv
cmQ+PGtleXdvcmQ+RWxlY3Ryb25pYyBib29rczwva2V5d29yZD48L2tleXdvcmRzPjx0aXRsZXM+
PHRpdGxlPkNvbXBhcmluZyBDYXNlczwvdGl0bGU+PHNlY29uZGFyeS10aXRsZT5TdHVkeWluZyBv
cmdhbml6YXRpb25zIHVzaW5nIGNyaXRpY2FsIHJlYWxpc206IGEgcHJhY3RpY2FsIGd1aWRlPC9z
ZWNvbmRhcnktdGl0bGU+PC90aXRsZXM+PGNvbnRyaWJ1dG9ycz48YXV0aG9ycz48YXV0aG9yPktl
c3NsZXIsIElhbjwvYXV0aG9yPjxhdXRob3I+QmFjaCwgU3RlcGhlbjwvYXV0aG9yPjwvYXV0aG9y
cz48L2NvbnRyaWJ1dG9ycz48YWRkZWQtZGF0ZSBmb3JtYXQ9InV0YyI+MTU0NDc5ODQ0MzwvYWRk
ZWQtZGF0ZT48cHViLWxvY2F0aW9uPk94Zm9yZDwvcHViLWxvY2F0aW9uPjxyZWYtdHlwZSBuYW1l
PSJCb29rIFNlY3Rpb24iPjU8L3JlZi10eXBlPjxkYXRlcz48eWVhcj4yMDE0PC95ZWFyPjwvZGF0
ZXM+PHJlYy1udW1iZXI+NzY5MjwvcmVjLW51bWJlcj48cHVibGlzaGVyPk94Zm9yZCBVbml2ZXJz
aXR5IFByZXNzPC9wdWJsaXNoZXI+PGxhc3QtdXBkYXRlZC1kYXRlIGZvcm1hdD0idXRjIj4xNTQ0
Nzk4NTcxPC9sYXN0LXVwZGF0ZWQtZGF0ZT48Y29udHJpYnV0b3JzPjxzZWNvbmRhcnktYXV0aG9y
cz48YXV0aG9yPkVkd2FyZHMsIFAuIEsuPC9hdXRob3I+PGF1dGhvcj5PJmFwb3M7TWFob25leSwg
Sm9lPC9hdXRob3I+PGF1dGhvcj5WaW5jZW50LCBTdGV2ZTwvYXV0aG9yPjwvc2Vjb25kYXJ5LWF1
dGhvcnM+PC9jb250cmlidXRvcnM+PC9yZWNvcmQ+PC9DaXRlPjxDaXRlPjxBdXRob3I+RGFuZXJt
YXJrPC9BdXRob3I+PFllYXI+MjAwMjwvWWVhcj48SURUZXh0PkV4cGxhaW5pbmcgc29jaWV0eTog
Y3JpdGljYWwgcmVhbGlzbSBpbiB0aGUgc29jaWFsIHNjaWVuY2VzPC9JRFRleHQ+PHJlY29yZD48
a2V5d29yZHM+PGtleXdvcmQ+U29jaW9sb2d5IC0tIE1ldGhvZG9sb2d5PC9rZXl3b3JkPjxrZXl3
b3JkPlNvY2lhbCBzY2llbmNlcyAtLSBNZXRob2RvbG9neTwva2V5d29yZD48a2V5d29yZD5Dcml0
aWNhbCByZWFsaXNtPC9rZXl3b3JkPjxrZXl3b3JkPlBoaWxvc29waHksIE1vZGVybjwva2V5d29y
ZD48a2V5d29yZD5SZWFsaXNtPC9rZXl3b3JkPjwva2V5d29yZHM+PHRpdGxlcz48dGl0bGU+RXhw
bGFpbmluZyBzb2NpZXR5OiBjcml0aWNhbCByZWFsaXNtIGluIHRoZSBzb2NpYWwgc2NpZW5jZXM8
L3RpdGxlPjwvdGl0bGVzPjxjb250cmlidXRvcnM+PGF1dGhvcnM+PGF1dGhvcj5EYW5lcm1hcmss
IEJlcnRoPC9hdXRob3I+PGF1dGhvcj5Fa3N0cm9tLCBNYXRzPC9hdXRob3I+PGF1dGhvcj5KYWtv
YnNlbiwgTGlzZWxvdHRlPC9hdXRob3I+PGF1dGhvcj5LYXJsc3NvbiwgSmFuIENoLjwvYXV0aG9y
PjwvYXV0aG9ycz48L2NvbnRyaWJ1dG9ycz48YWRkZWQtZGF0ZSBmb3JtYXQ9InV0YyI+MTUzMDgw
MjM2NzwvYWRkZWQtZGF0ZT48cHViLWxvY2F0aW9uPkxvbmRvbjwvcHViLWxvY2F0aW9uPjxyZWYt
dHlwZSBuYW1lPSJCb29rIj42PC9yZWYtdHlwZT48ZGF0ZXM+PHllYXI+MjAwMjwveWVhcj48L2Rh
dGVzPjxyZWMtbnVtYmVyPjc1OTM8L3JlYy1udW1iZXI+PHB1Ymxpc2hlcj5Sb3V0bGVkZ2U8L3B1
Ymxpc2hlcj48bGFzdC11cGRhdGVkLWRhdGUgZm9ybWF0PSJ1dGMiPjE1MzA4MDQ4MTk8L2xhc3Qt
dXBkYXRlZC1kYXRlPjwvcmVjb3JkPjwvQ2l0ZT48L0VuZE5vdGU+AG==
</w:fldData>
        </w:fldChar>
      </w:r>
      <w:r w:rsidR="004855DD">
        <w:rPr>
          <w:sz w:val="24"/>
          <w:szCs w:val="24"/>
        </w:rPr>
        <w:instrText xml:space="preserve"> ADDIN EN.CITE </w:instrText>
      </w:r>
      <w:r w:rsidR="004855DD">
        <w:rPr>
          <w:sz w:val="24"/>
          <w:szCs w:val="24"/>
        </w:rPr>
        <w:fldChar w:fldCharType="begin">
          <w:fldData xml:space="preserve">PEVuZE5vdGU+PENpdGU+PEF1dGhvcj5LZXNzbGVyPC9BdXRob3I+PFllYXI+MjAxNDwvWWVhcj48
SURUZXh0PkNvbXBhcmluZyBDYXNlczwvSURUZXh0PjxEaXNwbGF5VGV4dD4oRGFuZXJtYXJrIGV0
IGFsLiwgMjAwMjsgS2Vzc2xlciAmYW1wOyBCYWNoLCAyMDE0KTwvRGlzcGxheVRleHQ+PHJlY29y
ZD48a2V5d29yZHM+PGtleXdvcmQ+T3JnYW5pemF0aW9uYWwgYmVoYXZpb3IgLS0gUmVzZWFyY2g8
L2tleXdvcmQ+PGtleXdvcmQ+Q3JpdGljYWwgcmVhbGlzbTwva2V5d29yZD48a2V5d29yZD5QaGls
b3NvcGh5LCBNb2Rlcm48L2tleXdvcmQ+PGtleXdvcmQ+UmVhbGlzbTwva2V5d29yZD48a2V5d29y
ZD5CZWhhdmlvciBpbiBvcmdhbml6YXRpb25zPC9rZXl3b3JkPjxrZXl3b3JkPk1hbmFnZW1lbnQ8
L2tleXdvcmQ+PGtleXdvcmQ+T3JnYW5pemF0aW9uPC9rZXl3b3JkPjxrZXl3b3JkPlBzeWNob2xv
Z3ksIEluZHVzdHJpYWw8L2tleXdvcmQ+PGtleXdvcmQ+U29jaWFsIHBzeWNob2xvZ3k8L2tleXdv
cmQ+PGtleXdvcmQ+RWxlY3Ryb25pYyBib29rczwva2V5d29yZD48L2tleXdvcmRzPjx0aXRsZXM+
PHRpdGxlPkNvbXBhcmluZyBDYXNlczwvdGl0bGU+PHNlY29uZGFyeS10aXRsZT5TdHVkeWluZyBv
cmdhbml6YXRpb25zIHVzaW5nIGNyaXRpY2FsIHJlYWxpc206IGEgcHJhY3RpY2FsIGd1aWRlPC9z
ZWNvbmRhcnktdGl0bGU+PC90aXRsZXM+PGNvbnRyaWJ1dG9ycz48YXV0aG9ycz48YXV0aG9yPktl
c3NsZXIsIElhbjwvYXV0aG9yPjxhdXRob3I+QmFjaCwgU3RlcGhlbjwvYXV0aG9yPjwvYXV0aG9y
cz48L2NvbnRyaWJ1dG9ycz48YWRkZWQtZGF0ZSBmb3JtYXQ9InV0YyI+MTU0NDc5ODQ0MzwvYWRk
ZWQtZGF0ZT48cHViLWxvY2F0aW9uPk94Zm9yZDwvcHViLWxvY2F0aW9uPjxyZWYtdHlwZSBuYW1l
PSJCb29rIFNlY3Rpb24iPjU8L3JlZi10eXBlPjxkYXRlcz48eWVhcj4yMDE0PC95ZWFyPjwvZGF0
ZXM+PHJlYy1udW1iZXI+NzY5MjwvcmVjLW51bWJlcj48cHVibGlzaGVyPk94Zm9yZCBVbml2ZXJz
aXR5IFByZXNzPC9wdWJsaXNoZXI+PGxhc3QtdXBkYXRlZC1kYXRlIGZvcm1hdD0idXRjIj4xNTQ0
Nzk4NTcxPC9sYXN0LXVwZGF0ZWQtZGF0ZT48Y29udHJpYnV0b3JzPjxzZWNvbmRhcnktYXV0aG9y
cz48YXV0aG9yPkVkd2FyZHMsIFAuIEsuPC9hdXRob3I+PGF1dGhvcj5PJmFwb3M7TWFob25leSwg
Sm9lPC9hdXRob3I+PGF1dGhvcj5WaW5jZW50LCBTdGV2ZTwvYXV0aG9yPjwvc2Vjb25kYXJ5LWF1
dGhvcnM+PC9jb250cmlidXRvcnM+PC9yZWNvcmQ+PC9DaXRlPjxDaXRlPjxBdXRob3I+RGFuZXJt
YXJrPC9BdXRob3I+PFllYXI+MjAwMjwvWWVhcj48SURUZXh0PkV4cGxhaW5pbmcgc29jaWV0eTog
Y3JpdGljYWwgcmVhbGlzbSBpbiB0aGUgc29jaWFsIHNjaWVuY2VzPC9JRFRleHQ+PHJlY29yZD48
a2V5d29yZHM+PGtleXdvcmQ+U29jaW9sb2d5IC0tIE1ldGhvZG9sb2d5PC9rZXl3b3JkPjxrZXl3
b3JkPlNvY2lhbCBzY2llbmNlcyAtLSBNZXRob2RvbG9neTwva2V5d29yZD48a2V5d29yZD5Dcml0
aWNhbCByZWFsaXNtPC9rZXl3b3JkPjxrZXl3b3JkPlBoaWxvc29waHksIE1vZGVybjwva2V5d29y
ZD48a2V5d29yZD5SZWFsaXNtPC9rZXl3b3JkPjwva2V5d29yZHM+PHRpdGxlcz48dGl0bGU+RXhw
bGFpbmluZyBzb2NpZXR5OiBjcml0aWNhbCByZWFsaXNtIGluIHRoZSBzb2NpYWwgc2NpZW5jZXM8
L3RpdGxlPjwvdGl0bGVzPjxjb250cmlidXRvcnM+PGF1dGhvcnM+PGF1dGhvcj5EYW5lcm1hcmss
IEJlcnRoPC9hdXRob3I+PGF1dGhvcj5Fa3N0cm9tLCBNYXRzPC9hdXRob3I+PGF1dGhvcj5KYWtv
YnNlbiwgTGlzZWxvdHRlPC9hdXRob3I+PGF1dGhvcj5LYXJsc3NvbiwgSmFuIENoLjwvYXV0aG9y
PjwvYXV0aG9ycz48L2NvbnRyaWJ1dG9ycz48YWRkZWQtZGF0ZSBmb3JtYXQ9InV0YyI+MTUzMDgw
MjM2NzwvYWRkZWQtZGF0ZT48cHViLWxvY2F0aW9uPkxvbmRvbjwvcHViLWxvY2F0aW9uPjxyZWYt
dHlwZSBuYW1lPSJCb29rIj42PC9yZWYtdHlwZT48ZGF0ZXM+PHllYXI+MjAwMjwveWVhcj48L2Rh
dGVzPjxyZWMtbnVtYmVyPjc1OTM8L3JlYy1udW1iZXI+PHB1Ymxpc2hlcj5Sb3V0bGVkZ2U8L3B1
Ymxpc2hlcj48bGFzdC11cGRhdGVkLWRhdGUgZm9ybWF0PSJ1dGMiPjE1MzA4MDQ4MTk8L2xhc3Qt
dXBkYXRlZC1kYXRlPjwvcmVjb3JkPjwvQ2l0ZT48L0VuZE5vdGU+AG==
</w:fldData>
        </w:fldChar>
      </w:r>
      <w:r w:rsidR="004855DD">
        <w:rPr>
          <w:sz w:val="24"/>
          <w:szCs w:val="24"/>
        </w:rPr>
        <w:instrText xml:space="preserve"> ADDIN EN.CITE.DATA </w:instrText>
      </w:r>
      <w:r w:rsidR="004855DD">
        <w:rPr>
          <w:sz w:val="24"/>
          <w:szCs w:val="24"/>
        </w:rPr>
      </w:r>
      <w:r w:rsidR="004855DD">
        <w:rPr>
          <w:sz w:val="24"/>
          <w:szCs w:val="24"/>
        </w:rPr>
        <w:fldChar w:fldCharType="end"/>
      </w:r>
      <w:r w:rsidR="00F2774F">
        <w:rPr>
          <w:sz w:val="24"/>
          <w:szCs w:val="24"/>
        </w:rPr>
      </w:r>
      <w:r w:rsidR="00F2774F">
        <w:rPr>
          <w:sz w:val="24"/>
          <w:szCs w:val="24"/>
        </w:rPr>
        <w:fldChar w:fldCharType="separate"/>
      </w:r>
      <w:r w:rsidR="004855DD">
        <w:rPr>
          <w:noProof/>
          <w:sz w:val="24"/>
          <w:szCs w:val="24"/>
        </w:rPr>
        <w:t>(Danermark et al., 2002; Kessler &amp; Bach, 2014)</w:t>
      </w:r>
      <w:r w:rsidR="00F2774F">
        <w:rPr>
          <w:sz w:val="24"/>
          <w:szCs w:val="24"/>
        </w:rPr>
        <w:fldChar w:fldCharType="end"/>
      </w:r>
      <w:r w:rsidR="00585B9E">
        <w:rPr>
          <w:sz w:val="24"/>
          <w:szCs w:val="24"/>
        </w:rPr>
        <w:t xml:space="preserve">. </w:t>
      </w:r>
      <w:r w:rsidR="006035DC">
        <w:rPr>
          <w:sz w:val="24"/>
          <w:szCs w:val="24"/>
        </w:rPr>
        <w:t>My study seeks to understand research-related academic boundary transactions and their role in influencing the reproduction or potential weakening of academic boundaries</w:t>
      </w:r>
      <w:r w:rsidR="00504558">
        <w:rPr>
          <w:sz w:val="24"/>
          <w:szCs w:val="24"/>
        </w:rPr>
        <w:t xml:space="preserve">. </w:t>
      </w:r>
      <w:r w:rsidR="009A3421">
        <w:rPr>
          <w:sz w:val="24"/>
          <w:szCs w:val="24"/>
        </w:rPr>
        <w:t>It</w:t>
      </w:r>
      <w:r w:rsidR="009379D5">
        <w:rPr>
          <w:sz w:val="24"/>
          <w:szCs w:val="24"/>
        </w:rPr>
        <w:t xml:space="preserve"> therefore</w:t>
      </w:r>
      <w:r w:rsidR="009A3421">
        <w:rPr>
          <w:sz w:val="24"/>
          <w:szCs w:val="24"/>
        </w:rPr>
        <w:t xml:space="preserve"> studies boundary transactions in their contexts</w:t>
      </w:r>
      <w:r w:rsidR="00C83F28">
        <w:rPr>
          <w:sz w:val="24"/>
          <w:szCs w:val="24"/>
        </w:rPr>
        <w:t xml:space="preserve">. </w:t>
      </w:r>
    </w:p>
    <w:p w14:paraId="34786878" w14:textId="3EB29B64" w:rsidR="00990B34" w:rsidRPr="00990B34" w:rsidRDefault="009379D5" w:rsidP="00046D95">
      <w:pPr>
        <w:spacing w:after="120" w:line="360" w:lineRule="auto"/>
        <w:rPr>
          <w:sz w:val="24"/>
          <w:szCs w:val="24"/>
        </w:rPr>
      </w:pPr>
      <w:r w:rsidRPr="00B33BCF">
        <w:rPr>
          <w:sz w:val="24"/>
          <w:szCs w:val="24"/>
        </w:rPr>
        <w:t xml:space="preserve">I chose to sample cases of academic research </w:t>
      </w:r>
      <w:r w:rsidR="003A6D83" w:rsidRPr="00B33BCF">
        <w:rPr>
          <w:sz w:val="24"/>
          <w:szCs w:val="24"/>
        </w:rPr>
        <w:t>that</w:t>
      </w:r>
      <w:r w:rsidRPr="00B33BCF">
        <w:rPr>
          <w:sz w:val="24"/>
          <w:szCs w:val="24"/>
        </w:rPr>
        <w:t xml:space="preserve"> had been </w:t>
      </w:r>
      <w:r w:rsidR="00C83F28" w:rsidRPr="00B33BCF">
        <w:rPr>
          <w:sz w:val="24"/>
          <w:szCs w:val="24"/>
        </w:rPr>
        <w:t xml:space="preserve">recognised for </w:t>
      </w:r>
      <w:r w:rsidR="00603A39" w:rsidRPr="00B33BCF">
        <w:rPr>
          <w:sz w:val="24"/>
          <w:szCs w:val="24"/>
        </w:rPr>
        <w:t xml:space="preserve">their </w:t>
      </w:r>
      <w:r w:rsidR="00C83F28" w:rsidRPr="00B33BCF">
        <w:rPr>
          <w:sz w:val="24"/>
          <w:szCs w:val="24"/>
        </w:rPr>
        <w:t>non-academic ‘impact’.</w:t>
      </w:r>
      <w:r w:rsidRPr="00B33BCF">
        <w:rPr>
          <w:sz w:val="24"/>
          <w:szCs w:val="24"/>
        </w:rPr>
        <w:t xml:space="preserve"> </w:t>
      </w:r>
      <w:r w:rsidR="00603A39" w:rsidRPr="00B33BCF">
        <w:rPr>
          <w:sz w:val="24"/>
          <w:szCs w:val="24"/>
        </w:rPr>
        <w:t xml:space="preserve">The reasoning underpinning this was that </w:t>
      </w:r>
      <w:r w:rsidR="00073061" w:rsidRPr="00B33BCF">
        <w:rPr>
          <w:sz w:val="24"/>
          <w:szCs w:val="24"/>
        </w:rPr>
        <w:t xml:space="preserve">it seemed likely that </w:t>
      </w:r>
      <w:r w:rsidR="00603A39" w:rsidRPr="00B33BCF">
        <w:rPr>
          <w:sz w:val="24"/>
          <w:szCs w:val="24"/>
        </w:rPr>
        <w:t>r</w:t>
      </w:r>
      <w:r w:rsidRPr="00B33BCF">
        <w:rPr>
          <w:sz w:val="24"/>
          <w:szCs w:val="24"/>
        </w:rPr>
        <w:t xml:space="preserve">esearch which had </w:t>
      </w:r>
      <w:r w:rsidR="00603A39" w:rsidRPr="00B33BCF">
        <w:rPr>
          <w:sz w:val="24"/>
          <w:szCs w:val="24"/>
        </w:rPr>
        <w:t>made a significant im</w:t>
      </w:r>
      <w:r w:rsidRPr="00B33BCF">
        <w:rPr>
          <w:sz w:val="24"/>
          <w:szCs w:val="24"/>
        </w:rPr>
        <w:t>pact</w:t>
      </w:r>
      <w:r w:rsidR="00603A39" w:rsidRPr="00B33BCF">
        <w:rPr>
          <w:sz w:val="24"/>
          <w:szCs w:val="24"/>
        </w:rPr>
        <w:t xml:space="preserve"> beyond academia</w:t>
      </w:r>
      <w:r w:rsidRPr="00B33BCF">
        <w:rPr>
          <w:sz w:val="24"/>
          <w:szCs w:val="24"/>
        </w:rPr>
        <w:t xml:space="preserve"> </w:t>
      </w:r>
      <w:r w:rsidR="00603A39" w:rsidRPr="00B33BCF">
        <w:rPr>
          <w:sz w:val="24"/>
          <w:szCs w:val="24"/>
        </w:rPr>
        <w:t>would be rich in instances of boundary transactions, and</w:t>
      </w:r>
      <w:r w:rsidRPr="00B33BCF">
        <w:rPr>
          <w:sz w:val="24"/>
          <w:szCs w:val="24"/>
        </w:rPr>
        <w:t xml:space="preserve"> it was essential </w:t>
      </w:r>
      <w:r w:rsidR="00053EA8" w:rsidRPr="00B33BCF">
        <w:rPr>
          <w:sz w:val="24"/>
          <w:szCs w:val="24"/>
        </w:rPr>
        <w:t>to my study’s aims that I was able to</w:t>
      </w:r>
      <w:r w:rsidRPr="00B33BCF">
        <w:rPr>
          <w:sz w:val="24"/>
          <w:szCs w:val="24"/>
        </w:rPr>
        <w:t xml:space="preserve"> identify</w:t>
      </w:r>
      <w:r w:rsidR="00053EA8" w:rsidRPr="00B33BCF">
        <w:rPr>
          <w:sz w:val="24"/>
          <w:szCs w:val="24"/>
        </w:rPr>
        <w:t xml:space="preserve"> </w:t>
      </w:r>
      <w:r w:rsidR="00073061" w:rsidRPr="00B33BCF">
        <w:rPr>
          <w:sz w:val="24"/>
          <w:szCs w:val="24"/>
        </w:rPr>
        <w:t>and study boundary transactions in their contexts of research</w:t>
      </w:r>
      <w:r w:rsidRPr="00B33BCF">
        <w:rPr>
          <w:sz w:val="24"/>
          <w:szCs w:val="24"/>
        </w:rPr>
        <w:t>.</w:t>
      </w:r>
      <w:r w:rsidR="00C83F28" w:rsidRPr="00B33BCF">
        <w:rPr>
          <w:sz w:val="24"/>
          <w:szCs w:val="24"/>
        </w:rPr>
        <w:t xml:space="preserve"> </w:t>
      </w:r>
      <w:r w:rsidR="00A949F8" w:rsidRPr="00B33BCF">
        <w:rPr>
          <w:rFonts w:eastAsia="Times New Roman"/>
          <w:sz w:val="24"/>
          <w:szCs w:val="24"/>
        </w:rPr>
        <w:t xml:space="preserve">I </w:t>
      </w:r>
      <w:r w:rsidR="005869D6" w:rsidRPr="00B33BCF">
        <w:rPr>
          <w:rFonts w:eastAsia="Times New Roman"/>
          <w:sz w:val="24"/>
          <w:szCs w:val="24"/>
        </w:rPr>
        <w:t>selected my sample among bodies of research (BoRs</w:t>
      </w:r>
      <w:r w:rsidR="00A949F8" w:rsidRPr="00B33BCF">
        <w:rPr>
          <w:rFonts w:eastAsia="Times New Roman"/>
          <w:sz w:val="24"/>
          <w:szCs w:val="24"/>
        </w:rPr>
        <w:t>)</w:t>
      </w:r>
      <w:r w:rsidR="005869D6" w:rsidRPr="00B33BCF">
        <w:rPr>
          <w:rFonts w:eastAsia="Times New Roman"/>
          <w:sz w:val="24"/>
          <w:szCs w:val="24"/>
        </w:rPr>
        <w:t xml:space="preserve"> which had</w:t>
      </w:r>
      <w:r w:rsidR="00053EA8" w:rsidRPr="00B33BCF">
        <w:rPr>
          <w:rFonts w:eastAsia="Times New Roman"/>
          <w:sz w:val="24"/>
          <w:szCs w:val="24"/>
        </w:rPr>
        <w:t xml:space="preserve"> contributed to an Impact Case Study that had</w:t>
      </w:r>
      <w:r w:rsidR="00990B34" w:rsidRPr="00B33BCF">
        <w:rPr>
          <w:rFonts w:eastAsia="Times New Roman"/>
          <w:sz w:val="24"/>
          <w:szCs w:val="24"/>
        </w:rPr>
        <w:t xml:space="preserve"> </w:t>
      </w:r>
      <w:r w:rsidR="005869D6" w:rsidRPr="00B33BCF">
        <w:rPr>
          <w:rFonts w:eastAsia="Times New Roman"/>
          <w:sz w:val="24"/>
          <w:szCs w:val="24"/>
        </w:rPr>
        <w:t xml:space="preserve">received </w:t>
      </w:r>
      <w:r w:rsidR="00990B34" w:rsidRPr="00B33BCF">
        <w:rPr>
          <w:rFonts w:eastAsia="Times New Roman"/>
          <w:sz w:val="24"/>
          <w:szCs w:val="24"/>
        </w:rPr>
        <w:t>a 3-4* rating in the Impact assessment</w:t>
      </w:r>
      <w:r w:rsidR="005869D6" w:rsidRPr="00B33BCF">
        <w:rPr>
          <w:rFonts w:eastAsia="Times New Roman"/>
          <w:sz w:val="24"/>
          <w:szCs w:val="24"/>
        </w:rPr>
        <w:t xml:space="preserve"> in REF2014</w:t>
      </w:r>
      <w:r w:rsidR="00990B34" w:rsidRPr="00B33BCF">
        <w:rPr>
          <w:rFonts w:eastAsia="Times New Roman"/>
          <w:sz w:val="24"/>
          <w:szCs w:val="24"/>
        </w:rPr>
        <w:t>.</w:t>
      </w:r>
      <w:r w:rsidR="003044A1" w:rsidRPr="00B33BCF">
        <w:rPr>
          <w:rFonts w:eastAsia="Times New Roman"/>
          <w:sz w:val="24"/>
          <w:szCs w:val="24"/>
        </w:rPr>
        <w:t xml:space="preserve"> Although this approach was successful in directing me to BoRs which included a rich and broad range of boundary transactions, it is important to </w:t>
      </w:r>
      <w:r w:rsidR="00D9393E" w:rsidRPr="00B33BCF">
        <w:rPr>
          <w:rFonts w:eastAsia="Times New Roman"/>
          <w:sz w:val="24"/>
          <w:szCs w:val="24"/>
        </w:rPr>
        <w:t>acknowledge</w:t>
      </w:r>
      <w:r w:rsidR="003044A1" w:rsidRPr="00B33BCF">
        <w:rPr>
          <w:rFonts w:eastAsia="Times New Roman"/>
          <w:sz w:val="24"/>
          <w:szCs w:val="24"/>
        </w:rPr>
        <w:t xml:space="preserve"> that this </w:t>
      </w:r>
      <w:r w:rsidR="00D9393E" w:rsidRPr="00B33BCF">
        <w:rPr>
          <w:rFonts w:eastAsia="Times New Roman"/>
          <w:sz w:val="24"/>
          <w:szCs w:val="24"/>
        </w:rPr>
        <w:t>decision</w:t>
      </w:r>
      <w:r w:rsidR="003044A1" w:rsidRPr="00B33BCF">
        <w:rPr>
          <w:rFonts w:eastAsia="Times New Roman"/>
          <w:sz w:val="24"/>
          <w:szCs w:val="24"/>
        </w:rPr>
        <w:t xml:space="preserve"> </w:t>
      </w:r>
      <w:r w:rsidR="00650EF5" w:rsidRPr="00B33BCF">
        <w:rPr>
          <w:rFonts w:eastAsia="Times New Roman"/>
          <w:sz w:val="24"/>
          <w:szCs w:val="24"/>
        </w:rPr>
        <w:t>led m</w:t>
      </w:r>
      <w:r w:rsidR="006F17AC" w:rsidRPr="00B33BCF">
        <w:rPr>
          <w:rFonts w:eastAsia="Times New Roman"/>
          <w:sz w:val="24"/>
          <w:szCs w:val="24"/>
        </w:rPr>
        <w:t>y documentary analysis</w:t>
      </w:r>
      <w:r w:rsidR="00650EF5" w:rsidRPr="00B33BCF">
        <w:rPr>
          <w:rFonts w:eastAsia="Times New Roman"/>
          <w:sz w:val="24"/>
          <w:szCs w:val="24"/>
        </w:rPr>
        <w:t xml:space="preserve"> to study very successful </w:t>
      </w:r>
      <w:r w:rsidR="003044A1" w:rsidRPr="00B33BCF">
        <w:rPr>
          <w:rFonts w:eastAsia="Times New Roman"/>
          <w:sz w:val="24"/>
          <w:szCs w:val="24"/>
        </w:rPr>
        <w:t>BoRs, and</w:t>
      </w:r>
      <w:r w:rsidR="006F17AC" w:rsidRPr="00B33BCF">
        <w:rPr>
          <w:rFonts w:eastAsia="Times New Roman"/>
          <w:sz w:val="24"/>
          <w:szCs w:val="24"/>
        </w:rPr>
        <w:t xml:space="preserve"> led my interviews</w:t>
      </w:r>
      <w:r w:rsidR="003044A1" w:rsidRPr="00B33BCF">
        <w:rPr>
          <w:rFonts w:eastAsia="Times New Roman"/>
          <w:sz w:val="24"/>
          <w:szCs w:val="24"/>
        </w:rPr>
        <w:t xml:space="preserve"> to disproportionately focus on</w:t>
      </w:r>
      <w:r w:rsidR="00D43493" w:rsidRPr="00B33BCF">
        <w:rPr>
          <w:rFonts w:eastAsia="Times New Roman"/>
          <w:sz w:val="24"/>
          <w:szCs w:val="24"/>
        </w:rPr>
        <w:t xml:space="preserve"> the experiences of</w:t>
      </w:r>
      <w:r w:rsidR="00650EF5" w:rsidRPr="00B33BCF">
        <w:rPr>
          <w:rFonts w:eastAsia="Times New Roman"/>
          <w:sz w:val="24"/>
          <w:szCs w:val="24"/>
        </w:rPr>
        <w:t xml:space="preserve"> ve</w:t>
      </w:r>
      <w:r w:rsidR="0074005E" w:rsidRPr="00B33BCF">
        <w:rPr>
          <w:rFonts w:eastAsia="Times New Roman"/>
          <w:sz w:val="24"/>
          <w:szCs w:val="24"/>
        </w:rPr>
        <w:t>ry senior</w:t>
      </w:r>
      <w:r w:rsidR="00D43493" w:rsidRPr="00B33BCF">
        <w:rPr>
          <w:rFonts w:eastAsia="Times New Roman"/>
          <w:sz w:val="24"/>
          <w:szCs w:val="24"/>
        </w:rPr>
        <w:t>,</w:t>
      </w:r>
      <w:r w:rsidR="0074005E" w:rsidRPr="00B33BCF">
        <w:rPr>
          <w:rFonts w:eastAsia="Times New Roman"/>
          <w:sz w:val="24"/>
          <w:szCs w:val="24"/>
        </w:rPr>
        <w:t xml:space="preserve"> successful and</w:t>
      </w:r>
      <w:r w:rsidR="00650EF5" w:rsidRPr="00B33BCF">
        <w:rPr>
          <w:rFonts w:eastAsia="Times New Roman"/>
          <w:sz w:val="24"/>
          <w:szCs w:val="24"/>
        </w:rPr>
        <w:t xml:space="preserve">, as it turned out, </w:t>
      </w:r>
      <w:r w:rsidR="00D43493" w:rsidRPr="00B33BCF">
        <w:rPr>
          <w:rFonts w:eastAsia="Times New Roman"/>
          <w:sz w:val="24"/>
          <w:szCs w:val="24"/>
        </w:rPr>
        <w:t>almost exclusively</w:t>
      </w:r>
      <w:r w:rsidR="00650EF5" w:rsidRPr="00B33BCF">
        <w:rPr>
          <w:rFonts w:eastAsia="Times New Roman"/>
          <w:sz w:val="24"/>
          <w:szCs w:val="24"/>
        </w:rPr>
        <w:t xml:space="preserve"> male academics </w:t>
      </w:r>
      <w:r w:rsidR="00DF13D5" w:rsidRPr="00B33BCF">
        <w:rPr>
          <w:rFonts w:eastAsia="Times New Roman"/>
          <w:sz w:val="24"/>
          <w:szCs w:val="24"/>
        </w:rPr>
        <w:t xml:space="preserve">(see demographic details discussed </w:t>
      </w:r>
      <w:r w:rsidR="00D956E2" w:rsidRPr="00B33BCF">
        <w:rPr>
          <w:rFonts w:eastAsia="Times New Roman"/>
          <w:sz w:val="24"/>
          <w:szCs w:val="24"/>
        </w:rPr>
        <w:t>in the final pages of this chapter</w:t>
      </w:r>
      <w:r w:rsidR="00DF13D5" w:rsidRPr="00B33BCF">
        <w:rPr>
          <w:rFonts w:eastAsia="Times New Roman"/>
          <w:sz w:val="24"/>
          <w:szCs w:val="24"/>
        </w:rPr>
        <w:t>)</w:t>
      </w:r>
      <w:r w:rsidR="00D9393E" w:rsidRPr="00B33BCF">
        <w:rPr>
          <w:rFonts w:eastAsia="Times New Roman"/>
          <w:sz w:val="24"/>
          <w:szCs w:val="24"/>
        </w:rPr>
        <w:t xml:space="preserve">. The </w:t>
      </w:r>
      <w:r w:rsidR="006F17AC" w:rsidRPr="00B33BCF">
        <w:rPr>
          <w:rFonts w:eastAsia="Times New Roman"/>
          <w:sz w:val="24"/>
          <w:szCs w:val="24"/>
        </w:rPr>
        <w:t>experiences and activities</w:t>
      </w:r>
      <w:r w:rsidR="00D9393E" w:rsidRPr="00B33BCF">
        <w:rPr>
          <w:rFonts w:eastAsia="Times New Roman"/>
          <w:sz w:val="24"/>
          <w:szCs w:val="24"/>
        </w:rPr>
        <w:t xml:space="preserve"> are therefore not likely to be representative of the wider population of (STEMM) academics.</w:t>
      </w:r>
      <w:r w:rsidR="0089672B" w:rsidRPr="00B33BCF">
        <w:rPr>
          <w:rFonts w:eastAsia="Times New Roman"/>
          <w:sz w:val="24"/>
          <w:szCs w:val="24"/>
        </w:rPr>
        <w:t xml:space="preserve"> However, as I will show in Chapters 4-6, this did not prevent me from making other kinds of claims </w:t>
      </w:r>
      <w:r w:rsidR="00BE636C" w:rsidRPr="00B33BCF">
        <w:rPr>
          <w:rFonts w:eastAsia="Times New Roman"/>
          <w:sz w:val="24"/>
          <w:szCs w:val="24"/>
        </w:rPr>
        <w:t>of</w:t>
      </w:r>
      <w:r w:rsidR="0089672B" w:rsidRPr="00B33BCF">
        <w:rPr>
          <w:rFonts w:eastAsia="Times New Roman"/>
          <w:sz w:val="24"/>
          <w:szCs w:val="24"/>
        </w:rPr>
        <w:t xml:space="preserve"> generalisability</w:t>
      </w:r>
      <w:r w:rsidR="00563DE6" w:rsidRPr="00B33BCF">
        <w:rPr>
          <w:rFonts w:eastAsia="Times New Roman"/>
          <w:sz w:val="24"/>
          <w:szCs w:val="24"/>
        </w:rPr>
        <w:t xml:space="preserve">, including “transferability” </w:t>
      </w:r>
      <w:r w:rsidR="00BE636C" w:rsidRPr="00B33BCF">
        <w:rPr>
          <w:rFonts w:eastAsia="Times New Roman"/>
          <w:sz w:val="24"/>
          <w:szCs w:val="24"/>
        </w:rPr>
        <w:t xml:space="preserve">of concepts </w:t>
      </w:r>
      <w:r w:rsidR="005233C5" w:rsidRPr="00B33BCF">
        <w:rPr>
          <w:rFonts w:eastAsia="Times New Roman"/>
          <w:sz w:val="24"/>
          <w:szCs w:val="24"/>
        </w:rPr>
        <w:fldChar w:fldCharType="begin"/>
      </w:r>
      <w:r w:rsidR="005233C5" w:rsidRPr="00B33BCF">
        <w:rPr>
          <w:rFonts w:eastAsia="Times New Roman"/>
          <w:sz w:val="24"/>
          <w:szCs w:val="24"/>
        </w:rPr>
        <w:instrText xml:space="preserve"> ADDIN EN.CITE &lt;EndNote&gt;&lt;Cite&gt;&lt;Author&gt;Gomm&lt;/Author&gt;&lt;Year&gt;2000&lt;/Year&gt;&lt;IDText&gt;Case study method: key issues, key texts&lt;/IDText&gt;&lt;Pages&gt;98&lt;/Pages&gt;&lt;DisplayText&gt;(Gomm, Hammersley, &amp;amp; Foster, 2000, p. 98)&lt;/DisplayText&gt;&lt;record&gt;&lt;keywords&gt;&lt;keyword&gt;Social sciences -- Methodology&lt;/keyword&gt;&lt;keyword&gt;Social sciences -- Case studies -- Methodology&lt;/keyword&gt;&lt;keyword&gt;Case method&lt;/keyword&gt;&lt;keyword&gt;Education&lt;/keyword&gt;&lt;keyword&gt;Civilization&lt;/keyword&gt;&lt;keyword&gt;UmU kursbok&lt;/keyword&gt;&lt;keyword&gt;Electronic books&lt;/keyword&gt;&lt;/keywords&gt;&lt;isbn&gt;1-4462-7569-8&amp;#xD;0-85702-436-1&lt;/isbn&gt;&lt;titles&gt;&lt;title&gt;Case study method: key issues, key texts&lt;/title&gt;&lt;/titles&gt;&lt;contributors&gt;&lt;authors&gt;&lt;author&gt;Gomm, Roger&lt;/author&gt;&lt;author&gt;Hammersley, Martyn&lt;/author&gt;&lt;author&gt;Foster, Peter&lt;/author&gt;&lt;/authors&gt;&lt;/contributors&gt;&lt;added-date format="utc"&gt;1576537977&lt;/added-date&gt;&lt;pub-location&gt;London&lt;/pub-location&gt;&lt;ref-type name="Book"&gt;6&lt;/ref-type&gt;&lt;dates&gt;&lt;year&gt;2000&lt;/year&gt;&lt;/dates&gt;&lt;rec-number&gt;8401&lt;/rec-number&gt;&lt;publisher&gt;SAGE&lt;/publisher&gt;&lt;last-updated-date format="utc"&gt;1576538302&lt;/last-updated-date&gt;&lt;/record&gt;&lt;/Cite&gt;&lt;/EndNote&gt;</w:instrText>
      </w:r>
      <w:r w:rsidR="005233C5" w:rsidRPr="00B33BCF">
        <w:rPr>
          <w:rFonts w:eastAsia="Times New Roman"/>
          <w:sz w:val="24"/>
          <w:szCs w:val="24"/>
        </w:rPr>
        <w:fldChar w:fldCharType="separate"/>
      </w:r>
      <w:r w:rsidR="005233C5" w:rsidRPr="00B33BCF">
        <w:rPr>
          <w:rFonts w:eastAsia="Times New Roman"/>
          <w:noProof/>
          <w:sz w:val="24"/>
          <w:szCs w:val="24"/>
        </w:rPr>
        <w:t>(Gomm, Hammersley, &amp; Foster, 2000, p. 98)</w:t>
      </w:r>
      <w:r w:rsidR="005233C5" w:rsidRPr="00B33BCF">
        <w:rPr>
          <w:rFonts w:eastAsia="Times New Roman"/>
          <w:sz w:val="24"/>
          <w:szCs w:val="24"/>
        </w:rPr>
        <w:fldChar w:fldCharType="end"/>
      </w:r>
      <w:r w:rsidR="00BE636C" w:rsidRPr="00B33BCF">
        <w:rPr>
          <w:rFonts w:eastAsia="Times New Roman"/>
          <w:sz w:val="24"/>
          <w:szCs w:val="24"/>
        </w:rPr>
        <w:t xml:space="preserve"> and what Sayer </w:t>
      </w:r>
      <w:r w:rsidR="00BE636C" w:rsidRPr="00B33BCF">
        <w:rPr>
          <w:rFonts w:eastAsia="Times New Roman"/>
          <w:sz w:val="24"/>
          <w:szCs w:val="24"/>
        </w:rPr>
        <w:fldChar w:fldCharType="begin"/>
      </w:r>
      <w:r w:rsidR="00883B69" w:rsidRPr="00B33BCF">
        <w:rPr>
          <w:rFonts w:eastAsia="Times New Roman"/>
          <w:sz w:val="24"/>
          <w:szCs w:val="24"/>
        </w:rPr>
        <w:instrText xml:space="preserve"> ADDIN EN.CITE &lt;EndNote&gt;&lt;Cite ExcludeAuth="1"&gt;&lt;Author&gt;Sayer&lt;/Author&gt;&lt;Year&gt;2010&lt;/Year&gt;&lt;IDText&gt;Method in social science: a realist approach&lt;/IDText&gt;&lt;Pages&gt;239&lt;/Pages&gt;&lt;DisplayText&gt;(2010, p. 239)&lt;/DisplayText&gt;&lt;record&gt;&lt;keywords&gt;&lt;keyword&gt;Social sciences -- Methodology&lt;/keyword&gt;&lt;/keywords&gt;&lt;titles&gt;&lt;title&gt;Method in social science: a realist approach&lt;/title&gt;&lt;/titles&gt;&lt;contributors&gt;&lt;authors&gt;&lt;author&gt;Sayer, Andrew&lt;/author&gt;&lt;/authors&gt;&lt;/contributors&gt;&lt;edition&gt;2nd&lt;/edition&gt;&lt;added-date format="utc"&gt;1452614083&lt;/added-date&gt;&lt;pub-location&gt;Abingdon&lt;/pub-location&gt;&lt;ref-type name="Book"&gt;6&lt;/ref-type&gt;&lt;dates&gt;&lt;year&gt;2010&lt;/year&gt;&lt;/dates&gt;&lt;rec-number&gt;20&lt;/rec-number&gt;&lt;publisher&gt;Routledge&lt;/publisher&gt;&lt;last-updated-date format="utc"&gt;1477779891&lt;/last-updated-date&gt;&lt;/record&gt;&lt;/Cite&gt;&lt;/EndNote&gt;</w:instrText>
      </w:r>
      <w:r w:rsidR="00BE636C" w:rsidRPr="00B33BCF">
        <w:rPr>
          <w:rFonts w:eastAsia="Times New Roman"/>
          <w:sz w:val="24"/>
          <w:szCs w:val="24"/>
        </w:rPr>
        <w:fldChar w:fldCharType="separate"/>
      </w:r>
      <w:r w:rsidR="00883B69" w:rsidRPr="00B33BCF">
        <w:rPr>
          <w:rFonts w:eastAsia="Times New Roman"/>
          <w:noProof/>
          <w:sz w:val="24"/>
          <w:szCs w:val="24"/>
        </w:rPr>
        <w:t>(2010, p. 239)</w:t>
      </w:r>
      <w:r w:rsidR="00BE636C" w:rsidRPr="00B33BCF">
        <w:rPr>
          <w:rFonts w:eastAsia="Times New Roman"/>
          <w:sz w:val="24"/>
          <w:szCs w:val="24"/>
        </w:rPr>
        <w:fldChar w:fldCharType="end"/>
      </w:r>
      <w:r w:rsidR="004E5A56" w:rsidRPr="00B33BCF">
        <w:rPr>
          <w:rFonts w:eastAsia="Times New Roman"/>
          <w:sz w:val="24"/>
          <w:szCs w:val="24"/>
        </w:rPr>
        <w:t xml:space="preserve"> refers to as ‘generality’, </w:t>
      </w:r>
      <w:r w:rsidR="00883B69" w:rsidRPr="00B33BCF">
        <w:rPr>
          <w:rFonts w:eastAsia="Times New Roman"/>
          <w:sz w:val="24"/>
          <w:szCs w:val="24"/>
        </w:rPr>
        <w:t>that is, showing similar mechanisms or processes playing out under a range of different conditions</w:t>
      </w:r>
      <w:r w:rsidR="006664BA" w:rsidRPr="00B33BCF">
        <w:rPr>
          <w:rFonts w:eastAsia="Times New Roman"/>
          <w:sz w:val="24"/>
          <w:szCs w:val="24"/>
        </w:rPr>
        <w:t xml:space="preserve"> and contexts</w:t>
      </w:r>
      <w:r w:rsidR="008B5C5A" w:rsidRPr="00B33BCF">
        <w:rPr>
          <w:rFonts w:eastAsia="Times New Roman"/>
          <w:sz w:val="24"/>
          <w:szCs w:val="24"/>
        </w:rPr>
        <w:t>.</w:t>
      </w:r>
      <w:r w:rsidR="0089672B" w:rsidRPr="00B33BCF">
        <w:rPr>
          <w:rFonts w:eastAsia="Times New Roman"/>
          <w:sz w:val="24"/>
          <w:szCs w:val="24"/>
        </w:rPr>
        <w:t xml:space="preserve"> Moreover, as others have noted, the approach can help to</w:t>
      </w:r>
      <w:r w:rsidR="00117508" w:rsidRPr="00B33BCF">
        <w:rPr>
          <w:rFonts w:eastAsia="Times New Roman"/>
          <w:sz w:val="24"/>
          <w:szCs w:val="24"/>
        </w:rPr>
        <w:t xml:space="preserve"> </w:t>
      </w:r>
      <w:r w:rsidR="00990B34" w:rsidRPr="00B33BCF">
        <w:rPr>
          <w:rFonts w:eastAsia="Times New Roman"/>
          <w:sz w:val="24"/>
          <w:szCs w:val="24"/>
        </w:rPr>
        <w:t xml:space="preserve">“make inferences about the kind of impact that was valued in the REF process, and the kind of research leading to such impact” </w:t>
      </w:r>
      <w:r w:rsidR="00990B34" w:rsidRPr="00B33BCF">
        <w:rPr>
          <w:rFonts w:eastAsia="Times New Roman"/>
          <w:sz w:val="24"/>
          <w:szCs w:val="24"/>
        </w:rPr>
        <w:fldChar w:fldCharType="begin"/>
      </w:r>
      <w:r w:rsidR="00E85D3D" w:rsidRPr="00B33BCF">
        <w:rPr>
          <w:rFonts w:eastAsia="Times New Roman"/>
          <w:sz w:val="24"/>
          <w:szCs w:val="24"/>
        </w:rPr>
        <w:instrText xml:space="preserve"> ADDIN EN.CITE &lt;EndNote&gt;&lt;Cite&gt;&lt;Author&gt;Laing&lt;/Author&gt;&lt;Year&gt;2018&lt;/Year&gt;&lt;IDText&gt;The impact agenda and critical social research in education: Hitting the target but missing the spot?&lt;/IDText&gt;&lt;Pages&gt;175&lt;/Pages&gt;&lt;DisplayText&gt;(Laing et al., 2018, p. 175)&lt;/DisplayText&gt;&lt;record&gt;&lt;keywords&gt;&lt;keyword&gt;Impact&lt;/keyword&gt;&lt;keyword&gt;Critical Educational Research&lt;/keyword&gt;&lt;keyword&gt;Social Justice&lt;/keyword&gt;&lt;keyword&gt;Bourdieu&lt;/keyword&gt;&lt;keyword&gt;Valorization&lt;/keyword&gt;&lt;/keywords&gt;&lt;isbn&gt;1478-2103&lt;/isbn&gt;&lt;titles&gt;&lt;title&gt;The impact agenda and critical social research in education: Hitting the target but missing the spot?&lt;/title&gt;&lt;secondary-title&gt;Policy Futures in Education&lt;/secondary-title&gt;&lt;/titles&gt;&lt;pages&gt;169-184&lt;/pages&gt;&lt;number&gt;2&lt;/number&gt;&lt;contributors&gt;&lt;authors&gt;&lt;author&gt;Laing, Karen&lt;/author&gt;&lt;author&gt;Mazzoli Smith, Laura&lt;/author&gt;&lt;author&gt;Todd, Liz&lt;/author&gt;&lt;/authors&gt;&lt;/contributors&gt;&lt;added-date format="utc"&gt;1520866013&lt;/added-date&gt;&lt;ref-type name="Journal Article"&gt;17&lt;/ref-type&gt;&lt;dates&gt;&lt;year&gt;2018&lt;/year&gt;&lt;/dates&gt;&lt;rec-number&gt;7393&lt;/rec-number&gt;&lt;last-updated-date format="utc"&gt;1520866013&lt;/last-updated-date&gt;&lt;electronic-resource-num&gt;10.1177/1478210317742214&lt;/electronic-resource-num&gt;&lt;volume&gt;16&lt;/volume&gt;&lt;/record&gt;&lt;/Cite&gt;&lt;/EndNote&gt;</w:instrText>
      </w:r>
      <w:r w:rsidR="00990B34" w:rsidRPr="00B33BCF">
        <w:rPr>
          <w:rFonts w:eastAsia="Times New Roman"/>
          <w:sz w:val="24"/>
          <w:szCs w:val="24"/>
        </w:rPr>
        <w:fldChar w:fldCharType="separate"/>
      </w:r>
      <w:r w:rsidR="00E85D3D" w:rsidRPr="00B33BCF">
        <w:rPr>
          <w:rFonts w:eastAsia="Times New Roman"/>
          <w:noProof/>
          <w:sz w:val="24"/>
          <w:szCs w:val="24"/>
        </w:rPr>
        <w:t>(Laing et al., 2018, p. 175)</w:t>
      </w:r>
      <w:r w:rsidR="00990B34" w:rsidRPr="00B33BCF">
        <w:rPr>
          <w:rFonts w:eastAsia="Times New Roman"/>
          <w:sz w:val="24"/>
          <w:szCs w:val="24"/>
        </w:rPr>
        <w:fldChar w:fldCharType="end"/>
      </w:r>
      <w:r w:rsidR="00890EB6" w:rsidRPr="00B33BCF">
        <w:rPr>
          <w:rFonts w:eastAsia="Times New Roman"/>
          <w:sz w:val="24"/>
          <w:szCs w:val="24"/>
        </w:rPr>
        <w:t>.</w:t>
      </w:r>
    </w:p>
    <w:p w14:paraId="6B070C2A" w14:textId="4EBF70FE" w:rsidR="002E5B9C" w:rsidRDefault="0089672B" w:rsidP="00046D95">
      <w:pPr>
        <w:spacing w:after="120" w:line="360" w:lineRule="auto"/>
        <w:rPr>
          <w:rFonts w:eastAsia="Times New Roman"/>
          <w:sz w:val="24"/>
          <w:szCs w:val="24"/>
        </w:rPr>
      </w:pPr>
      <w:r>
        <w:rPr>
          <w:rFonts w:eastAsia="Times New Roman"/>
          <w:sz w:val="24"/>
          <w:szCs w:val="24"/>
        </w:rPr>
        <w:t>As indicated by</w:t>
      </w:r>
      <w:r w:rsidR="00C83F28">
        <w:rPr>
          <w:rFonts w:eastAsia="Times New Roman"/>
          <w:sz w:val="24"/>
          <w:szCs w:val="24"/>
        </w:rPr>
        <w:t xml:space="preserve"> my research questions, I wanted to capture various academic research contexts </w:t>
      </w:r>
      <w:r w:rsidR="00C83F28">
        <w:rPr>
          <w:sz w:val="24"/>
          <w:szCs w:val="24"/>
        </w:rPr>
        <w:t xml:space="preserve">shown to be important in shaping academic life and experience in general, namely, </w:t>
      </w:r>
      <w:r w:rsidR="00C83F28">
        <w:rPr>
          <w:i/>
          <w:sz w:val="24"/>
          <w:szCs w:val="24"/>
        </w:rPr>
        <w:t xml:space="preserve">institutional </w:t>
      </w:r>
      <w:r w:rsidR="00C83F28">
        <w:rPr>
          <w:sz w:val="24"/>
          <w:szCs w:val="24"/>
        </w:rPr>
        <w:t xml:space="preserve">and </w:t>
      </w:r>
      <w:r w:rsidR="00C83F28">
        <w:rPr>
          <w:i/>
          <w:sz w:val="24"/>
          <w:szCs w:val="24"/>
        </w:rPr>
        <w:t xml:space="preserve">epistemic </w:t>
      </w:r>
      <w:r w:rsidR="00C83F28">
        <w:rPr>
          <w:sz w:val="24"/>
          <w:szCs w:val="24"/>
        </w:rPr>
        <w:t>context.</w:t>
      </w:r>
      <w:r w:rsidR="009976EF">
        <w:rPr>
          <w:sz w:val="24"/>
          <w:szCs w:val="24"/>
        </w:rPr>
        <w:t xml:space="preserve"> </w:t>
      </w:r>
      <w:r w:rsidR="00986877">
        <w:rPr>
          <w:rFonts w:eastAsia="Times New Roman"/>
          <w:sz w:val="24"/>
          <w:szCs w:val="24"/>
        </w:rPr>
        <w:t xml:space="preserve">I therefore adopt a </w:t>
      </w:r>
      <w:r w:rsidR="00986877" w:rsidRPr="005A68C2">
        <w:rPr>
          <w:rFonts w:eastAsia="Times New Roman"/>
          <w:sz w:val="24"/>
          <w:szCs w:val="24"/>
        </w:rPr>
        <w:t>“maximum variation”</w:t>
      </w:r>
      <w:r w:rsidR="00986877" w:rsidRPr="001D38AF">
        <w:rPr>
          <w:rStyle w:val="FootnoteReference"/>
          <w:rFonts w:eastAsia="Times New Roman"/>
          <w:sz w:val="24"/>
          <w:szCs w:val="24"/>
        </w:rPr>
        <w:t xml:space="preserve"> </w:t>
      </w:r>
      <w:r w:rsidR="00986877">
        <w:rPr>
          <w:rStyle w:val="FootnoteReference"/>
          <w:rFonts w:eastAsia="Times New Roman"/>
          <w:sz w:val="24"/>
          <w:szCs w:val="24"/>
        </w:rPr>
        <w:footnoteReference w:id="9"/>
      </w:r>
      <w:r w:rsidR="00986877">
        <w:rPr>
          <w:rFonts w:eastAsia="Times New Roman"/>
          <w:sz w:val="24"/>
          <w:szCs w:val="24"/>
        </w:rPr>
        <w:t xml:space="preserve"> sampling</w:t>
      </w:r>
      <w:r w:rsidR="00986877" w:rsidRPr="005A68C2">
        <w:rPr>
          <w:rFonts w:eastAsia="Times New Roman"/>
          <w:sz w:val="24"/>
          <w:szCs w:val="24"/>
        </w:rPr>
        <w:t xml:space="preserve"> </w:t>
      </w:r>
      <w:r w:rsidR="00986877">
        <w:rPr>
          <w:rFonts w:eastAsia="Times New Roman"/>
          <w:sz w:val="24"/>
          <w:szCs w:val="24"/>
        </w:rPr>
        <w:t>strategy</w:t>
      </w:r>
      <w:r w:rsidR="00986877" w:rsidRPr="005A68C2">
        <w:rPr>
          <w:rFonts w:eastAsia="Times New Roman"/>
          <w:sz w:val="24"/>
          <w:szCs w:val="24"/>
        </w:rPr>
        <w:t xml:space="preserve"> </w:t>
      </w:r>
      <w:r w:rsidR="00986877" w:rsidRPr="005A68C2">
        <w:rPr>
          <w:rFonts w:eastAsia="Times New Roman"/>
          <w:sz w:val="24"/>
          <w:szCs w:val="24"/>
        </w:rPr>
        <w:fldChar w:fldCharType="begin"/>
      </w:r>
      <w:r w:rsidR="00986877" w:rsidRPr="005A68C2">
        <w:rPr>
          <w:rFonts w:eastAsia="Times New Roman"/>
          <w:sz w:val="24"/>
          <w:szCs w:val="24"/>
        </w:rPr>
        <w:instrText xml:space="preserve"> ADDIN EN.CITE &lt;EndNote&gt;&lt;Cite&gt;&lt;Author&gt;Miles&lt;/Author&gt;&lt;Year&gt;1994&lt;/Year&gt;&lt;IDText&gt;Qualitative data analysis: an expanded sourcebook&lt;/IDText&gt;&lt;Pages&gt;28&lt;/Pages&gt;&lt;DisplayText&gt;(Miles &amp;amp; Huberman, 1994, p. 28)&lt;/DisplayText&gt;&lt;record&gt;&lt;keywords&gt;&lt;keyword&gt;Social sciences -- Research&lt;/keyword&gt;&lt;keyword&gt;Education -- Research&lt;/keyword&gt;&lt;keyword&gt;Social sciences -- Methodology&lt;/keyword&gt;&lt;keyword&gt;Education -- Methodology&lt;/keyword&gt;&lt;keyword&gt;Educational research&lt;/keyword&gt;&lt;keyword&gt;Social science research&lt;/keyword&gt;&lt;keyword&gt;Social sciences Qualitative research&lt;/keyword&gt;&lt;/keywords&gt;&lt;titles&gt;&lt;title&gt;Qualitative data analysis: an expanded sourcebook&lt;/title&gt;&lt;/titles&gt;&lt;contributors&gt;&lt;authors&gt;&lt;author&gt;Miles, Matthew B.&lt;/author&gt;&lt;author&gt;Huberman, Michael A.&lt;/author&gt;&lt;/authors&gt;&lt;/contributors&gt;&lt;edition&gt;2nd&lt;/edition&gt;&lt;added-date format="utc"&gt;1484748414&lt;/added-date&gt;&lt;pub-location&gt;London&lt;/pub-location&gt;&lt;ref-type name="Book"&gt;6&lt;/ref-type&gt;&lt;dates&gt;&lt;year&gt;1994&lt;/year&gt;&lt;/dates&gt;&lt;rec-number&gt;6487&lt;/rec-number&gt;&lt;publisher&gt;Sage&lt;/publisher&gt;&lt;last-updated-date format="utc"&gt;1484748762&lt;/last-updated-date&gt;&lt;contributors&gt;&lt;secondary-authors&gt;&lt;author&gt;Miles, Matthew B.&lt;/author&gt;&lt;/secondary-authors&gt;&lt;/contributors&gt;&lt;/record&gt;&lt;/Cite&gt;&lt;/EndNote&gt;</w:instrText>
      </w:r>
      <w:r w:rsidR="00986877" w:rsidRPr="005A68C2">
        <w:rPr>
          <w:rFonts w:eastAsia="Times New Roman"/>
          <w:sz w:val="24"/>
          <w:szCs w:val="24"/>
        </w:rPr>
        <w:fldChar w:fldCharType="separate"/>
      </w:r>
      <w:r w:rsidR="00986877" w:rsidRPr="005A68C2">
        <w:rPr>
          <w:rFonts w:eastAsia="Times New Roman"/>
          <w:noProof/>
          <w:sz w:val="24"/>
          <w:szCs w:val="24"/>
        </w:rPr>
        <w:t>(Miles &amp; Huberman, 1994, p. 28)</w:t>
      </w:r>
      <w:r w:rsidR="00986877" w:rsidRPr="005A68C2">
        <w:rPr>
          <w:rFonts w:eastAsia="Times New Roman"/>
          <w:sz w:val="24"/>
          <w:szCs w:val="24"/>
        </w:rPr>
        <w:fldChar w:fldCharType="end"/>
      </w:r>
      <w:r w:rsidR="00986877">
        <w:rPr>
          <w:rFonts w:eastAsia="Times New Roman"/>
          <w:sz w:val="24"/>
          <w:szCs w:val="24"/>
        </w:rPr>
        <w:t xml:space="preserve"> to capture a range of institutional and epistemic contexts. </w:t>
      </w:r>
      <w:r w:rsidR="0048287F">
        <w:rPr>
          <w:rFonts w:eastAsia="Times New Roman"/>
          <w:sz w:val="24"/>
          <w:szCs w:val="24"/>
        </w:rPr>
        <w:t xml:space="preserve">There are two aspects of </w:t>
      </w:r>
      <w:r w:rsidR="0048287F" w:rsidRPr="00BA1221">
        <w:rPr>
          <w:rFonts w:eastAsia="Times New Roman"/>
          <w:i/>
          <w:sz w:val="24"/>
          <w:szCs w:val="24"/>
        </w:rPr>
        <w:t>institutional context</w:t>
      </w:r>
      <w:r w:rsidR="0048287F">
        <w:rPr>
          <w:rFonts w:eastAsia="Times New Roman"/>
          <w:sz w:val="24"/>
          <w:szCs w:val="24"/>
        </w:rPr>
        <w:t>:</w:t>
      </w:r>
      <w:r w:rsidR="007B4929">
        <w:rPr>
          <w:rFonts w:eastAsia="Times New Roman"/>
          <w:sz w:val="24"/>
          <w:szCs w:val="24"/>
        </w:rPr>
        <w:t xml:space="preserve"> university</w:t>
      </w:r>
      <w:r w:rsidR="0048287F">
        <w:rPr>
          <w:rFonts w:eastAsia="Times New Roman"/>
          <w:sz w:val="24"/>
          <w:szCs w:val="24"/>
        </w:rPr>
        <w:t xml:space="preserve"> status and departmental ranking. Regarding institutional status, I refer to and adopt </w:t>
      </w:r>
      <w:r w:rsidR="0048287F" w:rsidRPr="002F7B3C">
        <w:rPr>
          <w:rFonts w:eastAsia="Times New Roman"/>
          <w:sz w:val="24"/>
          <w:szCs w:val="24"/>
        </w:rPr>
        <w:t>Boliver</w:t>
      </w:r>
      <w:r w:rsidR="0048287F">
        <w:rPr>
          <w:rFonts w:eastAsia="Times New Roman"/>
          <w:sz w:val="24"/>
          <w:szCs w:val="24"/>
        </w:rPr>
        <w:t xml:space="preserve">’s </w:t>
      </w:r>
      <w:r w:rsidR="0048287F" w:rsidRPr="006D763A">
        <w:rPr>
          <w:sz w:val="24"/>
          <w:szCs w:val="24"/>
        </w:rPr>
        <w:fldChar w:fldCharType="begin"/>
      </w:r>
      <w:r w:rsidR="0048287F">
        <w:rPr>
          <w:sz w:val="24"/>
          <w:szCs w:val="24"/>
        </w:rPr>
        <w:instrText xml:space="preserve"> ADDIN EN.CITE &lt;EndNote&gt;&lt;Cite ExcludeAuth="1"&gt;&lt;Author&gt;Boliver&lt;/Author&gt;&lt;Year&gt;2015&lt;/Year&gt;&lt;IDText&gt;Are there distinctive clusters of higher and lower status universities in the UK?&lt;/IDText&gt;&lt;DisplayText&gt;(2015)&lt;/DisplayText&gt;&lt;record&gt;&lt;keywords&gt;&lt;keyword&gt;Article&lt;/keyword&gt;&lt;keyword&gt;Cluster Analysis&lt;/keyword&gt;&lt;keyword&gt;Differentiation&lt;/keyword&gt;&lt;keyword&gt;Higher Education&lt;/keyword&gt;&lt;keyword&gt;Russell Group Universities&lt;/keyword&gt;&lt;/keywords&gt;&lt;isbn&gt;0305-4985&lt;/isbn&gt;&lt;titles&gt;&lt;title&gt;Are there distinctive clusters of higher and lower status universities in the UK?&lt;/title&gt;&lt;secondary-title&gt;Oxford Review of Education&lt;/secondary-title&gt;&lt;/titles&gt;&lt;pages&gt;608-627&lt;/pages&gt;&lt;number&gt;5&lt;/number&gt;&lt;contributors&gt;&lt;authors&gt;&lt;author&gt;Boliver, Vikki&lt;/author&gt;&lt;/authors&gt;&lt;/contributors&gt;&lt;added-date format="utc"&gt;1473767371&lt;/added-date&gt;&lt;ref-type name="Journal Article"&gt;17&lt;/ref-type&gt;&lt;dates&gt;&lt;year&gt;2015&lt;/year&gt;&lt;/dates&gt;&lt;rec-number&gt;5997&lt;/rec-number&gt;&lt;publisher&gt;Routledge&lt;/publisher&gt;&lt;last-updated-date format="utc"&gt;1474663334&lt;/last-updated-date&gt;&lt;electronic-resource-num&gt;10.1080/03054985.2015.1082905&lt;/electronic-resource-num&gt;&lt;volume&gt;41&lt;/volume&gt;&lt;/record&gt;&lt;/Cite&gt;&lt;/EndNote&gt;</w:instrText>
      </w:r>
      <w:r w:rsidR="0048287F" w:rsidRPr="006D763A">
        <w:rPr>
          <w:rFonts w:eastAsia="Times New Roman"/>
          <w:sz w:val="24"/>
          <w:szCs w:val="24"/>
        </w:rPr>
        <w:fldChar w:fldCharType="separate"/>
      </w:r>
      <w:r w:rsidR="0048287F" w:rsidRPr="00D10BFF">
        <w:rPr>
          <w:noProof/>
          <w:sz w:val="24"/>
          <w:szCs w:val="24"/>
        </w:rPr>
        <w:t>(2015)</w:t>
      </w:r>
      <w:r w:rsidR="0048287F" w:rsidRPr="006D763A">
        <w:rPr>
          <w:sz w:val="24"/>
          <w:szCs w:val="24"/>
        </w:rPr>
        <w:fldChar w:fldCharType="end"/>
      </w:r>
      <w:r w:rsidR="0048287F">
        <w:rPr>
          <w:sz w:val="24"/>
          <w:szCs w:val="24"/>
        </w:rPr>
        <w:t xml:space="preserve"> </w:t>
      </w:r>
      <w:r w:rsidR="0048287F">
        <w:rPr>
          <w:rFonts w:eastAsia="Times New Roman"/>
          <w:sz w:val="24"/>
          <w:szCs w:val="24"/>
        </w:rPr>
        <w:t>recent work</w:t>
      </w:r>
      <w:r w:rsidR="007D62D4">
        <w:rPr>
          <w:rFonts w:eastAsia="Times New Roman"/>
          <w:sz w:val="24"/>
          <w:szCs w:val="24"/>
        </w:rPr>
        <w:t>. Her</w:t>
      </w:r>
      <w:r w:rsidR="0048287F">
        <w:rPr>
          <w:rFonts w:eastAsia="Times New Roman"/>
          <w:sz w:val="24"/>
          <w:szCs w:val="24"/>
        </w:rPr>
        <w:t xml:space="preserve"> cluster analysis results in a four-tier structure of UK academic hierarchy: </w:t>
      </w:r>
      <w:r w:rsidR="00B916DC">
        <w:rPr>
          <w:rFonts w:eastAsia="Times New Roman"/>
          <w:sz w:val="24"/>
          <w:szCs w:val="24"/>
        </w:rPr>
        <w:t xml:space="preserve">an elite </w:t>
      </w:r>
      <w:r w:rsidR="0048287F">
        <w:rPr>
          <w:rFonts w:eastAsia="Times New Roman"/>
          <w:sz w:val="24"/>
          <w:szCs w:val="24"/>
        </w:rPr>
        <w:t xml:space="preserve">Tier 1 includes only two institutions; Tier 2 </w:t>
      </w:r>
      <w:r w:rsidR="00B916DC">
        <w:rPr>
          <w:rFonts w:eastAsia="Times New Roman"/>
          <w:sz w:val="24"/>
          <w:szCs w:val="24"/>
        </w:rPr>
        <w:t>comprises</w:t>
      </w:r>
      <w:r w:rsidR="0048287F">
        <w:rPr>
          <w:rFonts w:eastAsia="Times New Roman"/>
          <w:sz w:val="24"/>
          <w:szCs w:val="24"/>
        </w:rPr>
        <w:t xml:space="preserve"> 39 institutions; Tier 3 is the largest, including 67 institutions; last, there is a small cluster of 19 institutions which make up Tier 4 </w:t>
      </w:r>
      <w:r w:rsidR="0048287F" w:rsidRPr="006D763A">
        <w:rPr>
          <w:sz w:val="24"/>
          <w:szCs w:val="24"/>
        </w:rPr>
        <w:fldChar w:fldCharType="begin"/>
      </w:r>
      <w:r w:rsidR="0048287F">
        <w:rPr>
          <w:sz w:val="24"/>
          <w:szCs w:val="24"/>
        </w:rPr>
        <w:instrText xml:space="preserve"> ADDIN EN.CITE &lt;EndNote&gt;&lt;Cite&gt;&lt;Author&gt;Boliver&lt;/Author&gt;&lt;Year&gt;2015&lt;/Year&gt;&lt;IDText&gt;Are there distinctive clusters of higher and lower status universities in the UK?&lt;/IDText&gt;&lt;Pages&gt;619-20&lt;/Pages&gt;&lt;DisplayText&gt;(Boliver, 2015, pp. 619-620)&lt;/DisplayText&gt;&lt;record&gt;&lt;keywords&gt;&lt;keyword&gt;Article&lt;/keyword&gt;&lt;keyword&gt;Cluster Analysis&lt;/keyword&gt;&lt;keyword&gt;Differentiation&lt;/keyword&gt;&lt;keyword&gt;Higher Education&lt;/keyword&gt;&lt;keyword&gt;Russell Group Universities&lt;/keyword&gt;&lt;/keywords&gt;&lt;isbn&gt;0305-4985&lt;/isbn&gt;&lt;titles&gt;&lt;title&gt;Are there distinctive clusters of higher and lower status universities in the UK?&lt;/title&gt;&lt;secondary-title&gt;Oxford Review of Education&lt;/secondary-title&gt;&lt;/titles&gt;&lt;pages&gt;608-627&lt;/pages&gt;&lt;number&gt;5&lt;/number&gt;&lt;contributors&gt;&lt;authors&gt;&lt;author&gt;Boliver, Vikki&lt;/author&gt;&lt;/authors&gt;&lt;/contributors&gt;&lt;added-date format="utc"&gt;1473767371&lt;/added-date&gt;&lt;ref-type name="Journal Article"&gt;17&lt;/ref-type&gt;&lt;dates&gt;&lt;year&gt;2015&lt;/year&gt;&lt;/dates&gt;&lt;rec-number&gt;5997&lt;/rec-number&gt;&lt;publisher&gt;Routledge&lt;/publisher&gt;&lt;last-updated-date format="utc"&gt;1474663334&lt;/last-updated-date&gt;&lt;electronic-resource-num&gt;10.1080/03054985.2015.1082905&lt;/electronic-resource-num&gt;&lt;volume&gt;41&lt;/volume&gt;&lt;/record&gt;&lt;/Cite&gt;&lt;/EndNote&gt;</w:instrText>
      </w:r>
      <w:r w:rsidR="0048287F" w:rsidRPr="006D763A">
        <w:rPr>
          <w:rFonts w:eastAsia="Times New Roman"/>
          <w:sz w:val="24"/>
          <w:szCs w:val="24"/>
        </w:rPr>
        <w:fldChar w:fldCharType="separate"/>
      </w:r>
      <w:r w:rsidR="0048287F" w:rsidRPr="00D10BFF">
        <w:rPr>
          <w:noProof/>
          <w:sz w:val="24"/>
          <w:szCs w:val="24"/>
        </w:rPr>
        <w:t>(Boliver, 2015, pp. 619-620)</w:t>
      </w:r>
      <w:r w:rsidR="0048287F" w:rsidRPr="006D763A">
        <w:rPr>
          <w:sz w:val="24"/>
          <w:szCs w:val="24"/>
        </w:rPr>
        <w:fldChar w:fldCharType="end"/>
      </w:r>
      <w:r w:rsidR="0048287F">
        <w:rPr>
          <w:rFonts w:eastAsia="Times New Roman"/>
          <w:sz w:val="24"/>
          <w:szCs w:val="24"/>
        </w:rPr>
        <w:t xml:space="preserve">. My sample </w:t>
      </w:r>
      <w:r w:rsidR="00984A71">
        <w:rPr>
          <w:rFonts w:eastAsia="Times New Roman"/>
          <w:sz w:val="24"/>
          <w:szCs w:val="24"/>
        </w:rPr>
        <w:t>strategy targeted</w:t>
      </w:r>
      <w:r w:rsidR="0048287F">
        <w:rPr>
          <w:rFonts w:eastAsia="Times New Roman"/>
          <w:sz w:val="24"/>
          <w:szCs w:val="24"/>
        </w:rPr>
        <w:t xml:space="preserve"> BoRs based in universities from all four clusters</w:t>
      </w:r>
      <w:r w:rsidR="00EF4D79">
        <w:rPr>
          <w:rFonts w:eastAsia="Times New Roman"/>
          <w:sz w:val="24"/>
          <w:szCs w:val="24"/>
        </w:rPr>
        <w:t>/tiers</w:t>
      </w:r>
      <w:r w:rsidR="0048287F">
        <w:rPr>
          <w:rFonts w:eastAsia="Times New Roman"/>
          <w:sz w:val="24"/>
          <w:szCs w:val="24"/>
        </w:rPr>
        <w:t>. Next, regarding departmental ranking, I identify departments whose ‘Overall’ REF rating</w:t>
      </w:r>
      <w:r w:rsidR="002E5B9C">
        <w:rPr>
          <w:rFonts w:eastAsia="Times New Roman"/>
          <w:sz w:val="24"/>
          <w:szCs w:val="24"/>
        </w:rPr>
        <w:t xml:space="preserve"> </w:t>
      </w:r>
      <w:r w:rsidR="00A022A5">
        <w:rPr>
          <w:rFonts w:eastAsia="Times New Roman"/>
          <w:sz w:val="24"/>
          <w:szCs w:val="24"/>
        </w:rPr>
        <w:t>was</w:t>
      </w:r>
      <w:r w:rsidR="0048287F">
        <w:rPr>
          <w:rFonts w:eastAsia="Times New Roman"/>
          <w:sz w:val="24"/>
          <w:szCs w:val="24"/>
        </w:rPr>
        <w:t xml:space="preserve"> relatively </w:t>
      </w:r>
      <w:r w:rsidR="005B7409">
        <w:rPr>
          <w:rFonts w:eastAsia="Times New Roman"/>
          <w:sz w:val="24"/>
          <w:szCs w:val="24"/>
        </w:rPr>
        <w:t>‘</w:t>
      </w:r>
      <w:r w:rsidR="0048287F">
        <w:rPr>
          <w:rFonts w:eastAsia="Times New Roman"/>
          <w:sz w:val="24"/>
          <w:szCs w:val="24"/>
        </w:rPr>
        <w:t>high</w:t>
      </w:r>
      <w:r w:rsidR="005B7409">
        <w:rPr>
          <w:rFonts w:eastAsia="Times New Roman"/>
          <w:sz w:val="24"/>
          <w:szCs w:val="24"/>
        </w:rPr>
        <w:t>’</w:t>
      </w:r>
      <w:r w:rsidR="0048287F">
        <w:rPr>
          <w:rFonts w:eastAsia="Times New Roman"/>
          <w:sz w:val="24"/>
          <w:szCs w:val="24"/>
        </w:rPr>
        <w:t xml:space="preserve">, </w:t>
      </w:r>
      <w:r w:rsidR="005B7409">
        <w:rPr>
          <w:rFonts w:eastAsia="Times New Roman"/>
          <w:sz w:val="24"/>
          <w:szCs w:val="24"/>
        </w:rPr>
        <w:t>‘</w:t>
      </w:r>
      <w:r w:rsidR="0048287F">
        <w:rPr>
          <w:rFonts w:eastAsia="Times New Roman"/>
          <w:sz w:val="24"/>
          <w:szCs w:val="24"/>
        </w:rPr>
        <w:t>middle</w:t>
      </w:r>
      <w:r w:rsidR="005B7409">
        <w:rPr>
          <w:rFonts w:eastAsia="Times New Roman"/>
          <w:sz w:val="24"/>
          <w:szCs w:val="24"/>
        </w:rPr>
        <w:t>’</w:t>
      </w:r>
      <w:r w:rsidR="0048287F">
        <w:rPr>
          <w:rFonts w:eastAsia="Times New Roman"/>
          <w:sz w:val="24"/>
          <w:szCs w:val="24"/>
        </w:rPr>
        <w:t xml:space="preserve"> and </w:t>
      </w:r>
      <w:r w:rsidR="005B7409">
        <w:rPr>
          <w:rFonts w:eastAsia="Times New Roman"/>
          <w:sz w:val="24"/>
          <w:szCs w:val="24"/>
        </w:rPr>
        <w:t>‘</w:t>
      </w:r>
      <w:r w:rsidR="0048287F">
        <w:rPr>
          <w:rFonts w:eastAsia="Times New Roman"/>
          <w:sz w:val="24"/>
          <w:szCs w:val="24"/>
        </w:rPr>
        <w:t>low</w:t>
      </w:r>
      <w:r w:rsidR="005B7409">
        <w:rPr>
          <w:rFonts w:eastAsia="Times New Roman"/>
          <w:sz w:val="24"/>
          <w:szCs w:val="24"/>
        </w:rPr>
        <w:t>’</w:t>
      </w:r>
      <w:r w:rsidR="0048287F">
        <w:rPr>
          <w:rFonts w:eastAsia="Times New Roman"/>
          <w:sz w:val="24"/>
          <w:szCs w:val="24"/>
        </w:rPr>
        <w:t xml:space="preserve"> in relation to others within </w:t>
      </w:r>
      <w:r w:rsidR="005B7409">
        <w:rPr>
          <w:rFonts w:eastAsia="Times New Roman"/>
          <w:sz w:val="24"/>
          <w:szCs w:val="24"/>
        </w:rPr>
        <w:t>the same</w:t>
      </w:r>
      <w:r w:rsidR="0048287F">
        <w:rPr>
          <w:rFonts w:eastAsia="Times New Roman"/>
          <w:sz w:val="24"/>
          <w:szCs w:val="24"/>
        </w:rPr>
        <w:t xml:space="preserve"> UoA</w:t>
      </w:r>
      <w:r w:rsidR="002E5B9C">
        <w:rPr>
          <w:rFonts w:eastAsia="Times New Roman"/>
          <w:sz w:val="24"/>
          <w:szCs w:val="24"/>
        </w:rPr>
        <w:t xml:space="preserve">. I ascertained these rankings from the Times Higher Education's </w:t>
      </w:r>
      <w:r w:rsidR="00B40D4D">
        <w:rPr>
          <w:rFonts w:eastAsia="Times New Roman"/>
          <w:sz w:val="24"/>
          <w:szCs w:val="24"/>
        </w:rPr>
        <w:fldChar w:fldCharType="begin"/>
      </w:r>
      <w:r w:rsidR="00B40D4D">
        <w:rPr>
          <w:rFonts w:eastAsia="Times New Roman"/>
          <w:sz w:val="24"/>
          <w:szCs w:val="24"/>
        </w:rPr>
        <w:instrText xml:space="preserve"> ADDIN EN.CITE &lt;EndNote&gt;&lt;Cite ExcludeAuth="1"&gt;&lt;Author&gt;Times Higher Education&lt;/Author&gt;&lt;Year&gt;2014&lt;/Year&gt;&lt;IDText&gt;Research Excellence Framework 2014: Institutions Ranked by Subject&lt;/IDText&gt;&lt;DisplayText&gt;(2014)&lt;/DisplayText&gt;&lt;record&gt;&lt;urls&gt;&lt;related-urls&gt;&lt;url&gt;https://www.timeshighereducation.com/sites/default/files/Attachments/2014/12/17/g/o/l/sub-14-01.pdf&lt;/url&gt;&lt;/related-urls&gt;&lt;/urls&gt;&lt;titles&gt;&lt;title&gt;Research Excellence Framework 2014: Institutions Ranked by Subject&lt;/title&gt;&lt;secondary-title&gt;Times Higher Education&lt;/secondary-title&gt;&lt;/titles&gt;&lt;contributors&gt;&lt;authors&gt;&lt;author&gt;Times Higher Education,&lt;/author&gt;&lt;/authors&gt;&lt;/contributors&gt;&lt;edition&gt;December 18&lt;/edition&gt;&lt;added-date format="utc"&gt;1469728541&lt;/added-date&gt;&lt;ref-type name="Magazine Article"&gt;19&lt;/ref-type&gt;&lt;dates&gt;&lt;year&gt;2014&lt;/year&gt;&lt;/dates&gt;&lt;rec-number&gt;1458&lt;/rec-number&gt;&lt;last-updated-date format="utc"&gt;1561544174&lt;/last-updated-date&gt;&lt;/record&gt;&lt;/Cite&gt;&lt;/EndNote&gt;</w:instrText>
      </w:r>
      <w:r w:rsidR="00B40D4D">
        <w:rPr>
          <w:rFonts w:eastAsia="Times New Roman"/>
          <w:sz w:val="24"/>
          <w:szCs w:val="24"/>
        </w:rPr>
        <w:fldChar w:fldCharType="separate"/>
      </w:r>
      <w:r w:rsidR="00B40D4D">
        <w:rPr>
          <w:rFonts w:eastAsia="Times New Roman"/>
          <w:noProof/>
          <w:sz w:val="24"/>
          <w:szCs w:val="24"/>
        </w:rPr>
        <w:t>(2014)</w:t>
      </w:r>
      <w:r w:rsidR="00B40D4D">
        <w:rPr>
          <w:rFonts w:eastAsia="Times New Roman"/>
          <w:sz w:val="24"/>
          <w:szCs w:val="24"/>
        </w:rPr>
        <w:fldChar w:fldCharType="end"/>
      </w:r>
      <w:r w:rsidR="00B40D4D">
        <w:rPr>
          <w:rFonts w:eastAsia="Times New Roman"/>
          <w:sz w:val="24"/>
          <w:szCs w:val="24"/>
        </w:rPr>
        <w:t xml:space="preserve"> </w:t>
      </w:r>
      <w:r w:rsidR="002E5B9C">
        <w:rPr>
          <w:rFonts w:eastAsia="Times New Roman"/>
          <w:sz w:val="24"/>
          <w:szCs w:val="24"/>
        </w:rPr>
        <w:t>publication of institutions ranked by UoA performance</w:t>
      </w:r>
      <w:r w:rsidR="00B40D4D">
        <w:rPr>
          <w:rFonts w:eastAsia="Times New Roman"/>
          <w:sz w:val="24"/>
          <w:szCs w:val="24"/>
        </w:rPr>
        <w:t>. Based on this, the submissions in my sample which I characterise as ‘High’ rank between 1</w:t>
      </w:r>
      <w:r w:rsidR="00B40D4D" w:rsidRPr="00B40D4D">
        <w:rPr>
          <w:rFonts w:eastAsia="Times New Roman"/>
          <w:sz w:val="24"/>
          <w:szCs w:val="24"/>
          <w:vertAlign w:val="superscript"/>
        </w:rPr>
        <w:t>st</w:t>
      </w:r>
      <w:r w:rsidR="00B40D4D">
        <w:rPr>
          <w:rFonts w:eastAsia="Times New Roman"/>
          <w:sz w:val="24"/>
          <w:szCs w:val="24"/>
        </w:rPr>
        <w:t xml:space="preserve"> and 6</w:t>
      </w:r>
      <w:r w:rsidR="00B40D4D" w:rsidRPr="00B40D4D">
        <w:rPr>
          <w:rFonts w:eastAsia="Times New Roman"/>
          <w:sz w:val="24"/>
          <w:szCs w:val="24"/>
          <w:vertAlign w:val="superscript"/>
        </w:rPr>
        <w:t>th</w:t>
      </w:r>
      <w:r w:rsidR="00B40D4D">
        <w:rPr>
          <w:rFonts w:eastAsia="Times New Roman"/>
          <w:sz w:val="24"/>
          <w:szCs w:val="24"/>
        </w:rPr>
        <w:t xml:space="preserve"> in their respective UoAs, while those characterised as ‘Medium’ rank between 9</w:t>
      </w:r>
      <w:r w:rsidR="00B40D4D" w:rsidRPr="00B40D4D">
        <w:rPr>
          <w:rFonts w:eastAsia="Times New Roman"/>
          <w:sz w:val="24"/>
          <w:szCs w:val="24"/>
          <w:vertAlign w:val="superscript"/>
        </w:rPr>
        <w:t>th</w:t>
      </w:r>
      <w:r w:rsidR="00B40D4D">
        <w:rPr>
          <w:rFonts w:eastAsia="Times New Roman"/>
          <w:sz w:val="24"/>
          <w:szCs w:val="24"/>
        </w:rPr>
        <w:t xml:space="preserve"> and 28</w:t>
      </w:r>
      <w:r w:rsidR="00B40D4D" w:rsidRPr="00B40D4D">
        <w:rPr>
          <w:rFonts w:eastAsia="Times New Roman"/>
          <w:sz w:val="24"/>
          <w:szCs w:val="24"/>
          <w:vertAlign w:val="superscript"/>
        </w:rPr>
        <w:t>th</w:t>
      </w:r>
      <w:r w:rsidR="00B40D4D">
        <w:rPr>
          <w:rFonts w:eastAsia="Times New Roman"/>
          <w:sz w:val="24"/>
          <w:szCs w:val="24"/>
        </w:rPr>
        <w:t>, and those as ‘Low’ from between 37</w:t>
      </w:r>
      <w:r w:rsidR="00B40D4D" w:rsidRPr="00B40D4D">
        <w:rPr>
          <w:rFonts w:eastAsia="Times New Roman"/>
          <w:sz w:val="24"/>
          <w:szCs w:val="24"/>
          <w:vertAlign w:val="superscript"/>
        </w:rPr>
        <w:t>th</w:t>
      </w:r>
      <w:r w:rsidR="00B40D4D">
        <w:rPr>
          <w:rFonts w:eastAsia="Times New Roman"/>
          <w:sz w:val="24"/>
          <w:szCs w:val="24"/>
        </w:rPr>
        <w:t xml:space="preserve"> and 40</w:t>
      </w:r>
      <w:r w:rsidR="00B40D4D" w:rsidRPr="00B40D4D">
        <w:rPr>
          <w:rFonts w:eastAsia="Times New Roman"/>
          <w:sz w:val="24"/>
          <w:szCs w:val="24"/>
          <w:vertAlign w:val="superscript"/>
        </w:rPr>
        <w:t>th</w:t>
      </w:r>
      <w:r w:rsidR="00B40D4D">
        <w:rPr>
          <w:rFonts w:eastAsia="Times New Roman"/>
          <w:sz w:val="24"/>
          <w:szCs w:val="24"/>
        </w:rPr>
        <w:t xml:space="preserve">. </w:t>
      </w:r>
    </w:p>
    <w:p w14:paraId="7974BEE0" w14:textId="2E48F063" w:rsidR="00C624BE" w:rsidRPr="00C624BE" w:rsidRDefault="00BA1221" w:rsidP="00046D95">
      <w:pPr>
        <w:spacing w:after="120" w:line="360" w:lineRule="auto"/>
        <w:rPr>
          <w:rFonts w:asciiTheme="majorBidi" w:eastAsia="Times New Roman" w:hAnsiTheme="majorBidi" w:cstheme="majorBidi"/>
          <w:sz w:val="24"/>
          <w:szCs w:val="24"/>
        </w:rPr>
      </w:pPr>
      <w:r>
        <w:rPr>
          <w:rFonts w:eastAsia="Times New Roman"/>
          <w:sz w:val="24"/>
          <w:szCs w:val="24"/>
        </w:rPr>
        <w:t xml:space="preserve">There are also two aspects to </w:t>
      </w:r>
      <w:r w:rsidRPr="00BA1221">
        <w:rPr>
          <w:rFonts w:eastAsia="Times New Roman"/>
          <w:i/>
          <w:sz w:val="24"/>
          <w:szCs w:val="24"/>
        </w:rPr>
        <w:t>epistemic context</w:t>
      </w:r>
      <w:r w:rsidR="00585F2E">
        <w:rPr>
          <w:rFonts w:eastAsia="Times New Roman"/>
          <w:sz w:val="24"/>
          <w:szCs w:val="24"/>
        </w:rPr>
        <w:t xml:space="preserve">: branch of </w:t>
      </w:r>
      <w:r w:rsidR="00AC5D21">
        <w:rPr>
          <w:rFonts w:eastAsia="Times New Roman"/>
          <w:sz w:val="24"/>
          <w:szCs w:val="24"/>
        </w:rPr>
        <w:t xml:space="preserve">science </w:t>
      </w:r>
      <w:r w:rsidR="00585F2E">
        <w:rPr>
          <w:rFonts w:eastAsia="Times New Roman"/>
          <w:sz w:val="24"/>
          <w:szCs w:val="24"/>
        </w:rPr>
        <w:t xml:space="preserve">and research “orientation” (Hughes et al., 2016, p. 30). Branch of </w:t>
      </w:r>
      <w:r w:rsidR="00AC5D21">
        <w:rPr>
          <w:rFonts w:eastAsia="Times New Roman"/>
          <w:sz w:val="24"/>
          <w:szCs w:val="24"/>
        </w:rPr>
        <w:t xml:space="preserve">science </w:t>
      </w:r>
      <w:r w:rsidR="00585F2E">
        <w:rPr>
          <w:rFonts w:eastAsia="Times New Roman"/>
          <w:sz w:val="24"/>
          <w:szCs w:val="24"/>
        </w:rPr>
        <w:t>includes the categories of Life sciences, Natural sciences and Formal sciences. Research orientation refers to whether a discipline is Basic, primarily oriented towards the</w:t>
      </w:r>
      <w:r w:rsidR="00585F2E" w:rsidRPr="418505C0">
        <w:rPr>
          <w:rFonts w:eastAsia="Times New Roman"/>
          <w:sz w:val="24"/>
          <w:szCs w:val="24"/>
        </w:rPr>
        <w:t xml:space="preserve"> advance</w:t>
      </w:r>
      <w:r w:rsidR="00585F2E">
        <w:rPr>
          <w:rFonts w:eastAsia="Times New Roman"/>
          <w:sz w:val="24"/>
          <w:szCs w:val="24"/>
        </w:rPr>
        <w:t>ment of</w:t>
      </w:r>
      <w:r w:rsidR="00585F2E" w:rsidRPr="418505C0">
        <w:rPr>
          <w:rFonts w:eastAsia="Times New Roman"/>
          <w:sz w:val="24"/>
          <w:szCs w:val="24"/>
        </w:rPr>
        <w:t xml:space="preserve"> understanding</w:t>
      </w:r>
      <w:r w:rsidR="00585F2E">
        <w:rPr>
          <w:rFonts w:eastAsia="Times New Roman"/>
          <w:sz w:val="24"/>
          <w:szCs w:val="24"/>
        </w:rPr>
        <w:t xml:space="preserve"> of phenomena, or Applied, oriented </w:t>
      </w:r>
      <w:r w:rsidR="00585F2E" w:rsidRPr="418505C0">
        <w:rPr>
          <w:rFonts w:eastAsia="Times New Roman"/>
          <w:sz w:val="24"/>
          <w:szCs w:val="24"/>
        </w:rPr>
        <w:t>primarily to</w:t>
      </w:r>
      <w:r w:rsidR="00585F2E">
        <w:rPr>
          <w:rFonts w:eastAsia="Times New Roman"/>
          <w:sz w:val="24"/>
          <w:szCs w:val="24"/>
        </w:rPr>
        <w:t>wards</w:t>
      </w:r>
      <w:r w:rsidR="00585F2E" w:rsidRPr="418505C0">
        <w:rPr>
          <w:rFonts w:eastAsia="Times New Roman"/>
          <w:sz w:val="24"/>
          <w:szCs w:val="24"/>
        </w:rPr>
        <w:t xml:space="preserve"> find</w:t>
      </w:r>
      <w:r w:rsidR="00585F2E">
        <w:rPr>
          <w:rFonts w:eastAsia="Times New Roman"/>
          <w:sz w:val="24"/>
          <w:szCs w:val="24"/>
        </w:rPr>
        <w:t>ing</w:t>
      </w:r>
      <w:r w:rsidR="00585F2E" w:rsidRPr="418505C0">
        <w:rPr>
          <w:rFonts w:eastAsia="Times New Roman"/>
          <w:sz w:val="24"/>
          <w:szCs w:val="24"/>
        </w:rPr>
        <w:t xml:space="preserve"> and test</w:t>
      </w:r>
      <w:r w:rsidR="00585F2E">
        <w:rPr>
          <w:rFonts w:eastAsia="Times New Roman"/>
          <w:sz w:val="24"/>
          <w:szCs w:val="24"/>
        </w:rPr>
        <w:t>ing</w:t>
      </w:r>
      <w:r w:rsidR="00585F2E" w:rsidRPr="418505C0">
        <w:rPr>
          <w:rFonts w:eastAsia="Times New Roman"/>
          <w:sz w:val="24"/>
          <w:szCs w:val="24"/>
        </w:rPr>
        <w:t xml:space="preserve"> novel</w:t>
      </w:r>
      <w:r w:rsidR="00585F2E">
        <w:rPr>
          <w:rFonts w:eastAsia="Times New Roman"/>
          <w:sz w:val="24"/>
          <w:szCs w:val="24"/>
        </w:rPr>
        <w:t xml:space="preserve"> applications</w:t>
      </w:r>
      <w:r w:rsidR="00585F2E" w:rsidRPr="418505C0">
        <w:rPr>
          <w:rFonts w:eastAsia="Times New Roman"/>
          <w:sz w:val="24"/>
          <w:szCs w:val="24"/>
        </w:rPr>
        <w:t xml:space="preserve"> of</w:t>
      </w:r>
      <w:r w:rsidR="00585F2E">
        <w:rPr>
          <w:rFonts w:eastAsia="Times New Roman"/>
          <w:sz w:val="24"/>
          <w:szCs w:val="24"/>
        </w:rPr>
        <w:t xml:space="preserve"> </w:t>
      </w:r>
      <w:r w:rsidR="00585F2E" w:rsidRPr="418505C0">
        <w:rPr>
          <w:rFonts w:eastAsia="Times New Roman"/>
          <w:sz w:val="24"/>
          <w:szCs w:val="24"/>
        </w:rPr>
        <w:t>knowledge</w:t>
      </w:r>
      <w:r w:rsidR="00585F2E">
        <w:rPr>
          <w:rStyle w:val="FootnoteReference"/>
          <w:rFonts w:asciiTheme="majorBidi" w:hAnsiTheme="majorBidi" w:cstheme="majorBidi"/>
          <w:sz w:val="24"/>
          <w:szCs w:val="24"/>
        </w:rPr>
        <w:footnoteReference w:id="10"/>
      </w:r>
      <w:r w:rsidR="00585F2E" w:rsidRPr="005A6D55">
        <w:rPr>
          <w:rFonts w:asciiTheme="majorBidi" w:eastAsia="Times New Roman" w:hAnsiTheme="majorBidi" w:cstheme="majorBidi"/>
          <w:sz w:val="24"/>
          <w:szCs w:val="24"/>
        </w:rPr>
        <w:t xml:space="preserve">. </w:t>
      </w:r>
      <w:r w:rsidR="00585F2E">
        <w:rPr>
          <w:rFonts w:asciiTheme="majorBidi" w:eastAsia="Times New Roman" w:hAnsiTheme="majorBidi" w:cstheme="majorBidi"/>
          <w:sz w:val="24"/>
          <w:szCs w:val="24"/>
        </w:rPr>
        <w:t xml:space="preserve">My sample includes disciplines from all branches of knowledge and from Basic and Applied disciplines. </w:t>
      </w:r>
      <w:bookmarkStart w:id="72" w:name="_sg592pjse64j" w:colFirst="0" w:colLast="0"/>
      <w:bookmarkEnd w:id="72"/>
      <w:r w:rsidR="004E54B1" w:rsidRPr="004E54B1">
        <w:rPr>
          <w:rFonts w:asciiTheme="majorBidi" w:eastAsia="Times New Roman" w:hAnsiTheme="majorBidi" w:cstheme="majorBidi"/>
          <w:sz w:val="24"/>
          <w:szCs w:val="24"/>
        </w:rPr>
        <w:fldChar w:fldCharType="begin"/>
      </w:r>
      <w:r w:rsidR="004E54B1" w:rsidRPr="004E54B1">
        <w:rPr>
          <w:rFonts w:asciiTheme="majorBidi" w:eastAsia="Times New Roman" w:hAnsiTheme="majorBidi" w:cstheme="majorBidi"/>
          <w:sz w:val="24"/>
          <w:szCs w:val="24"/>
        </w:rPr>
        <w:instrText xml:space="preserve"> REF _Ref17459968 \h </w:instrText>
      </w:r>
      <w:r w:rsidR="004E54B1">
        <w:rPr>
          <w:rFonts w:asciiTheme="majorBidi" w:eastAsia="Times New Roman" w:hAnsiTheme="majorBidi" w:cstheme="majorBidi"/>
          <w:sz w:val="24"/>
          <w:szCs w:val="24"/>
        </w:rPr>
        <w:instrText xml:space="preserve"> \* MERGEFORMAT </w:instrText>
      </w:r>
      <w:r w:rsidR="004E54B1" w:rsidRPr="004E54B1">
        <w:rPr>
          <w:rFonts w:asciiTheme="majorBidi" w:eastAsia="Times New Roman" w:hAnsiTheme="majorBidi" w:cstheme="majorBidi"/>
          <w:sz w:val="24"/>
          <w:szCs w:val="24"/>
        </w:rPr>
      </w:r>
      <w:r w:rsidR="004E54B1" w:rsidRPr="004E54B1">
        <w:rPr>
          <w:rFonts w:asciiTheme="majorBidi" w:eastAsia="Times New Roman" w:hAnsiTheme="majorBidi" w:cstheme="majorBidi"/>
          <w:sz w:val="24"/>
          <w:szCs w:val="24"/>
        </w:rPr>
        <w:fldChar w:fldCharType="separate"/>
      </w:r>
      <w:r w:rsidR="0011424E" w:rsidRPr="0011424E">
        <w:rPr>
          <w:sz w:val="24"/>
          <w:szCs w:val="24"/>
        </w:rPr>
        <w:t xml:space="preserve">Figure </w:t>
      </w:r>
      <w:r w:rsidR="0011424E" w:rsidRPr="0011424E">
        <w:rPr>
          <w:noProof/>
          <w:sz w:val="24"/>
          <w:szCs w:val="24"/>
        </w:rPr>
        <w:t>3</w:t>
      </w:r>
      <w:r w:rsidR="004E54B1" w:rsidRPr="004E54B1">
        <w:rPr>
          <w:rFonts w:asciiTheme="majorBidi" w:eastAsia="Times New Roman" w:hAnsiTheme="majorBidi" w:cstheme="majorBidi"/>
          <w:sz w:val="24"/>
          <w:szCs w:val="24"/>
        </w:rPr>
        <w:fldChar w:fldCharType="end"/>
      </w:r>
      <w:r w:rsidR="004E54B1">
        <w:rPr>
          <w:rFonts w:asciiTheme="majorBidi" w:eastAsia="Times New Roman" w:hAnsiTheme="majorBidi" w:cstheme="majorBidi"/>
          <w:sz w:val="24"/>
          <w:szCs w:val="24"/>
        </w:rPr>
        <w:t xml:space="preserve"> presents a visualisation of how the ten sampled disciplinary groupings</w:t>
      </w:r>
      <w:r w:rsidR="00B1180A">
        <w:rPr>
          <w:rFonts w:asciiTheme="majorBidi" w:eastAsia="Times New Roman" w:hAnsiTheme="majorBidi" w:cstheme="majorBidi"/>
          <w:sz w:val="24"/>
          <w:szCs w:val="24"/>
        </w:rPr>
        <w:t xml:space="preserve"> </w:t>
      </w:r>
      <w:r w:rsidR="004E54B1">
        <w:rPr>
          <w:rFonts w:asciiTheme="majorBidi" w:eastAsia="Times New Roman" w:hAnsiTheme="majorBidi" w:cstheme="majorBidi"/>
          <w:sz w:val="24"/>
          <w:szCs w:val="24"/>
        </w:rPr>
        <w:t>(UoAs) can be conceptualised in terms of their epistemic context.</w:t>
      </w:r>
    </w:p>
    <w:p w14:paraId="65828D27" w14:textId="77777777" w:rsidR="00C624BE" w:rsidRDefault="00C624BE" w:rsidP="00C624BE">
      <w:pPr>
        <w:keepNext/>
        <w:spacing w:after="120" w:line="360" w:lineRule="auto"/>
      </w:pPr>
      <w:r w:rsidRPr="00C624BE">
        <w:rPr>
          <w:noProof/>
          <w:sz w:val="24"/>
          <w:szCs w:val="24"/>
        </w:rPr>
        <w:drawing>
          <wp:inline distT="0" distB="0" distL="0" distR="0" wp14:anchorId="0593576F" wp14:editId="02172DA2">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34772F72" w14:textId="57101B29" w:rsidR="00C624BE" w:rsidRDefault="00C624BE" w:rsidP="00C624BE">
      <w:pPr>
        <w:pStyle w:val="Caption"/>
        <w:rPr>
          <w:sz w:val="24"/>
          <w:szCs w:val="24"/>
        </w:rPr>
      </w:pPr>
      <w:bookmarkStart w:id="73" w:name="_Ref17459968"/>
      <w:bookmarkStart w:id="74" w:name="_Toc31702072"/>
      <w:r>
        <w:t xml:space="preserve">Figure </w:t>
      </w:r>
      <w:r w:rsidR="00A56355">
        <w:fldChar w:fldCharType="begin"/>
      </w:r>
      <w:r w:rsidR="00A56355">
        <w:instrText xml:space="preserve"> SEQ Figure \* ARABIC </w:instrText>
      </w:r>
      <w:r w:rsidR="00A56355">
        <w:fldChar w:fldCharType="separate"/>
      </w:r>
      <w:r w:rsidR="0011424E">
        <w:rPr>
          <w:noProof/>
        </w:rPr>
        <w:t>3</w:t>
      </w:r>
      <w:r w:rsidR="00A56355">
        <w:rPr>
          <w:noProof/>
        </w:rPr>
        <w:fldChar w:fldCharType="end"/>
      </w:r>
      <w:bookmarkEnd w:id="73"/>
      <w:r>
        <w:t xml:space="preserve">. </w:t>
      </w:r>
      <w:r w:rsidRPr="00D12CE2">
        <w:t>Visualisation of epistemic categories of sampled REF2014 UoAs</w:t>
      </w:r>
      <w:bookmarkEnd w:id="74"/>
    </w:p>
    <w:p w14:paraId="2DB257D5" w14:textId="0966D5B3" w:rsidR="00082217" w:rsidRDefault="007226B8" w:rsidP="00082217">
      <w:pPr>
        <w:spacing w:after="120" w:line="360" w:lineRule="auto"/>
        <w:rPr>
          <w:rFonts w:eastAsia="Times New Roman"/>
          <w:sz w:val="24"/>
          <w:szCs w:val="24"/>
        </w:rPr>
      </w:pPr>
      <w:r w:rsidRPr="007226B8">
        <w:rPr>
          <w:sz w:val="24"/>
          <w:szCs w:val="24"/>
        </w:rPr>
        <w:fldChar w:fldCharType="begin"/>
      </w:r>
      <w:r w:rsidRPr="007226B8">
        <w:rPr>
          <w:rFonts w:eastAsia="Times New Roman"/>
          <w:sz w:val="24"/>
          <w:szCs w:val="24"/>
        </w:rPr>
        <w:instrText xml:space="preserve"> REF _Ref11615948 \h </w:instrText>
      </w:r>
      <w:r>
        <w:rPr>
          <w:sz w:val="24"/>
          <w:szCs w:val="24"/>
        </w:rPr>
        <w:instrText xml:space="preserve"> \* MERGEFORMAT </w:instrText>
      </w:r>
      <w:r w:rsidRPr="007226B8">
        <w:rPr>
          <w:sz w:val="24"/>
          <w:szCs w:val="24"/>
        </w:rPr>
      </w:r>
      <w:r w:rsidRPr="007226B8">
        <w:rPr>
          <w:sz w:val="24"/>
          <w:szCs w:val="24"/>
        </w:rPr>
        <w:fldChar w:fldCharType="separate"/>
      </w:r>
      <w:r w:rsidR="0011424E" w:rsidRPr="0011424E">
        <w:rPr>
          <w:sz w:val="24"/>
          <w:szCs w:val="24"/>
        </w:rPr>
        <w:t xml:space="preserve">Table </w:t>
      </w:r>
      <w:r w:rsidR="0011424E" w:rsidRPr="0011424E">
        <w:rPr>
          <w:noProof/>
          <w:sz w:val="24"/>
          <w:szCs w:val="24"/>
        </w:rPr>
        <w:t>3</w:t>
      </w:r>
      <w:r w:rsidRPr="007226B8">
        <w:rPr>
          <w:sz w:val="24"/>
          <w:szCs w:val="24"/>
        </w:rPr>
        <w:fldChar w:fldCharType="end"/>
      </w:r>
      <w:r w:rsidR="00865416">
        <w:t xml:space="preserve"> </w:t>
      </w:r>
      <w:r w:rsidR="00865416">
        <w:rPr>
          <w:sz w:val="24"/>
          <w:szCs w:val="24"/>
        </w:rPr>
        <w:t>details</w:t>
      </w:r>
      <w:r w:rsidR="00082217">
        <w:rPr>
          <w:rFonts w:eastAsia="Times New Roman"/>
          <w:sz w:val="24"/>
          <w:szCs w:val="24"/>
        </w:rPr>
        <w:t xml:space="preserve"> </w:t>
      </w:r>
      <w:r w:rsidR="00E54071">
        <w:rPr>
          <w:rFonts w:eastAsia="Times New Roman"/>
          <w:sz w:val="24"/>
          <w:szCs w:val="24"/>
        </w:rPr>
        <w:t>the epistemic and institutional characteristics of the ten sampled departments</w:t>
      </w:r>
      <w:r w:rsidR="00082217">
        <w:rPr>
          <w:rStyle w:val="FootnoteReference"/>
          <w:rFonts w:eastAsia="Times New Roman"/>
          <w:sz w:val="24"/>
          <w:szCs w:val="24"/>
        </w:rPr>
        <w:footnoteReference w:id="11"/>
      </w:r>
      <w:r w:rsidR="00082217" w:rsidRPr="002F7B3C">
        <w:rPr>
          <w:rFonts w:eastAsia="Times New Roman"/>
          <w:sz w:val="24"/>
          <w:szCs w:val="24"/>
        </w:rPr>
        <w:t xml:space="preserve">. The </w:t>
      </w:r>
      <w:r w:rsidR="00082217">
        <w:rPr>
          <w:rFonts w:eastAsia="Times New Roman"/>
          <w:sz w:val="24"/>
          <w:szCs w:val="24"/>
        </w:rPr>
        <w:t>bottom</w:t>
      </w:r>
      <w:r w:rsidR="00082217" w:rsidRPr="002F7B3C">
        <w:rPr>
          <w:rFonts w:eastAsia="Times New Roman"/>
          <w:sz w:val="24"/>
          <w:szCs w:val="24"/>
        </w:rPr>
        <w:t xml:space="preserve"> row shows that this sample succeeds in representing a broad </w:t>
      </w:r>
      <w:r w:rsidR="00082217">
        <w:rPr>
          <w:rFonts w:eastAsia="Times New Roman"/>
          <w:sz w:val="24"/>
          <w:szCs w:val="24"/>
        </w:rPr>
        <w:t>variation</w:t>
      </w:r>
      <w:r w:rsidR="00082217" w:rsidRPr="002F7B3C">
        <w:rPr>
          <w:rFonts w:eastAsia="Times New Roman"/>
          <w:sz w:val="24"/>
          <w:szCs w:val="24"/>
        </w:rPr>
        <w:t xml:space="preserve"> of </w:t>
      </w:r>
      <w:r w:rsidR="00776D81">
        <w:rPr>
          <w:rFonts w:eastAsia="Times New Roman"/>
          <w:sz w:val="24"/>
          <w:szCs w:val="24"/>
        </w:rPr>
        <w:t>departments</w:t>
      </w:r>
      <w:r w:rsidR="00082217">
        <w:rPr>
          <w:rFonts w:eastAsia="Times New Roman"/>
          <w:sz w:val="24"/>
          <w:szCs w:val="24"/>
        </w:rPr>
        <w:t>, as well as achieving parity in most of the parameters</w:t>
      </w:r>
      <w:r w:rsidR="00776D81">
        <w:rPr>
          <w:rFonts w:eastAsia="Times New Roman"/>
          <w:sz w:val="24"/>
          <w:szCs w:val="24"/>
        </w:rPr>
        <w:t>: t</w:t>
      </w:r>
      <w:r w:rsidR="00082217">
        <w:rPr>
          <w:rFonts w:eastAsia="Times New Roman"/>
          <w:sz w:val="24"/>
          <w:szCs w:val="24"/>
        </w:rPr>
        <w:t>he sample includes</w:t>
      </w:r>
      <w:r w:rsidR="00082217" w:rsidRPr="002F7B3C">
        <w:rPr>
          <w:rFonts w:eastAsia="Times New Roman"/>
          <w:sz w:val="24"/>
          <w:szCs w:val="24"/>
        </w:rPr>
        <w:t xml:space="preserve"> </w:t>
      </w:r>
      <w:r w:rsidR="00082217">
        <w:rPr>
          <w:rFonts w:eastAsia="Times New Roman"/>
          <w:sz w:val="24"/>
          <w:szCs w:val="24"/>
        </w:rPr>
        <w:t xml:space="preserve">a </w:t>
      </w:r>
      <w:r w:rsidR="00082217" w:rsidRPr="002F7B3C">
        <w:rPr>
          <w:rFonts w:eastAsia="Times New Roman"/>
          <w:sz w:val="24"/>
          <w:szCs w:val="24"/>
        </w:rPr>
        <w:t xml:space="preserve">minimum of one from each of Boliver’s (2015) </w:t>
      </w:r>
      <w:r w:rsidR="00082217">
        <w:rPr>
          <w:rFonts w:eastAsia="Times New Roman"/>
          <w:sz w:val="24"/>
          <w:szCs w:val="24"/>
        </w:rPr>
        <w:t xml:space="preserve">four </w:t>
      </w:r>
      <w:r w:rsidR="00B916DC">
        <w:rPr>
          <w:rFonts w:eastAsia="Times New Roman"/>
          <w:sz w:val="24"/>
          <w:szCs w:val="24"/>
        </w:rPr>
        <w:t>tier</w:t>
      </w:r>
      <w:r w:rsidR="00082217" w:rsidRPr="002F7B3C">
        <w:rPr>
          <w:rFonts w:eastAsia="Times New Roman"/>
          <w:sz w:val="24"/>
          <w:szCs w:val="24"/>
        </w:rPr>
        <w:t>s</w:t>
      </w:r>
      <w:r w:rsidR="00776D81">
        <w:rPr>
          <w:rFonts w:eastAsia="Times New Roman"/>
          <w:sz w:val="24"/>
          <w:szCs w:val="24"/>
        </w:rPr>
        <w:t>;</w:t>
      </w:r>
      <w:r w:rsidR="00082217">
        <w:rPr>
          <w:rFonts w:eastAsia="Times New Roman"/>
          <w:sz w:val="24"/>
          <w:szCs w:val="24"/>
        </w:rPr>
        <w:t xml:space="preserve"> </w:t>
      </w:r>
      <w:r w:rsidR="00082217" w:rsidRPr="002F7B3C">
        <w:rPr>
          <w:rFonts w:eastAsia="Times New Roman"/>
          <w:sz w:val="24"/>
          <w:szCs w:val="24"/>
        </w:rPr>
        <w:t xml:space="preserve">Applied and </w:t>
      </w:r>
      <w:r w:rsidR="00082217">
        <w:rPr>
          <w:rFonts w:eastAsia="Times New Roman"/>
          <w:sz w:val="24"/>
          <w:szCs w:val="24"/>
        </w:rPr>
        <w:t>B</w:t>
      </w:r>
      <w:r w:rsidR="00082217" w:rsidRPr="002F7B3C">
        <w:rPr>
          <w:rFonts w:eastAsia="Times New Roman"/>
          <w:sz w:val="24"/>
          <w:szCs w:val="24"/>
        </w:rPr>
        <w:t>asic disciplines are equally represented</w:t>
      </w:r>
      <w:r w:rsidR="00776D81">
        <w:rPr>
          <w:rFonts w:eastAsia="Times New Roman"/>
          <w:sz w:val="24"/>
          <w:szCs w:val="24"/>
        </w:rPr>
        <w:t>; each</w:t>
      </w:r>
      <w:r w:rsidR="00082217" w:rsidRPr="002F7B3C">
        <w:rPr>
          <w:rFonts w:eastAsia="Times New Roman"/>
          <w:sz w:val="24"/>
          <w:szCs w:val="24"/>
        </w:rPr>
        <w:t xml:space="preserve"> branch of science</w:t>
      </w:r>
      <w:r w:rsidR="00776D81">
        <w:rPr>
          <w:rFonts w:eastAsia="Times New Roman"/>
          <w:sz w:val="24"/>
          <w:szCs w:val="24"/>
        </w:rPr>
        <w:t xml:space="preserve"> is equally represented; </w:t>
      </w:r>
      <w:r w:rsidR="00082217">
        <w:rPr>
          <w:rFonts w:eastAsia="Times New Roman"/>
          <w:sz w:val="24"/>
          <w:szCs w:val="24"/>
        </w:rPr>
        <w:t xml:space="preserve">Medium-rated departments are slightly more represented than </w:t>
      </w:r>
      <w:r w:rsidR="00082217" w:rsidRPr="002F7B3C">
        <w:rPr>
          <w:rFonts w:eastAsia="Times New Roman"/>
          <w:sz w:val="24"/>
          <w:szCs w:val="24"/>
        </w:rPr>
        <w:t>High-rated</w:t>
      </w:r>
      <w:r w:rsidR="00082217">
        <w:rPr>
          <w:rFonts w:eastAsia="Times New Roman"/>
          <w:sz w:val="24"/>
          <w:szCs w:val="24"/>
        </w:rPr>
        <w:t xml:space="preserve"> and Low-rated</w:t>
      </w:r>
      <w:r w:rsidR="00082217" w:rsidRPr="002F7B3C">
        <w:rPr>
          <w:rFonts w:eastAsia="Times New Roman"/>
          <w:sz w:val="24"/>
          <w:szCs w:val="24"/>
        </w:rPr>
        <w:t xml:space="preserve"> </w:t>
      </w:r>
      <w:r w:rsidR="00082217">
        <w:rPr>
          <w:rFonts w:eastAsia="Times New Roman"/>
          <w:sz w:val="24"/>
          <w:szCs w:val="24"/>
        </w:rPr>
        <w:t xml:space="preserve">departments. </w:t>
      </w:r>
      <w:r w:rsidR="00040916">
        <w:rPr>
          <w:rFonts w:eastAsia="Times New Roman"/>
          <w:sz w:val="24"/>
          <w:szCs w:val="24"/>
        </w:rPr>
        <w:t>The ten REF submissions presented in</w:t>
      </w:r>
      <w:r w:rsidR="00040916" w:rsidRPr="00614414">
        <w:rPr>
          <w:rFonts w:eastAsia="Times New Roman"/>
          <w:sz w:val="24"/>
          <w:szCs w:val="24"/>
        </w:rPr>
        <w:t xml:space="preserve"> </w:t>
      </w:r>
      <w:r w:rsidR="00040916" w:rsidRPr="00614414">
        <w:rPr>
          <w:rFonts w:eastAsia="Times New Roman"/>
          <w:sz w:val="24"/>
          <w:szCs w:val="24"/>
        </w:rPr>
        <w:fldChar w:fldCharType="begin"/>
      </w:r>
      <w:r w:rsidR="00040916" w:rsidRPr="00614414">
        <w:rPr>
          <w:rFonts w:eastAsia="Times New Roman"/>
          <w:sz w:val="24"/>
          <w:szCs w:val="24"/>
        </w:rPr>
        <w:instrText xml:space="preserve"> REF _Ref11615948 \h </w:instrText>
      </w:r>
      <w:r w:rsidR="00040916">
        <w:rPr>
          <w:rFonts w:eastAsia="Times New Roman"/>
          <w:sz w:val="24"/>
          <w:szCs w:val="24"/>
        </w:rPr>
        <w:instrText xml:space="preserve"> \* MERGEFORMAT </w:instrText>
      </w:r>
      <w:r w:rsidR="00040916" w:rsidRPr="00614414">
        <w:rPr>
          <w:rFonts w:eastAsia="Times New Roman"/>
          <w:sz w:val="24"/>
          <w:szCs w:val="24"/>
        </w:rPr>
      </w:r>
      <w:r w:rsidR="00040916" w:rsidRPr="00614414">
        <w:rPr>
          <w:rFonts w:eastAsia="Times New Roman"/>
          <w:sz w:val="24"/>
          <w:szCs w:val="24"/>
        </w:rPr>
        <w:fldChar w:fldCharType="separate"/>
      </w:r>
      <w:r w:rsidR="0011424E" w:rsidRPr="0011424E">
        <w:rPr>
          <w:sz w:val="24"/>
          <w:szCs w:val="24"/>
        </w:rPr>
        <w:t xml:space="preserve">Table </w:t>
      </w:r>
      <w:r w:rsidR="0011424E" w:rsidRPr="0011424E">
        <w:rPr>
          <w:noProof/>
          <w:sz w:val="24"/>
          <w:szCs w:val="24"/>
        </w:rPr>
        <w:t>3</w:t>
      </w:r>
      <w:r w:rsidR="00040916" w:rsidRPr="00614414">
        <w:rPr>
          <w:rFonts w:eastAsia="Times New Roman"/>
          <w:sz w:val="24"/>
          <w:szCs w:val="24"/>
        </w:rPr>
        <w:fldChar w:fldCharType="end"/>
      </w:r>
      <w:r w:rsidR="00040916">
        <w:rPr>
          <w:rFonts w:eastAsia="Times New Roman"/>
          <w:sz w:val="24"/>
          <w:szCs w:val="24"/>
        </w:rPr>
        <w:t xml:space="preserve"> produce 51 Impact Case Studies to REF2014. I selected half (26) of these for analysis. However, on inspecting these 26 Impact Case Studies, it became apparent that there were some cases where departments had submitted more than one Impact Case Study based on the same underpinning research. I collated those Impact Case Studies. This resulted in a final sample of n=19 (rather than 26) distinct underpinning bodies of research (BoRs) on which I conducted my main analytical procedures, discussed in the rest of this chapter. Appendix B provides further methodological details, including of the sampling strategy. </w:t>
      </w:r>
    </w:p>
    <w:tbl>
      <w:tblPr>
        <w:tblpPr w:leftFromText="180" w:rightFromText="180" w:vertAnchor="text" w:horzAnchor="margin" w:tblpY="-23"/>
        <w:tblW w:w="8274" w:type="dxa"/>
        <w:tblLook w:val="04A0" w:firstRow="1" w:lastRow="0" w:firstColumn="1" w:lastColumn="0" w:noHBand="0" w:noVBand="1"/>
      </w:tblPr>
      <w:tblGrid>
        <w:gridCol w:w="2825"/>
        <w:gridCol w:w="1701"/>
        <w:gridCol w:w="1146"/>
        <w:gridCol w:w="1276"/>
        <w:gridCol w:w="1326"/>
      </w:tblGrid>
      <w:tr w:rsidR="000C4398" w:rsidRPr="002F7B3C" w14:paraId="47667D67" w14:textId="77777777" w:rsidTr="0017539B">
        <w:trPr>
          <w:trHeight w:val="320"/>
        </w:trPr>
        <w:tc>
          <w:tcPr>
            <w:tcW w:w="2825" w:type="dxa"/>
            <w:vMerge w:val="restart"/>
            <w:tcBorders>
              <w:top w:val="single" w:sz="8" w:space="0" w:color="auto"/>
              <w:left w:val="single" w:sz="8" w:space="0" w:color="auto"/>
              <w:right w:val="single" w:sz="8" w:space="0" w:color="auto"/>
            </w:tcBorders>
            <w:shd w:val="clear" w:color="auto" w:fill="auto"/>
            <w:noWrap/>
            <w:vAlign w:val="center"/>
          </w:tcPr>
          <w:p w14:paraId="54383C9F" w14:textId="77777777" w:rsidR="000C4398" w:rsidRPr="00D964B6" w:rsidRDefault="000C4398" w:rsidP="0017539B">
            <w:pPr>
              <w:spacing w:after="0" w:line="240" w:lineRule="auto"/>
              <w:jc w:val="center"/>
              <w:rPr>
                <w:rFonts w:eastAsia="Times New Roman"/>
                <w:b/>
                <w:bCs/>
                <w:i/>
              </w:rPr>
            </w:pPr>
            <w:r>
              <w:rPr>
                <w:rFonts w:eastAsia="Times New Roman"/>
                <w:b/>
                <w:bCs/>
                <w:i/>
              </w:rPr>
              <w:t xml:space="preserve">REF2014 </w:t>
            </w:r>
            <w:r w:rsidRPr="007D78A5">
              <w:rPr>
                <w:rFonts w:eastAsia="Times New Roman"/>
                <w:b/>
                <w:bCs/>
              </w:rPr>
              <w:t>U</w:t>
            </w:r>
            <w:r>
              <w:rPr>
                <w:rFonts w:eastAsia="Times New Roman"/>
                <w:b/>
                <w:bCs/>
              </w:rPr>
              <w:t>nit of Assessment (UoA)</w:t>
            </w:r>
          </w:p>
        </w:tc>
        <w:tc>
          <w:tcPr>
            <w:tcW w:w="2847" w:type="dxa"/>
            <w:gridSpan w:val="2"/>
            <w:tcBorders>
              <w:top w:val="single" w:sz="8" w:space="0" w:color="auto"/>
              <w:left w:val="nil"/>
              <w:bottom w:val="single" w:sz="8" w:space="0" w:color="auto"/>
              <w:right w:val="single" w:sz="4" w:space="0" w:color="auto"/>
            </w:tcBorders>
            <w:shd w:val="clear" w:color="auto" w:fill="auto"/>
            <w:noWrap/>
            <w:vAlign w:val="center"/>
          </w:tcPr>
          <w:p w14:paraId="0C7A8585" w14:textId="77777777" w:rsidR="000C4398" w:rsidRPr="007D78A5" w:rsidRDefault="000C4398" w:rsidP="0017539B">
            <w:pPr>
              <w:spacing w:after="0" w:line="240" w:lineRule="auto"/>
              <w:jc w:val="center"/>
              <w:rPr>
                <w:rFonts w:eastAsia="Times New Roman"/>
                <w:b/>
                <w:bCs/>
              </w:rPr>
            </w:pPr>
            <w:r>
              <w:rPr>
                <w:rFonts w:eastAsia="Times New Roman"/>
                <w:b/>
                <w:bCs/>
              </w:rPr>
              <w:t>Institutional context</w:t>
            </w:r>
          </w:p>
        </w:tc>
        <w:tc>
          <w:tcPr>
            <w:tcW w:w="26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60E60E" w14:textId="77777777" w:rsidR="000C4398" w:rsidRPr="007D78A5" w:rsidRDefault="000C4398" w:rsidP="0017539B">
            <w:pPr>
              <w:spacing w:after="0" w:line="240" w:lineRule="auto"/>
              <w:jc w:val="center"/>
              <w:rPr>
                <w:rFonts w:eastAsia="Times New Roman"/>
                <w:b/>
                <w:bCs/>
              </w:rPr>
            </w:pPr>
            <w:r>
              <w:rPr>
                <w:rFonts w:eastAsia="Times New Roman"/>
                <w:b/>
                <w:bCs/>
              </w:rPr>
              <w:t>Epistemic context</w:t>
            </w:r>
          </w:p>
        </w:tc>
      </w:tr>
      <w:tr w:rsidR="000C4398" w:rsidRPr="002F7B3C" w14:paraId="2BE7E822" w14:textId="77777777" w:rsidTr="0017539B">
        <w:trPr>
          <w:trHeight w:val="320"/>
        </w:trPr>
        <w:tc>
          <w:tcPr>
            <w:tcW w:w="2825" w:type="dxa"/>
            <w:vMerge/>
            <w:tcBorders>
              <w:left w:val="single" w:sz="8" w:space="0" w:color="auto"/>
              <w:bottom w:val="single" w:sz="8" w:space="0" w:color="auto"/>
              <w:right w:val="single" w:sz="8" w:space="0" w:color="auto"/>
            </w:tcBorders>
            <w:shd w:val="clear" w:color="auto" w:fill="auto"/>
            <w:noWrap/>
            <w:vAlign w:val="center"/>
            <w:hideMark/>
          </w:tcPr>
          <w:p w14:paraId="41E5BBD9" w14:textId="77777777" w:rsidR="000C4398" w:rsidRPr="007D78A5" w:rsidRDefault="000C4398" w:rsidP="0017539B">
            <w:pPr>
              <w:spacing w:after="0" w:line="240" w:lineRule="auto"/>
              <w:jc w:val="center"/>
              <w:rPr>
                <w:rFonts w:eastAsia="Times New Roman"/>
                <w:b/>
                <w:bCs/>
              </w:rPr>
            </w:pP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25644F19" w14:textId="77777777" w:rsidR="000C4398" w:rsidRPr="007D78A5" w:rsidRDefault="000C4398" w:rsidP="0017539B">
            <w:pPr>
              <w:spacing w:after="0" w:line="240" w:lineRule="auto"/>
              <w:jc w:val="center"/>
              <w:rPr>
                <w:rFonts w:eastAsia="Times New Roman"/>
                <w:b/>
                <w:bCs/>
              </w:rPr>
            </w:pPr>
            <w:r>
              <w:rPr>
                <w:rFonts w:eastAsia="Times New Roman"/>
                <w:b/>
                <w:bCs/>
              </w:rPr>
              <w:t>Institutional status</w:t>
            </w:r>
            <w:r w:rsidRPr="007D78A5">
              <w:rPr>
                <w:rFonts w:eastAsia="Times New Roman"/>
                <w:b/>
                <w:bCs/>
              </w:rPr>
              <w:t xml:space="preserve"> </w:t>
            </w:r>
          </w:p>
        </w:tc>
        <w:tc>
          <w:tcPr>
            <w:tcW w:w="1146" w:type="dxa"/>
            <w:tcBorders>
              <w:top w:val="single" w:sz="4" w:space="0" w:color="auto"/>
              <w:left w:val="single" w:sz="4" w:space="0" w:color="auto"/>
              <w:bottom w:val="single" w:sz="4" w:space="0" w:color="auto"/>
              <w:right w:val="single" w:sz="4" w:space="0" w:color="auto"/>
            </w:tcBorders>
            <w:vAlign w:val="center"/>
          </w:tcPr>
          <w:p w14:paraId="143B2EB4" w14:textId="77777777" w:rsidR="000C4398" w:rsidRPr="007D78A5" w:rsidRDefault="000C4398" w:rsidP="0017539B">
            <w:pPr>
              <w:spacing w:after="0" w:line="240" w:lineRule="auto"/>
              <w:jc w:val="center"/>
              <w:rPr>
                <w:rFonts w:eastAsia="Times New Roman"/>
                <w:b/>
                <w:bCs/>
              </w:rPr>
            </w:pPr>
            <w:r w:rsidRPr="007D78A5">
              <w:rPr>
                <w:rFonts w:eastAsia="Times New Roman"/>
                <w:b/>
                <w:bCs/>
              </w:rPr>
              <w:t xml:space="preserve">Department </w:t>
            </w:r>
            <w:r>
              <w:rPr>
                <w:rFonts w:eastAsia="Times New Roman"/>
                <w:b/>
                <w:bCs/>
              </w:rPr>
              <w:t>REF r</w:t>
            </w:r>
            <w:r w:rsidRPr="007D78A5">
              <w:rPr>
                <w:rFonts w:eastAsia="Times New Roman"/>
                <w:b/>
                <w:bCs/>
              </w:rPr>
              <w:t>ating</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B60D8" w14:textId="77777777" w:rsidR="000C4398" w:rsidRPr="007D78A5" w:rsidRDefault="000C4398" w:rsidP="0017539B">
            <w:pPr>
              <w:spacing w:after="0" w:line="240" w:lineRule="auto"/>
              <w:jc w:val="center"/>
              <w:rPr>
                <w:rFonts w:eastAsia="Times New Roman"/>
                <w:b/>
                <w:bCs/>
              </w:rPr>
            </w:pPr>
            <w:r w:rsidRPr="007D78A5">
              <w:rPr>
                <w:rFonts w:eastAsia="Times New Roman"/>
                <w:b/>
                <w:bCs/>
              </w:rPr>
              <w:t xml:space="preserve">Research </w:t>
            </w:r>
            <w:r>
              <w:rPr>
                <w:rFonts w:eastAsia="Times New Roman"/>
                <w:b/>
                <w:bCs/>
              </w:rPr>
              <w:t>o</w:t>
            </w:r>
            <w:r w:rsidRPr="007D78A5">
              <w:rPr>
                <w:rFonts w:eastAsia="Times New Roman"/>
                <w:b/>
                <w:bCs/>
              </w:rPr>
              <w:t>rientation</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F13D0" w14:textId="77777777" w:rsidR="000C4398" w:rsidRPr="007D78A5" w:rsidRDefault="000C4398" w:rsidP="0017539B">
            <w:pPr>
              <w:spacing w:after="0" w:line="240" w:lineRule="auto"/>
              <w:jc w:val="center"/>
              <w:rPr>
                <w:rFonts w:eastAsia="Times New Roman"/>
                <w:b/>
                <w:bCs/>
              </w:rPr>
            </w:pPr>
            <w:r w:rsidRPr="007D78A5">
              <w:rPr>
                <w:rFonts w:eastAsia="Times New Roman"/>
                <w:b/>
                <w:bCs/>
              </w:rPr>
              <w:t xml:space="preserve">Branch of </w:t>
            </w:r>
            <w:r>
              <w:rPr>
                <w:rFonts w:eastAsia="Times New Roman"/>
                <w:b/>
                <w:bCs/>
              </w:rPr>
              <w:t>s</w:t>
            </w:r>
            <w:r w:rsidRPr="007D78A5">
              <w:rPr>
                <w:rFonts w:eastAsia="Times New Roman"/>
                <w:b/>
                <w:bCs/>
              </w:rPr>
              <w:t>cience</w:t>
            </w:r>
          </w:p>
        </w:tc>
      </w:tr>
      <w:tr w:rsidR="000C4398" w:rsidRPr="002F7B3C" w14:paraId="63710580" w14:textId="77777777" w:rsidTr="0017539B">
        <w:trPr>
          <w:trHeight w:val="320"/>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7AC12475" w14:textId="77777777" w:rsidR="000C4398" w:rsidRPr="007D78A5" w:rsidRDefault="000C4398" w:rsidP="0017539B">
            <w:pPr>
              <w:spacing w:after="0" w:line="240" w:lineRule="auto"/>
              <w:jc w:val="center"/>
              <w:rPr>
                <w:rFonts w:eastAsia="Times New Roman"/>
              </w:rPr>
            </w:pPr>
            <w:r w:rsidRPr="007D78A5">
              <w:rPr>
                <w:rFonts w:eastAsia="Times New Roman"/>
              </w:rPr>
              <w:t>1</w:t>
            </w:r>
            <w:r>
              <w:rPr>
                <w:rFonts w:eastAsia="Times New Roman"/>
              </w:rPr>
              <w:t xml:space="preserve"> (Clinical Medicine)</w:t>
            </w:r>
          </w:p>
        </w:tc>
        <w:tc>
          <w:tcPr>
            <w:tcW w:w="1701" w:type="dxa"/>
            <w:tcBorders>
              <w:top w:val="nil"/>
              <w:left w:val="nil"/>
              <w:bottom w:val="single" w:sz="8" w:space="0" w:color="auto"/>
              <w:right w:val="single" w:sz="4" w:space="0" w:color="auto"/>
            </w:tcBorders>
            <w:shd w:val="clear" w:color="auto" w:fill="auto"/>
            <w:noWrap/>
            <w:vAlign w:val="center"/>
            <w:hideMark/>
          </w:tcPr>
          <w:p w14:paraId="5EA0A0FA"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2</w:t>
            </w:r>
          </w:p>
        </w:tc>
        <w:tc>
          <w:tcPr>
            <w:tcW w:w="1146" w:type="dxa"/>
            <w:tcBorders>
              <w:top w:val="single" w:sz="4" w:space="0" w:color="auto"/>
              <w:left w:val="single" w:sz="4" w:space="0" w:color="auto"/>
              <w:bottom w:val="single" w:sz="4" w:space="0" w:color="auto"/>
              <w:right w:val="single" w:sz="4" w:space="0" w:color="auto"/>
            </w:tcBorders>
            <w:vAlign w:val="center"/>
          </w:tcPr>
          <w:p w14:paraId="534C760E" w14:textId="77777777" w:rsidR="000C4398" w:rsidRPr="007D78A5" w:rsidRDefault="000C4398" w:rsidP="0017539B">
            <w:pPr>
              <w:spacing w:after="0" w:line="240" w:lineRule="auto"/>
              <w:jc w:val="center"/>
              <w:rPr>
                <w:rFonts w:eastAsia="Times New Roman"/>
              </w:rPr>
            </w:pPr>
            <w:r w:rsidRPr="007D78A5">
              <w:rPr>
                <w:rFonts w:eastAsia="Times New Roman"/>
              </w:rPr>
              <w:t>Medium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9CBC1" w14:textId="77777777" w:rsidR="000C4398" w:rsidRPr="007D78A5" w:rsidRDefault="000C4398" w:rsidP="0017539B">
            <w:pPr>
              <w:spacing w:after="0" w:line="240" w:lineRule="auto"/>
              <w:jc w:val="center"/>
              <w:rPr>
                <w:rFonts w:eastAsia="Times New Roman"/>
              </w:rPr>
            </w:pPr>
            <w:r w:rsidRPr="007D78A5">
              <w:rPr>
                <w:rFonts w:eastAsia="Times New Roman"/>
              </w:rPr>
              <w:t>Applied</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A8EB2" w14:textId="77777777" w:rsidR="000C4398" w:rsidRPr="007D78A5" w:rsidRDefault="000C4398" w:rsidP="0017539B">
            <w:pPr>
              <w:spacing w:after="0" w:line="240" w:lineRule="auto"/>
              <w:jc w:val="center"/>
              <w:rPr>
                <w:rFonts w:eastAsia="Times New Roman"/>
              </w:rPr>
            </w:pPr>
            <w:r w:rsidRPr="007D78A5">
              <w:rPr>
                <w:rFonts w:eastAsia="Times New Roman"/>
              </w:rPr>
              <w:t>Life</w:t>
            </w:r>
          </w:p>
        </w:tc>
      </w:tr>
      <w:tr w:rsidR="000C4398" w:rsidRPr="002F7B3C" w14:paraId="089B2DDD" w14:textId="77777777" w:rsidTr="0017539B">
        <w:trPr>
          <w:trHeight w:val="320"/>
        </w:trPr>
        <w:tc>
          <w:tcPr>
            <w:tcW w:w="282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01ECDA3E" w14:textId="77777777" w:rsidR="000C4398" w:rsidRPr="007D78A5" w:rsidRDefault="000C4398" w:rsidP="0017539B">
            <w:pPr>
              <w:spacing w:after="0" w:line="240" w:lineRule="auto"/>
              <w:jc w:val="center"/>
              <w:rPr>
                <w:rFonts w:eastAsia="Times New Roman"/>
              </w:rPr>
            </w:pPr>
            <w:r w:rsidRPr="007D78A5">
              <w:rPr>
                <w:rFonts w:eastAsia="Times New Roman"/>
              </w:rPr>
              <w:t>4</w:t>
            </w:r>
            <w:r>
              <w:rPr>
                <w:rFonts w:eastAsia="Times New Roman"/>
              </w:rPr>
              <w:t xml:space="preserve"> (Psychology, Psychiatry &amp; Neuroscience)</w:t>
            </w:r>
          </w:p>
        </w:tc>
        <w:tc>
          <w:tcPr>
            <w:tcW w:w="1701" w:type="dxa"/>
            <w:tcBorders>
              <w:top w:val="nil"/>
              <w:left w:val="nil"/>
              <w:bottom w:val="single" w:sz="8" w:space="0" w:color="auto"/>
              <w:right w:val="single" w:sz="4" w:space="0" w:color="auto"/>
            </w:tcBorders>
            <w:shd w:val="clear" w:color="auto" w:fill="BFBFBF" w:themeFill="background1" w:themeFillShade="BF"/>
            <w:noWrap/>
            <w:vAlign w:val="center"/>
            <w:hideMark/>
          </w:tcPr>
          <w:p w14:paraId="767D2EB9"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4</w:t>
            </w:r>
          </w:p>
        </w:tc>
        <w:tc>
          <w:tcPr>
            <w:tcW w:w="1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7663E0" w14:textId="77777777" w:rsidR="000C4398" w:rsidRPr="007D78A5" w:rsidRDefault="000C4398" w:rsidP="0017539B">
            <w:pPr>
              <w:spacing w:after="0" w:line="240" w:lineRule="auto"/>
              <w:jc w:val="center"/>
              <w:rPr>
                <w:rFonts w:eastAsia="Times New Roman"/>
              </w:rPr>
            </w:pPr>
            <w:r w:rsidRPr="007D78A5">
              <w:rPr>
                <w:rFonts w:eastAsia="Times New Roman"/>
              </w:rPr>
              <w:t>Low</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7E24BBC" w14:textId="77777777" w:rsidR="000C4398" w:rsidRPr="007D78A5" w:rsidRDefault="000C4398" w:rsidP="0017539B">
            <w:pPr>
              <w:spacing w:after="0" w:line="240" w:lineRule="auto"/>
              <w:jc w:val="center"/>
              <w:rPr>
                <w:rFonts w:eastAsia="Times New Roman"/>
              </w:rPr>
            </w:pPr>
            <w:r w:rsidRPr="007D78A5">
              <w:rPr>
                <w:rFonts w:eastAsia="Times New Roman"/>
              </w:rPr>
              <w:t>Basic/Applied</w:t>
            </w:r>
          </w:p>
        </w:tc>
        <w:tc>
          <w:tcPr>
            <w:tcW w:w="13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F805073" w14:textId="77777777" w:rsidR="000C4398" w:rsidRPr="007D78A5" w:rsidRDefault="000C4398" w:rsidP="0017539B">
            <w:pPr>
              <w:spacing w:after="0" w:line="240" w:lineRule="auto"/>
              <w:jc w:val="center"/>
              <w:rPr>
                <w:rFonts w:eastAsia="Times New Roman"/>
              </w:rPr>
            </w:pPr>
            <w:r w:rsidRPr="007D78A5">
              <w:rPr>
                <w:rFonts w:eastAsia="Times New Roman"/>
              </w:rPr>
              <w:t>Life</w:t>
            </w:r>
          </w:p>
        </w:tc>
      </w:tr>
      <w:tr w:rsidR="000C4398" w:rsidRPr="002F7B3C" w14:paraId="678AA5AA" w14:textId="77777777" w:rsidTr="0017539B">
        <w:trPr>
          <w:trHeight w:val="320"/>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443B21D8" w14:textId="77777777" w:rsidR="000C4398" w:rsidRPr="007D78A5" w:rsidRDefault="000C4398" w:rsidP="0017539B">
            <w:pPr>
              <w:spacing w:after="0" w:line="240" w:lineRule="auto"/>
              <w:jc w:val="center"/>
              <w:rPr>
                <w:rFonts w:eastAsia="Times New Roman"/>
              </w:rPr>
            </w:pPr>
            <w:r w:rsidRPr="007D78A5">
              <w:rPr>
                <w:rFonts w:eastAsia="Times New Roman"/>
              </w:rPr>
              <w:t>5</w:t>
            </w:r>
            <w:r>
              <w:rPr>
                <w:rFonts w:eastAsia="Times New Roman"/>
              </w:rPr>
              <w:t xml:space="preserve"> (Biology)</w:t>
            </w:r>
          </w:p>
        </w:tc>
        <w:tc>
          <w:tcPr>
            <w:tcW w:w="1701" w:type="dxa"/>
            <w:tcBorders>
              <w:top w:val="nil"/>
              <w:left w:val="nil"/>
              <w:bottom w:val="single" w:sz="8" w:space="0" w:color="auto"/>
              <w:right w:val="single" w:sz="4" w:space="0" w:color="auto"/>
            </w:tcBorders>
            <w:shd w:val="clear" w:color="auto" w:fill="auto"/>
            <w:noWrap/>
            <w:vAlign w:val="center"/>
            <w:hideMark/>
          </w:tcPr>
          <w:p w14:paraId="2B8E3BE7"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2</w:t>
            </w:r>
          </w:p>
        </w:tc>
        <w:tc>
          <w:tcPr>
            <w:tcW w:w="1146" w:type="dxa"/>
            <w:tcBorders>
              <w:top w:val="single" w:sz="4" w:space="0" w:color="auto"/>
              <w:left w:val="single" w:sz="4" w:space="0" w:color="auto"/>
              <w:bottom w:val="single" w:sz="4" w:space="0" w:color="auto"/>
              <w:right w:val="single" w:sz="4" w:space="0" w:color="auto"/>
            </w:tcBorders>
            <w:vAlign w:val="center"/>
          </w:tcPr>
          <w:p w14:paraId="0A9CDDFE" w14:textId="77777777" w:rsidR="000C4398" w:rsidRPr="007D78A5" w:rsidRDefault="000C4398" w:rsidP="0017539B">
            <w:pPr>
              <w:spacing w:after="0" w:line="240" w:lineRule="auto"/>
              <w:jc w:val="center"/>
              <w:rPr>
                <w:rFonts w:eastAsia="Times New Roman"/>
              </w:rPr>
            </w:pPr>
            <w:r w:rsidRPr="007D78A5">
              <w:rPr>
                <w:rFonts w:eastAsia="Times New Roman"/>
              </w:rPr>
              <w:t>Medium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D2148" w14:textId="77777777" w:rsidR="000C4398" w:rsidRPr="007D78A5" w:rsidRDefault="000C4398" w:rsidP="0017539B">
            <w:pPr>
              <w:spacing w:after="0" w:line="240" w:lineRule="auto"/>
              <w:jc w:val="center"/>
              <w:rPr>
                <w:rFonts w:eastAsia="Times New Roman"/>
              </w:rPr>
            </w:pPr>
            <w:r w:rsidRPr="007D78A5">
              <w:rPr>
                <w:rFonts w:eastAsia="Times New Roman"/>
              </w:rPr>
              <w:t>Basic</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28FFD" w14:textId="77777777" w:rsidR="000C4398" w:rsidRPr="007D78A5" w:rsidRDefault="000C4398" w:rsidP="0017539B">
            <w:pPr>
              <w:spacing w:after="0" w:line="240" w:lineRule="auto"/>
              <w:jc w:val="center"/>
              <w:rPr>
                <w:rFonts w:eastAsia="Times New Roman"/>
              </w:rPr>
            </w:pPr>
            <w:r w:rsidRPr="007D78A5">
              <w:rPr>
                <w:rFonts w:eastAsia="Times New Roman"/>
              </w:rPr>
              <w:t>Life</w:t>
            </w:r>
          </w:p>
        </w:tc>
      </w:tr>
      <w:tr w:rsidR="000C4398" w:rsidRPr="002F7B3C" w14:paraId="50229DA6" w14:textId="77777777" w:rsidTr="0017539B">
        <w:trPr>
          <w:trHeight w:val="305"/>
        </w:trPr>
        <w:tc>
          <w:tcPr>
            <w:tcW w:w="282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4D0252E8" w14:textId="77777777" w:rsidR="000C4398" w:rsidRPr="007D78A5" w:rsidRDefault="000C4398" w:rsidP="0017539B">
            <w:pPr>
              <w:spacing w:after="0" w:line="240" w:lineRule="auto"/>
              <w:jc w:val="center"/>
              <w:rPr>
                <w:rFonts w:eastAsia="Times New Roman"/>
              </w:rPr>
            </w:pPr>
            <w:r w:rsidRPr="007D78A5">
              <w:rPr>
                <w:rFonts w:eastAsia="Times New Roman"/>
              </w:rPr>
              <w:t>7</w:t>
            </w:r>
            <w:r>
              <w:rPr>
                <w:rFonts w:eastAsia="Times New Roman"/>
              </w:rPr>
              <w:t xml:space="preserve"> (Earth Systems and Environmental Science)</w:t>
            </w:r>
          </w:p>
        </w:tc>
        <w:tc>
          <w:tcPr>
            <w:tcW w:w="1701"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6D337A8D"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3</w:t>
            </w:r>
          </w:p>
        </w:tc>
        <w:tc>
          <w:tcPr>
            <w:tcW w:w="1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F15F1E" w14:textId="77777777" w:rsidR="000C4398" w:rsidRPr="007D78A5" w:rsidRDefault="000C4398" w:rsidP="0017539B">
            <w:pPr>
              <w:spacing w:after="0" w:line="240" w:lineRule="auto"/>
              <w:jc w:val="center"/>
              <w:rPr>
                <w:rFonts w:eastAsia="Times New Roman"/>
              </w:rPr>
            </w:pPr>
            <w:r w:rsidRPr="007D78A5">
              <w:rPr>
                <w:rFonts w:eastAsia="Times New Roman"/>
              </w:rPr>
              <w:t>Low</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8DAF151" w14:textId="77777777" w:rsidR="000C4398" w:rsidRPr="007D78A5" w:rsidRDefault="000C4398" w:rsidP="0017539B">
            <w:pPr>
              <w:spacing w:after="0" w:line="240" w:lineRule="auto"/>
              <w:jc w:val="center"/>
              <w:rPr>
                <w:rFonts w:eastAsia="Times New Roman"/>
              </w:rPr>
            </w:pPr>
            <w:r w:rsidRPr="007D78A5">
              <w:rPr>
                <w:rFonts w:eastAsia="Times New Roman"/>
              </w:rPr>
              <w:t>Basic/Applied</w:t>
            </w:r>
          </w:p>
        </w:tc>
        <w:tc>
          <w:tcPr>
            <w:tcW w:w="13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2688E2A" w14:textId="77777777" w:rsidR="000C4398" w:rsidRPr="007D78A5" w:rsidRDefault="000C4398" w:rsidP="0017539B">
            <w:pPr>
              <w:spacing w:after="0" w:line="240" w:lineRule="auto"/>
              <w:jc w:val="center"/>
              <w:rPr>
                <w:rFonts w:eastAsia="Times New Roman"/>
              </w:rPr>
            </w:pPr>
            <w:r w:rsidRPr="007D78A5">
              <w:rPr>
                <w:rFonts w:eastAsia="Times New Roman"/>
              </w:rPr>
              <w:t>Life/Natural</w:t>
            </w:r>
          </w:p>
        </w:tc>
      </w:tr>
      <w:tr w:rsidR="000C4398" w:rsidRPr="002F7B3C" w14:paraId="645DA0FC" w14:textId="77777777" w:rsidTr="0017539B">
        <w:trPr>
          <w:trHeight w:val="320"/>
        </w:trPr>
        <w:tc>
          <w:tcPr>
            <w:tcW w:w="282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B06D294" w14:textId="77777777" w:rsidR="000C4398" w:rsidRPr="007D78A5" w:rsidRDefault="000C4398" w:rsidP="0017539B">
            <w:pPr>
              <w:spacing w:after="0" w:line="240" w:lineRule="auto"/>
              <w:jc w:val="center"/>
              <w:rPr>
                <w:rFonts w:eastAsia="Times New Roman"/>
              </w:rPr>
            </w:pPr>
            <w:r w:rsidRPr="007D78A5">
              <w:rPr>
                <w:rFonts w:eastAsia="Times New Roman"/>
              </w:rPr>
              <w:t>8</w:t>
            </w:r>
            <w:r>
              <w:rPr>
                <w:rFonts w:eastAsia="Times New Roman"/>
              </w:rPr>
              <w:t xml:space="preserve"> (Chemistry)</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14:paraId="2FC95979"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2</w:t>
            </w:r>
          </w:p>
        </w:tc>
        <w:tc>
          <w:tcPr>
            <w:tcW w:w="1146" w:type="dxa"/>
            <w:tcBorders>
              <w:top w:val="single" w:sz="4" w:space="0" w:color="auto"/>
              <w:left w:val="single" w:sz="4" w:space="0" w:color="auto"/>
              <w:bottom w:val="single" w:sz="4" w:space="0" w:color="auto"/>
              <w:right w:val="single" w:sz="4" w:space="0" w:color="auto"/>
            </w:tcBorders>
            <w:vAlign w:val="center"/>
          </w:tcPr>
          <w:p w14:paraId="5A7A4B66" w14:textId="77777777" w:rsidR="000C4398" w:rsidRPr="007D78A5" w:rsidRDefault="000C4398" w:rsidP="0017539B">
            <w:pPr>
              <w:spacing w:after="0" w:line="240" w:lineRule="auto"/>
              <w:jc w:val="center"/>
              <w:rPr>
                <w:rFonts w:eastAsia="Times New Roman"/>
              </w:rPr>
            </w:pPr>
            <w:r w:rsidRPr="007D78A5">
              <w:rPr>
                <w:rFonts w:eastAsia="Times New Roman"/>
              </w:rPr>
              <w:t>Medium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B7D18" w14:textId="77777777" w:rsidR="000C4398" w:rsidRPr="007D78A5" w:rsidRDefault="000C4398" w:rsidP="0017539B">
            <w:pPr>
              <w:spacing w:after="0" w:line="240" w:lineRule="auto"/>
              <w:jc w:val="center"/>
              <w:rPr>
                <w:rFonts w:eastAsia="Times New Roman"/>
              </w:rPr>
            </w:pPr>
            <w:r w:rsidRPr="007D78A5">
              <w:rPr>
                <w:rFonts w:eastAsia="Times New Roman"/>
              </w:rPr>
              <w:t>Basic</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AD0EA" w14:textId="77777777" w:rsidR="000C4398" w:rsidRPr="007D78A5" w:rsidRDefault="000C4398" w:rsidP="0017539B">
            <w:pPr>
              <w:spacing w:after="0" w:line="240" w:lineRule="auto"/>
              <w:jc w:val="center"/>
              <w:rPr>
                <w:rFonts w:eastAsia="Times New Roman"/>
              </w:rPr>
            </w:pPr>
            <w:r w:rsidRPr="007D78A5">
              <w:rPr>
                <w:rFonts w:eastAsia="Times New Roman"/>
              </w:rPr>
              <w:t>Natural</w:t>
            </w:r>
          </w:p>
        </w:tc>
      </w:tr>
      <w:tr w:rsidR="000C4398" w:rsidRPr="002F7B3C" w14:paraId="6A5C0689" w14:textId="77777777" w:rsidTr="0017539B">
        <w:trPr>
          <w:trHeight w:val="320"/>
        </w:trPr>
        <w:tc>
          <w:tcPr>
            <w:tcW w:w="282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76F5C6AD" w14:textId="77777777" w:rsidR="000C4398" w:rsidRPr="007D78A5" w:rsidRDefault="000C4398" w:rsidP="0017539B">
            <w:pPr>
              <w:spacing w:after="0" w:line="240" w:lineRule="auto"/>
              <w:jc w:val="center"/>
              <w:rPr>
                <w:rFonts w:eastAsia="Times New Roman"/>
              </w:rPr>
            </w:pPr>
            <w:r w:rsidRPr="007D78A5">
              <w:rPr>
                <w:rFonts w:eastAsia="Times New Roman"/>
              </w:rPr>
              <w:t>9</w:t>
            </w:r>
            <w:r>
              <w:rPr>
                <w:rFonts w:eastAsia="Times New Roman"/>
              </w:rPr>
              <w:t xml:space="preserve"> (Physics)</w:t>
            </w:r>
          </w:p>
        </w:tc>
        <w:tc>
          <w:tcPr>
            <w:tcW w:w="1701" w:type="dxa"/>
            <w:tcBorders>
              <w:top w:val="nil"/>
              <w:left w:val="nil"/>
              <w:bottom w:val="single" w:sz="8" w:space="0" w:color="auto"/>
              <w:right w:val="single" w:sz="4" w:space="0" w:color="auto"/>
            </w:tcBorders>
            <w:shd w:val="clear" w:color="auto" w:fill="BFBFBF" w:themeFill="background1" w:themeFillShade="BF"/>
            <w:noWrap/>
            <w:vAlign w:val="center"/>
            <w:hideMark/>
          </w:tcPr>
          <w:p w14:paraId="4DD3C09A"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2</w:t>
            </w:r>
          </w:p>
        </w:tc>
        <w:tc>
          <w:tcPr>
            <w:tcW w:w="1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90A132" w14:textId="77777777" w:rsidR="000C4398" w:rsidRPr="007D78A5" w:rsidRDefault="000C4398" w:rsidP="0017539B">
            <w:pPr>
              <w:spacing w:after="0" w:line="240" w:lineRule="auto"/>
              <w:jc w:val="center"/>
              <w:rPr>
                <w:rFonts w:eastAsia="Times New Roman"/>
              </w:rPr>
            </w:pPr>
            <w:r w:rsidRPr="007D78A5">
              <w:rPr>
                <w:rFonts w:eastAsia="Times New Roman"/>
              </w:rPr>
              <w:t>High</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84DF6A" w14:textId="77777777" w:rsidR="000C4398" w:rsidRPr="007D78A5" w:rsidRDefault="000C4398" w:rsidP="0017539B">
            <w:pPr>
              <w:spacing w:after="0" w:line="240" w:lineRule="auto"/>
              <w:jc w:val="center"/>
              <w:rPr>
                <w:rFonts w:eastAsia="Times New Roman"/>
              </w:rPr>
            </w:pPr>
            <w:r w:rsidRPr="007D78A5">
              <w:rPr>
                <w:rFonts w:eastAsia="Times New Roman"/>
              </w:rPr>
              <w:t>Basic</w:t>
            </w:r>
          </w:p>
        </w:tc>
        <w:tc>
          <w:tcPr>
            <w:tcW w:w="13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67BE70F" w14:textId="77777777" w:rsidR="000C4398" w:rsidRPr="007D78A5" w:rsidRDefault="000C4398" w:rsidP="0017539B">
            <w:pPr>
              <w:spacing w:after="0" w:line="240" w:lineRule="auto"/>
              <w:jc w:val="center"/>
              <w:rPr>
                <w:rFonts w:eastAsia="Times New Roman"/>
              </w:rPr>
            </w:pPr>
            <w:r w:rsidRPr="007D78A5">
              <w:rPr>
                <w:rFonts w:eastAsia="Times New Roman"/>
              </w:rPr>
              <w:t>Natural</w:t>
            </w:r>
          </w:p>
        </w:tc>
      </w:tr>
      <w:tr w:rsidR="000C4398" w:rsidRPr="002F7B3C" w14:paraId="712C181A" w14:textId="77777777" w:rsidTr="0017539B">
        <w:trPr>
          <w:trHeight w:val="320"/>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677398AC" w14:textId="77777777" w:rsidR="000C4398" w:rsidRPr="007D78A5" w:rsidRDefault="000C4398" w:rsidP="0017539B">
            <w:pPr>
              <w:spacing w:after="0" w:line="240" w:lineRule="auto"/>
              <w:jc w:val="center"/>
              <w:rPr>
                <w:rFonts w:eastAsia="Times New Roman"/>
              </w:rPr>
            </w:pPr>
            <w:r w:rsidRPr="007D78A5">
              <w:rPr>
                <w:rFonts w:eastAsia="Times New Roman"/>
              </w:rPr>
              <w:t>10</w:t>
            </w:r>
            <w:r>
              <w:rPr>
                <w:rFonts w:eastAsia="Times New Roman"/>
              </w:rPr>
              <w:t xml:space="preserve"> (Mathematical Sciences)</w:t>
            </w:r>
          </w:p>
        </w:tc>
        <w:tc>
          <w:tcPr>
            <w:tcW w:w="1701" w:type="dxa"/>
            <w:tcBorders>
              <w:top w:val="nil"/>
              <w:left w:val="nil"/>
              <w:bottom w:val="single" w:sz="8" w:space="0" w:color="auto"/>
              <w:right w:val="single" w:sz="4" w:space="0" w:color="auto"/>
            </w:tcBorders>
            <w:shd w:val="clear" w:color="auto" w:fill="auto"/>
            <w:noWrap/>
            <w:vAlign w:val="center"/>
            <w:hideMark/>
          </w:tcPr>
          <w:p w14:paraId="58B4F5B2"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2</w:t>
            </w:r>
          </w:p>
        </w:tc>
        <w:tc>
          <w:tcPr>
            <w:tcW w:w="1146" w:type="dxa"/>
            <w:tcBorders>
              <w:top w:val="single" w:sz="4" w:space="0" w:color="auto"/>
              <w:left w:val="single" w:sz="4" w:space="0" w:color="auto"/>
              <w:bottom w:val="single" w:sz="4" w:space="0" w:color="auto"/>
              <w:right w:val="single" w:sz="4" w:space="0" w:color="auto"/>
            </w:tcBorders>
            <w:vAlign w:val="center"/>
          </w:tcPr>
          <w:p w14:paraId="31428721" w14:textId="77777777" w:rsidR="000C4398" w:rsidRPr="007D78A5" w:rsidRDefault="000C4398" w:rsidP="0017539B">
            <w:pPr>
              <w:spacing w:after="0" w:line="240" w:lineRule="auto"/>
              <w:jc w:val="center"/>
              <w:rPr>
                <w:rFonts w:eastAsia="Times New Roman"/>
              </w:rPr>
            </w:pPr>
            <w:r w:rsidRPr="007D78A5">
              <w:rPr>
                <w:rFonts w:eastAsia="Times New Roman"/>
              </w:rPr>
              <w:t>Medium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6D22E" w14:textId="77777777" w:rsidR="000C4398" w:rsidRPr="007D78A5" w:rsidRDefault="000C4398" w:rsidP="0017539B">
            <w:pPr>
              <w:spacing w:after="0" w:line="240" w:lineRule="auto"/>
              <w:jc w:val="center"/>
              <w:rPr>
                <w:rFonts w:eastAsia="Times New Roman"/>
              </w:rPr>
            </w:pPr>
            <w:r w:rsidRPr="007D78A5">
              <w:rPr>
                <w:rFonts w:eastAsia="Times New Roman"/>
              </w:rPr>
              <w:t>Basic</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A1CB5" w14:textId="77777777" w:rsidR="000C4398" w:rsidRPr="007D78A5" w:rsidRDefault="000C4398" w:rsidP="0017539B">
            <w:pPr>
              <w:spacing w:after="0" w:line="240" w:lineRule="auto"/>
              <w:jc w:val="center"/>
              <w:rPr>
                <w:rFonts w:eastAsia="Times New Roman"/>
              </w:rPr>
            </w:pPr>
            <w:r w:rsidRPr="007D78A5">
              <w:rPr>
                <w:rFonts w:eastAsia="Times New Roman"/>
              </w:rPr>
              <w:t>Formal</w:t>
            </w:r>
          </w:p>
        </w:tc>
      </w:tr>
      <w:tr w:rsidR="000C4398" w:rsidRPr="002F7B3C" w14:paraId="4250C706" w14:textId="77777777" w:rsidTr="0017539B">
        <w:trPr>
          <w:trHeight w:val="320"/>
        </w:trPr>
        <w:tc>
          <w:tcPr>
            <w:tcW w:w="282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43A5A12B" w14:textId="77777777" w:rsidR="000C4398" w:rsidRPr="007D78A5" w:rsidRDefault="000C4398" w:rsidP="0017539B">
            <w:pPr>
              <w:spacing w:after="0" w:line="240" w:lineRule="auto"/>
              <w:jc w:val="center"/>
              <w:rPr>
                <w:rFonts w:eastAsia="Times New Roman"/>
              </w:rPr>
            </w:pPr>
            <w:r w:rsidRPr="007D78A5">
              <w:rPr>
                <w:rFonts w:eastAsia="Times New Roman"/>
              </w:rPr>
              <w:t>11</w:t>
            </w:r>
            <w:r>
              <w:rPr>
                <w:rFonts w:eastAsia="Times New Roman"/>
              </w:rPr>
              <w:t xml:space="preserve"> (Computer Sciences &amp; Informatics)</w:t>
            </w:r>
          </w:p>
        </w:tc>
        <w:tc>
          <w:tcPr>
            <w:tcW w:w="1701" w:type="dxa"/>
            <w:tcBorders>
              <w:top w:val="nil"/>
              <w:left w:val="nil"/>
              <w:bottom w:val="single" w:sz="8" w:space="0" w:color="auto"/>
              <w:right w:val="single" w:sz="4" w:space="0" w:color="auto"/>
            </w:tcBorders>
            <w:shd w:val="clear" w:color="auto" w:fill="BFBFBF" w:themeFill="background1" w:themeFillShade="BF"/>
            <w:noWrap/>
            <w:vAlign w:val="center"/>
            <w:hideMark/>
          </w:tcPr>
          <w:p w14:paraId="4424D50C"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3</w:t>
            </w:r>
          </w:p>
        </w:tc>
        <w:tc>
          <w:tcPr>
            <w:tcW w:w="1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0E12D0" w14:textId="77777777" w:rsidR="000C4398" w:rsidRPr="007D78A5" w:rsidRDefault="000C4398" w:rsidP="0017539B">
            <w:pPr>
              <w:spacing w:after="0" w:line="240" w:lineRule="auto"/>
              <w:jc w:val="center"/>
              <w:rPr>
                <w:rFonts w:eastAsia="Times New Roman"/>
              </w:rPr>
            </w:pPr>
            <w:r w:rsidRPr="007D78A5">
              <w:rPr>
                <w:rFonts w:eastAsia="Times New Roman"/>
              </w:rPr>
              <w:t>Low</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AF48D28" w14:textId="77777777" w:rsidR="000C4398" w:rsidRPr="007D78A5" w:rsidRDefault="000C4398" w:rsidP="0017539B">
            <w:pPr>
              <w:spacing w:after="0" w:line="240" w:lineRule="auto"/>
              <w:jc w:val="center"/>
              <w:rPr>
                <w:rFonts w:eastAsia="Times New Roman"/>
              </w:rPr>
            </w:pPr>
            <w:r w:rsidRPr="007D78A5">
              <w:rPr>
                <w:rFonts w:eastAsia="Times New Roman"/>
              </w:rPr>
              <w:t>Applied</w:t>
            </w:r>
          </w:p>
        </w:tc>
        <w:tc>
          <w:tcPr>
            <w:tcW w:w="13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2D7F7F8" w14:textId="77777777" w:rsidR="000C4398" w:rsidRPr="007D78A5" w:rsidRDefault="000C4398" w:rsidP="0017539B">
            <w:pPr>
              <w:spacing w:after="0" w:line="240" w:lineRule="auto"/>
              <w:jc w:val="center"/>
              <w:rPr>
                <w:rFonts w:eastAsia="Times New Roman"/>
              </w:rPr>
            </w:pPr>
            <w:r w:rsidRPr="007D78A5">
              <w:rPr>
                <w:rFonts w:eastAsia="Times New Roman"/>
              </w:rPr>
              <w:t>Formal</w:t>
            </w:r>
          </w:p>
        </w:tc>
      </w:tr>
      <w:tr w:rsidR="000C4398" w:rsidRPr="002F7B3C" w14:paraId="53C3EE44" w14:textId="77777777" w:rsidTr="0017539B">
        <w:trPr>
          <w:trHeight w:val="320"/>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2FF01A88" w14:textId="77777777" w:rsidR="000C4398" w:rsidRPr="007D78A5" w:rsidRDefault="000C4398" w:rsidP="0017539B">
            <w:pPr>
              <w:spacing w:after="0" w:line="240" w:lineRule="auto"/>
              <w:jc w:val="center"/>
              <w:rPr>
                <w:rFonts w:eastAsia="Times New Roman"/>
              </w:rPr>
            </w:pPr>
            <w:r w:rsidRPr="007D78A5">
              <w:rPr>
                <w:rFonts w:eastAsia="Times New Roman"/>
              </w:rPr>
              <w:t>13</w:t>
            </w:r>
            <w:r>
              <w:rPr>
                <w:rFonts w:eastAsia="Times New Roman"/>
              </w:rPr>
              <w:t xml:space="preserve"> (Electrical &amp; Electronic Engineering, Materials &amp; Metallurgy)</w:t>
            </w:r>
          </w:p>
        </w:tc>
        <w:tc>
          <w:tcPr>
            <w:tcW w:w="1701" w:type="dxa"/>
            <w:tcBorders>
              <w:top w:val="nil"/>
              <w:left w:val="nil"/>
              <w:bottom w:val="single" w:sz="8" w:space="0" w:color="auto"/>
              <w:right w:val="single" w:sz="4" w:space="0" w:color="auto"/>
            </w:tcBorders>
            <w:shd w:val="clear" w:color="auto" w:fill="auto"/>
            <w:noWrap/>
            <w:vAlign w:val="center"/>
            <w:hideMark/>
          </w:tcPr>
          <w:p w14:paraId="293695B8"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1</w:t>
            </w:r>
          </w:p>
        </w:tc>
        <w:tc>
          <w:tcPr>
            <w:tcW w:w="1146" w:type="dxa"/>
            <w:tcBorders>
              <w:top w:val="single" w:sz="4" w:space="0" w:color="auto"/>
              <w:left w:val="single" w:sz="4" w:space="0" w:color="auto"/>
              <w:bottom w:val="single" w:sz="4" w:space="0" w:color="auto"/>
              <w:right w:val="single" w:sz="4" w:space="0" w:color="auto"/>
            </w:tcBorders>
            <w:vAlign w:val="center"/>
          </w:tcPr>
          <w:p w14:paraId="2E1A842B" w14:textId="77777777" w:rsidR="000C4398" w:rsidRPr="007D78A5" w:rsidRDefault="000C4398" w:rsidP="0017539B">
            <w:pPr>
              <w:spacing w:after="0" w:line="240" w:lineRule="auto"/>
              <w:jc w:val="center"/>
              <w:rPr>
                <w:rFonts w:eastAsia="Times New Roman"/>
              </w:rPr>
            </w:pPr>
            <w:r w:rsidRPr="007D78A5">
              <w:rPr>
                <w:rFonts w:eastAsia="Times New Roman"/>
              </w:rPr>
              <w:t>High</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D34AC" w14:textId="77777777" w:rsidR="000C4398" w:rsidRPr="007D78A5" w:rsidRDefault="000C4398" w:rsidP="0017539B">
            <w:pPr>
              <w:spacing w:after="0" w:line="240" w:lineRule="auto"/>
              <w:jc w:val="center"/>
              <w:rPr>
                <w:rFonts w:eastAsia="Times New Roman"/>
              </w:rPr>
            </w:pPr>
            <w:r w:rsidRPr="007D78A5">
              <w:rPr>
                <w:rFonts w:eastAsia="Times New Roman"/>
              </w:rPr>
              <w:t>Applied</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A762A" w14:textId="77777777" w:rsidR="000C4398" w:rsidRPr="007D78A5" w:rsidRDefault="000C4398" w:rsidP="0017539B">
            <w:pPr>
              <w:spacing w:after="0" w:line="240" w:lineRule="auto"/>
              <w:jc w:val="center"/>
              <w:rPr>
                <w:rFonts w:eastAsia="Times New Roman"/>
              </w:rPr>
            </w:pPr>
            <w:r w:rsidRPr="007D78A5">
              <w:rPr>
                <w:rFonts w:eastAsia="Times New Roman"/>
              </w:rPr>
              <w:t>Natural/Formal</w:t>
            </w:r>
          </w:p>
        </w:tc>
      </w:tr>
      <w:tr w:rsidR="000C4398" w:rsidRPr="002F7B3C" w14:paraId="7BEFFABF" w14:textId="77777777" w:rsidTr="0017539B">
        <w:trPr>
          <w:trHeight w:val="320"/>
        </w:trPr>
        <w:tc>
          <w:tcPr>
            <w:tcW w:w="282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1E988BB5" w14:textId="77777777" w:rsidR="000C4398" w:rsidRPr="007D78A5" w:rsidRDefault="000C4398" w:rsidP="0017539B">
            <w:pPr>
              <w:spacing w:after="0" w:line="240" w:lineRule="auto"/>
              <w:jc w:val="center"/>
              <w:rPr>
                <w:rFonts w:eastAsia="Times New Roman"/>
              </w:rPr>
            </w:pPr>
            <w:r w:rsidRPr="007D78A5">
              <w:rPr>
                <w:rFonts w:eastAsia="Times New Roman"/>
              </w:rPr>
              <w:t>14</w:t>
            </w:r>
            <w:r>
              <w:rPr>
                <w:rFonts w:eastAsia="Times New Roman"/>
              </w:rPr>
              <w:t xml:space="preserve"> (Civil &amp; Construction Engineering)</w:t>
            </w:r>
          </w:p>
        </w:tc>
        <w:tc>
          <w:tcPr>
            <w:tcW w:w="1701" w:type="dxa"/>
            <w:tcBorders>
              <w:top w:val="nil"/>
              <w:left w:val="nil"/>
              <w:bottom w:val="single" w:sz="8" w:space="0" w:color="auto"/>
              <w:right w:val="single" w:sz="4" w:space="0" w:color="auto"/>
            </w:tcBorders>
            <w:shd w:val="clear" w:color="auto" w:fill="BFBFBF" w:themeFill="background1" w:themeFillShade="BF"/>
            <w:noWrap/>
            <w:vAlign w:val="center"/>
            <w:hideMark/>
          </w:tcPr>
          <w:p w14:paraId="5D3472E6" w14:textId="77777777" w:rsidR="000C4398" w:rsidRPr="007D78A5" w:rsidRDefault="000C4398" w:rsidP="0017539B">
            <w:pPr>
              <w:spacing w:after="0" w:line="240" w:lineRule="auto"/>
              <w:jc w:val="center"/>
              <w:rPr>
                <w:rFonts w:eastAsia="Times New Roman"/>
              </w:rPr>
            </w:pPr>
            <w:r>
              <w:rPr>
                <w:rFonts w:eastAsia="Times New Roman"/>
              </w:rPr>
              <w:t xml:space="preserve">Tier </w:t>
            </w:r>
            <w:r w:rsidRPr="007D78A5">
              <w:rPr>
                <w:rFonts w:eastAsia="Times New Roman"/>
              </w:rPr>
              <w:t>2</w:t>
            </w:r>
          </w:p>
        </w:tc>
        <w:tc>
          <w:tcPr>
            <w:tcW w:w="1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28BAB8" w14:textId="77777777" w:rsidR="000C4398" w:rsidRPr="007D78A5" w:rsidRDefault="000C4398" w:rsidP="0017539B">
            <w:pPr>
              <w:spacing w:after="0" w:line="240" w:lineRule="auto"/>
              <w:jc w:val="center"/>
              <w:rPr>
                <w:rFonts w:eastAsia="Times New Roman"/>
              </w:rPr>
            </w:pPr>
            <w:r w:rsidRPr="007D78A5">
              <w:rPr>
                <w:rFonts w:eastAsia="Times New Roman"/>
              </w:rPr>
              <w:t>High</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5900486" w14:textId="77777777" w:rsidR="000C4398" w:rsidRPr="007D78A5" w:rsidRDefault="000C4398" w:rsidP="0017539B">
            <w:pPr>
              <w:spacing w:after="0" w:line="240" w:lineRule="auto"/>
              <w:jc w:val="center"/>
              <w:rPr>
                <w:rFonts w:eastAsia="Times New Roman"/>
              </w:rPr>
            </w:pPr>
            <w:r w:rsidRPr="007D78A5">
              <w:rPr>
                <w:rFonts w:eastAsia="Times New Roman"/>
              </w:rPr>
              <w:t>Applied</w:t>
            </w:r>
          </w:p>
        </w:tc>
        <w:tc>
          <w:tcPr>
            <w:tcW w:w="13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10A8729" w14:textId="77777777" w:rsidR="000C4398" w:rsidRPr="007D78A5" w:rsidRDefault="000C4398" w:rsidP="0017539B">
            <w:pPr>
              <w:spacing w:after="0" w:line="240" w:lineRule="auto"/>
              <w:jc w:val="center"/>
              <w:rPr>
                <w:rFonts w:eastAsia="Times New Roman"/>
              </w:rPr>
            </w:pPr>
            <w:r w:rsidRPr="007D78A5">
              <w:rPr>
                <w:rFonts w:eastAsia="Times New Roman"/>
              </w:rPr>
              <w:t>Formal</w:t>
            </w:r>
          </w:p>
        </w:tc>
      </w:tr>
      <w:tr w:rsidR="000C4398" w:rsidRPr="002F7B3C" w14:paraId="6644F2A6" w14:textId="77777777" w:rsidTr="0017539B">
        <w:trPr>
          <w:trHeight w:val="320"/>
        </w:trPr>
        <w:tc>
          <w:tcPr>
            <w:tcW w:w="2825" w:type="dxa"/>
            <w:tcBorders>
              <w:top w:val="nil"/>
              <w:left w:val="single" w:sz="8" w:space="0" w:color="auto"/>
              <w:bottom w:val="single" w:sz="8" w:space="0" w:color="auto"/>
              <w:right w:val="single" w:sz="8" w:space="0" w:color="auto"/>
            </w:tcBorders>
            <w:shd w:val="clear" w:color="auto" w:fill="auto"/>
            <w:noWrap/>
            <w:vAlign w:val="center"/>
          </w:tcPr>
          <w:p w14:paraId="40735CD6" w14:textId="77777777" w:rsidR="000C4398" w:rsidRPr="007D78A5" w:rsidRDefault="000C4398" w:rsidP="0017539B">
            <w:pPr>
              <w:spacing w:after="0" w:line="240" w:lineRule="auto"/>
              <w:jc w:val="center"/>
              <w:rPr>
                <w:rFonts w:eastAsia="Times New Roman"/>
              </w:rPr>
            </w:pPr>
            <w:r w:rsidRPr="007D78A5">
              <w:rPr>
                <w:rFonts w:eastAsia="Times New Roman"/>
                <w:b/>
                <w:bCs/>
              </w:rPr>
              <w:t>Totals</w:t>
            </w:r>
          </w:p>
        </w:tc>
        <w:tc>
          <w:tcPr>
            <w:tcW w:w="1701" w:type="dxa"/>
            <w:tcBorders>
              <w:top w:val="nil"/>
              <w:left w:val="nil"/>
              <w:bottom w:val="single" w:sz="8" w:space="0" w:color="auto"/>
              <w:right w:val="single" w:sz="4" w:space="0" w:color="auto"/>
            </w:tcBorders>
            <w:shd w:val="clear" w:color="auto" w:fill="auto"/>
            <w:noWrap/>
            <w:vAlign w:val="center"/>
          </w:tcPr>
          <w:p w14:paraId="24BD4381" w14:textId="77777777" w:rsidR="000C4398" w:rsidRPr="007D78A5" w:rsidRDefault="000C4398" w:rsidP="0017539B">
            <w:pPr>
              <w:spacing w:after="0" w:line="240" w:lineRule="auto"/>
              <w:jc w:val="center"/>
              <w:rPr>
                <w:rFonts w:eastAsia="Times New Roman"/>
              </w:rPr>
            </w:pPr>
            <w:r>
              <w:rPr>
                <w:rFonts w:eastAsia="Times New Roman"/>
              </w:rPr>
              <w:t>T</w:t>
            </w:r>
            <w:r w:rsidRPr="007D78A5">
              <w:rPr>
                <w:rFonts w:eastAsia="Times New Roman"/>
              </w:rPr>
              <w:t>1 (1)</w:t>
            </w:r>
          </w:p>
          <w:p w14:paraId="0BD36377" w14:textId="77777777" w:rsidR="000C4398" w:rsidRPr="007D78A5" w:rsidRDefault="000C4398" w:rsidP="0017539B">
            <w:pPr>
              <w:spacing w:after="0" w:line="240" w:lineRule="auto"/>
              <w:jc w:val="center"/>
              <w:rPr>
                <w:rFonts w:eastAsia="Times New Roman"/>
              </w:rPr>
            </w:pPr>
            <w:r>
              <w:rPr>
                <w:rFonts w:eastAsia="Times New Roman"/>
              </w:rPr>
              <w:t>T</w:t>
            </w:r>
            <w:r w:rsidRPr="007D78A5">
              <w:rPr>
                <w:rFonts w:eastAsia="Times New Roman"/>
              </w:rPr>
              <w:t>2 (6)</w:t>
            </w:r>
          </w:p>
          <w:p w14:paraId="479B772A" w14:textId="77777777" w:rsidR="000C4398" w:rsidRPr="007D78A5" w:rsidRDefault="000C4398" w:rsidP="0017539B">
            <w:pPr>
              <w:spacing w:after="0" w:line="240" w:lineRule="auto"/>
              <w:jc w:val="center"/>
              <w:rPr>
                <w:rFonts w:eastAsia="Times New Roman"/>
              </w:rPr>
            </w:pPr>
            <w:r>
              <w:rPr>
                <w:rFonts w:eastAsia="Times New Roman"/>
              </w:rPr>
              <w:t>T</w:t>
            </w:r>
            <w:r w:rsidRPr="007D78A5">
              <w:rPr>
                <w:rFonts w:eastAsia="Times New Roman"/>
              </w:rPr>
              <w:t>3 (2)</w:t>
            </w:r>
          </w:p>
          <w:p w14:paraId="3237632C" w14:textId="77777777" w:rsidR="000C4398" w:rsidRPr="007D78A5" w:rsidRDefault="000C4398" w:rsidP="0017539B">
            <w:pPr>
              <w:spacing w:after="0" w:line="240" w:lineRule="auto"/>
              <w:jc w:val="center"/>
              <w:rPr>
                <w:rFonts w:eastAsia="Times New Roman"/>
              </w:rPr>
            </w:pPr>
            <w:r>
              <w:rPr>
                <w:rFonts w:eastAsia="Times New Roman"/>
              </w:rPr>
              <w:t>T</w:t>
            </w:r>
            <w:r w:rsidRPr="007D78A5">
              <w:rPr>
                <w:rFonts w:eastAsia="Times New Roman"/>
              </w:rPr>
              <w:t>4 (1)</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44B74" w14:textId="77777777" w:rsidR="000C4398" w:rsidRPr="007D78A5" w:rsidRDefault="000C4398" w:rsidP="0017539B">
            <w:pPr>
              <w:spacing w:after="0" w:line="240" w:lineRule="auto"/>
              <w:jc w:val="center"/>
              <w:rPr>
                <w:rFonts w:eastAsia="Times New Roman"/>
              </w:rPr>
            </w:pPr>
            <w:r w:rsidRPr="007D78A5">
              <w:rPr>
                <w:rFonts w:eastAsia="Times New Roman"/>
              </w:rPr>
              <w:t>High (3)</w:t>
            </w:r>
          </w:p>
          <w:p w14:paraId="7E2F6B04" w14:textId="77777777" w:rsidR="000C4398" w:rsidRPr="007D78A5" w:rsidRDefault="000C4398" w:rsidP="0017539B">
            <w:pPr>
              <w:spacing w:after="0" w:line="240" w:lineRule="auto"/>
              <w:jc w:val="center"/>
              <w:rPr>
                <w:rFonts w:eastAsia="Times New Roman"/>
              </w:rPr>
            </w:pPr>
            <w:r w:rsidRPr="007D78A5">
              <w:rPr>
                <w:rFonts w:eastAsia="Times New Roman"/>
              </w:rPr>
              <w:t>Medium (4)</w:t>
            </w:r>
          </w:p>
          <w:p w14:paraId="7C297C66" w14:textId="77777777" w:rsidR="000C4398" w:rsidRPr="007D78A5" w:rsidRDefault="000C4398" w:rsidP="0017539B">
            <w:pPr>
              <w:spacing w:after="0" w:line="240" w:lineRule="auto"/>
              <w:jc w:val="center"/>
              <w:rPr>
                <w:rFonts w:eastAsia="Times New Roman"/>
              </w:rPr>
            </w:pPr>
            <w:r w:rsidRPr="007D78A5">
              <w:rPr>
                <w:rFonts w:eastAsia="Times New Roman"/>
              </w:rPr>
              <w:t>Low (3)</w:t>
            </w:r>
          </w:p>
        </w:tc>
        <w:tc>
          <w:tcPr>
            <w:tcW w:w="1276" w:type="dxa"/>
            <w:tcBorders>
              <w:top w:val="single" w:sz="4" w:space="0" w:color="auto"/>
              <w:left w:val="single" w:sz="4" w:space="0" w:color="auto"/>
              <w:bottom w:val="single" w:sz="4" w:space="0" w:color="auto"/>
              <w:right w:val="single" w:sz="4" w:space="0" w:color="auto"/>
            </w:tcBorders>
            <w:vAlign w:val="center"/>
          </w:tcPr>
          <w:p w14:paraId="5E96504F" w14:textId="77777777" w:rsidR="000C4398" w:rsidRPr="007D78A5" w:rsidRDefault="000C4398" w:rsidP="0017539B">
            <w:pPr>
              <w:spacing w:after="0" w:line="240" w:lineRule="auto"/>
              <w:jc w:val="center"/>
              <w:rPr>
                <w:rFonts w:eastAsia="Times New Roman"/>
              </w:rPr>
            </w:pPr>
            <w:r w:rsidRPr="007D78A5">
              <w:rPr>
                <w:rFonts w:eastAsia="Times New Roman"/>
              </w:rPr>
              <w:t>Basic (6)</w:t>
            </w:r>
          </w:p>
          <w:p w14:paraId="4793DF42" w14:textId="77777777" w:rsidR="000C4398" w:rsidRPr="007D78A5" w:rsidRDefault="000C4398" w:rsidP="0017539B">
            <w:pPr>
              <w:spacing w:after="0" w:line="240" w:lineRule="auto"/>
              <w:jc w:val="center"/>
              <w:rPr>
                <w:rFonts w:eastAsia="Times New Roman"/>
              </w:rPr>
            </w:pPr>
            <w:r w:rsidRPr="007D78A5">
              <w:rPr>
                <w:rFonts w:eastAsia="Times New Roman"/>
              </w:rPr>
              <w:t>Applied (6)</w:t>
            </w:r>
          </w:p>
        </w:tc>
        <w:tc>
          <w:tcPr>
            <w:tcW w:w="1326" w:type="dxa"/>
            <w:tcBorders>
              <w:top w:val="nil"/>
              <w:left w:val="single" w:sz="4" w:space="0" w:color="auto"/>
              <w:bottom w:val="single" w:sz="8" w:space="0" w:color="auto"/>
              <w:right w:val="single" w:sz="8" w:space="0" w:color="auto"/>
            </w:tcBorders>
            <w:shd w:val="clear" w:color="auto" w:fill="auto"/>
            <w:noWrap/>
            <w:vAlign w:val="center"/>
          </w:tcPr>
          <w:p w14:paraId="0EE8CAC9" w14:textId="77777777" w:rsidR="000C4398" w:rsidRPr="007D78A5" w:rsidRDefault="000C4398" w:rsidP="0017539B">
            <w:pPr>
              <w:spacing w:after="0" w:line="240" w:lineRule="auto"/>
              <w:jc w:val="center"/>
              <w:rPr>
                <w:rFonts w:eastAsia="Times New Roman"/>
              </w:rPr>
            </w:pPr>
            <w:r w:rsidRPr="007D78A5">
              <w:rPr>
                <w:rFonts w:eastAsia="Times New Roman"/>
              </w:rPr>
              <w:t>Life (4)</w:t>
            </w:r>
          </w:p>
          <w:p w14:paraId="13B83266" w14:textId="77777777" w:rsidR="000C4398" w:rsidRPr="007D78A5" w:rsidRDefault="000C4398" w:rsidP="0017539B">
            <w:pPr>
              <w:spacing w:after="0" w:line="240" w:lineRule="auto"/>
              <w:jc w:val="center"/>
              <w:rPr>
                <w:rFonts w:eastAsia="Times New Roman"/>
              </w:rPr>
            </w:pPr>
            <w:r w:rsidRPr="007D78A5">
              <w:rPr>
                <w:rFonts w:eastAsia="Times New Roman"/>
              </w:rPr>
              <w:t>Natural (4)</w:t>
            </w:r>
          </w:p>
          <w:p w14:paraId="1C72416F" w14:textId="77777777" w:rsidR="000C4398" w:rsidRPr="007D78A5" w:rsidRDefault="000C4398" w:rsidP="000C4398">
            <w:pPr>
              <w:keepNext/>
              <w:spacing w:after="0" w:line="240" w:lineRule="auto"/>
              <w:jc w:val="center"/>
              <w:rPr>
                <w:rFonts w:eastAsia="Times New Roman"/>
              </w:rPr>
            </w:pPr>
            <w:r w:rsidRPr="007D78A5">
              <w:rPr>
                <w:rFonts w:eastAsia="Times New Roman"/>
              </w:rPr>
              <w:t>Formal (4)</w:t>
            </w:r>
          </w:p>
        </w:tc>
      </w:tr>
    </w:tbl>
    <w:p w14:paraId="0A81E889" w14:textId="77777777" w:rsidR="000C4398" w:rsidRDefault="000C4398" w:rsidP="000C4398">
      <w:pPr>
        <w:pStyle w:val="Caption"/>
      </w:pPr>
    </w:p>
    <w:p w14:paraId="23129201" w14:textId="77777777" w:rsidR="000C4398" w:rsidRDefault="000C4398" w:rsidP="000C4398">
      <w:pPr>
        <w:pStyle w:val="Caption"/>
      </w:pPr>
    </w:p>
    <w:p w14:paraId="0618CD83" w14:textId="77777777" w:rsidR="000C4398" w:rsidRDefault="000C4398" w:rsidP="000C4398">
      <w:pPr>
        <w:pStyle w:val="Caption"/>
      </w:pPr>
    </w:p>
    <w:p w14:paraId="4E245503" w14:textId="77777777" w:rsidR="000C4398" w:rsidRDefault="000C4398" w:rsidP="000C4398">
      <w:pPr>
        <w:pStyle w:val="Caption"/>
      </w:pPr>
    </w:p>
    <w:p w14:paraId="0052C393" w14:textId="77777777" w:rsidR="000C4398" w:rsidRDefault="000C4398" w:rsidP="000C4398">
      <w:pPr>
        <w:pStyle w:val="Caption"/>
      </w:pPr>
    </w:p>
    <w:p w14:paraId="77CA25DB" w14:textId="77777777" w:rsidR="000C4398" w:rsidRDefault="000C4398" w:rsidP="000C4398">
      <w:pPr>
        <w:pStyle w:val="Caption"/>
      </w:pPr>
    </w:p>
    <w:p w14:paraId="2BA36B41" w14:textId="77777777" w:rsidR="000C4398" w:rsidRDefault="000C4398" w:rsidP="000C4398">
      <w:pPr>
        <w:pStyle w:val="Caption"/>
      </w:pPr>
    </w:p>
    <w:p w14:paraId="09E8BEE1" w14:textId="77777777" w:rsidR="000C4398" w:rsidRDefault="000C4398" w:rsidP="000C4398">
      <w:pPr>
        <w:pStyle w:val="Caption"/>
      </w:pPr>
    </w:p>
    <w:p w14:paraId="3BE88763" w14:textId="77777777" w:rsidR="000C4398" w:rsidRDefault="000C4398" w:rsidP="000C4398">
      <w:pPr>
        <w:pStyle w:val="Caption"/>
      </w:pPr>
    </w:p>
    <w:p w14:paraId="7DE468D7" w14:textId="77777777" w:rsidR="000C4398" w:rsidRDefault="000C4398" w:rsidP="000C4398">
      <w:pPr>
        <w:pStyle w:val="Caption"/>
      </w:pPr>
    </w:p>
    <w:p w14:paraId="436677B0" w14:textId="77777777" w:rsidR="000C4398" w:rsidRDefault="000C4398" w:rsidP="000C4398">
      <w:pPr>
        <w:pStyle w:val="Caption"/>
      </w:pPr>
    </w:p>
    <w:p w14:paraId="25EF5F4D" w14:textId="77777777" w:rsidR="000C4398" w:rsidRDefault="000C4398" w:rsidP="000C4398">
      <w:pPr>
        <w:pStyle w:val="Caption"/>
      </w:pPr>
    </w:p>
    <w:p w14:paraId="739AF912" w14:textId="77777777" w:rsidR="000C4398" w:rsidRDefault="000C4398" w:rsidP="000C4398">
      <w:pPr>
        <w:pStyle w:val="Caption"/>
      </w:pPr>
    </w:p>
    <w:p w14:paraId="36D497EA" w14:textId="77777777" w:rsidR="000C4398" w:rsidRDefault="000C4398" w:rsidP="000C4398">
      <w:pPr>
        <w:pStyle w:val="Caption"/>
      </w:pPr>
    </w:p>
    <w:p w14:paraId="1237D167" w14:textId="30ED33DC" w:rsidR="000C4398" w:rsidRDefault="000C4398" w:rsidP="000C4398">
      <w:pPr>
        <w:pStyle w:val="Caption"/>
      </w:pPr>
      <w:bookmarkStart w:id="75" w:name="_Ref11615948"/>
      <w:bookmarkStart w:id="76" w:name="_Ref12374584"/>
      <w:bookmarkStart w:id="77" w:name="_Toc31702032"/>
      <w:r>
        <w:t xml:space="preserve">Table </w:t>
      </w:r>
      <w:r w:rsidR="00A56355">
        <w:fldChar w:fldCharType="begin"/>
      </w:r>
      <w:r w:rsidR="00A56355">
        <w:instrText xml:space="preserve"> SEQ Table \* ARABIC </w:instrText>
      </w:r>
      <w:r w:rsidR="00A56355">
        <w:fldChar w:fldCharType="separate"/>
      </w:r>
      <w:r w:rsidR="0011424E">
        <w:rPr>
          <w:noProof/>
        </w:rPr>
        <w:t>3</w:t>
      </w:r>
      <w:r w:rsidR="00A56355">
        <w:rPr>
          <w:noProof/>
        </w:rPr>
        <w:fldChar w:fldCharType="end"/>
      </w:r>
      <w:bookmarkEnd w:id="75"/>
      <w:r>
        <w:t>. Characteristics of sampled departments</w:t>
      </w:r>
      <w:bookmarkEnd w:id="76"/>
      <w:bookmarkEnd w:id="77"/>
    </w:p>
    <w:p w14:paraId="7E952787" w14:textId="178C17BC" w:rsidR="00082217" w:rsidRDefault="00082217" w:rsidP="00082217">
      <w:pPr>
        <w:pStyle w:val="Heading3"/>
        <w:contextualSpacing/>
      </w:pPr>
      <w:bookmarkStart w:id="78" w:name="_Toc536717940"/>
      <w:bookmarkStart w:id="79" w:name="_Toc31701967"/>
      <w:r>
        <w:t>Data collection</w:t>
      </w:r>
      <w:bookmarkEnd w:id="78"/>
      <w:bookmarkEnd w:id="79"/>
      <w:r>
        <w:t xml:space="preserve"> </w:t>
      </w:r>
    </w:p>
    <w:p w14:paraId="3B1A505E" w14:textId="77777777" w:rsidR="00082217" w:rsidRDefault="00082217" w:rsidP="00082217">
      <w:pPr>
        <w:pStyle w:val="Heading4"/>
      </w:pPr>
      <w:r>
        <w:t>Documentary data</w:t>
      </w:r>
    </w:p>
    <w:p w14:paraId="7B89F665" w14:textId="410982FE" w:rsidR="00082217" w:rsidRDefault="00082217" w:rsidP="003F1EED">
      <w:pPr>
        <w:spacing w:after="120" w:line="360" w:lineRule="auto"/>
        <w:rPr>
          <w:sz w:val="24"/>
          <w:szCs w:val="24"/>
          <w:lang w:eastAsia="ko-KR"/>
        </w:rPr>
      </w:pPr>
      <w:r>
        <w:rPr>
          <w:iCs/>
          <w:sz w:val="24"/>
          <w:szCs w:val="24"/>
        </w:rPr>
        <w:t xml:space="preserve">From the critical realist perspective adopted in this thesis, one of the most valuable features of qualitative research and its focus on particular cases is the opportunity for “closeness” to the “natural context” </w:t>
      </w:r>
      <w:r w:rsidR="00233012">
        <w:rPr>
          <w:iCs/>
          <w:sz w:val="24"/>
          <w:szCs w:val="24"/>
        </w:rPr>
        <w:fldChar w:fldCharType="begin"/>
      </w:r>
      <w:r>
        <w:rPr>
          <w:iCs/>
          <w:sz w:val="24"/>
          <w:szCs w:val="24"/>
        </w:rPr>
        <w:instrText xml:space="preserve"> ADDIN EN.CITE &lt;EndNote&gt;&lt;Cite&gt;&lt;Author&gt;Danermark&lt;/Author&gt;&lt;Year&gt;2002&lt;/Year&gt;&lt;IDText&gt;Explaining society: critical realism in the social sciences&lt;/IDText&gt;&lt;Pages&gt;158`, 175&lt;/Pages&gt;&lt;DisplayText&gt;(Danermark et al., 2002, pp. 158, 175)&lt;/DisplayText&gt;&lt;record&gt;&lt;keywords&gt;&lt;keyword&gt;Sociology -- Methodology&lt;/keyword&gt;&lt;keyword&gt;Social sciences -- Methodology&lt;/keyword&gt;&lt;keyword&gt;Critical realism&lt;/keyword&gt;&lt;keyword&gt;Philosophy, Modern&lt;/keyword&gt;&lt;keyword&gt;Realism&lt;/keyword&gt;&lt;/keywords&gt;&lt;titles&gt;&lt;title&gt;Explaining society: critical realism in the social sciences&lt;/title&gt;&lt;/titles&gt;&lt;contributors&gt;&lt;authors&gt;&lt;author&gt;Danermark, Berth&lt;/author&gt;&lt;author&gt;Ekstrom, Mats&lt;/author&gt;&lt;author&gt;Jakobsen, Liselotte&lt;/author&gt;&lt;author&gt;Karlsson, Jan Ch.&lt;/author&gt;&lt;/authors&gt;&lt;/contributors&gt;&lt;added-date format="utc"&gt;1530787967&lt;/added-date&gt;&lt;pub-location&gt;London&lt;/pub-location&gt;&lt;ref-type name="Book"&gt;6&lt;/ref-type&gt;&lt;dates&gt;&lt;year&gt;2002&lt;/year&gt;&lt;/dates&gt;&lt;rec-number&gt;7593&lt;/rec-number&gt;&lt;publisher&gt;Routledge&lt;/publisher&gt;&lt;last-updated-date format="utc"&gt;1530790419&lt;/last-updated-date&gt;&lt;/record&gt;&lt;/Cite&gt;&lt;/EndNote&gt;</w:instrText>
      </w:r>
      <w:r w:rsidR="00233012">
        <w:rPr>
          <w:iCs/>
          <w:sz w:val="24"/>
          <w:szCs w:val="24"/>
        </w:rPr>
        <w:fldChar w:fldCharType="separate"/>
      </w:r>
      <w:r>
        <w:rPr>
          <w:iCs/>
          <w:noProof/>
          <w:sz w:val="24"/>
          <w:szCs w:val="24"/>
        </w:rPr>
        <w:t>(Danermark et al., 2002, pp. 158, 175)</w:t>
      </w:r>
      <w:r w:rsidR="00233012">
        <w:rPr>
          <w:iCs/>
          <w:sz w:val="24"/>
          <w:szCs w:val="24"/>
        </w:rPr>
        <w:fldChar w:fldCharType="end"/>
      </w:r>
      <w:r>
        <w:rPr>
          <w:iCs/>
          <w:sz w:val="24"/>
          <w:szCs w:val="24"/>
        </w:rPr>
        <w:t>.</w:t>
      </w:r>
      <w:r w:rsidRPr="006E38C9">
        <w:rPr>
          <w:sz w:val="24"/>
          <w:szCs w:val="24"/>
          <w:lang w:eastAsia="ko-KR"/>
        </w:rPr>
        <w:t xml:space="preserve"> </w:t>
      </w:r>
      <w:r w:rsidR="001F4C1E">
        <w:rPr>
          <w:sz w:val="24"/>
          <w:szCs w:val="24"/>
          <w:lang w:eastAsia="ko-KR"/>
        </w:rPr>
        <w:t>M</w:t>
      </w:r>
      <w:r>
        <w:rPr>
          <w:sz w:val="24"/>
          <w:szCs w:val="24"/>
          <w:lang w:eastAsia="ko-KR"/>
        </w:rPr>
        <w:t>ost recent qualitative sociological knowledge of academic work and knowledge production has achieved this closeness through participant-based studies, primarily interviews but also in some cases ethnographic data</w:t>
      </w:r>
      <w:r w:rsidR="008A56CD">
        <w:rPr>
          <w:sz w:val="24"/>
          <w:szCs w:val="24"/>
          <w:lang w:eastAsia="ko-KR"/>
        </w:rPr>
        <w:t xml:space="preserve"> (see the Literature Review, Chapter 2)</w:t>
      </w:r>
      <w:r>
        <w:rPr>
          <w:sz w:val="24"/>
          <w:szCs w:val="24"/>
          <w:lang w:eastAsia="ko-KR"/>
        </w:rPr>
        <w:t xml:space="preserve">. Research which does not adopt such methods also tends to foreground participant-based data in the form of quantitative surveys. </w:t>
      </w:r>
      <w:r w:rsidR="00752EF6">
        <w:rPr>
          <w:sz w:val="24"/>
          <w:szCs w:val="24"/>
          <w:lang w:eastAsia="ko-KR"/>
        </w:rPr>
        <w:t>My research</w:t>
      </w:r>
      <w:r>
        <w:rPr>
          <w:sz w:val="24"/>
          <w:szCs w:val="24"/>
          <w:lang w:eastAsia="ko-KR"/>
        </w:rPr>
        <w:t xml:space="preserve"> complement</w:t>
      </w:r>
      <w:r w:rsidR="00752EF6">
        <w:rPr>
          <w:sz w:val="24"/>
          <w:szCs w:val="24"/>
          <w:lang w:eastAsia="ko-KR"/>
        </w:rPr>
        <w:t>s</w:t>
      </w:r>
      <w:r>
        <w:rPr>
          <w:sz w:val="24"/>
          <w:szCs w:val="24"/>
          <w:lang w:eastAsia="ko-KR"/>
        </w:rPr>
        <w:t xml:space="preserve"> and contribute</w:t>
      </w:r>
      <w:r w:rsidR="00752EF6">
        <w:rPr>
          <w:sz w:val="24"/>
          <w:szCs w:val="24"/>
          <w:lang w:eastAsia="ko-KR"/>
        </w:rPr>
        <w:t>s</w:t>
      </w:r>
      <w:r>
        <w:rPr>
          <w:sz w:val="24"/>
          <w:szCs w:val="24"/>
          <w:lang w:eastAsia="ko-KR"/>
        </w:rPr>
        <w:t xml:space="preserve"> to this body of knowledge through a study primarily driven by documentary sources which provide insights into academic research work and its context. Atkinson and Coffey </w:t>
      </w:r>
      <w:r w:rsidR="00233012">
        <w:rPr>
          <w:sz w:val="24"/>
          <w:szCs w:val="24"/>
        </w:rPr>
        <w:fldChar w:fldCharType="begin"/>
      </w:r>
      <w:r>
        <w:rPr>
          <w:sz w:val="24"/>
          <w:szCs w:val="24"/>
        </w:rPr>
        <w:instrText xml:space="preserve"> ADDIN EN.CITE &lt;EndNote&gt;&lt;Cite ExcludeAuth="1"&gt;&lt;Author&gt;Atkinson&lt;/Author&gt;&lt;Year&gt;2004&lt;/Year&gt;&lt;IDText&gt;Analysing documentary realities&lt;/IDText&gt;&lt;DisplayText&gt;(2004)&lt;/DisplayText&gt;&lt;record&gt;&lt;keywords&gt;&lt;keyword&gt;Qualitative research&lt;/keyword&gt;&lt;keyword&gt;Social sciences -- Research&lt;/keyword&gt;&lt;keyword&gt;Social sciences -- Methodology&lt;/keyword&gt;&lt;keyword&gt;Qualitative analysis (Research)&lt;/keyword&gt;&lt;keyword&gt;Qualitative methods (Research)&lt;/keyword&gt;&lt;keyword&gt;Research&lt;/keyword&gt;&lt;keyword&gt;Social science research&lt;/keyword&gt;&lt;/keywords&gt;&lt;titles&gt;&lt;title&gt;Analysing documentary realities&lt;/title&gt;&lt;secondary-title&gt;Qualitative research: theory, method and practice&lt;/secondary-title&gt;&lt;/titles&gt;&lt;contributors&gt;&lt;authors&gt;&lt;author&gt;Atkinson, Paul&lt;/author&gt;&lt;author&gt;Coffey, Amanda&lt;/author&gt;&lt;/authors&gt;&lt;/contributors&gt;&lt;edition&gt;2nd&lt;/edition&gt;&lt;added-date format="utc"&gt;1544444385&lt;/added-date&gt;&lt;pub-location&gt;London&lt;/pub-location&gt;&lt;ref-type name="Book Section"&gt;5&lt;/ref-type&gt;&lt;dates&gt;&lt;year&gt;2004&lt;/year&gt;&lt;/dates&gt;&lt;rec-number&gt;7690&lt;/rec-number&gt;&lt;publisher&gt;SAGE&lt;/publisher&gt;&lt;last-updated-date format="utc"&gt;1544444592&lt;/last-updated-date&gt;&lt;contributors&gt;&lt;secondary-authors&gt;&lt;author&gt;Silverman, David&lt;/author&gt;&lt;/secondary-authors&gt;&lt;/contributors&gt;&lt;/record&gt;&lt;/Cite&gt;&lt;/EndNote&gt;</w:instrText>
      </w:r>
      <w:r w:rsidR="00233012">
        <w:rPr>
          <w:sz w:val="24"/>
          <w:szCs w:val="24"/>
        </w:rPr>
        <w:fldChar w:fldCharType="separate"/>
      </w:r>
      <w:r>
        <w:rPr>
          <w:noProof/>
          <w:sz w:val="24"/>
          <w:szCs w:val="24"/>
        </w:rPr>
        <w:t>(2004)</w:t>
      </w:r>
      <w:r w:rsidR="00233012">
        <w:rPr>
          <w:sz w:val="24"/>
          <w:szCs w:val="24"/>
        </w:rPr>
        <w:fldChar w:fldCharType="end"/>
      </w:r>
      <w:r>
        <w:rPr>
          <w:sz w:val="24"/>
          <w:szCs w:val="24"/>
        </w:rPr>
        <w:t xml:space="preserve"> have made the case for greater use of documentary sources in such contexts:</w:t>
      </w:r>
    </w:p>
    <w:p w14:paraId="76BE6F22" w14:textId="77777777" w:rsidR="00082217" w:rsidRPr="004472AF" w:rsidRDefault="00082217" w:rsidP="008D30CC">
      <w:pPr>
        <w:spacing w:after="120" w:line="240" w:lineRule="auto"/>
        <w:ind w:left="720"/>
        <w:rPr>
          <w:sz w:val="24"/>
          <w:szCs w:val="24"/>
        </w:rPr>
      </w:pPr>
      <w:r w:rsidRPr="004472AF">
        <w:rPr>
          <w:sz w:val="24"/>
          <w:szCs w:val="24"/>
          <w:lang w:eastAsia="ko-KR"/>
        </w:rPr>
        <w:t xml:space="preserve">“Many published studies of, for example, occupational, professional, organizational and even educational or academic settings are implicitly represented as devoid of written documents and other forms of textual recording. ...[I]t is </w:t>
      </w:r>
      <w:r w:rsidRPr="004472AF">
        <w:rPr>
          <w:sz w:val="24"/>
          <w:szCs w:val="24"/>
        </w:rPr>
        <w:t>necessary to redress the balance if only for the sake of completeness and fidelity to the settings of social research.”</w:t>
      </w:r>
      <w:r>
        <w:rPr>
          <w:sz w:val="24"/>
          <w:szCs w:val="24"/>
        </w:rPr>
        <w:t xml:space="preserve"> </w:t>
      </w:r>
      <w:r w:rsidR="00233012">
        <w:rPr>
          <w:sz w:val="24"/>
          <w:szCs w:val="24"/>
        </w:rPr>
        <w:fldChar w:fldCharType="begin"/>
      </w:r>
      <w:r>
        <w:rPr>
          <w:sz w:val="24"/>
          <w:szCs w:val="24"/>
        </w:rPr>
        <w:instrText xml:space="preserve"> ADDIN EN.CITE &lt;EndNote&gt;&lt;Cite ExcludeAuth="1" ExcludeYear="1"&gt;&lt;Author&gt;Atkinson&lt;/Author&gt;&lt;Year&gt;2004&lt;/Year&gt;&lt;IDText&gt;Analysing documentary realities&lt;/IDText&gt;&lt;Pages&gt;56&lt;/Pages&gt;&lt;DisplayText&gt;(p. 56)&lt;/DisplayText&gt;&lt;record&gt;&lt;keywords&gt;&lt;keyword&gt;Qualitative research&lt;/keyword&gt;&lt;keyword&gt;Social sciences -- Research&lt;/keyword&gt;&lt;keyword&gt;Social sciences -- Methodology&lt;/keyword&gt;&lt;keyword&gt;Qualitative analysis (Research)&lt;/keyword&gt;&lt;keyword&gt;Qualitative methods (Research)&lt;/keyword&gt;&lt;keyword&gt;Research&lt;/keyword&gt;&lt;keyword&gt;Social science research&lt;/keyword&gt;&lt;/keywords&gt;&lt;titles&gt;&lt;title&gt;Analysing documentary realities&lt;/title&gt;&lt;secondary-title&gt;Qualitative research: theory, method and practice&lt;/secondary-title&gt;&lt;/titles&gt;&lt;contributors&gt;&lt;authors&gt;&lt;author&gt;Atkinson, Paul&lt;/author&gt;&lt;author&gt;Coffey, Amanda&lt;/author&gt;&lt;/authors&gt;&lt;/contributors&gt;&lt;edition&gt;2nd&lt;/edition&gt;&lt;added-date format="utc"&gt;1544444385&lt;/added-date&gt;&lt;pub-location&gt;London&lt;/pub-location&gt;&lt;ref-type name="Book Section"&gt;5&lt;/ref-type&gt;&lt;dates&gt;&lt;year&gt;2004&lt;/year&gt;&lt;/dates&gt;&lt;rec-number&gt;7690&lt;/rec-number&gt;&lt;publisher&gt;SAGE&lt;/publisher&gt;&lt;last-updated-date format="utc"&gt;1544444592&lt;/last-updated-date&gt;&lt;contributors&gt;&lt;secondary-authors&gt;&lt;author&gt;Silverman, David&lt;/author&gt;&lt;/secondary-authors&gt;&lt;/contributors&gt;&lt;/record&gt;&lt;/Cite&gt;&lt;/EndNote&gt;</w:instrText>
      </w:r>
      <w:r w:rsidR="00233012">
        <w:rPr>
          <w:sz w:val="24"/>
          <w:szCs w:val="24"/>
        </w:rPr>
        <w:fldChar w:fldCharType="separate"/>
      </w:r>
      <w:r>
        <w:rPr>
          <w:noProof/>
          <w:sz w:val="24"/>
          <w:szCs w:val="24"/>
        </w:rPr>
        <w:t>(p. 56)</w:t>
      </w:r>
      <w:r w:rsidR="00233012">
        <w:rPr>
          <w:sz w:val="24"/>
          <w:szCs w:val="24"/>
        </w:rPr>
        <w:fldChar w:fldCharType="end"/>
      </w:r>
    </w:p>
    <w:p w14:paraId="02BA61AB" w14:textId="77777777" w:rsidR="00082217" w:rsidRDefault="00082217" w:rsidP="00082217">
      <w:pPr>
        <w:spacing w:after="120" w:line="360" w:lineRule="auto"/>
        <w:rPr>
          <w:sz w:val="24"/>
          <w:szCs w:val="24"/>
          <w:lang w:eastAsia="ko-KR"/>
        </w:rPr>
      </w:pPr>
      <w:r>
        <w:rPr>
          <w:sz w:val="24"/>
          <w:szCs w:val="24"/>
          <w:lang w:eastAsia="ko-KR"/>
        </w:rPr>
        <w:t xml:space="preserve">They go on to provide further explanation and justification directly pertinent to my own decision to focus on documentary sources. Such research settings as academic contexts, they write, are  </w:t>
      </w:r>
    </w:p>
    <w:p w14:paraId="43418967" w14:textId="77777777" w:rsidR="00082217" w:rsidRPr="004472AF" w:rsidRDefault="00082217" w:rsidP="008D30CC">
      <w:pPr>
        <w:spacing w:after="120" w:line="240" w:lineRule="auto"/>
        <w:ind w:left="720"/>
        <w:rPr>
          <w:sz w:val="24"/>
          <w:szCs w:val="24"/>
        </w:rPr>
      </w:pPr>
      <w:r>
        <w:rPr>
          <w:sz w:val="24"/>
          <w:szCs w:val="24"/>
          <w:lang w:eastAsia="ko-KR"/>
        </w:rPr>
        <w:t xml:space="preserve">“routinely, often extensively, involved in the production and consumption of written records and other kinds of document. ...Many ... of those documents are produced for external, even public, consumption. They may be among the methods whereby [academic] organizations, compete with others in the same marketplace or justify themselves... In the contemporary world, we should also include ... websites, promotional videos and similar artefacts. These are all among the techniques and resources that are employed to create versions of reality and self-presentations.” </w:t>
      </w:r>
      <w:r w:rsidR="00233012">
        <w:rPr>
          <w:sz w:val="24"/>
          <w:szCs w:val="24"/>
        </w:rPr>
        <w:fldChar w:fldCharType="begin"/>
      </w:r>
      <w:r>
        <w:rPr>
          <w:sz w:val="24"/>
          <w:szCs w:val="24"/>
        </w:rPr>
        <w:instrText xml:space="preserve"> ADDIN EN.CITE &lt;EndNote&gt;&lt;Cite&gt;&lt;Author&gt;Atkinson&lt;/Author&gt;&lt;Year&gt;2004&lt;/Year&gt;&lt;IDText&gt;Analysing documentary realities&lt;/IDText&gt;&lt;Pages&gt;57&lt;/Pages&gt;&lt;DisplayText&gt;(Atkinson &amp;amp; Coffey, 2004, p. 57)&lt;/DisplayText&gt;&lt;record&gt;&lt;keywords&gt;&lt;keyword&gt;Qualitative research&lt;/keyword&gt;&lt;keyword&gt;Social sciences -- Research&lt;/keyword&gt;&lt;keyword&gt;Social sciences -- Methodology&lt;/keyword&gt;&lt;keyword&gt;Qualitative analysis (Research)&lt;/keyword&gt;&lt;keyword&gt;Qualitative methods (Research)&lt;/keyword&gt;&lt;keyword&gt;Research&lt;/keyword&gt;&lt;keyword&gt;Social science research&lt;/keyword&gt;&lt;/keywords&gt;&lt;titles&gt;&lt;title&gt;Analysing documentary realities&lt;/title&gt;&lt;secondary-title&gt;Qualitative research: theory, method and practice&lt;/secondary-title&gt;&lt;/titles&gt;&lt;contributors&gt;&lt;authors&gt;&lt;author&gt;Atkinson, Paul&lt;/author&gt;&lt;author&gt;Coffey, Amanda&lt;/author&gt;&lt;/authors&gt;&lt;/contributors&gt;&lt;edition&gt;2nd&lt;/edition&gt;&lt;added-date format="utc"&gt;1544444385&lt;/added-date&gt;&lt;pub-location&gt;London&lt;/pub-location&gt;&lt;ref-type name="Book Section"&gt;5&lt;/ref-type&gt;&lt;dates&gt;&lt;year&gt;2004&lt;/year&gt;&lt;/dates&gt;&lt;rec-number&gt;7690&lt;/rec-number&gt;&lt;publisher&gt;SAGE&lt;/publisher&gt;&lt;last-updated-date format="utc"&gt;1544444592&lt;/last-updated-date&gt;&lt;contributors&gt;&lt;secondary-authors&gt;&lt;author&gt;Silverman, David&lt;/author&gt;&lt;/secondary-authors&gt;&lt;/contributors&gt;&lt;/record&gt;&lt;/Cite&gt;&lt;/EndNote&gt;</w:instrText>
      </w:r>
      <w:r w:rsidR="00233012">
        <w:rPr>
          <w:sz w:val="24"/>
          <w:szCs w:val="24"/>
        </w:rPr>
        <w:fldChar w:fldCharType="separate"/>
      </w:r>
      <w:r>
        <w:rPr>
          <w:noProof/>
          <w:sz w:val="24"/>
          <w:szCs w:val="24"/>
        </w:rPr>
        <w:t>(Atkinson &amp; Coffey, 2004, p. 57)</w:t>
      </w:r>
      <w:r w:rsidR="00233012">
        <w:rPr>
          <w:sz w:val="24"/>
          <w:szCs w:val="24"/>
        </w:rPr>
        <w:fldChar w:fldCharType="end"/>
      </w:r>
    </w:p>
    <w:p w14:paraId="44411BAC" w14:textId="29280AF2" w:rsidR="00082217" w:rsidRPr="00693C53" w:rsidRDefault="00082217" w:rsidP="00082217">
      <w:pPr>
        <w:spacing w:after="120" w:line="360" w:lineRule="auto"/>
        <w:rPr>
          <w:iCs/>
          <w:sz w:val="24"/>
          <w:szCs w:val="24"/>
        </w:rPr>
      </w:pPr>
      <w:r>
        <w:rPr>
          <w:iCs/>
          <w:sz w:val="24"/>
          <w:szCs w:val="24"/>
        </w:rPr>
        <w:t xml:space="preserve">The above passage describes well the kinds of documents I gather for my analysis. </w:t>
      </w:r>
      <w:r w:rsidR="00F948BF">
        <w:fldChar w:fldCharType="begin"/>
      </w:r>
      <w:r w:rsidR="00F948BF">
        <w:instrText xml:space="preserve"> REF _Ref532244168 \h  \* MERGEFORMAT </w:instrText>
      </w:r>
      <w:r w:rsidR="00F948BF">
        <w:fldChar w:fldCharType="separate"/>
      </w:r>
      <w:r w:rsidR="0011424E" w:rsidRPr="0011424E">
        <w:rPr>
          <w:sz w:val="24"/>
          <w:szCs w:val="24"/>
        </w:rPr>
        <w:t>Figure 4</w:t>
      </w:r>
      <w:r w:rsidR="00F948BF">
        <w:fldChar w:fldCharType="end"/>
      </w:r>
      <w:r>
        <w:rPr>
          <w:iCs/>
          <w:sz w:val="24"/>
          <w:szCs w:val="24"/>
        </w:rPr>
        <w:t xml:space="preserve"> summarises my 34</w:t>
      </w:r>
      <w:r w:rsidR="00F16C96">
        <w:rPr>
          <w:iCs/>
          <w:sz w:val="24"/>
          <w:szCs w:val="24"/>
        </w:rPr>
        <w:t>5</w:t>
      </w:r>
      <w:r>
        <w:rPr>
          <w:iCs/>
          <w:sz w:val="24"/>
          <w:szCs w:val="24"/>
        </w:rPr>
        <w:t xml:space="preserve"> documentary sources. They include 46 documents related to the ten sampled departments’ REF2014 submissions (26 Impact Case Studies, 10 Impact Templates and 10 Environment Templates</w:t>
      </w:r>
      <w:r>
        <w:rPr>
          <w:rStyle w:val="FootnoteReference"/>
          <w:iCs/>
          <w:sz w:val="24"/>
          <w:szCs w:val="24"/>
        </w:rPr>
        <w:footnoteReference w:id="12"/>
      </w:r>
      <w:r>
        <w:rPr>
          <w:iCs/>
          <w:sz w:val="24"/>
          <w:szCs w:val="24"/>
        </w:rPr>
        <w:t xml:space="preserve">) as well as 301 documentary sources related to the actual BoRs which underpin the Impact submission. Central among these BoR sources are the 152 academic outputs which were referenced in the ‘Underpinning Research’ sections of the Impact Case Study. These were supplemented by a further 23 documents and 126 websites related to the research and its context, including research grant proposals and web profiles of specific centres and non-academic collaborating organisations. </w:t>
      </w:r>
    </w:p>
    <w:tbl>
      <w:tblPr>
        <w:tblStyle w:val="TableGrid"/>
        <w:tblW w:w="0" w:type="auto"/>
        <w:tblLook w:val="04A0" w:firstRow="1" w:lastRow="0" w:firstColumn="1" w:lastColumn="0" w:noHBand="0" w:noVBand="1"/>
      </w:tblPr>
      <w:tblGrid>
        <w:gridCol w:w="1390"/>
        <w:gridCol w:w="5268"/>
        <w:gridCol w:w="1641"/>
      </w:tblGrid>
      <w:tr w:rsidR="00082217" w14:paraId="366845E2" w14:textId="77777777" w:rsidTr="003B52F3">
        <w:trPr>
          <w:trHeight w:val="228"/>
        </w:trPr>
        <w:tc>
          <w:tcPr>
            <w:tcW w:w="1390" w:type="dxa"/>
            <w:vAlign w:val="center"/>
          </w:tcPr>
          <w:p w14:paraId="10CF6B81" w14:textId="77777777" w:rsidR="00082217" w:rsidRPr="00725F6A" w:rsidRDefault="00082217" w:rsidP="003B52F3">
            <w:pPr>
              <w:jc w:val="center"/>
              <w:rPr>
                <w:b/>
                <w:iCs/>
                <w:sz w:val="22"/>
                <w:szCs w:val="22"/>
              </w:rPr>
            </w:pPr>
            <w:r w:rsidRPr="00725F6A">
              <w:rPr>
                <w:b/>
                <w:iCs/>
                <w:sz w:val="22"/>
                <w:szCs w:val="22"/>
              </w:rPr>
              <w:t>Source</w:t>
            </w:r>
          </w:p>
        </w:tc>
        <w:tc>
          <w:tcPr>
            <w:tcW w:w="5268" w:type="dxa"/>
            <w:vAlign w:val="center"/>
          </w:tcPr>
          <w:p w14:paraId="005BFB6D" w14:textId="77777777" w:rsidR="00082217" w:rsidRPr="00725F6A" w:rsidRDefault="00082217" w:rsidP="003B52F3">
            <w:pPr>
              <w:jc w:val="center"/>
              <w:rPr>
                <w:b/>
                <w:iCs/>
                <w:sz w:val="22"/>
                <w:szCs w:val="22"/>
              </w:rPr>
            </w:pPr>
            <w:r w:rsidRPr="00725F6A">
              <w:rPr>
                <w:b/>
                <w:iCs/>
                <w:sz w:val="22"/>
                <w:szCs w:val="22"/>
              </w:rPr>
              <w:t>Type</w:t>
            </w:r>
          </w:p>
        </w:tc>
        <w:tc>
          <w:tcPr>
            <w:tcW w:w="1641" w:type="dxa"/>
            <w:vAlign w:val="center"/>
          </w:tcPr>
          <w:p w14:paraId="63C9239E" w14:textId="77777777" w:rsidR="00082217" w:rsidRPr="00725F6A" w:rsidRDefault="00082217" w:rsidP="003B52F3">
            <w:pPr>
              <w:jc w:val="center"/>
              <w:rPr>
                <w:b/>
                <w:iCs/>
                <w:sz w:val="22"/>
                <w:szCs w:val="22"/>
              </w:rPr>
            </w:pPr>
            <w:r>
              <w:rPr>
                <w:b/>
                <w:iCs/>
                <w:sz w:val="22"/>
                <w:szCs w:val="22"/>
              </w:rPr>
              <w:t>Quantity</w:t>
            </w:r>
          </w:p>
        </w:tc>
      </w:tr>
      <w:tr w:rsidR="00082217" w14:paraId="37EBA011" w14:textId="77777777" w:rsidTr="003B52F3">
        <w:trPr>
          <w:trHeight w:val="58"/>
        </w:trPr>
        <w:tc>
          <w:tcPr>
            <w:tcW w:w="1390" w:type="dxa"/>
            <w:vMerge w:val="restart"/>
            <w:vAlign w:val="center"/>
          </w:tcPr>
          <w:p w14:paraId="594DBD07" w14:textId="1E9A8037" w:rsidR="00082217" w:rsidRPr="00725F6A" w:rsidRDefault="00082217" w:rsidP="003B52F3">
            <w:pPr>
              <w:jc w:val="center"/>
              <w:rPr>
                <w:iCs/>
                <w:sz w:val="22"/>
                <w:szCs w:val="22"/>
              </w:rPr>
            </w:pPr>
            <w:r w:rsidRPr="00725F6A">
              <w:rPr>
                <w:iCs/>
                <w:sz w:val="22"/>
                <w:szCs w:val="22"/>
              </w:rPr>
              <w:t xml:space="preserve">REF </w:t>
            </w:r>
            <w:r>
              <w:rPr>
                <w:iCs/>
                <w:sz w:val="22"/>
                <w:szCs w:val="22"/>
              </w:rPr>
              <w:t>submission</w:t>
            </w:r>
            <w:r w:rsidR="00F37FCD">
              <w:rPr>
                <w:iCs/>
                <w:sz w:val="22"/>
                <w:szCs w:val="22"/>
              </w:rPr>
              <w:t>s</w:t>
            </w:r>
          </w:p>
        </w:tc>
        <w:tc>
          <w:tcPr>
            <w:tcW w:w="5268" w:type="dxa"/>
            <w:vAlign w:val="center"/>
          </w:tcPr>
          <w:p w14:paraId="16598BCA" w14:textId="77777777" w:rsidR="00082217" w:rsidRPr="00725F6A" w:rsidRDefault="00082217" w:rsidP="003B52F3">
            <w:pPr>
              <w:rPr>
                <w:iCs/>
                <w:sz w:val="22"/>
                <w:szCs w:val="22"/>
              </w:rPr>
            </w:pPr>
            <w:r w:rsidRPr="00725F6A">
              <w:rPr>
                <w:iCs/>
                <w:sz w:val="22"/>
                <w:szCs w:val="22"/>
              </w:rPr>
              <w:t>Environment Template</w:t>
            </w:r>
            <w:r>
              <w:rPr>
                <w:iCs/>
                <w:sz w:val="22"/>
                <w:szCs w:val="22"/>
              </w:rPr>
              <w:t xml:space="preserve"> </w:t>
            </w:r>
          </w:p>
        </w:tc>
        <w:tc>
          <w:tcPr>
            <w:tcW w:w="1641" w:type="dxa"/>
            <w:vAlign w:val="center"/>
          </w:tcPr>
          <w:p w14:paraId="04547A7C" w14:textId="77777777" w:rsidR="00082217" w:rsidRPr="00725F6A" w:rsidRDefault="00082217" w:rsidP="003B52F3">
            <w:pPr>
              <w:jc w:val="center"/>
              <w:rPr>
                <w:iCs/>
                <w:sz w:val="22"/>
                <w:szCs w:val="22"/>
              </w:rPr>
            </w:pPr>
            <w:r w:rsidRPr="00725F6A">
              <w:rPr>
                <w:iCs/>
                <w:sz w:val="22"/>
                <w:szCs w:val="22"/>
              </w:rPr>
              <w:t>10</w:t>
            </w:r>
          </w:p>
        </w:tc>
      </w:tr>
      <w:tr w:rsidR="00082217" w14:paraId="2117A18E" w14:textId="77777777" w:rsidTr="003B52F3">
        <w:trPr>
          <w:trHeight w:val="241"/>
        </w:trPr>
        <w:tc>
          <w:tcPr>
            <w:tcW w:w="1390" w:type="dxa"/>
            <w:vMerge/>
            <w:vAlign w:val="center"/>
          </w:tcPr>
          <w:p w14:paraId="65688EC8" w14:textId="77777777" w:rsidR="00082217" w:rsidRPr="00725F6A" w:rsidRDefault="00082217" w:rsidP="003B52F3">
            <w:pPr>
              <w:rPr>
                <w:iCs/>
                <w:sz w:val="22"/>
                <w:szCs w:val="22"/>
              </w:rPr>
            </w:pPr>
          </w:p>
        </w:tc>
        <w:tc>
          <w:tcPr>
            <w:tcW w:w="5268" w:type="dxa"/>
            <w:vAlign w:val="center"/>
          </w:tcPr>
          <w:p w14:paraId="773A69FE" w14:textId="77777777" w:rsidR="00082217" w:rsidRPr="00725F6A" w:rsidRDefault="00082217" w:rsidP="003B52F3">
            <w:pPr>
              <w:rPr>
                <w:iCs/>
                <w:sz w:val="22"/>
                <w:szCs w:val="22"/>
              </w:rPr>
            </w:pPr>
            <w:r w:rsidRPr="00725F6A">
              <w:rPr>
                <w:iCs/>
                <w:sz w:val="22"/>
                <w:szCs w:val="22"/>
              </w:rPr>
              <w:t>Impact Template</w:t>
            </w:r>
          </w:p>
        </w:tc>
        <w:tc>
          <w:tcPr>
            <w:tcW w:w="1641" w:type="dxa"/>
            <w:vAlign w:val="center"/>
          </w:tcPr>
          <w:p w14:paraId="17011F3A" w14:textId="77777777" w:rsidR="00082217" w:rsidRPr="00725F6A" w:rsidRDefault="00082217" w:rsidP="003B52F3">
            <w:pPr>
              <w:jc w:val="center"/>
              <w:rPr>
                <w:iCs/>
                <w:sz w:val="22"/>
                <w:szCs w:val="22"/>
              </w:rPr>
            </w:pPr>
            <w:r>
              <w:rPr>
                <w:iCs/>
                <w:sz w:val="22"/>
                <w:szCs w:val="22"/>
              </w:rPr>
              <w:t>10</w:t>
            </w:r>
          </w:p>
        </w:tc>
      </w:tr>
      <w:tr w:rsidR="00082217" w14:paraId="6E4A1E79" w14:textId="77777777" w:rsidTr="003B52F3">
        <w:trPr>
          <w:trHeight w:val="241"/>
        </w:trPr>
        <w:tc>
          <w:tcPr>
            <w:tcW w:w="1390" w:type="dxa"/>
            <w:vMerge/>
            <w:vAlign w:val="center"/>
          </w:tcPr>
          <w:p w14:paraId="229D81E1" w14:textId="77777777" w:rsidR="00082217" w:rsidRPr="00725F6A" w:rsidRDefault="00082217" w:rsidP="003B52F3">
            <w:pPr>
              <w:rPr>
                <w:iCs/>
                <w:sz w:val="22"/>
                <w:szCs w:val="22"/>
              </w:rPr>
            </w:pPr>
          </w:p>
        </w:tc>
        <w:tc>
          <w:tcPr>
            <w:tcW w:w="5268" w:type="dxa"/>
            <w:vAlign w:val="center"/>
          </w:tcPr>
          <w:p w14:paraId="0F8C5E8C" w14:textId="77777777" w:rsidR="00082217" w:rsidRPr="00725F6A" w:rsidRDefault="00082217" w:rsidP="003B52F3">
            <w:pPr>
              <w:rPr>
                <w:iCs/>
                <w:sz w:val="22"/>
                <w:szCs w:val="22"/>
              </w:rPr>
            </w:pPr>
            <w:r>
              <w:rPr>
                <w:iCs/>
                <w:sz w:val="22"/>
                <w:szCs w:val="22"/>
              </w:rPr>
              <w:t>Impact Case Studies</w:t>
            </w:r>
          </w:p>
        </w:tc>
        <w:tc>
          <w:tcPr>
            <w:tcW w:w="1641" w:type="dxa"/>
            <w:vAlign w:val="center"/>
          </w:tcPr>
          <w:p w14:paraId="1713D11E" w14:textId="77777777" w:rsidR="00082217" w:rsidRPr="00725F6A" w:rsidRDefault="00082217" w:rsidP="003B52F3">
            <w:pPr>
              <w:jc w:val="center"/>
              <w:rPr>
                <w:iCs/>
                <w:sz w:val="22"/>
                <w:szCs w:val="22"/>
              </w:rPr>
            </w:pPr>
            <w:r>
              <w:rPr>
                <w:iCs/>
                <w:sz w:val="22"/>
                <w:szCs w:val="22"/>
              </w:rPr>
              <w:t>26</w:t>
            </w:r>
          </w:p>
        </w:tc>
      </w:tr>
      <w:tr w:rsidR="00082217" w14:paraId="267A476E" w14:textId="77777777" w:rsidTr="003B52F3">
        <w:trPr>
          <w:trHeight w:val="228"/>
        </w:trPr>
        <w:tc>
          <w:tcPr>
            <w:tcW w:w="1390" w:type="dxa"/>
            <w:vMerge w:val="restart"/>
            <w:vAlign w:val="center"/>
          </w:tcPr>
          <w:p w14:paraId="2C7FF91A" w14:textId="1D0E1373" w:rsidR="00082217" w:rsidRPr="0011344A" w:rsidRDefault="00082217" w:rsidP="003B52F3">
            <w:pPr>
              <w:jc w:val="center"/>
              <w:rPr>
                <w:iCs/>
                <w:sz w:val="22"/>
                <w:szCs w:val="22"/>
              </w:rPr>
            </w:pPr>
            <w:r>
              <w:rPr>
                <w:iCs/>
                <w:sz w:val="22"/>
                <w:szCs w:val="22"/>
              </w:rPr>
              <w:t>BoR</w:t>
            </w:r>
            <w:r w:rsidR="00E83D40">
              <w:rPr>
                <w:iCs/>
                <w:sz w:val="22"/>
                <w:szCs w:val="22"/>
              </w:rPr>
              <w:t>s</w:t>
            </w:r>
          </w:p>
        </w:tc>
        <w:tc>
          <w:tcPr>
            <w:tcW w:w="5268" w:type="dxa"/>
            <w:vAlign w:val="center"/>
          </w:tcPr>
          <w:p w14:paraId="448418B6" w14:textId="77777777" w:rsidR="00082217" w:rsidRPr="0011344A" w:rsidRDefault="00082217" w:rsidP="003B52F3">
            <w:pPr>
              <w:rPr>
                <w:iCs/>
                <w:sz w:val="22"/>
                <w:szCs w:val="22"/>
              </w:rPr>
            </w:pPr>
            <w:r>
              <w:rPr>
                <w:iCs/>
                <w:sz w:val="22"/>
                <w:szCs w:val="22"/>
              </w:rPr>
              <w:t>Academic outputs (referenced in Impact Case Studies)</w:t>
            </w:r>
          </w:p>
        </w:tc>
        <w:tc>
          <w:tcPr>
            <w:tcW w:w="1641" w:type="dxa"/>
            <w:vAlign w:val="center"/>
          </w:tcPr>
          <w:p w14:paraId="1AB4D5C9" w14:textId="77777777" w:rsidR="00082217" w:rsidRPr="0011344A" w:rsidRDefault="00082217" w:rsidP="003B52F3">
            <w:pPr>
              <w:keepNext/>
              <w:jc w:val="center"/>
              <w:rPr>
                <w:iCs/>
                <w:sz w:val="22"/>
                <w:szCs w:val="22"/>
              </w:rPr>
            </w:pPr>
            <w:r>
              <w:rPr>
                <w:iCs/>
                <w:sz w:val="22"/>
                <w:szCs w:val="22"/>
              </w:rPr>
              <w:t>152</w:t>
            </w:r>
          </w:p>
        </w:tc>
      </w:tr>
      <w:tr w:rsidR="00082217" w14:paraId="2F503A89" w14:textId="77777777" w:rsidTr="003B52F3">
        <w:trPr>
          <w:trHeight w:val="228"/>
        </w:trPr>
        <w:tc>
          <w:tcPr>
            <w:tcW w:w="1390" w:type="dxa"/>
            <w:vMerge/>
            <w:vAlign w:val="center"/>
          </w:tcPr>
          <w:p w14:paraId="3C12FE69" w14:textId="77777777" w:rsidR="00082217" w:rsidRDefault="00082217" w:rsidP="003B52F3">
            <w:pPr>
              <w:jc w:val="center"/>
              <w:rPr>
                <w:iCs/>
                <w:sz w:val="22"/>
                <w:szCs w:val="22"/>
              </w:rPr>
            </w:pPr>
          </w:p>
        </w:tc>
        <w:tc>
          <w:tcPr>
            <w:tcW w:w="5268" w:type="dxa"/>
            <w:vAlign w:val="center"/>
          </w:tcPr>
          <w:p w14:paraId="3FB6C581" w14:textId="77777777" w:rsidR="00082217" w:rsidRDefault="00082217" w:rsidP="003B52F3">
            <w:pPr>
              <w:rPr>
                <w:iCs/>
                <w:sz w:val="22"/>
                <w:szCs w:val="22"/>
              </w:rPr>
            </w:pPr>
            <w:r>
              <w:rPr>
                <w:iCs/>
                <w:sz w:val="22"/>
                <w:szCs w:val="22"/>
              </w:rPr>
              <w:t xml:space="preserve">Other documents </w:t>
            </w:r>
          </w:p>
        </w:tc>
        <w:tc>
          <w:tcPr>
            <w:tcW w:w="1641" w:type="dxa"/>
            <w:vAlign w:val="center"/>
          </w:tcPr>
          <w:p w14:paraId="61C3CB04" w14:textId="4ACBA786" w:rsidR="00082217" w:rsidRDefault="00082217" w:rsidP="003B52F3">
            <w:pPr>
              <w:keepNext/>
              <w:jc w:val="center"/>
              <w:rPr>
                <w:iCs/>
                <w:sz w:val="22"/>
                <w:szCs w:val="22"/>
              </w:rPr>
            </w:pPr>
            <w:r>
              <w:rPr>
                <w:iCs/>
                <w:sz w:val="22"/>
                <w:szCs w:val="22"/>
              </w:rPr>
              <w:t>2</w:t>
            </w:r>
            <w:r w:rsidR="00E83D40">
              <w:rPr>
                <w:iCs/>
                <w:sz w:val="22"/>
                <w:szCs w:val="22"/>
              </w:rPr>
              <w:t>3</w:t>
            </w:r>
          </w:p>
        </w:tc>
      </w:tr>
      <w:tr w:rsidR="00082217" w14:paraId="55061584" w14:textId="77777777" w:rsidTr="003B52F3">
        <w:trPr>
          <w:trHeight w:val="228"/>
        </w:trPr>
        <w:tc>
          <w:tcPr>
            <w:tcW w:w="1390" w:type="dxa"/>
            <w:vMerge/>
            <w:vAlign w:val="center"/>
          </w:tcPr>
          <w:p w14:paraId="33E26AB1" w14:textId="77777777" w:rsidR="00082217" w:rsidRDefault="00082217" w:rsidP="003B52F3">
            <w:pPr>
              <w:jc w:val="center"/>
              <w:rPr>
                <w:iCs/>
                <w:sz w:val="22"/>
                <w:szCs w:val="22"/>
              </w:rPr>
            </w:pPr>
          </w:p>
        </w:tc>
        <w:tc>
          <w:tcPr>
            <w:tcW w:w="5268" w:type="dxa"/>
            <w:vAlign w:val="center"/>
          </w:tcPr>
          <w:p w14:paraId="1023E8BD" w14:textId="77777777" w:rsidR="00082217" w:rsidRDefault="00082217" w:rsidP="003B52F3">
            <w:pPr>
              <w:rPr>
                <w:iCs/>
                <w:sz w:val="22"/>
                <w:szCs w:val="22"/>
              </w:rPr>
            </w:pPr>
            <w:r>
              <w:rPr>
                <w:iCs/>
                <w:sz w:val="22"/>
                <w:szCs w:val="22"/>
              </w:rPr>
              <w:t>Web sites</w:t>
            </w:r>
          </w:p>
        </w:tc>
        <w:tc>
          <w:tcPr>
            <w:tcW w:w="1641" w:type="dxa"/>
            <w:vAlign w:val="center"/>
          </w:tcPr>
          <w:p w14:paraId="4CA4455E" w14:textId="046EAE15" w:rsidR="00082217" w:rsidRDefault="00082217" w:rsidP="003B52F3">
            <w:pPr>
              <w:keepNext/>
              <w:jc w:val="center"/>
              <w:rPr>
                <w:iCs/>
                <w:sz w:val="22"/>
                <w:szCs w:val="22"/>
              </w:rPr>
            </w:pPr>
            <w:r>
              <w:rPr>
                <w:iCs/>
                <w:sz w:val="22"/>
                <w:szCs w:val="22"/>
              </w:rPr>
              <w:t>12</w:t>
            </w:r>
            <w:r w:rsidR="00E83D40">
              <w:rPr>
                <w:iCs/>
                <w:sz w:val="22"/>
                <w:szCs w:val="22"/>
              </w:rPr>
              <w:t>4</w:t>
            </w:r>
          </w:p>
        </w:tc>
      </w:tr>
      <w:tr w:rsidR="00082217" w14:paraId="6445C019" w14:textId="77777777" w:rsidTr="003B52F3">
        <w:trPr>
          <w:trHeight w:val="228"/>
        </w:trPr>
        <w:tc>
          <w:tcPr>
            <w:tcW w:w="6658" w:type="dxa"/>
            <w:gridSpan w:val="2"/>
            <w:vAlign w:val="center"/>
          </w:tcPr>
          <w:p w14:paraId="65745825" w14:textId="77777777" w:rsidR="00082217" w:rsidRPr="008F32C3" w:rsidRDefault="00082217" w:rsidP="003B52F3">
            <w:pPr>
              <w:jc w:val="center"/>
              <w:rPr>
                <w:b/>
                <w:bCs/>
                <w:iCs/>
                <w:sz w:val="22"/>
                <w:szCs w:val="22"/>
              </w:rPr>
            </w:pPr>
            <w:r w:rsidRPr="008F32C3">
              <w:rPr>
                <w:b/>
                <w:bCs/>
                <w:iCs/>
                <w:sz w:val="22"/>
                <w:szCs w:val="22"/>
              </w:rPr>
              <w:t>Total</w:t>
            </w:r>
          </w:p>
        </w:tc>
        <w:tc>
          <w:tcPr>
            <w:tcW w:w="1641" w:type="dxa"/>
            <w:vAlign w:val="center"/>
          </w:tcPr>
          <w:p w14:paraId="3B667290" w14:textId="7625CDDA" w:rsidR="00082217" w:rsidRPr="008F32C3" w:rsidRDefault="00082217" w:rsidP="003B52F3">
            <w:pPr>
              <w:keepNext/>
              <w:jc w:val="center"/>
              <w:rPr>
                <w:b/>
                <w:bCs/>
                <w:iCs/>
                <w:sz w:val="22"/>
                <w:szCs w:val="22"/>
              </w:rPr>
            </w:pPr>
            <w:r w:rsidRPr="008F32C3">
              <w:rPr>
                <w:b/>
                <w:bCs/>
                <w:iCs/>
                <w:sz w:val="22"/>
                <w:szCs w:val="22"/>
              </w:rPr>
              <w:t>34</w:t>
            </w:r>
            <w:r w:rsidR="00137CD5" w:rsidRPr="008F32C3">
              <w:rPr>
                <w:b/>
                <w:bCs/>
                <w:iCs/>
                <w:sz w:val="22"/>
                <w:szCs w:val="22"/>
              </w:rPr>
              <w:t>5</w:t>
            </w:r>
          </w:p>
        </w:tc>
      </w:tr>
    </w:tbl>
    <w:p w14:paraId="62E76B5A" w14:textId="166CCC6C" w:rsidR="00082217" w:rsidRDefault="00082217" w:rsidP="00082217">
      <w:pPr>
        <w:pStyle w:val="Caption"/>
        <w:rPr>
          <w:iCs w:val="0"/>
          <w:sz w:val="24"/>
          <w:szCs w:val="24"/>
        </w:rPr>
      </w:pPr>
      <w:bookmarkStart w:id="80" w:name="_Ref532244168"/>
      <w:bookmarkStart w:id="81" w:name="_Ref532244146"/>
      <w:bookmarkStart w:id="82" w:name="_Toc536438881"/>
      <w:bookmarkStart w:id="83" w:name="_Toc31702073"/>
      <w:r>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4</w:t>
      </w:r>
      <w:r w:rsidR="00233012">
        <w:rPr>
          <w:noProof/>
        </w:rPr>
        <w:fldChar w:fldCharType="end"/>
      </w:r>
      <w:bookmarkEnd w:id="80"/>
      <w:r>
        <w:t>. Documentary and web-based data sources</w:t>
      </w:r>
      <w:bookmarkEnd w:id="81"/>
      <w:bookmarkEnd w:id="82"/>
      <w:bookmarkEnd w:id="83"/>
    </w:p>
    <w:p w14:paraId="630E4797" w14:textId="1A6E5235" w:rsidR="00082217" w:rsidRPr="00B33BCF" w:rsidRDefault="00B06F22" w:rsidP="00082217">
      <w:pPr>
        <w:spacing w:after="120" w:line="360" w:lineRule="auto"/>
        <w:rPr>
          <w:iCs/>
          <w:sz w:val="24"/>
          <w:szCs w:val="24"/>
        </w:rPr>
      </w:pPr>
      <w:r w:rsidRPr="00B33BCF">
        <w:rPr>
          <w:iCs/>
          <w:sz w:val="24"/>
          <w:szCs w:val="24"/>
        </w:rPr>
        <w:t xml:space="preserve">While using these data, I acknowledge </w:t>
      </w:r>
      <w:r w:rsidR="00082217" w:rsidRPr="00B33BCF">
        <w:rPr>
          <w:iCs/>
          <w:sz w:val="24"/>
          <w:szCs w:val="24"/>
        </w:rPr>
        <w:t>Atkinson and Coffey</w:t>
      </w:r>
      <w:r w:rsidRPr="00B33BCF">
        <w:rPr>
          <w:iCs/>
          <w:sz w:val="24"/>
          <w:szCs w:val="24"/>
        </w:rPr>
        <w:t>’</w:t>
      </w:r>
      <w:r w:rsidR="00082217" w:rsidRPr="00B33BCF">
        <w:rPr>
          <w:iCs/>
          <w:sz w:val="24"/>
          <w:szCs w:val="24"/>
        </w:rPr>
        <w:t xml:space="preserve"> </w:t>
      </w:r>
      <w:r w:rsidR="00233012" w:rsidRPr="00B33BCF">
        <w:rPr>
          <w:sz w:val="24"/>
          <w:szCs w:val="24"/>
        </w:rPr>
        <w:fldChar w:fldCharType="begin"/>
      </w:r>
      <w:r w:rsidR="00082217" w:rsidRPr="00B33BCF">
        <w:rPr>
          <w:sz w:val="24"/>
          <w:szCs w:val="24"/>
        </w:rPr>
        <w:instrText xml:space="preserve"> ADDIN EN.CITE &lt;EndNote&gt;&lt;Cite ExcludeAuth="1"&gt;&lt;Author&gt;Atkinson&lt;/Author&gt;&lt;Year&gt;2004&lt;/Year&gt;&lt;IDText&gt;Analysing documentary realities&lt;/IDText&gt;&lt;DisplayText&gt;(2004)&lt;/DisplayText&gt;&lt;record&gt;&lt;keywords&gt;&lt;keyword&gt;Qualitative research&lt;/keyword&gt;&lt;keyword&gt;Social sciences -- Research&lt;/keyword&gt;&lt;keyword&gt;Social sciences -- Methodology&lt;/keyword&gt;&lt;keyword&gt;Qualitative analysis (Research)&lt;/keyword&gt;&lt;keyword&gt;Qualitative methods (Research)&lt;/keyword&gt;&lt;keyword&gt;Research&lt;/keyword&gt;&lt;keyword&gt;Social science research&lt;/keyword&gt;&lt;/keywords&gt;&lt;titles&gt;&lt;title&gt;Analysing documentary realities&lt;/title&gt;&lt;secondary-title&gt;Qualitative research: theory, method and practice&lt;/secondary-title&gt;&lt;/titles&gt;&lt;contributors&gt;&lt;authors&gt;&lt;author&gt;Atkinson, Paul&lt;/author&gt;&lt;author&gt;Coffey, Amanda&lt;/author&gt;&lt;/authors&gt;&lt;/contributors&gt;&lt;edition&gt;2nd&lt;/edition&gt;&lt;added-date format="utc"&gt;1544444385&lt;/added-date&gt;&lt;pub-location&gt;London&lt;/pub-location&gt;&lt;ref-type name="Book Section"&gt;5&lt;/ref-type&gt;&lt;dates&gt;&lt;year&gt;2004&lt;/year&gt;&lt;/dates&gt;&lt;rec-number&gt;7690&lt;/rec-number&gt;&lt;publisher&gt;SAGE&lt;/publisher&gt;&lt;last-updated-date format="utc"&gt;1544444592&lt;/last-updated-date&gt;&lt;contributors&gt;&lt;secondary-authors&gt;&lt;author&gt;Silverman, David&lt;/author&gt;&lt;/secondary-authors&gt;&lt;/contributors&gt;&lt;/record&gt;&lt;/Cite&gt;&lt;/EndNote&gt;</w:instrText>
      </w:r>
      <w:r w:rsidR="00233012" w:rsidRPr="00B33BCF">
        <w:rPr>
          <w:sz w:val="24"/>
          <w:szCs w:val="24"/>
        </w:rPr>
        <w:fldChar w:fldCharType="separate"/>
      </w:r>
      <w:r w:rsidR="00082217" w:rsidRPr="00B33BCF">
        <w:rPr>
          <w:noProof/>
          <w:sz w:val="24"/>
          <w:szCs w:val="24"/>
        </w:rPr>
        <w:t>(2004)</w:t>
      </w:r>
      <w:r w:rsidR="00233012" w:rsidRPr="00B33BCF">
        <w:rPr>
          <w:sz w:val="24"/>
          <w:szCs w:val="24"/>
        </w:rPr>
        <w:fldChar w:fldCharType="end"/>
      </w:r>
      <w:r w:rsidR="00082217" w:rsidRPr="00B33BCF">
        <w:rPr>
          <w:iCs/>
          <w:sz w:val="24"/>
          <w:szCs w:val="24"/>
        </w:rPr>
        <w:t xml:space="preserve"> </w:t>
      </w:r>
      <w:r w:rsidRPr="00B33BCF">
        <w:rPr>
          <w:iCs/>
          <w:sz w:val="24"/>
          <w:szCs w:val="24"/>
        </w:rPr>
        <w:t>caution that</w:t>
      </w:r>
      <w:r w:rsidR="00082217" w:rsidRPr="00B33BCF">
        <w:rPr>
          <w:iCs/>
          <w:sz w:val="24"/>
          <w:szCs w:val="24"/>
        </w:rPr>
        <w:t xml:space="preserve"> documents are representations of “a particular kind of documentary reality” </w:t>
      </w:r>
      <w:r w:rsidR="00233012" w:rsidRPr="00B33BCF">
        <w:rPr>
          <w:sz w:val="24"/>
          <w:szCs w:val="24"/>
        </w:rPr>
        <w:fldChar w:fldCharType="begin"/>
      </w:r>
      <w:r w:rsidR="00082217" w:rsidRPr="00B33BCF">
        <w:rPr>
          <w:sz w:val="24"/>
          <w:szCs w:val="24"/>
        </w:rPr>
        <w:instrText xml:space="preserve"> ADDIN EN.CITE &lt;EndNote&gt;&lt;Cite ExcludeAuth="1" ExcludeYear="1"&gt;&lt;Author&gt;Atkinson&lt;/Author&gt;&lt;Year&gt;2004&lt;/Year&gt;&lt;IDText&gt;Analysing documentary realities&lt;/IDText&gt;&lt;Pages&gt;61&lt;/Pages&gt;&lt;DisplayText&gt;(p. 61)&lt;/DisplayText&gt;&lt;record&gt;&lt;keywords&gt;&lt;keyword&gt;Qualitative research&lt;/keyword&gt;&lt;keyword&gt;Social sciences -- Research&lt;/keyword&gt;&lt;keyword&gt;Social sciences -- Methodology&lt;/keyword&gt;&lt;keyword&gt;Qualitative analysis (Research)&lt;/keyword&gt;&lt;keyword&gt;Qualitative methods (Research)&lt;/keyword&gt;&lt;keyword&gt;Research&lt;/keyword&gt;&lt;keyword&gt;Social science research&lt;/keyword&gt;&lt;/keywords&gt;&lt;titles&gt;&lt;title&gt;Analysing documentary realities&lt;/title&gt;&lt;secondary-title&gt;Qualitative research: theory, method and practice&lt;/secondary-title&gt;&lt;/titles&gt;&lt;contributors&gt;&lt;authors&gt;&lt;author&gt;Atkinson, Paul&lt;/author&gt;&lt;author&gt;Coffey, Amanda&lt;/author&gt;&lt;/authors&gt;&lt;/contributors&gt;&lt;edition&gt;2nd&lt;/edition&gt;&lt;added-date format="utc"&gt;1544444385&lt;/added-date&gt;&lt;pub-location&gt;London&lt;/pub-location&gt;&lt;ref-type name="Book Section"&gt;5&lt;/ref-type&gt;&lt;dates&gt;&lt;year&gt;2004&lt;/year&gt;&lt;/dates&gt;&lt;rec-number&gt;7690&lt;/rec-number&gt;&lt;publisher&gt;SAGE&lt;/publisher&gt;&lt;last-updated-date format="utc"&gt;1544444592&lt;/last-updated-date&gt;&lt;contributors&gt;&lt;secondary-authors&gt;&lt;author&gt;Silverman, David&lt;/author&gt;&lt;/secondary-authors&gt;&lt;/contributors&gt;&lt;/record&gt;&lt;/Cite&gt;&lt;/EndNote&gt;</w:instrText>
      </w:r>
      <w:r w:rsidR="00233012" w:rsidRPr="00B33BCF">
        <w:rPr>
          <w:sz w:val="24"/>
          <w:szCs w:val="24"/>
        </w:rPr>
        <w:fldChar w:fldCharType="separate"/>
      </w:r>
      <w:r w:rsidR="00082217" w:rsidRPr="00B33BCF">
        <w:rPr>
          <w:noProof/>
          <w:sz w:val="24"/>
          <w:szCs w:val="24"/>
        </w:rPr>
        <w:t>(p. 61)</w:t>
      </w:r>
      <w:r w:rsidR="00233012" w:rsidRPr="00B33BCF">
        <w:rPr>
          <w:sz w:val="24"/>
          <w:szCs w:val="24"/>
        </w:rPr>
        <w:fldChar w:fldCharType="end"/>
      </w:r>
      <w:r w:rsidR="00082217" w:rsidRPr="00B33BCF">
        <w:rPr>
          <w:sz w:val="24"/>
          <w:szCs w:val="24"/>
        </w:rPr>
        <w:t xml:space="preserve">. Such documents as produced in the context of “audit exercises like the RAE [or REF] ... are intended to reflect the </w:t>
      </w:r>
      <w:r w:rsidR="00082217" w:rsidRPr="00B33BCF">
        <w:rPr>
          <w:i/>
          <w:sz w:val="24"/>
          <w:szCs w:val="24"/>
        </w:rPr>
        <w:t>coherence</w:t>
      </w:r>
      <w:r w:rsidR="00082217" w:rsidRPr="00B33BCF">
        <w:rPr>
          <w:sz w:val="24"/>
          <w:szCs w:val="24"/>
        </w:rPr>
        <w:t xml:space="preserve"> of a department’s research strategic thinking and the </w:t>
      </w:r>
      <w:r w:rsidR="00082217" w:rsidRPr="00B33BCF">
        <w:rPr>
          <w:i/>
          <w:sz w:val="24"/>
          <w:szCs w:val="24"/>
        </w:rPr>
        <w:t>cogency</w:t>
      </w:r>
      <w:r w:rsidR="00082217" w:rsidRPr="00B33BCF">
        <w:rPr>
          <w:sz w:val="24"/>
          <w:szCs w:val="24"/>
        </w:rPr>
        <w:t xml:space="preserve"> of its research plans” </w:t>
      </w:r>
      <w:r w:rsidR="00233012" w:rsidRPr="00B33BCF">
        <w:rPr>
          <w:sz w:val="24"/>
          <w:szCs w:val="24"/>
        </w:rPr>
        <w:fldChar w:fldCharType="begin"/>
      </w:r>
      <w:r w:rsidR="00082217" w:rsidRPr="00B33BCF">
        <w:rPr>
          <w:sz w:val="24"/>
          <w:szCs w:val="24"/>
        </w:rPr>
        <w:instrText xml:space="preserve"> ADDIN EN.CITE &lt;EndNote&gt;&lt;Cite&gt;&lt;Author&gt;Atkinson&lt;/Author&gt;&lt;Year&gt;2004&lt;/Year&gt;&lt;IDText&gt;Analysing documentary realities&lt;/IDText&gt;&lt;Suffix&gt;`, emphasis added&lt;/Suffix&gt;&lt;Pages&gt;70&lt;/Pages&gt;&lt;DisplayText&gt;(Atkinson &amp;amp; Coffey, 2004, p. 70, emphasis added)&lt;/DisplayText&gt;&lt;record&gt;&lt;keywords&gt;&lt;keyword&gt;Qualitative research&lt;/keyword&gt;&lt;keyword&gt;Social sciences -- Research&lt;/keyword&gt;&lt;keyword&gt;Social sciences -- Methodology&lt;/keyword&gt;&lt;keyword&gt;Qualitative analysis (Research)&lt;/keyword&gt;&lt;keyword&gt;Qualitative methods (Research)&lt;/keyword&gt;&lt;keyword&gt;Research&lt;/keyword&gt;&lt;keyword&gt;Social science research&lt;/keyword&gt;&lt;/keywords&gt;&lt;titles&gt;&lt;title&gt;Analysing documentary realities&lt;/title&gt;&lt;secondary-title&gt;Qualitative research: theory, method and practice&lt;/secondary-title&gt;&lt;/titles&gt;&lt;contributors&gt;&lt;authors&gt;&lt;author&gt;Atkinson, Paul&lt;/author&gt;&lt;author&gt;Coffey, Amanda&lt;/author&gt;&lt;/authors&gt;&lt;/contributors&gt;&lt;edition&gt;2nd&lt;/edition&gt;&lt;added-date format="utc"&gt;1544444385&lt;/added-date&gt;&lt;pub-location&gt;London&lt;/pub-location&gt;&lt;ref-type name="Book Section"&gt;5&lt;/ref-type&gt;&lt;dates&gt;&lt;year&gt;2004&lt;/year&gt;&lt;/dates&gt;&lt;rec-number&gt;7690&lt;/rec-number&gt;&lt;publisher&gt;SAGE&lt;/publisher&gt;&lt;last-updated-date format="utc"&gt;1544444592&lt;/last-updated-date&gt;&lt;contributors&gt;&lt;secondary-authors&gt;&lt;author&gt;Silverman, David&lt;/author&gt;&lt;/secondary-authors&gt;&lt;/contributors&gt;&lt;/record&gt;&lt;/Cite&gt;&lt;/EndNote&gt;</w:instrText>
      </w:r>
      <w:r w:rsidR="00233012" w:rsidRPr="00B33BCF">
        <w:rPr>
          <w:sz w:val="24"/>
          <w:szCs w:val="24"/>
        </w:rPr>
        <w:fldChar w:fldCharType="separate"/>
      </w:r>
      <w:r w:rsidR="00082217" w:rsidRPr="00B33BCF">
        <w:rPr>
          <w:noProof/>
          <w:sz w:val="24"/>
          <w:szCs w:val="24"/>
        </w:rPr>
        <w:t>(Atkinson &amp; Coffey, 2004, p. 70, emphasis added)</w:t>
      </w:r>
      <w:r w:rsidR="00233012" w:rsidRPr="00B33BCF">
        <w:rPr>
          <w:sz w:val="24"/>
          <w:szCs w:val="24"/>
        </w:rPr>
        <w:fldChar w:fldCharType="end"/>
      </w:r>
      <w:r w:rsidR="00082217" w:rsidRPr="00B33BCF">
        <w:rPr>
          <w:sz w:val="24"/>
          <w:szCs w:val="24"/>
        </w:rPr>
        <w:t xml:space="preserve">, rather than the more complex and ‘messier’ aspects of the reality of academic research. Although providing valuable factual information, they must not be received uncritically, nor as a sole source of data for the critical realist qualitative researcher interested in the specifics of the research </w:t>
      </w:r>
      <w:r w:rsidR="00082217" w:rsidRPr="00B33BCF">
        <w:rPr>
          <w:i/>
          <w:sz w:val="24"/>
          <w:szCs w:val="24"/>
        </w:rPr>
        <w:t>context</w:t>
      </w:r>
      <w:r w:rsidR="00082217" w:rsidRPr="00B33BCF">
        <w:rPr>
          <w:sz w:val="24"/>
          <w:szCs w:val="24"/>
        </w:rPr>
        <w:t>, since one of the features of such documents is precisely that they “</w:t>
      </w:r>
      <w:r w:rsidR="00082217" w:rsidRPr="00B33BCF">
        <w:rPr>
          <w:i/>
          <w:sz w:val="24"/>
          <w:szCs w:val="24"/>
        </w:rPr>
        <w:t>de-contextualize</w:t>
      </w:r>
      <w:r w:rsidR="00082217" w:rsidRPr="00B33BCF">
        <w:rPr>
          <w:sz w:val="24"/>
          <w:szCs w:val="24"/>
        </w:rPr>
        <w:t xml:space="preserve"> events” (Atkinson &amp; Coffey, 2004, p. 69, emphasis added).</w:t>
      </w:r>
      <w:r w:rsidR="00082217" w:rsidRPr="00B33BCF">
        <w:rPr>
          <w:iCs/>
          <w:sz w:val="24"/>
          <w:szCs w:val="24"/>
        </w:rPr>
        <w:t xml:space="preserve"> </w:t>
      </w:r>
    </w:p>
    <w:p w14:paraId="15548057" w14:textId="5B31476A" w:rsidR="00EF6E0C" w:rsidRPr="00B33BCF" w:rsidRDefault="00EC74F9" w:rsidP="00082217">
      <w:pPr>
        <w:spacing w:after="120" w:line="360" w:lineRule="auto"/>
        <w:rPr>
          <w:iCs/>
          <w:sz w:val="24"/>
          <w:szCs w:val="24"/>
        </w:rPr>
      </w:pPr>
      <w:r w:rsidRPr="00B33BCF">
        <w:rPr>
          <w:iCs/>
          <w:sz w:val="24"/>
          <w:szCs w:val="24"/>
        </w:rPr>
        <w:t>Atkinson and Coffey’s (2004)</w:t>
      </w:r>
      <w:r w:rsidR="00EF6E0C" w:rsidRPr="00B33BCF">
        <w:rPr>
          <w:iCs/>
          <w:sz w:val="24"/>
          <w:szCs w:val="24"/>
        </w:rPr>
        <w:t xml:space="preserve"> cautions </w:t>
      </w:r>
      <w:r w:rsidRPr="00B33BCF">
        <w:rPr>
          <w:iCs/>
          <w:sz w:val="24"/>
          <w:szCs w:val="24"/>
        </w:rPr>
        <w:t>about using</w:t>
      </w:r>
      <w:r w:rsidR="00EF6E0C" w:rsidRPr="00B33BCF">
        <w:rPr>
          <w:iCs/>
          <w:sz w:val="24"/>
          <w:szCs w:val="24"/>
        </w:rPr>
        <w:t xml:space="preserve"> such documents are perhaps even more relevant in the context of REF2014 than in </w:t>
      </w:r>
      <w:r w:rsidRPr="00B33BCF">
        <w:rPr>
          <w:iCs/>
          <w:sz w:val="24"/>
          <w:szCs w:val="24"/>
        </w:rPr>
        <w:t>their</w:t>
      </w:r>
      <w:r w:rsidR="00EF6E0C" w:rsidRPr="00B33BCF">
        <w:rPr>
          <w:iCs/>
          <w:sz w:val="24"/>
          <w:szCs w:val="24"/>
        </w:rPr>
        <w:t xml:space="preserve"> context</w:t>
      </w:r>
      <w:r w:rsidR="00000A92" w:rsidRPr="00B33BCF">
        <w:rPr>
          <w:iCs/>
          <w:sz w:val="24"/>
          <w:szCs w:val="24"/>
        </w:rPr>
        <w:t xml:space="preserve"> of the RAE. This is because REF2014 requires </w:t>
      </w:r>
      <w:r w:rsidR="00F13D44" w:rsidRPr="00B33BCF">
        <w:rPr>
          <w:iCs/>
          <w:sz w:val="24"/>
          <w:szCs w:val="24"/>
        </w:rPr>
        <w:t>highly</w:t>
      </w:r>
      <w:r w:rsidR="00000A92" w:rsidRPr="00B33BCF">
        <w:rPr>
          <w:iCs/>
          <w:sz w:val="24"/>
          <w:szCs w:val="24"/>
        </w:rPr>
        <w:t xml:space="preserve"> performative documents</w:t>
      </w:r>
      <w:r w:rsidR="003627A2" w:rsidRPr="00B33BCF">
        <w:rPr>
          <w:iCs/>
          <w:sz w:val="24"/>
          <w:szCs w:val="24"/>
        </w:rPr>
        <w:t xml:space="preserve"> from departments</w:t>
      </w:r>
      <w:r w:rsidR="00000A92" w:rsidRPr="00B33BCF">
        <w:rPr>
          <w:iCs/>
          <w:sz w:val="24"/>
          <w:szCs w:val="24"/>
        </w:rPr>
        <w:t>, particularly the</w:t>
      </w:r>
      <w:r w:rsidR="00EF6E0C" w:rsidRPr="00B33BCF">
        <w:rPr>
          <w:iCs/>
          <w:sz w:val="24"/>
          <w:szCs w:val="24"/>
        </w:rPr>
        <w:t xml:space="preserve"> Impact Case Study </w:t>
      </w:r>
      <w:r w:rsidR="00000A92" w:rsidRPr="00B33BCF">
        <w:rPr>
          <w:iCs/>
          <w:sz w:val="24"/>
          <w:szCs w:val="24"/>
        </w:rPr>
        <w:t>narratives, which are carefully structured and presented to align with</w:t>
      </w:r>
      <w:r w:rsidR="00EF6E0C" w:rsidRPr="00B33BCF">
        <w:rPr>
          <w:iCs/>
          <w:sz w:val="24"/>
          <w:szCs w:val="24"/>
        </w:rPr>
        <w:t xml:space="preserve"> the REF’s impact criteria of ‘reach’ and ‘significance’.</w:t>
      </w:r>
      <w:r w:rsidR="009C1C24" w:rsidRPr="00B33BCF">
        <w:rPr>
          <w:iCs/>
          <w:sz w:val="24"/>
          <w:szCs w:val="24"/>
        </w:rPr>
        <w:t xml:space="preserve"> </w:t>
      </w:r>
      <w:r w:rsidR="00AE646A" w:rsidRPr="00B33BCF">
        <w:rPr>
          <w:iCs/>
          <w:sz w:val="24"/>
          <w:szCs w:val="24"/>
        </w:rPr>
        <w:t>I therefore emphasise that I</w:t>
      </w:r>
      <w:r w:rsidR="003F0FA4" w:rsidRPr="00B33BCF">
        <w:rPr>
          <w:iCs/>
          <w:sz w:val="24"/>
          <w:szCs w:val="24"/>
        </w:rPr>
        <w:t xml:space="preserve"> treated these documents</w:t>
      </w:r>
      <w:r w:rsidR="00D84DFD" w:rsidRPr="00B33BCF">
        <w:rPr>
          <w:iCs/>
          <w:sz w:val="24"/>
          <w:szCs w:val="24"/>
        </w:rPr>
        <w:t xml:space="preserve"> (and indeed all documents, since the critical realist perspective is that no single source of data fully and unproblematically reflects reality)</w:t>
      </w:r>
      <w:r w:rsidR="003F0FA4" w:rsidRPr="00B33BCF">
        <w:rPr>
          <w:iCs/>
          <w:sz w:val="24"/>
          <w:szCs w:val="24"/>
        </w:rPr>
        <w:t xml:space="preserve"> with due caution.</w:t>
      </w:r>
      <w:r w:rsidR="00AE646A" w:rsidRPr="00B33BCF">
        <w:rPr>
          <w:iCs/>
          <w:sz w:val="24"/>
          <w:szCs w:val="24"/>
        </w:rPr>
        <w:t xml:space="preserve"> </w:t>
      </w:r>
      <w:r w:rsidR="009C1C24" w:rsidRPr="00B33BCF">
        <w:rPr>
          <w:iCs/>
          <w:sz w:val="24"/>
          <w:szCs w:val="24"/>
        </w:rPr>
        <w:t>My main use</w:t>
      </w:r>
      <w:r w:rsidR="00152A66" w:rsidRPr="00B33BCF">
        <w:rPr>
          <w:iCs/>
          <w:sz w:val="24"/>
          <w:szCs w:val="24"/>
        </w:rPr>
        <w:t>s</w:t>
      </w:r>
      <w:r w:rsidR="009C1C24" w:rsidRPr="00B33BCF">
        <w:rPr>
          <w:iCs/>
          <w:sz w:val="24"/>
          <w:szCs w:val="24"/>
        </w:rPr>
        <w:t xml:space="preserve"> of </w:t>
      </w:r>
      <w:r w:rsidR="00152A66" w:rsidRPr="00B33BCF">
        <w:rPr>
          <w:iCs/>
          <w:sz w:val="24"/>
          <w:szCs w:val="24"/>
        </w:rPr>
        <w:t xml:space="preserve">the </w:t>
      </w:r>
      <w:r w:rsidR="009C1C24" w:rsidRPr="00B33BCF">
        <w:rPr>
          <w:iCs/>
          <w:sz w:val="24"/>
          <w:szCs w:val="24"/>
        </w:rPr>
        <w:t>REF documents w</w:t>
      </w:r>
      <w:r w:rsidR="003826F5" w:rsidRPr="00B33BCF">
        <w:rPr>
          <w:iCs/>
          <w:sz w:val="24"/>
          <w:szCs w:val="24"/>
        </w:rPr>
        <w:t>ere</w:t>
      </w:r>
      <w:r w:rsidR="009C1C24" w:rsidRPr="00B33BCF">
        <w:rPr>
          <w:iCs/>
          <w:sz w:val="24"/>
          <w:szCs w:val="24"/>
        </w:rPr>
        <w:t xml:space="preserve"> to obtain a broad overview of the underpinning research and</w:t>
      </w:r>
      <w:r w:rsidR="00687A83" w:rsidRPr="00B33BCF">
        <w:rPr>
          <w:iCs/>
          <w:sz w:val="24"/>
          <w:szCs w:val="24"/>
        </w:rPr>
        <w:t xml:space="preserve"> to</w:t>
      </w:r>
      <w:r w:rsidR="009C1C24" w:rsidRPr="00B33BCF">
        <w:rPr>
          <w:iCs/>
          <w:sz w:val="24"/>
          <w:szCs w:val="24"/>
        </w:rPr>
        <w:t xml:space="preserve"> identify the key academic and non-academic actors and organisational structures associated with the research. O</w:t>
      </w:r>
      <w:r w:rsidR="003F0FA4" w:rsidRPr="00B33BCF">
        <w:rPr>
          <w:iCs/>
          <w:sz w:val="24"/>
          <w:szCs w:val="24"/>
        </w:rPr>
        <w:t xml:space="preserve">verall, Impact Case Studies constituted only </w:t>
      </w:r>
      <w:r w:rsidR="00F13D44" w:rsidRPr="00B33BCF">
        <w:rPr>
          <w:iCs/>
          <w:sz w:val="24"/>
          <w:szCs w:val="24"/>
        </w:rPr>
        <w:t xml:space="preserve">8% of the documents studied, so my analysis was informed by a far </w:t>
      </w:r>
      <w:r w:rsidR="002A30E4" w:rsidRPr="00B33BCF">
        <w:rPr>
          <w:iCs/>
          <w:sz w:val="24"/>
          <w:szCs w:val="24"/>
        </w:rPr>
        <w:t xml:space="preserve">broader set of documents, each of which I treated as representing only partial reality. </w:t>
      </w:r>
    </w:p>
    <w:p w14:paraId="35DD5B46" w14:textId="77777777" w:rsidR="00082217" w:rsidRPr="00B33BCF" w:rsidRDefault="00082217" w:rsidP="00144C10">
      <w:pPr>
        <w:pStyle w:val="Heading4"/>
      </w:pPr>
      <w:r w:rsidRPr="00B33BCF">
        <w:t>Interview data</w:t>
      </w:r>
    </w:p>
    <w:p w14:paraId="2F077116" w14:textId="35B3FBD6" w:rsidR="00961C79" w:rsidRDefault="00872753" w:rsidP="002015A1">
      <w:pPr>
        <w:pStyle w:val="CommentText"/>
        <w:spacing w:after="120" w:line="360" w:lineRule="auto"/>
        <w:rPr>
          <w:sz w:val="24"/>
          <w:szCs w:val="24"/>
        </w:rPr>
      </w:pPr>
      <w:r w:rsidRPr="00B33BCF">
        <w:rPr>
          <w:rFonts w:eastAsia="Times New Roman"/>
          <w:sz w:val="24"/>
          <w:szCs w:val="24"/>
        </w:rPr>
        <w:t>I aimed to interview one individual from</w:t>
      </w:r>
      <w:r w:rsidR="008A4FA4" w:rsidRPr="00B33BCF">
        <w:rPr>
          <w:rFonts w:eastAsia="Times New Roman"/>
          <w:sz w:val="24"/>
          <w:szCs w:val="24"/>
        </w:rPr>
        <w:t xml:space="preserve"> </w:t>
      </w:r>
      <w:r w:rsidR="00EE7893" w:rsidRPr="00B33BCF">
        <w:rPr>
          <w:rFonts w:eastAsia="Times New Roman"/>
          <w:sz w:val="24"/>
          <w:szCs w:val="24"/>
        </w:rPr>
        <w:t>each of the</w:t>
      </w:r>
      <w:r w:rsidRPr="00B33BCF">
        <w:rPr>
          <w:rFonts w:eastAsia="Times New Roman"/>
          <w:sz w:val="24"/>
          <w:szCs w:val="24"/>
        </w:rPr>
        <w:t xml:space="preserve"> </w:t>
      </w:r>
      <w:r w:rsidR="00B924B9" w:rsidRPr="00B33BCF">
        <w:rPr>
          <w:rFonts w:eastAsia="Times New Roman"/>
          <w:sz w:val="24"/>
          <w:szCs w:val="24"/>
        </w:rPr>
        <w:t>n=19 BoRs</w:t>
      </w:r>
      <w:r w:rsidRPr="00B33BCF">
        <w:rPr>
          <w:rFonts w:eastAsia="Times New Roman"/>
          <w:sz w:val="24"/>
          <w:szCs w:val="24"/>
        </w:rPr>
        <w:t xml:space="preserve">. </w:t>
      </w:r>
      <w:r w:rsidR="00672A31" w:rsidRPr="00B33BCF">
        <w:rPr>
          <w:rFonts w:eastAsia="Times New Roman"/>
          <w:sz w:val="24"/>
          <w:szCs w:val="24"/>
        </w:rPr>
        <w:t xml:space="preserve">I started by contacting key researchers associated with the sampled BoRs. In many cases the first person I contacted </w:t>
      </w:r>
      <w:r w:rsidR="006912F7" w:rsidRPr="00B33BCF">
        <w:rPr>
          <w:rFonts w:eastAsia="Times New Roman"/>
          <w:sz w:val="24"/>
          <w:szCs w:val="24"/>
        </w:rPr>
        <w:t xml:space="preserve">responded positively. I made a decision that where an invitee </w:t>
      </w:r>
      <w:r w:rsidR="003F0D15" w:rsidRPr="00B33BCF">
        <w:rPr>
          <w:rFonts w:eastAsia="Times New Roman"/>
          <w:sz w:val="24"/>
          <w:szCs w:val="24"/>
        </w:rPr>
        <w:t>responded to turn down the invitation</w:t>
      </w:r>
      <w:r w:rsidR="006912F7" w:rsidRPr="00B33BCF">
        <w:rPr>
          <w:rFonts w:eastAsia="Times New Roman"/>
          <w:sz w:val="24"/>
          <w:szCs w:val="24"/>
        </w:rPr>
        <w:t xml:space="preserve">, that I would not pursue further potential respondents associated with that BoR. However, where I received no response, I then invited another potential respondent associated with that BoR. </w:t>
      </w:r>
      <w:r w:rsidR="00A25397" w:rsidRPr="00B33BCF">
        <w:rPr>
          <w:rFonts w:eastAsia="Times New Roman"/>
          <w:sz w:val="24"/>
          <w:szCs w:val="24"/>
        </w:rPr>
        <w:t xml:space="preserve">In total, </w:t>
      </w:r>
      <w:r w:rsidR="008E4929" w:rsidRPr="00B33BCF">
        <w:rPr>
          <w:rFonts w:eastAsia="Times New Roman"/>
          <w:sz w:val="24"/>
          <w:szCs w:val="24"/>
        </w:rPr>
        <w:t>I interviewed ten participants, and these ten participants were involved in 14 of the 19 sampled BoRs (and 19 of the 26 sampled Impact Case Studies from which the BoRs were derived, as discussed earlier), since some of the respondents were involved in more than one BoR. Among the ten participants, nine were my first choice for that BoR</w:t>
      </w:r>
      <w:r w:rsidR="008A4A55" w:rsidRPr="00B33BCF">
        <w:rPr>
          <w:rFonts w:eastAsia="Times New Roman"/>
          <w:sz w:val="24"/>
          <w:szCs w:val="24"/>
        </w:rPr>
        <w:t>, as they appeared to be leading researchers</w:t>
      </w:r>
      <w:r w:rsidR="006A1395" w:rsidRPr="00B33BCF">
        <w:rPr>
          <w:rFonts w:eastAsia="Times New Roman"/>
          <w:sz w:val="24"/>
          <w:szCs w:val="24"/>
        </w:rPr>
        <w:t xml:space="preserve"> in that BoR</w:t>
      </w:r>
      <w:r w:rsidR="008E4929" w:rsidRPr="00B33BCF">
        <w:rPr>
          <w:rFonts w:eastAsia="Times New Roman"/>
          <w:sz w:val="24"/>
          <w:szCs w:val="24"/>
        </w:rPr>
        <w:t>. The final participant was heavily involved in one BoR, and had some involvement in another, but was not the leading researcher on either. Among invitees who did not participate, most simply did not respond to my invitation</w:t>
      </w:r>
      <w:r w:rsidR="006A1395" w:rsidRPr="00B33BCF">
        <w:rPr>
          <w:rFonts w:eastAsia="Times New Roman"/>
          <w:sz w:val="24"/>
          <w:szCs w:val="24"/>
        </w:rPr>
        <w:t xml:space="preserve"> (having sent them one physical letter and one follow-up e-mail)</w:t>
      </w:r>
      <w:r w:rsidR="008E4929" w:rsidRPr="00B33BCF">
        <w:rPr>
          <w:rFonts w:eastAsia="Times New Roman"/>
          <w:sz w:val="24"/>
          <w:szCs w:val="24"/>
        </w:rPr>
        <w:t xml:space="preserve">. However, </w:t>
      </w:r>
      <w:r w:rsidR="00A25397" w:rsidRPr="00B33BCF">
        <w:rPr>
          <w:rFonts w:eastAsia="Times New Roman"/>
          <w:sz w:val="24"/>
          <w:szCs w:val="24"/>
        </w:rPr>
        <w:t xml:space="preserve">one invitee responded saying that they were </w:t>
      </w:r>
      <w:r w:rsidR="006A1395" w:rsidRPr="00B33BCF">
        <w:rPr>
          <w:rFonts w:eastAsia="Times New Roman"/>
          <w:sz w:val="24"/>
          <w:szCs w:val="24"/>
        </w:rPr>
        <w:t xml:space="preserve">interested in the study but unfortunately </w:t>
      </w:r>
      <w:r w:rsidR="00A25397" w:rsidRPr="00B33BCF">
        <w:rPr>
          <w:rFonts w:eastAsia="Times New Roman"/>
          <w:sz w:val="24"/>
          <w:szCs w:val="24"/>
        </w:rPr>
        <w:t xml:space="preserve">unable to participate </w:t>
      </w:r>
      <w:r w:rsidR="006A1395" w:rsidRPr="00B33BCF">
        <w:rPr>
          <w:rFonts w:eastAsia="Times New Roman"/>
          <w:sz w:val="24"/>
          <w:szCs w:val="24"/>
        </w:rPr>
        <w:t>due to significant time pressures</w:t>
      </w:r>
      <w:r w:rsidR="00A25397" w:rsidRPr="00B33BCF">
        <w:rPr>
          <w:rFonts w:eastAsia="Times New Roman"/>
          <w:sz w:val="24"/>
          <w:szCs w:val="24"/>
        </w:rPr>
        <w:t xml:space="preserve">, and one participant responded saying they were unwilling to participate (this was a person who was not my first choice respondent related to the BoR, as other potential participants had not responded, and this person’s response was that they </w:t>
      </w:r>
      <w:r w:rsidR="00411D81" w:rsidRPr="00B33BCF">
        <w:rPr>
          <w:rFonts w:eastAsia="Times New Roman"/>
          <w:sz w:val="24"/>
          <w:szCs w:val="24"/>
        </w:rPr>
        <w:t>did not feel best placed to talk about the research, as they had not led on it).</w:t>
      </w:r>
      <w:r w:rsidR="00025A88" w:rsidRPr="00B33BCF">
        <w:rPr>
          <w:rFonts w:eastAsia="Times New Roman"/>
          <w:sz w:val="24"/>
          <w:szCs w:val="24"/>
        </w:rPr>
        <w:t xml:space="preserve"> Due to non-responses and non-participation, there were five BoRs analysed which were not represented in the interview participants</w:t>
      </w:r>
      <w:r w:rsidR="001743AE" w:rsidRPr="00B33BCF">
        <w:rPr>
          <w:rFonts w:eastAsia="Times New Roman"/>
          <w:sz w:val="24"/>
          <w:szCs w:val="24"/>
        </w:rPr>
        <w:t xml:space="preserve">. </w:t>
      </w:r>
      <w:r w:rsidR="002015A1" w:rsidRPr="00B33BCF">
        <w:rPr>
          <w:rFonts w:eastAsia="Times New Roman"/>
          <w:sz w:val="24"/>
          <w:szCs w:val="24"/>
        </w:rPr>
        <w:t>The</w:t>
      </w:r>
      <w:r w:rsidR="00082217" w:rsidRPr="00B33BCF">
        <w:rPr>
          <w:sz w:val="24"/>
          <w:szCs w:val="24"/>
        </w:rPr>
        <w:t xml:space="preserve"> ten interviews </w:t>
      </w:r>
      <w:r w:rsidR="00483A2A" w:rsidRPr="00B33BCF">
        <w:rPr>
          <w:sz w:val="24"/>
          <w:szCs w:val="24"/>
        </w:rPr>
        <w:t xml:space="preserve">resulted in </w:t>
      </w:r>
      <w:r w:rsidR="00082217" w:rsidRPr="00B33BCF">
        <w:rPr>
          <w:sz w:val="24"/>
          <w:szCs w:val="24"/>
        </w:rPr>
        <w:t>over eleven hours</w:t>
      </w:r>
      <w:r w:rsidR="00F51460" w:rsidRPr="00B33BCF">
        <w:rPr>
          <w:sz w:val="24"/>
          <w:szCs w:val="24"/>
        </w:rPr>
        <w:t xml:space="preserve"> of </w:t>
      </w:r>
      <w:r w:rsidR="00C026D0" w:rsidRPr="00B33BCF">
        <w:rPr>
          <w:sz w:val="24"/>
          <w:szCs w:val="24"/>
        </w:rPr>
        <w:t xml:space="preserve">recorded audio data </w:t>
      </w:r>
      <w:r w:rsidR="00082217" w:rsidRPr="00B33BCF">
        <w:rPr>
          <w:sz w:val="24"/>
          <w:szCs w:val="24"/>
        </w:rPr>
        <w:t>and over 60,000 words of transcribed data.</w:t>
      </w:r>
    </w:p>
    <w:p w14:paraId="08036A18" w14:textId="09E19B17" w:rsidR="00082217" w:rsidRDefault="00082217" w:rsidP="002015A1">
      <w:pPr>
        <w:pStyle w:val="CommentText"/>
        <w:spacing w:after="120" w:line="360" w:lineRule="auto"/>
        <w:rPr>
          <w:sz w:val="24"/>
          <w:szCs w:val="24"/>
        </w:rPr>
      </w:pPr>
      <w:r w:rsidRPr="00637BE9">
        <w:rPr>
          <w:iCs/>
          <w:sz w:val="24"/>
          <w:szCs w:val="24"/>
        </w:rPr>
        <w:t xml:space="preserve">Just as the relationship between research questions and research design is not </w:t>
      </w:r>
      <w:r w:rsidRPr="00175157">
        <w:rPr>
          <w:iCs/>
          <w:sz w:val="24"/>
          <w:szCs w:val="24"/>
        </w:rPr>
        <w:t xml:space="preserve">solely </w:t>
      </w:r>
      <w:r w:rsidRPr="00637BE9">
        <w:rPr>
          <w:iCs/>
          <w:sz w:val="24"/>
          <w:szCs w:val="24"/>
        </w:rPr>
        <w:t xml:space="preserve">logical, </w:t>
      </w:r>
      <w:r>
        <w:rPr>
          <w:iCs/>
          <w:sz w:val="24"/>
          <w:szCs w:val="24"/>
        </w:rPr>
        <w:t>a critical realist interview similarly “</w:t>
      </w:r>
      <w:r w:rsidRPr="00637BE9">
        <w:rPr>
          <w:iCs/>
          <w:sz w:val="24"/>
          <w:szCs w:val="24"/>
        </w:rPr>
        <w:t xml:space="preserve">avoids the temptation to simply convert </w:t>
      </w:r>
      <w:r w:rsidRPr="00637BE9">
        <w:rPr>
          <w:i/>
          <w:iCs/>
          <w:sz w:val="24"/>
          <w:szCs w:val="24"/>
        </w:rPr>
        <w:t xml:space="preserve">research method </w:t>
      </w:r>
      <w:r w:rsidRPr="00637BE9">
        <w:rPr>
          <w:iCs/>
          <w:sz w:val="24"/>
          <w:szCs w:val="24"/>
        </w:rPr>
        <w:t xml:space="preserve">questions into </w:t>
      </w:r>
      <w:r w:rsidRPr="00637BE9">
        <w:rPr>
          <w:i/>
          <w:iCs/>
          <w:sz w:val="24"/>
          <w:szCs w:val="24"/>
        </w:rPr>
        <w:t xml:space="preserve">research interview </w:t>
      </w:r>
      <w:r w:rsidRPr="00637BE9">
        <w:rPr>
          <w:iCs/>
          <w:sz w:val="24"/>
          <w:szCs w:val="24"/>
        </w:rPr>
        <w:t xml:space="preserve">questions” </w:t>
      </w:r>
      <w:r w:rsidR="00233012" w:rsidRPr="00637BE9">
        <w:rPr>
          <w:iCs/>
          <w:sz w:val="24"/>
          <w:szCs w:val="24"/>
        </w:rPr>
        <w:fldChar w:fldCharType="begin"/>
      </w:r>
      <w:r w:rsidRPr="00637BE9">
        <w:rPr>
          <w:iCs/>
          <w:sz w:val="24"/>
          <w:szCs w:val="24"/>
        </w:rPr>
        <w:instrText xml:space="preserve"> ADDIN EN.CITE &lt;EndNote&gt;&lt;Cite&gt;&lt;Author&gt;Roberts&lt;/Author&gt;&lt;Year&gt;2014&lt;/Year&gt;&lt;IDText&gt;Critical Realism, Dialectics, and Qualitative Research Methods&lt;/IDText&gt;&lt;Suffix&gt;`, original emphasis&lt;/Suffix&gt;&lt;Pages&gt;5&lt;/Pages&gt;&lt;DisplayText&gt;(Roberts, 2014, p. 5, original emphasis)&lt;/DisplayText&gt;&lt;record&gt;&lt;keywords&gt;&lt;keyword&gt;Contradiction&lt;/keyword&gt;&lt;keyword&gt;Critical Realism&lt;/keyword&gt;&lt;keyword&gt;Dialectics&lt;/keyword&gt;&lt;keyword&gt;Arxism&lt;/keyword&gt;&lt;keyword&gt;Qualitative Research&lt;/keyword&gt;&lt;/keywords&gt;&lt;isbn&gt;0021-8308&lt;/isbn&gt;&lt;titles&gt;&lt;title&gt;Critical Realism, Dialectics, and Qualitative Research Methods&lt;/title&gt;&lt;secondary-title&gt;Journal for the Theory of Social Behaviour&lt;/secondary-title&gt;&lt;/titles&gt;&lt;pages&gt;1-23&lt;/pages&gt;&lt;number&gt;1&lt;/number&gt;&lt;contributors&gt;&lt;authors&gt;&lt;author&gt;Roberts, John Michael&lt;/author&gt;&lt;/authors&gt;&lt;/contributors&gt;&lt;added-date format="utc"&gt;1530725298&lt;/added-date&gt;&lt;ref-type name="Journal Article"&gt;17&lt;/ref-type&gt;&lt;dates&gt;&lt;year&gt;2014&lt;/year&gt;&lt;/dates&gt;&lt;rec-number&gt;7585&lt;/rec-number&gt;&lt;last-updated-date format="utc"&gt;1530725298&lt;/last-updated-date&gt;&lt;electronic-resource-num&gt;10.1111/jtsb.12056&lt;/electronic-resource-num&gt;&lt;volume&gt;44&lt;/volume&gt;&lt;/record&gt;&lt;/Cite&gt;&lt;/EndNote&gt;</w:instrText>
      </w:r>
      <w:r w:rsidR="00233012" w:rsidRPr="00637BE9">
        <w:rPr>
          <w:iCs/>
          <w:sz w:val="24"/>
          <w:szCs w:val="24"/>
        </w:rPr>
        <w:fldChar w:fldCharType="separate"/>
      </w:r>
      <w:r w:rsidRPr="00637BE9">
        <w:rPr>
          <w:iCs/>
          <w:noProof/>
          <w:sz w:val="24"/>
          <w:szCs w:val="24"/>
        </w:rPr>
        <w:t>(Roberts, 2014, p. 5, original emphasis)</w:t>
      </w:r>
      <w:r w:rsidR="00233012" w:rsidRPr="00637BE9">
        <w:rPr>
          <w:iCs/>
          <w:sz w:val="24"/>
          <w:szCs w:val="24"/>
        </w:rPr>
        <w:fldChar w:fldCharType="end"/>
      </w:r>
      <w:r w:rsidRPr="00637BE9">
        <w:rPr>
          <w:iCs/>
          <w:sz w:val="24"/>
          <w:szCs w:val="24"/>
        </w:rPr>
        <w:t>.</w:t>
      </w:r>
      <w:r>
        <w:rPr>
          <w:iCs/>
          <w:sz w:val="24"/>
          <w:szCs w:val="24"/>
        </w:rPr>
        <w:t xml:space="preserve"> The approach to interviews therefore needs to be specific and purposeful, rather than follow a generic formula or procedure. </w:t>
      </w:r>
      <w:r>
        <w:rPr>
          <w:sz w:val="24"/>
          <w:szCs w:val="24"/>
        </w:rPr>
        <w:t xml:space="preserve">This section discusses my understanding of interview data and describes how I have gathered and used such data. Further relevant details about the interviews are also given in the Analysis and Ethics sections of this chapter. </w:t>
      </w:r>
    </w:p>
    <w:p w14:paraId="0609D026" w14:textId="3963F5E2" w:rsidR="00082217" w:rsidRPr="00E0744C" w:rsidRDefault="00082217" w:rsidP="00082217">
      <w:pPr>
        <w:autoSpaceDE w:val="0"/>
        <w:autoSpaceDN w:val="0"/>
        <w:adjustRightInd w:val="0"/>
        <w:spacing w:before="120" w:after="120" w:line="360" w:lineRule="auto"/>
        <w:rPr>
          <w:sz w:val="24"/>
          <w:szCs w:val="24"/>
        </w:rPr>
      </w:pPr>
      <w:r>
        <w:rPr>
          <w:sz w:val="24"/>
          <w:szCs w:val="24"/>
        </w:rPr>
        <w:t xml:space="preserve">Although there are limitations to the research interview, being able to directly hear from the ‘voice’ of academic researchers – “the principal human agents of scientific processes” </w:t>
      </w:r>
      <w:r w:rsidR="00233012">
        <w:rPr>
          <w:sz w:val="24"/>
          <w:szCs w:val="24"/>
        </w:rPr>
        <w:fldChar w:fldCharType="begin"/>
      </w:r>
      <w:r>
        <w:rPr>
          <w:sz w:val="24"/>
          <w:szCs w:val="24"/>
        </w:rPr>
        <w:instrText xml:space="preserve"> ADDIN EN.CITE &lt;EndNote&gt;&lt;Cite&gt;&lt;Author&gt;Elias&lt;/Author&gt;&lt;Year&gt;1982&lt;/Year&gt;&lt;IDText&gt;Scientific Establishments&lt;/IDText&gt;&lt;Pages&gt;5&lt;/Pages&gt;&lt;DisplayText&gt;(Elias, 1982, p. 5)&lt;/DisplayText&gt;&lt;record&gt;&lt;urls&gt;&lt;related-urls&gt;&lt;url&gt;https://books.google.co.uk/books?id=rCrzNjBrfk0C&lt;/url&gt;&lt;/related-urls&gt;&lt;/urls&gt;&lt;isbn&gt;9789027713230&lt;/isbn&gt;&lt;titles&gt;&lt;title&gt;Scientific Establishments&lt;/title&gt;&lt;secondary-title&gt;Scientific Establishments and Hierarchies&lt;/secondary-title&gt;&lt;/titles&gt;&lt;contributors&gt;&lt;authors&gt;&lt;author&gt;Elias, Norbert&lt;/author&gt;&lt;/authors&gt;&lt;/contributors&gt;&lt;added-date format="utc"&gt;1527879084&lt;/added-date&gt;&lt;pub-location&gt;London&lt;/pub-location&gt;&lt;ref-type name="Book Section"&gt;5&lt;/ref-type&gt;&lt;dates&gt;&lt;year&gt;1982&lt;/year&gt;&lt;/dates&gt;&lt;rec-number&gt;7539&lt;/rec-number&gt;&lt;publisher&gt;Springer&lt;/publisher&gt;&lt;last-updated-date format="utc"&gt;1527879193&lt;/last-updated-date&gt;&lt;contributors&gt;&lt;secondary-authors&gt;&lt;author&gt;Elias, Norbert&lt;/author&gt;&lt;author&gt;Martins, H.&lt;/author&gt;&lt;author&gt;Whitley, Richard&lt;/author&gt;&lt;/secondary-authors&gt;&lt;/contributors&gt;&lt;/record&gt;&lt;/Cite&gt;&lt;/EndNote&gt;</w:instrText>
      </w:r>
      <w:r w:rsidR="00233012">
        <w:rPr>
          <w:sz w:val="24"/>
          <w:szCs w:val="24"/>
        </w:rPr>
        <w:fldChar w:fldCharType="separate"/>
      </w:r>
      <w:r>
        <w:rPr>
          <w:noProof/>
          <w:sz w:val="24"/>
          <w:szCs w:val="24"/>
        </w:rPr>
        <w:t>(Elias, 1982, p. 5)</w:t>
      </w:r>
      <w:r w:rsidR="00233012">
        <w:rPr>
          <w:sz w:val="24"/>
          <w:szCs w:val="24"/>
        </w:rPr>
        <w:fldChar w:fldCharType="end"/>
      </w:r>
      <w:r>
        <w:rPr>
          <w:sz w:val="24"/>
          <w:szCs w:val="24"/>
        </w:rPr>
        <w:t xml:space="preserve"> – has </w:t>
      </w:r>
      <w:r w:rsidRPr="005A13B9">
        <w:rPr>
          <w:sz w:val="24"/>
          <w:szCs w:val="24"/>
        </w:rPr>
        <w:t>been a highly valuable additional source of data for my study.</w:t>
      </w:r>
      <w:r>
        <w:rPr>
          <w:sz w:val="24"/>
          <w:szCs w:val="24"/>
        </w:rPr>
        <w:t xml:space="preserve"> </w:t>
      </w:r>
      <w:r>
        <w:rPr>
          <w:iCs/>
          <w:sz w:val="24"/>
          <w:szCs w:val="24"/>
        </w:rPr>
        <w:t>Interviews are possibly the most common data-</w:t>
      </w:r>
      <w:r w:rsidRPr="00B1604E">
        <w:rPr>
          <w:iCs/>
          <w:sz w:val="24"/>
          <w:szCs w:val="24"/>
        </w:rPr>
        <w:t>collection methods in qualitative research</w:t>
      </w:r>
      <w:r>
        <w:rPr>
          <w:iCs/>
          <w:sz w:val="24"/>
          <w:szCs w:val="24"/>
        </w:rPr>
        <w:t xml:space="preserve">, allowing the social scientist to gather data about events and phenomena to which they otherwise have little or no direct access </w:t>
      </w:r>
      <w:r w:rsidR="00233012" w:rsidRPr="00B1604E">
        <w:rPr>
          <w:iCs/>
          <w:sz w:val="24"/>
          <w:szCs w:val="24"/>
        </w:rPr>
        <w:fldChar w:fldCharType="begin">
          <w:fldData xml:space="preserve">PEVuZE5vdGU+PENpdGU+PEF1dGhvcj5Ib2xzdGVpbjwvQXV0aG9yPjxZZWFyPjE5OTU8L1llYXI+
PElEVGV4dD5UaGUgQWN0aXZlIEludGVydmlldzwvSURUZXh0PjxEaXNwbGF5VGV4dD4oSG9sc3Rl
aW4gJmFtcDsgR3Vicml1bSwgMTk5NTsgQy4gU21pdGggJmFtcDsgRWxnZXIsIDIwMTQpPC9EaXNw
bGF5VGV4dD48cmVjb3JkPjxrZXl3b3Jkcz48a2V5d29yZD5JbnRlcnZpZXdpbmc8L2tleXdvcmQ+
PGtleXdvcmQ+U29jaWFsIHNjaWVuY2VzIC0tIFJlc2VhcmNoIC0tIE1ldGhvZG9sb2d5PC9rZXl3
b3JkPjxrZXl3b3JkPlNvY2lhbCBzY2llbmNlcyAtLSBGaWVsZHdvcms8L2tleXdvcmQ+PGtleXdv
cmQ+U29jaWFsIHNjaWVuY2VzIC0tIExhbmd1YWdlPC9rZXl3b3JkPjxrZXl3b3JkPkVsZWN0cm9u
aWMgYm9va3M8L2tleXdvcmQ+PC9rZXl3b3Jkcz48dGl0bGVzPjx0aXRsZT5UaGUgQWN0aXZlIElu
dGVydmlldzwvdGl0bGU+PHNlY29uZGFyeS10aXRsZT5RdWFsaXRhdGl2ZSBSZXNlYXJjaCBNZXRo
b2RzPC9zZWNvbmRhcnktdGl0bGU+PC90aXRsZXM+PGNvbnRyaWJ1dG9ycz48YXV0aG9ycz48YXV0
aG9yPkhvbHN0ZWluLCBKYW1lcyBBLjwvYXV0aG9yPjxhdXRob3I+R3Vicml1bSwgSmFiZXIgRi48
L2F1dGhvcj48L2F1dGhvcnM+PC9jb250cmlidXRvcnM+PGFkZGVkLWRhdGUgZm9ybWF0PSJ1dGMi
PjE1MTc3OTEzNTU8L2FkZGVkLWRhdGU+PHB1Yi1sb2NhdGlvbj5UaG91c2FuZCBPYWtzPC9wdWIt
bG9jYXRpb24+PHJlZi10eXBlIG5hbWU9IkJvb2siPjY8L3JlZi10eXBlPjxkYXRlcz48eWVhcj4x
OTk1PC95ZWFyPjwvZGF0ZXM+PHJlYy1udW1iZXI+NzMzMzwvcmVjLW51bWJlcj48cHVibGlzaGVy
PlNBR0U8L3B1Ymxpc2hlcj48bGFzdC11cGRhdGVkLWRhdGUgZm9ybWF0PSJ1dGMiPjE1MTc3OTE0
NDA8L2xhc3QtdXBkYXRlZC1kYXRlPjxjb250cmlidXRvcnM+PHNlY29uZGFyeS1hdXRob3JzPjxh
dXRob3I+R3Vicml1bSwgSmFiZXIgRi48L2F1dGhvcj48L3NlY29uZGFyeS1hdXRob3JzPjwvY29u
dHJpYnV0b3JzPjwvcmVjb3JkPjwvQ2l0ZT48Q2l0ZT48QXV0aG9yPlNtaXRoPC9BdXRob3I+PFll
YXI+MjAxNDwvWWVhcj48SURUZXh0PkNyaXRpY2FsIFJlYWxpc20gYW5kIEludGVydmlld2luZyBT
dWJqZWN0czwvSURUZXh0PjxyZWNvcmQ+PGtleXdvcmRzPjxrZXl3b3JkPk9yZ2FuaXphdGlvbmFs
IGJlaGF2aW9yIC0tIFJlc2VhcmNoPC9rZXl3b3JkPjxrZXl3b3JkPkNyaXRpY2FsIHJlYWxpc208
L2tleXdvcmQ+PGtleXdvcmQ+UGhpbG9zb3BoeSwgTW9kZXJuPC9rZXl3b3JkPjxrZXl3b3JkPlJl
YWxpc208L2tleXdvcmQ+PGtleXdvcmQ+QmVoYXZpb3IgaW4gb3JnYW5pemF0aW9uczwva2V5d29y
ZD48a2V5d29yZD5NYW5hZ2VtZW50PC9rZXl3b3JkPjxrZXl3b3JkPk9yZ2FuaXphdGlvbjwva2V5
d29yZD48a2V5d29yZD5Qc3ljaG9sb2d5LCBJbmR1c3RyaWFsPC9rZXl3b3JkPjxrZXl3b3JkPlNv
Y2lhbCBwc3ljaG9sb2d5PC9rZXl3b3JkPjwva2V5d29yZHM+PHRpdGxlcz48dGl0bGU+Q3JpdGlj
YWwgUmVhbGlzbSBhbmQgSW50ZXJ2aWV3aW5nIFN1YmplY3RzPC90aXRsZT48c2Vjb25kYXJ5LXRp
dGxlPlN0dWR5aW5nIE9yZ2FuaXphdGlvbnMgVXNpbmcgQ3JpdGljYWwgUmVhbGlzbTogQSBQcmFj
dGljYWwgR3VpZGU8L3NlY29uZGFyeS10aXRsZT48L3RpdGxlcz48Y29udHJpYnV0b3JzPjxhdXRo
b3JzPjxhdXRob3I+U21pdGgsIENocmlzPC9hdXRob3I+PGF1dGhvcj5FbGdlciwgVG9ueTwvYXV0
aG9yPjwvYXV0aG9ycz48L2NvbnRyaWJ1dG9ycz48ZWRpdGlvbj5GaXJzdCBlZGl0aW9uLjwvZWRp
dGlvbj48YWRkZWQtZGF0ZSBmb3JtYXQ9InV0YyI+MTUzMDg3ODAzOTwvYWRkZWQtZGF0ZT48cHVi
LWxvY2F0aW9uPk94Zm9yZDwvcHViLWxvY2F0aW9uPjxyZWYtdHlwZSBuYW1lPSJCb29rIFNlY3Rp
b24iPjU8L3JlZi10eXBlPjxkYXRlcz48eWVhcj4yMDE0PC95ZWFyPjwvZGF0ZXM+PHJlYy1udW1i
ZXI+NzU5ODwvcmVjLW51bWJlcj48cHVibGlzaGVyPk94Zm9yZCBVbml2ZXJzaXR5IFByZXNzPC9w
dWJsaXNoZXI+PGxhc3QtdXBkYXRlZC1kYXRlIGZvcm1hdD0idXRjIj4xNTMwODc4MTk0PC9sYXN0
LXVwZGF0ZWQtZGF0ZT48Y29udHJpYnV0b3JzPjxzZWNvbmRhcnktYXV0aG9ycz48YXV0aG9yPkVk
d2FyZHMsIFBhdWw8L2F1dGhvcj48YXV0aG9yPk8mYXBvcztNYWhvbmV5LCBKb2U8L2F1dGhvcj48
YXV0aG9yPlZpbmNlbnQsIFN0ZXZlPC9hdXRob3I+PC9zZWNvbmRhcnktYXV0aG9ycz48L2NvbnRy
aWJ1dG9ycz48L3JlY29yZD48L0NpdGU+PC9FbmROb3RlPn==
</w:fldData>
        </w:fldChar>
      </w:r>
      <w:r w:rsidRPr="00B1604E">
        <w:rPr>
          <w:iCs/>
          <w:sz w:val="24"/>
          <w:szCs w:val="24"/>
        </w:rPr>
        <w:instrText xml:space="preserve"> ADDIN EN.CITE </w:instrText>
      </w:r>
      <w:r w:rsidR="00233012" w:rsidRPr="00B1604E">
        <w:rPr>
          <w:iCs/>
          <w:sz w:val="24"/>
          <w:szCs w:val="24"/>
        </w:rPr>
        <w:fldChar w:fldCharType="begin">
          <w:fldData xml:space="preserve">PEVuZE5vdGU+PENpdGU+PEF1dGhvcj5Ib2xzdGVpbjwvQXV0aG9yPjxZZWFyPjE5OTU8L1llYXI+
PElEVGV4dD5UaGUgQWN0aXZlIEludGVydmlldzwvSURUZXh0PjxEaXNwbGF5VGV4dD4oSG9sc3Rl
aW4gJmFtcDsgR3Vicml1bSwgMTk5NTsgQy4gU21pdGggJmFtcDsgRWxnZXIsIDIwMTQpPC9EaXNw
bGF5VGV4dD48cmVjb3JkPjxrZXl3b3Jkcz48a2V5d29yZD5JbnRlcnZpZXdpbmc8L2tleXdvcmQ+
PGtleXdvcmQ+U29jaWFsIHNjaWVuY2VzIC0tIFJlc2VhcmNoIC0tIE1ldGhvZG9sb2d5PC9rZXl3
b3JkPjxrZXl3b3JkPlNvY2lhbCBzY2llbmNlcyAtLSBGaWVsZHdvcms8L2tleXdvcmQ+PGtleXdv
cmQ+U29jaWFsIHNjaWVuY2VzIC0tIExhbmd1YWdlPC9rZXl3b3JkPjxrZXl3b3JkPkVsZWN0cm9u
aWMgYm9va3M8L2tleXdvcmQ+PC9rZXl3b3Jkcz48dGl0bGVzPjx0aXRsZT5UaGUgQWN0aXZlIElu
dGVydmlldzwvdGl0bGU+PHNlY29uZGFyeS10aXRsZT5RdWFsaXRhdGl2ZSBSZXNlYXJjaCBNZXRo
b2RzPC9zZWNvbmRhcnktdGl0bGU+PC90aXRsZXM+PGNvbnRyaWJ1dG9ycz48YXV0aG9ycz48YXV0
aG9yPkhvbHN0ZWluLCBKYW1lcyBBLjwvYXV0aG9yPjxhdXRob3I+R3Vicml1bSwgSmFiZXIgRi48
L2F1dGhvcj48L2F1dGhvcnM+PC9jb250cmlidXRvcnM+PGFkZGVkLWRhdGUgZm9ybWF0PSJ1dGMi
PjE1MTc3OTEzNTU8L2FkZGVkLWRhdGU+PHB1Yi1sb2NhdGlvbj5UaG91c2FuZCBPYWtzPC9wdWIt
bG9jYXRpb24+PHJlZi10eXBlIG5hbWU9IkJvb2siPjY8L3JlZi10eXBlPjxkYXRlcz48eWVhcj4x
OTk1PC95ZWFyPjwvZGF0ZXM+PHJlYy1udW1iZXI+NzMzMzwvcmVjLW51bWJlcj48cHVibGlzaGVy
PlNBR0U8L3B1Ymxpc2hlcj48bGFzdC11cGRhdGVkLWRhdGUgZm9ybWF0PSJ1dGMiPjE1MTc3OTE0
NDA8L2xhc3QtdXBkYXRlZC1kYXRlPjxjb250cmlidXRvcnM+PHNlY29uZGFyeS1hdXRob3JzPjxh
dXRob3I+R3Vicml1bSwgSmFiZXIgRi48L2F1dGhvcj48L3NlY29uZGFyeS1hdXRob3JzPjwvY29u
dHJpYnV0b3JzPjwvcmVjb3JkPjwvQ2l0ZT48Q2l0ZT48QXV0aG9yPlNtaXRoPC9BdXRob3I+PFll
YXI+MjAxNDwvWWVhcj48SURUZXh0PkNyaXRpY2FsIFJlYWxpc20gYW5kIEludGVydmlld2luZyBT
dWJqZWN0czwvSURUZXh0PjxyZWNvcmQ+PGtleXdvcmRzPjxrZXl3b3JkPk9yZ2FuaXphdGlvbmFs
IGJlaGF2aW9yIC0tIFJlc2VhcmNoPC9rZXl3b3JkPjxrZXl3b3JkPkNyaXRpY2FsIHJlYWxpc208
L2tleXdvcmQ+PGtleXdvcmQ+UGhpbG9zb3BoeSwgTW9kZXJuPC9rZXl3b3JkPjxrZXl3b3JkPlJl
YWxpc208L2tleXdvcmQ+PGtleXdvcmQ+QmVoYXZpb3IgaW4gb3JnYW5pemF0aW9uczwva2V5d29y
ZD48a2V5d29yZD5NYW5hZ2VtZW50PC9rZXl3b3JkPjxrZXl3b3JkPk9yZ2FuaXphdGlvbjwva2V5
d29yZD48a2V5d29yZD5Qc3ljaG9sb2d5LCBJbmR1c3RyaWFsPC9rZXl3b3JkPjxrZXl3b3JkPlNv
Y2lhbCBwc3ljaG9sb2d5PC9rZXl3b3JkPjwva2V5d29yZHM+PHRpdGxlcz48dGl0bGU+Q3JpdGlj
YWwgUmVhbGlzbSBhbmQgSW50ZXJ2aWV3aW5nIFN1YmplY3RzPC90aXRsZT48c2Vjb25kYXJ5LXRp
dGxlPlN0dWR5aW5nIE9yZ2FuaXphdGlvbnMgVXNpbmcgQ3JpdGljYWwgUmVhbGlzbTogQSBQcmFj
dGljYWwgR3VpZGU8L3NlY29uZGFyeS10aXRsZT48L3RpdGxlcz48Y29udHJpYnV0b3JzPjxhdXRo
b3JzPjxhdXRob3I+U21pdGgsIENocmlzPC9hdXRob3I+PGF1dGhvcj5FbGdlciwgVG9ueTwvYXV0
aG9yPjwvYXV0aG9ycz48L2NvbnRyaWJ1dG9ycz48ZWRpdGlvbj5GaXJzdCBlZGl0aW9uLjwvZWRp
dGlvbj48YWRkZWQtZGF0ZSBmb3JtYXQ9InV0YyI+MTUzMDg3ODAzOTwvYWRkZWQtZGF0ZT48cHVi
LWxvY2F0aW9uPk94Zm9yZDwvcHViLWxvY2F0aW9uPjxyZWYtdHlwZSBuYW1lPSJCb29rIFNlY3Rp
b24iPjU8L3JlZi10eXBlPjxkYXRlcz48eWVhcj4yMDE0PC95ZWFyPjwvZGF0ZXM+PHJlYy1udW1i
ZXI+NzU5ODwvcmVjLW51bWJlcj48cHVibGlzaGVyPk94Zm9yZCBVbml2ZXJzaXR5IFByZXNzPC9w
dWJsaXNoZXI+PGxhc3QtdXBkYXRlZC1kYXRlIGZvcm1hdD0idXRjIj4xNTMwODc4MTk0PC9sYXN0
LXVwZGF0ZWQtZGF0ZT48Y29udHJpYnV0b3JzPjxzZWNvbmRhcnktYXV0aG9ycz48YXV0aG9yPkVk
d2FyZHMsIFBhdWw8L2F1dGhvcj48YXV0aG9yPk8mYXBvcztNYWhvbmV5LCBKb2U8L2F1dGhvcj48
YXV0aG9yPlZpbmNlbnQsIFN0ZXZlPC9hdXRob3I+PC9zZWNvbmRhcnktYXV0aG9ycz48L2NvbnRy
aWJ1dG9ycz48L3JlY29yZD48L0NpdGU+PC9FbmROb3RlPn==
</w:fldData>
        </w:fldChar>
      </w:r>
      <w:r w:rsidRPr="00B1604E">
        <w:rPr>
          <w:iCs/>
          <w:sz w:val="24"/>
          <w:szCs w:val="24"/>
        </w:rPr>
        <w:instrText xml:space="preserve"> ADDIN EN.CITE.DATA </w:instrText>
      </w:r>
      <w:r w:rsidR="00233012" w:rsidRPr="00B1604E">
        <w:rPr>
          <w:iCs/>
          <w:sz w:val="24"/>
          <w:szCs w:val="24"/>
        </w:rPr>
      </w:r>
      <w:r w:rsidR="00233012" w:rsidRPr="00B1604E">
        <w:rPr>
          <w:iCs/>
          <w:sz w:val="24"/>
          <w:szCs w:val="24"/>
        </w:rPr>
        <w:fldChar w:fldCharType="end"/>
      </w:r>
      <w:r w:rsidR="00233012" w:rsidRPr="00B1604E">
        <w:rPr>
          <w:iCs/>
          <w:sz w:val="24"/>
          <w:szCs w:val="24"/>
        </w:rPr>
      </w:r>
      <w:r w:rsidR="00233012" w:rsidRPr="00B1604E">
        <w:rPr>
          <w:iCs/>
          <w:sz w:val="24"/>
          <w:szCs w:val="24"/>
        </w:rPr>
        <w:fldChar w:fldCharType="separate"/>
      </w:r>
      <w:r w:rsidRPr="00B1604E">
        <w:rPr>
          <w:iCs/>
          <w:noProof/>
          <w:sz w:val="24"/>
          <w:szCs w:val="24"/>
        </w:rPr>
        <w:t>(Holstein &amp; Gubrium, 1995; C. Smith &amp; Elger, 2014)</w:t>
      </w:r>
      <w:r w:rsidR="00233012" w:rsidRPr="00B1604E">
        <w:rPr>
          <w:iCs/>
          <w:sz w:val="24"/>
          <w:szCs w:val="24"/>
        </w:rPr>
        <w:fldChar w:fldCharType="end"/>
      </w:r>
      <w:r>
        <w:rPr>
          <w:iCs/>
          <w:sz w:val="24"/>
          <w:szCs w:val="24"/>
        </w:rPr>
        <w:t xml:space="preserve">. </w:t>
      </w:r>
      <w:r w:rsidR="00BB0CF3">
        <w:rPr>
          <w:iCs/>
          <w:sz w:val="24"/>
          <w:szCs w:val="24"/>
        </w:rPr>
        <w:t>A critical realist researcher should</w:t>
      </w:r>
      <w:r>
        <w:rPr>
          <w:iCs/>
          <w:sz w:val="24"/>
          <w:szCs w:val="24"/>
        </w:rPr>
        <w:t xml:space="preserve"> aim to maximise the value of research interviews whilst also acknowledging their limitations. </w:t>
      </w:r>
      <w:r w:rsidR="00BB0CF3">
        <w:rPr>
          <w:iCs/>
          <w:sz w:val="24"/>
          <w:szCs w:val="24"/>
        </w:rPr>
        <w:t>This means</w:t>
      </w:r>
      <w:r>
        <w:rPr>
          <w:iCs/>
          <w:sz w:val="24"/>
          <w:szCs w:val="24"/>
        </w:rPr>
        <w:t xml:space="preserve"> receiving interview accounts critically</w:t>
      </w:r>
      <w:r w:rsidR="00BB0CF3">
        <w:rPr>
          <w:iCs/>
          <w:sz w:val="24"/>
          <w:szCs w:val="24"/>
        </w:rPr>
        <w:t xml:space="preserve"> and</w:t>
      </w:r>
      <w:r>
        <w:rPr>
          <w:iCs/>
          <w:sz w:val="24"/>
          <w:szCs w:val="24"/>
        </w:rPr>
        <w:t xml:space="preserve"> combining them with other sources. As C. Smith and Elger </w:t>
      </w:r>
      <w:r w:rsidR="00233012">
        <w:rPr>
          <w:iCs/>
          <w:sz w:val="24"/>
          <w:szCs w:val="24"/>
        </w:rPr>
        <w:fldChar w:fldCharType="begin"/>
      </w:r>
      <w:r>
        <w:rPr>
          <w:iCs/>
          <w:sz w:val="24"/>
          <w:szCs w:val="24"/>
        </w:rPr>
        <w:instrText xml:space="preserve"> ADDIN EN.CITE &lt;EndNote&gt;&lt;Cite ExcludeAuth="1"&gt;&lt;Author&gt;Smith&lt;/Author&gt;&lt;Year&gt;2014&lt;/Year&gt;&lt;IDText&gt;Critical Realism and Interviewing Subjects&lt;/IDText&gt;&lt;DisplayText&gt;(2014)&lt;/DisplayText&gt;&lt;record&gt;&lt;keywords&gt;&lt;keyword&gt;Organizational behavior -- Research&lt;/keyword&gt;&lt;keyword&gt;Critical realism&lt;/keyword&gt;&lt;keyword&gt;Philosophy, Modern&lt;/keyword&gt;&lt;keyword&gt;Realism&lt;/keyword&gt;&lt;keyword&gt;Behavior in organizations&lt;/keyword&gt;&lt;keyword&gt;Management&lt;/keyword&gt;&lt;keyword&gt;Organization&lt;/keyword&gt;&lt;keyword&gt;Psychology, Industrial&lt;/keyword&gt;&lt;keyword&gt;Social psychology&lt;/keyword&gt;&lt;/keywords&gt;&lt;titles&gt;&lt;title&gt;Critical Realism and Interviewing Subjects&lt;/title&gt;&lt;secondary-title&gt;Studying Organizations Using Critical Realism: A Practical Guide&lt;/secondary-title&gt;&lt;/titles&gt;&lt;contributors&gt;&lt;authors&gt;&lt;author&gt;Smith, Chris&lt;/author&gt;&lt;author&gt;Elger, Tony&lt;/author&gt;&lt;/authors&gt;&lt;/contributors&gt;&lt;edition&gt;First edition.&lt;/edition&gt;&lt;added-date format="utc"&gt;1530878039&lt;/added-date&gt;&lt;pub-location&gt;Oxford&lt;/pub-location&gt;&lt;ref-type name="Book Section"&gt;5&lt;/ref-type&gt;&lt;dates&gt;&lt;year&gt;2014&lt;/year&gt;&lt;/dates&gt;&lt;rec-number&gt;7598&lt;/rec-number&gt;&lt;publisher&gt;Oxford University Press&lt;/publisher&gt;&lt;last-updated-date format="utc"&gt;1530878194&lt;/last-updated-date&gt;&lt;contributors&gt;&lt;secondary-authors&gt;&lt;author&gt;Edwards, Paul&lt;/author&gt;&lt;author&gt;O&amp;apos;Mahoney, Joe&lt;/author&gt;&lt;author&gt;Vincent, Steve&lt;/author&gt;&lt;/secondary-authors&gt;&lt;/contributors&gt;&lt;/record&gt;&lt;/Cite&gt;&lt;/EndNote&gt;</w:instrText>
      </w:r>
      <w:r w:rsidR="00233012">
        <w:rPr>
          <w:iCs/>
          <w:sz w:val="24"/>
          <w:szCs w:val="24"/>
        </w:rPr>
        <w:fldChar w:fldCharType="separate"/>
      </w:r>
      <w:r>
        <w:rPr>
          <w:iCs/>
          <w:noProof/>
          <w:sz w:val="24"/>
          <w:szCs w:val="24"/>
        </w:rPr>
        <w:t>(2014)</w:t>
      </w:r>
      <w:r w:rsidR="00233012">
        <w:rPr>
          <w:iCs/>
          <w:sz w:val="24"/>
          <w:szCs w:val="24"/>
        </w:rPr>
        <w:fldChar w:fldCharType="end"/>
      </w:r>
      <w:r>
        <w:rPr>
          <w:iCs/>
          <w:sz w:val="24"/>
          <w:szCs w:val="24"/>
        </w:rPr>
        <w:t xml:space="preserve"> write:</w:t>
      </w:r>
    </w:p>
    <w:p w14:paraId="4182E279" w14:textId="77777777" w:rsidR="00082217" w:rsidRPr="003A0C0D" w:rsidRDefault="00082217" w:rsidP="008D30CC">
      <w:pPr>
        <w:autoSpaceDE w:val="0"/>
        <w:autoSpaceDN w:val="0"/>
        <w:adjustRightInd w:val="0"/>
        <w:spacing w:after="120" w:line="240" w:lineRule="auto"/>
        <w:ind w:left="720"/>
        <w:rPr>
          <w:iCs/>
          <w:sz w:val="24"/>
          <w:szCs w:val="24"/>
        </w:rPr>
      </w:pPr>
      <w:r>
        <w:rPr>
          <w:sz w:val="24"/>
          <w:szCs w:val="24"/>
        </w:rPr>
        <w:t xml:space="preserve">“Interviews, the dominant means of accessing information in social research, are not a neutral tool. ... </w:t>
      </w:r>
      <w:r w:rsidRPr="003A0C0D">
        <w:rPr>
          <w:sz w:val="24"/>
          <w:szCs w:val="24"/>
        </w:rPr>
        <w:t>Realist interviewing is more</w:t>
      </w:r>
      <w:r>
        <w:rPr>
          <w:sz w:val="24"/>
          <w:szCs w:val="24"/>
        </w:rPr>
        <w:t xml:space="preserve"> </w:t>
      </w:r>
      <w:r w:rsidRPr="003A0C0D">
        <w:rPr>
          <w:sz w:val="24"/>
          <w:szCs w:val="24"/>
        </w:rPr>
        <w:t xml:space="preserve">than simply </w:t>
      </w:r>
      <w:r w:rsidRPr="003A0C0D">
        <w:rPr>
          <w:i/>
          <w:iCs/>
          <w:sz w:val="24"/>
          <w:szCs w:val="24"/>
        </w:rPr>
        <w:t xml:space="preserve">recording </w:t>
      </w:r>
      <w:r w:rsidRPr="003A0C0D">
        <w:rPr>
          <w:sz w:val="24"/>
          <w:szCs w:val="24"/>
        </w:rPr>
        <w:t>informants</w:t>
      </w:r>
      <w:r>
        <w:rPr>
          <w:sz w:val="24"/>
          <w:szCs w:val="24"/>
        </w:rPr>
        <w:t>..</w:t>
      </w:r>
      <w:r w:rsidRPr="003A0C0D">
        <w:rPr>
          <w:sz w:val="24"/>
          <w:szCs w:val="24"/>
        </w:rPr>
        <w:t>. The interviewer needs</w:t>
      </w:r>
      <w:r>
        <w:rPr>
          <w:sz w:val="24"/>
          <w:szCs w:val="24"/>
        </w:rPr>
        <w:t xml:space="preserve"> </w:t>
      </w:r>
      <w:r w:rsidRPr="003A0C0D">
        <w:rPr>
          <w:sz w:val="24"/>
          <w:szCs w:val="24"/>
        </w:rPr>
        <w:t>to critically evaluate informants’ accounts against their</w:t>
      </w:r>
      <w:r>
        <w:rPr>
          <w:sz w:val="24"/>
          <w:szCs w:val="24"/>
        </w:rPr>
        <w:t xml:space="preserve"> [the researcher’s] </w:t>
      </w:r>
      <w:r w:rsidRPr="003A0C0D">
        <w:rPr>
          <w:sz w:val="24"/>
          <w:szCs w:val="24"/>
        </w:rPr>
        <w:t>theories, knowledge and understanding. Critical realist</w:t>
      </w:r>
      <w:r>
        <w:rPr>
          <w:sz w:val="24"/>
          <w:szCs w:val="24"/>
        </w:rPr>
        <w:t xml:space="preserve"> </w:t>
      </w:r>
      <w:r w:rsidRPr="003A0C0D">
        <w:rPr>
          <w:sz w:val="24"/>
          <w:szCs w:val="24"/>
        </w:rPr>
        <w:t>interviewing is also concerned to draw on resources and</w:t>
      </w:r>
      <w:r>
        <w:rPr>
          <w:sz w:val="24"/>
          <w:szCs w:val="24"/>
        </w:rPr>
        <w:t xml:space="preserve"> </w:t>
      </w:r>
      <w:r w:rsidRPr="003A0C0D">
        <w:rPr>
          <w:sz w:val="24"/>
          <w:szCs w:val="24"/>
        </w:rPr>
        <w:t>information external to the interview context, in order to</w:t>
      </w:r>
      <w:r>
        <w:rPr>
          <w:sz w:val="24"/>
          <w:szCs w:val="24"/>
        </w:rPr>
        <w:t xml:space="preserve"> </w:t>
      </w:r>
      <w:r w:rsidRPr="003A0C0D">
        <w:rPr>
          <w:sz w:val="24"/>
          <w:szCs w:val="24"/>
        </w:rPr>
        <w:t>scrutinize</w:t>
      </w:r>
      <w:r>
        <w:rPr>
          <w:sz w:val="24"/>
          <w:szCs w:val="24"/>
        </w:rPr>
        <w:t xml:space="preserve"> </w:t>
      </w:r>
      <w:r w:rsidRPr="003A0C0D">
        <w:rPr>
          <w:sz w:val="24"/>
          <w:szCs w:val="24"/>
        </w:rPr>
        <w:t>accounts</w:t>
      </w:r>
      <w:r>
        <w:rPr>
          <w:sz w:val="24"/>
          <w:szCs w:val="24"/>
        </w:rPr>
        <w:t>.</w:t>
      </w:r>
      <w:r>
        <w:rPr>
          <w:iCs/>
          <w:sz w:val="24"/>
          <w:szCs w:val="24"/>
        </w:rPr>
        <w:t>” (C. Smith &amp; Elger, 2014, p. 109, original emphasis)</w:t>
      </w:r>
    </w:p>
    <w:p w14:paraId="1478D999" w14:textId="6F187BCD" w:rsidR="00154310" w:rsidRDefault="008A1B4B" w:rsidP="00082217">
      <w:pPr>
        <w:autoSpaceDE w:val="0"/>
        <w:autoSpaceDN w:val="0"/>
        <w:adjustRightInd w:val="0"/>
        <w:spacing w:before="120" w:after="120" w:line="360" w:lineRule="auto"/>
        <w:rPr>
          <w:iCs/>
          <w:sz w:val="24"/>
          <w:szCs w:val="24"/>
        </w:rPr>
      </w:pPr>
      <w:r>
        <w:rPr>
          <w:iCs/>
          <w:sz w:val="24"/>
          <w:szCs w:val="24"/>
        </w:rPr>
        <w:t>Having drawn my data mainly from documentary sources, the</w:t>
      </w:r>
      <w:r w:rsidR="00082217">
        <w:rPr>
          <w:iCs/>
          <w:sz w:val="24"/>
          <w:szCs w:val="24"/>
        </w:rPr>
        <w:t xml:space="preserve"> interviews served to “provide additional information that [may have been] missed” in my documentary searches, and “to check the accuracy” of my interpretations </w:t>
      </w:r>
      <w:r w:rsidR="00233012">
        <w:rPr>
          <w:iCs/>
          <w:sz w:val="24"/>
          <w:szCs w:val="24"/>
        </w:rPr>
        <w:fldChar w:fldCharType="begin"/>
      </w:r>
      <w:r w:rsidR="00082217">
        <w:rPr>
          <w:iCs/>
          <w:sz w:val="24"/>
          <w:szCs w:val="24"/>
        </w:rPr>
        <w:instrText xml:space="preserve"> ADDIN EN.CITE &lt;EndNote&gt;&lt;Cite&gt;&lt;Author&gt;Maxwell&lt;/Author&gt;&lt;Year&gt;2013&lt;/Year&gt;&lt;IDText&gt;Qualitative research design: an interactive approach&lt;/IDText&gt;&lt;Pages&gt;103&lt;/Pages&gt;&lt;DisplayText&gt;(Maxwell, 2013, p. 103)&lt;/DisplayText&gt;&lt;record&gt;&lt;keywords&gt;&lt;keyword&gt;Research -- Methodology&lt;/keyword&gt;&lt;/keywords&gt;&lt;titles&gt;&lt;title&gt;Qualitative research design: an interactive approach&lt;/title&gt;&lt;/titles&gt;&lt;contributors&gt;&lt;authors&gt;&lt;author&gt;Maxwell, Joseph Alex&lt;/author&gt;&lt;/authors&gt;&lt;/contributors&gt;&lt;edition&gt;3rd&lt;/edition&gt;&lt;added-date format="utc"&gt;1468342713&lt;/added-date&gt;&lt;pub-location&gt;Los Angeles&lt;/pub-location&gt;&lt;ref-type name="Book"&gt;6&lt;/ref-type&gt;&lt;dates&gt;&lt;year&gt;2013&lt;/year&gt;&lt;/dates&gt;&lt;rec-number&gt;425&lt;/rec-number&gt;&lt;publisher&gt;SAGE&lt;/publisher&gt;&lt;last-updated-date format="utc"&gt;1517618938&lt;/last-updated-date&gt;&lt;/record&gt;&lt;/Cite&gt;&lt;/EndNote&gt;</w:instrText>
      </w:r>
      <w:r w:rsidR="00233012">
        <w:rPr>
          <w:iCs/>
          <w:sz w:val="24"/>
          <w:szCs w:val="24"/>
        </w:rPr>
        <w:fldChar w:fldCharType="separate"/>
      </w:r>
      <w:r w:rsidR="00082217">
        <w:rPr>
          <w:iCs/>
          <w:noProof/>
          <w:sz w:val="24"/>
          <w:szCs w:val="24"/>
        </w:rPr>
        <w:t>(Maxwell, 2013, p. 103)</w:t>
      </w:r>
      <w:r w:rsidR="00233012">
        <w:rPr>
          <w:iCs/>
          <w:sz w:val="24"/>
          <w:szCs w:val="24"/>
        </w:rPr>
        <w:fldChar w:fldCharType="end"/>
      </w:r>
      <w:r w:rsidR="00082217">
        <w:rPr>
          <w:iCs/>
          <w:sz w:val="24"/>
          <w:szCs w:val="24"/>
        </w:rPr>
        <w:t xml:space="preserve">. Maxwell </w:t>
      </w:r>
      <w:r w:rsidR="00233012">
        <w:rPr>
          <w:iCs/>
          <w:sz w:val="24"/>
          <w:szCs w:val="24"/>
        </w:rPr>
        <w:fldChar w:fldCharType="begin"/>
      </w:r>
      <w:r w:rsidR="00082217">
        <w:rPr>
          <w:iCs/>
          <w:sz w:val="24"/>
          <w:szCs w:val="24"/>
        </w:rPr>
        <w:instrText xml:space="preserve"> ADDIN EN.CITE &lt;EndNote&gt;&lt;Cite ExcludeAuth="1"&gt;&lt;Author&gt;Maxwell&lt;/Author&gt;&lt;Year&gt;2013&lt;/Year&gt;&lt;IDText&gt;Qualitative research design: an interactive approach&lt;/IDText&gt;&lt;DisplayText&gt;(2013)&lt;/DisplayText&gt;&lt;record&gt;&lt;keywords&gt;&lt;keyword&gt;Research -- Methodology&lt;/keyword&gt;&lt;/keywords&gt;&lt;titles&gt;&lt;title&gt;Qualitative research design: an interactive approach&lt;/title&gt;&lt;/titles&gt;&lt;contributors&gt;&lt;authors&gt;&lt;author&gt;Maxwell, Joseph Alex&lt;/author&gt;&lt;/authors&gt;&lt;/contributors&gt;&lt;edition&gt;3rd&lt;/edition&gt;&lt;added-date format="utc"&gt;1468342713&lt;/added-date&gt;&lt;pub-location&gt;Los Angeles&lt;/pub-location&gt;&lt;ref-type name="Book"&gt;6&lt;/ref-type&gt;&lt;dates&gt;&lt;year&gt;2013&lt;/year&gt;&lt;/dates&gt;&lt;rec-number&gt;425&lt;/rec-number&gt;&lt;publisher&gt;SAGE&lt;/publisher&gt;&lt;last-updated-date format="utc"&gt;1517618938&lt;/last-updated-date&gt;&lt;/record&gt;&lt;/Cite&gt;&lt;/EndNote&gt;</w:instrText>
      </w:r>
      <w:r w:rsidR="00233012">
        <w:rPr>
          <w:iCs/>
          <w:sz w:val="24"/>
          <w:szCs w:val="24"/>
        </w:rPr>
        <w:fldChar w:fldCharType="separate"/>
      </w:r>
      <w:r w:rsidR="00082217">
        <w:rPr>
          <w:iCs/>
          <w:noProof/>
          <w:sz w:val="24"/>
          <w:szCs w:val="24"/>
        </w:rPr>
        <w:t>(2013)</w:t>
      </w:r>
      <w:r w:rsidR="00233012">
        <w:rPr>
          <w:iCs/>
          <w:sz w:val="24"/>
          <w:szCs w:val="24"/>
        </w:rPr>
        <w:fldChar w:fldCharType="end"/>
      </w:r>
      <w:r w:rsidR="00082217">
        <w:rPr>
          <w:iCs/>
          <w:sz w:val="24"/>
          <w:szCs w:val="24"/>
        </w:rPr>
        <w:t xml:space="preserve"> notes that “[f]or interviewing to be useful for this purpose, you need to ask about </w:t>
      </w:r>
      <w:r w:rsidR="00082217">
        <w:rPr>
          <w:i/>
          <w:iCs/>
          <w:sz w:val="24"/>
          <w:szCs w:val="24"/>
        </w:rPr>
        <w:t xml:space="preserve">specific </w:t>
      </w:r>
      <w:r w:rsidR="00082217">
        <w:rPr>
          <w:iCs/>
          <w:sz w:val="24"/>
          <w:szCs w:val="24"/>
        </w:rPr>
        <w:t xml:space="preserve">events and actions, rather than posing questions that elicit only generalizations and opinions” </w:t>
      </w:r>
      <w:r w:rsidR="00233012">
        <w:rPr>
          <w:iCs/>
          <w:sz w:val="24"/>
          <w:szCs w:val="24"/>
        </w:rPr>
        <w:fldChar w:fldCharType="begin"/>
      </w:r>
      <w:r w:rsidR="00082217">
        <w:rPr>
          <w:iCs/>
          <w:sz w:val="24"/>
          <w:szCs w:val="24"/>
        </w:rPr>
        <w:instrText xml:space="preserve"> ADDIN EN.CITE &lt;EndNote&gt;&lt;Cite ExcludeAuth="1" ExcludeYear="1"&gt;&lt;Author&gt;Maxwell&lt;/Author&gt;&lt;Year&gt;2013&lt;/Year&gt;&lt;IDText&gt;Qualitative research design: an interactive approach&lt;/IDText&gt;&lt;Suffix&gt;`, original emphasis&lt;/Suffix&gt;&lt;Pages&gt;103&lt;/Pages&gt;&lt;DisplayText&gt;(p. 103, original emphasis)&lt;/DisplayText&gt;&lt;record&gt;&lt;keywords&gt;&lt;keyword&gt;Research -- Methodology&lt;/keyword&gt;&lt;/keywords&gt;&lt;titles&gt;&lt;title&gt;Qualitative research design: an interactive approach&lt;/title&gt;&lt;/titles&gt;&lt;contributors&gt;&lt;authors&gt;&lt;author&gt;Maxwell, Joseph Alex&lt;/author&gt;&lt;/authors&gt;&lt;/contributors&gt;&lt;edition&gt;3rd&lt;/edition&gt;&lt;added-date format="utc"&gt;1468342713&lt;/added-date&gt;&lt;pub-location&gt;Los Angeles&lt;/pub-location&gt;&lt;ref-type name="Book"&gt;6&lt;/ref-type&gt;&lt;dates&gt;&lt;year&gt;2013&lt;/year&gt;&lt;/dates&gt;&lt;rec-number&gt;425&lt;/rec-number&gt;&lt;publisher&gt;SAGE&lt;/publisher&gt;&lt;last-updated-date format="utc"&gt;1517618938&lt;/last-updated-date&gt;&lt;/record&gt;&lt;/Cite&gt;&lt;/EndNote&gt;</w:instrText>
      </w:r>
      <w:r w:rsidR="00233012">
        <w:rPr>
          <w:iCs/>
          <w:sz w:val="24"/>
          <w:szCs w:val="24"/>
        </w:rPr>
        <w:fldChar w:fldCharType="separate"/>
      </w:r>
      <w:r w:rsidR="00082217">
        <w:rPr>
          <w:iCs/>
          <w:noProof/>
          <w:sz w:val="24"/>
          <w:szCs w:val="24"/>
        </w:rPr>
        <w:t>(p. 103, original emphasis)</w:t>
      </w:r>
      <w:r w:rsidR="00233012">
        <w:rPr>
          <w:iCs/>
          <w:sz w:val="24"/>
          <w:szCs w:val="24"/>
        </w:rPr>
        <w:fldChar w:fldCharType="end"/>
      </w:r>
      <w:r w:rsidR="00082217">
        <w:rPr>
          <w:iCs/>
          <w:sz w:val="24"/>
          <w:szCs w:val="24"/>
        </w:rPr>
        <w:t>. My own interviews were indeed predominantly focused on specific details related to my interviewees’ direct participation in research which I had sampled for study</w:t>
      </w:r>
      <w:r w:rsidR="001248AA">
        <w:rPr>
          <w:iCs/>
          <w:sz w:val="24"/>
          <w:szCs w:val="24"/>
        </w:rPr>
        <w:t xml:space="preserve">. </w:t>
      </w:r>
      <w:r>
        <w:rPr>
          <w:iCs/>
          <w:sz w:val="24"/>
          <w:szCs w:val="24"/>
        </w:rPr>
        <w:t xml:space="preserve">Interviews were semi-structured and somewhat tailored to each individual respondent, with individualisations grounded on my prior knowledge their research and broader academic work based on my documentary research. However, </w:t>
      </w:r>
      <w:r w:rsidR="00082217">
        <w:rPr>
          <w:iCs/>
          <w:sz w:val="24"/>
          <w:szCs w:val="24"/>
        </w:rPr>
        <w:t xml:space="preserve">I started each interview by asking relatively open questions which would give the respondent their own opportunity to ‘shape’ the narrative of the BoR. I made a particular point to ask follow-up questions and clarification where their version of events surrounding the BoR suggested different or more complex interpretations to those which I had gleaned from the documentary sources, for example if the precise order of events or meetings with key collaborators seemed more complex in the respondents’ telling, or if ‘hidden’ collaborators or inspirations for the research were mentioned. My probing questions encouraged the respondent to reflect on processes of collaboration and communication with different audiences, including various funders, collaborators, stakeholders and users of knowledge – anything which I felt was an important part or instance of confronting academic boundaries. </w:t>
      </w:r>
    </w:p>
    <w:p w14:paraId="4C495D81" w14:textId="3A003593" w:rsidR="00082217" w:rsidRDefault="005A68DA" w:rsidP="00082217">
      <w:pPr>
        <w:autoSpaceDE w:val="0"/>
        <w:autoSpaceDN w:val="0"/>
        <w:adjustRightInd w:val="0"/>
        <w:spacing w:before="120" w:after="120" w:line="360" w:lineRule="auto"/>
        <w:rPr>
          <w:iCs/>
          <w:sz w:val="24"/>
          <w:szCs w:val="24"/>
        </w:rPr>
      </w:pPr>
      <w:r>
        <w:rPr>
          <w:iCs/>
          <w:sz w:val="24"/>
          <w:szCs w:val="24"/>
        </w:rPr>
        <w:t xml:space="preserve">This semi-structured line of questioning yielded illuminating conversations and rich data. </w:t>
      </w:r>
      <w:r w:rsidR="00082217">
        <w:rPr>
          <w:iCs/>
          <w:sz w:val="24"/>
          <w:szCs w:val="24"/>
        </w:rPr>
        <w:t xml:space="preserve">As the dialogue unfolded, several of the respondents </w:t>
      </w:r>
      <w:r w:rsidR="001248AA">
        <w:rPr>
          <w:iCs/>
          <w:sz w:val="24"/>
          <w:szCs w:val="24"/>
        </w:rPr>
        <w:t>seemed to take the opportunity to reflect on their research more discursivel</w:t>
      </w:r>
      <w:r w:rsidR="001F3459">
        <w:rPr>
          <w:iCs/>
          <w:sz w:val="24"/>
          <w:szCs w:val="24"/>
        </w:rPr>
        <w:t>y and/or critically. For example, after one respondent expressed</w:t>
      </w:r>
      <w:r w:rsidR="00082217">
        <w:rPr>
          <w:iCs/>
          <w:sz w:val="24"/>
          <w:szCs w:val="24"/>
        </w:rPr>
        <w:t xml:space="preserve"> the opinion that professional practitioners should attempt to instil more ‘curiosity’ into their work – curiosity being a trait normally deeply associated with ‘blue skies’, basic academic research – I asked the respondent if she had attempted to conduct any such collaborative research with professional practitioners herself. She responded</w:t>
      </w:r>
      <w:r w:rsidR="001F3459">
        <w:rPr>
          <w:iCs/>
          <w:sz w:val="24"/>
          <w:szCs w:val="24"/>
        </w:rPr>
        <w:t xml:space="preserve"> she “ha[d]n’t really ... perhaps I ought to do that</w:t>
      </w:r>
      <w:r w:rsidR="00BA0417">
        <w:rPr>
          <w:iCs/>
          <w:sz w:val="24"/>
          <w:szCs w:val="24"/>
        </w:rPr>
        <w:t>” and</w:t>
      </w:r>
      <w:r w:rsidR="001F3459">
        <w:rPr>
          <w:iCs/>
          <w:sz w:val="24"/>
          <w:szCs w:val="24"/>
        </w:rPr>
        <w:t xml:space="preserve"> thanked m</w:t>
      </w:r>
      <w:r w:rsidR="00082217">
        <w:rPr>
          <w:iCs/>
          <w:sz w:val="24"/>
          <w:szCs w:val="24"/>
        </w:rPr>
        <w:t>e at the end of the interview for giving her the opportunity to reflect on how her research trajectory in relation to her research values.</w:t>
      </w:r>
      <w:r w:rsidR="001F3459">
        <w:rPr>
          <w:iCs/>
          <w:sz w:val="24"/>
          <w:szCs w:val="24"/>
        </w:rPr>
        <w:t xml:space="preserve"> Two respondents used my questions about their collaborations with non-academic organisations to frame their experience in terms of crossing “boundaries” – the central concept in my study, but a term which I had deliberately not used with the participants either in writing or verbally at those points of the interview</w:t>
      </w:r>
      <w:r w:rsidR="00404FE2">
        <w:rPr>
          <w:iCs/>
          <w:sz w:val="24"/>
          <w:szCs w:val="24"/>
        </w:rPr>
        <w:t xml:space="preserve"> (see Appendix </w:t>
      </w:r>
      <w:r w:rsidR="004D3BA5">
        <w:rPr>
          <w:iCs/>
          <w:sz w:val="24"/>
          <w:szCs w:val="24"/>
        </w:rPr>
        <w:t>B</w:t>
      </w:r>
      <w:r w:rsidR="00404FE2">
        <w:rPr>
          <w:iCs/>
          <w:sz w:val="24"/>
          <w:szCs w:val="24"/>
        </w:rPr>
        <w:t xml:space="preserve"> for the letter to participants and interview Information Sheet)</w:t>
      </w:r>
      <w:r w:rsidR="001F3459">
        <w:rPr>
          <w:iCs/>
          <w:sz w:val="24"/>
          <w:szCs w:val="24"/>
        </w:rPr>
        <w:t>.</w:t>
      </w:r>
      <w:r w:rsidR="00082217">
        <w:rPr>
          <w:iCs/>
          <w:sz w:val="24"/>
          <w:szCs w:val="24"/>
        </w:rPr>
        <w:t xml:space="preserve"> </w:t>
      </w:r>
      <w:r w:rsidR="001F3459">
        <w:rPr>
          <w:iCs/>
          <w:sz w:val="24"/>
          <w:szCs w:val="24"/>
        </w:rPr>
        <w:t>A</w:t>
      </w:r>
      <w:r w:rsidR="00AA5AF9">
        <w:rPr>
          <w:iCs/>
          <w:sz w:val="24"/>
          <w:szCs w:val="24"/>
        </w:rPr>
        <w:t>nother</w:t>
      </w:r>
      <w:r w:rsidR="00082217">
        <w:rPr>
          <w:iCs/>
          <w:sz w:val="24"/>
          <w:szCs w:val="24"/>
        </w:rPr>
        <w:t xml:space="preserve"> respondent frame</w:t>
      </w:r>
      <w:r w:rsidR="001F3459">
        <w:rPr>
          <w:iCs/>
          <w:sz w:val="24"/>
          <w:szCs w:val="24"/>
        </w:rPr>
        <w:t>d</w:t>
      </w:r>
      <w:r w:rsidR="00082217">
        <w:rPr>
          <w:iCs/>
          <w:sz w:val="24"/>
          <w:szCs w:val="24"/>
        </w:rPr>
        <w:t xml:space="preserve"> his answer in terms of “academic identity”</w:t>
      </w:r>
      <w:r w:rsidR="00AA5AF9">
        <w:rPr>
          <w:iCs/>
          <w:sz w:val="24"/>
          <w:szCs w:val="24"/>
        </w:rPr>
        <w:t xml:space="preserve"> and spoke quite </w:t>
      </w:r>
      <w:r w:rsidR="00AA5AF9">
        <w:rPr>
          <w:i/>
          <w:sz w:val="24"/>
          <w:szCs w:val="24"/>
        </w:rPr>
        <w:t xml:space="preserve">sociologically </w:t>
      </w:r>
      <w:r w:rsidR="00AA5AF9">
        <w:rPr>
          <w:iCs/>
          <w:sz w:val="24"/>
          <w:szCs w:val="24"/>
        </w:rPr>
        <w:t>about his conflicting ‘identities’ in relation to his university, discipline, and personal motivations</w:t>
      </w:r>
      <w:r w:rsidR="00404FE2">
        <w:rPr>
          <w:iCs/>
          <w:sz w:val="24"/>
          <w:szCs w:val="24"/>
        </w:rPr>
        <w:t xml:space="preserve">, each of which seemed to take him in different directions. I believe that these examples indicate the success of my interview approach, which was to elicit </w:t>
      </w:r>
      <w:r w:rsidR="00082217">
        <w:rPr>
          <w:iCs/>
          <w:sz w:val="24"/>
          <w:szCs w:val="24"/>
        </w:rPr>
        <w:t>respondents to give their own accounts of the research, with as little input from myself as possible, and then to gradually probe and encourage reflection on issues of more theoretical interest to me</w:t>
      </w:r>
      <w:r w:rsidR="00404FE2">
        <w:rPr>
          <w:iCs/>
          <w:sz w:val="24"/>
          <w:szCs w:val="24"/>
        </w:rPr>
        <w:t>, grounded in my existing detailed knowledge of the participants’ research</w:t>
      </w:r>
      <w:r w:rsidR="00082217">
        <w:rPr>
          <w:rStyle w:val="FootnoteReference"/>
          <w:iCs/>
          <w:sz w:val="24"/>
          <w:szCs w:val="24"/>
        </w:rPr>
        <w:footnoteReference w:id="13"/>
      </w:r>
      <w:r w:rsidR="00082217">
        <w:rPr>
          <w:iCs/>
          <w:sz w:val="24"/>
          <w:szCs w:val="24"/>
        </w:rPr>
        <w:t xml:space="preserve">. </w:t>
      </w:r>
    </w:p>
    <w:p w14:paraId="3594F8D4" w14:textId="6F03C709" w:rsidR="00082217" w:rsidRDefault="00082217" w:rsidP="00CE1B98">
      <w:pPr>
        <w:pStyle w:val="Heading2"/>
        <w:contextualSpacing/>
      </w:pPr>
      <w:bookmarkStart w:id="84" w:name="_Toc536717941"/>
      <w:bookmarkStart w:id="85" w:name="_Toc31701968"/>
      <w:r>
        <w:t>Analy</w:t>
      </w:r>
      <w:bookmarkEnd w:id="84"/>
      <w:r w:rsidR="000161F7">
        <w:t xml:space="preserve">tical </w:t>
      </w:r>
      <w:r w:rsidR="00CC139D">
        <w:t>procedures</w:t>
      </w:r>
      <w:bookmarkEnd w:id="85"/>
    </w:p>
    <w:p w14:paraId="03502B71" w14:textId="35940BE3" w:rsidR="00943839" w:rsidRDefault="0075041C" w:rsidP="0075041C">
      <w:pPr>
        <w:pStyle w:val="Heading3"/>
      </w:pPr>
      <w:bookmarkStart w:id="86" w:name="_Toc31701969"/>
      <w:r>
        <w:t>Analysis of n=19 bodies of research (BoRs)</w:t>
      </w:r>
      <w:r w:rsidR="00191826">
        <w:t xml:space="preserve">: the </w:t>
      </w:r>
      <w:r w:rsidR="00924377">
        <w:t>‘</w:t>
      </w:r>
      <w:r w:rsidR="00191826">
        <w:t>surface-level</w:t>
      </w:r>
      <w:r w:rsidR="00924377">
        <w:t>’</w:t>
      </w:r>
      <w:r w:rsidR="00B73B14">
        <w:t xml:space="preserve"> of</w:t>
      </w:r>
      <w:r w:rsidR="00924377">
        <w:t xml:space="preserve"> research</w:t>
      </w:r>
      <w:r w:rsidR="00B73B14">
        <w:t xml:space="preserve"> boundedness</w:t>
      </w:r>
      <w:bookmarkEnd w:id="86"/>
    </w:p>
    <w:p w14:paraId="4532FAFA" w14:textId="4F57D32B" w:rsidR="000449C8" w:rsidRDefault="000449C8" w:rsidP="000449C8">
      <w:pPr>
        <w:spacing w:after="120" w:line="360" w:lineRule="auto"/>
        <w:rPr>
          <w:sz w:val="24"/>
          <w:szCs w:val="24"/>
        </w:rPr>
      </w:pPr>
      <w:r>
        <w:rPr>
          <w:sz w:val="24"/>
          <w:szCs w:val="24"/>
        </w:rPr>
        <w:t>A key theoretical idea</w:t>
      </w:r>
      <w:r w:rsidR="00E44D1F">
        <w:rPr>
          <w:sz w:val="24"/>
          <w:szCs w:val="24"/>
        </w:rPr>
        <w:t>, which condenses and combines the various sub-sections of the literature review (Chapter 2),</w:t>
      </w:r>
      <w:r>
        <w:rPr>
          <w:sz w:val="24"/>
          <w:szCs w:val="24"/>
        </w:rPr>
        <w:t xml:space="preserve"> </w:t>
      </w:r>
      <w:r w:rsidR="00C376A4">
        <w:rPr>
          <w:sz w:val="24"/>
          <w:szCs w:val="24"/>
        </w:rPr>
        <w:t>underpins my analytical framework</w:t>
      </w:r>
      <w:r>
        <w:rPr>
          <w:sz w:val="24"/>
          <w:szCs w:val="24"/>
        </w:rPr>
        <w:t xml:space="preserve">: </w:t>
      </w:r>
      <w:r w:rsidR="001D7868">
        <w:rPr>
          <w:sz w:val="24"/>
          <w:szCs w:val="24"/>
        </w:rPr>
        <w:t>B</w:t>
      </w:r>
      <w:r>
        <w:rPr>
          <w:sz w:val="24"/>
          <w:szCs w:val="24"/>
        </w:rPr>
        <w:t>oundary transactions are key causal mechanisms vis-à-vis the reproduction or potential weakening or transformation of academic boundaries, but they take place in complex research contexts</w:t>
      </w:r>
      <w:r w:rsidR="000D5FA3">
        <w:rPr>
          <w:sz w:val="24"/>
          <w:szCs w:val="24"/>
        </w:rPr>
        <w:t>,</w:t>
      </w:r>
      <w:r>
        <w:rPr>
          <w:sz w:val="24"/>
          <w:szCs w:val="24"/>
        </w:rPr>
        <w:t xml:space="preserve"> are not necessarily directly deterministic</w:t>
      </w:r>
      <w:r w:rsidR="000D5FA3">
        <w:rPr>
          <w:sz w:val="24"/>
          <w:szCs w:val="24"/>
        </w:rPr>
        <w:t>,</w:t>
      </w:r>
      <w:r>
        <w:rPr>
          <w:sz w:val="24"/>
          <w:szCs w:val="24"/>
        </w:rPr>
        <w:t xml:space="preserve"> and require in-depth study in order to untangle their operation and effects. Therefore, understanding boundary transactions</w:t>
      </w:r>
      <w:r w:rsidR="0000469B">
        <w:rPr>
          <w:sz w:val="24"/>
          <w:szCs w:val="24"/>
        </w:rPr>
        <w:t xml:space="preserve"> requires not only analysis of</w:t>
      </w:r>
      <w:r>
        <w:rPr>
          <w:sz w:val="24"/>
          <w:szCs w:val="24"/>
        </w:rPr>
        <w:t xml:space="preserve"> the transactions themselves, but </w:t>
      </w:r>
      <w:r w:rsidR="0000469B">
        <w:rPr>
          <w:sz w:val="24"/>
          <w:szCs w:val="24"/>
        </w:rPr>
        <w:t>also an</w:t>
      </w:r>
      <w:r>
        <w:rPr>
          <w:sz w:val="24"/>
          <w:szCs w:val="24"/>
        </w:rPr>
        <w:t xml:space="preserve"> analysis at the level of the ‘bodies of research’ (BoRs) within which these transactions occurred</w:t>
      </w:r>
      <w:r w:rsidR="0099430B">
        <w:rPr>
          <w:sz w:val="24"/>
          <w:szCs w:val="24"/>
        </w:rPr>
        <w:t>, and which takes seriously the complexity of the research context</w:t>
      </w:r>
      <w:r>
        <w:rPr>
          <w:sz w:val="24"/>
          <w:szCs w:val="24"/>
        </w:rPr>
        <w:t xml:space="preserve">. </w:t>
      </w:r>
      <w:r w:rsidR="000B3499">
        <w:rPr>
          <w:sz w:val="24"/>
          <w:szCs w:val="24"/>
        </w:rPr>
        <w:t xml:space="preserve">What is needed is </w:t>
      </w:r>
      <w:r w:rsidR="00D4152C">
        <w:rPr>
          <w:sz w:val="24"/>
          <w:szCs w:val="24"/>
        </w:rPr>
        <w:t xml:space="preserve">(i) </w:t>
      </w:r>
      <w:r w:rsidR="000B3499">
        <w:rPr>
          <w:sz w:val="24"/>
          <w:szCs w:val="24"/>
        </w:rPr>
        <w:t xml:space="preserve">evidence of how ‘boundary transactions’ played out in context </w:t>
      </w:r>
      <w:r w:rsidR="000B3499">
        <w:rPr>
          <w:i/>
          <w:sz w:val="24"/>
          <w:szCs w:val="24"/>
        </w:rPr>
        <w:t xml:space="preserve">and </w:t>
      </w:r>
      <w:r w:rsidR="00D4152C">
        <w:rPr>
          <w:sz w:val="24"/>
          <w:szCs w:val="24"/>
        </w:rPr>
        <w:t xml:space="preserve">(ii) </w:t>
      </w:r>
      <w:r w:rsidR="000B3499">
        <w:rPr>
          <w:sz w:val="24"/>
          <w:szCs w:val="24"/>
        </w:rPr>
        <w:t>evidence about whether the context</w:t>
      </w:r>
      <w:r w:rsidR="00D4152C">
        <w:rPr>
          <w:sz w:val="24"/>
          <w:szCs w:val="24"/>
        </w:rPr>
        <w:t xml:space="preserve"> of research was relatively ‘bounded’, and therefore boundaries we</w:t>
      </w:r>
      <w:r w:rsidR="00AF341A">
        <w:rPr>
          <w:sz w:val="24"/>
          <w:szCs w:val="24"/>
        </w:rPr>
        <w:t>re</w:t>
      </w:r>
      <w:r w:rsidR="000B3499">
        <w:rPr>
          <w:sz w:val="24"/>
          <w:szCs w:val="24"/>
        </w:rPr>
        <w:t xml:space="preserve"> predominantly being reproduced </w:t>
      </w:r>
      <w:r w:rsidR="00A563BD">
        <w:rPr>
          <w:sz w:val="24"/>
          <w:szCs w:val="24"/>
        </w:rPr>
        <w:t>(‘bounded’)</w:t>
      </w:r>
      <w:r w:rsidR="00D4152C">
        <w:rPr>
          <w:sz w:val="24"/>
          <w:szCs w:val="24"/>
        </w:rPr>
        <w:t>,</w:t>
      </w:r>
      <w:r w:rsidR="00A563BD">
        <w:rPr>
          <w:sz w:val="24"/>
          <w:szCs w:val="24"/>
        </w:rPr>
        <w:t xml:space="preserve"> </w:t>
      </w:r>
      <w:r w:rsidR="000B3499" w:rsidRPr="004F5A2C">
        <w:rPr>
          <w:i/>
          <w:sz w:val="24"/>
          <w:szCs w:val="24"/>
        </w:rPr>
        <w:t>or</w:t>
      </w:r>
      <w:r w:rsidR="000B3499">
        <w:rPr>
          <w:sz w:val="24"/>
          <w:szCs w:val="24"/>
        </w:rPr>
        <w:t xml:space="preserve"> </w:t>
      </w:r>
      <w:r w:rsidR="00D4152C">
        <w:rPr>
          <w:sz w:val="24"/>
          <w:szCs w:val="24"/>
        </w:rPr>
        <w:t>‘unbounded’, and therefore boundaries were</w:t>
      </w:r>
      <w:r w:rsidR="000B3499">
        <w:rPr>
          <w:sz w:val="24"/>
          <w:szCs w:val="24"/>
        </w:rPr>
        <w:t xml:space="preserve"> predominantly being weakened, and in what ways.</w:t>
      </w:r>
      <w:r w:rsidR="008713D1">
        <w:rPr>
          <w:sz w:val="24"/>
          <w:szCs w:val="24"/>
        </w:rPr>
        <w:t xml:space="preserve"> The </w:t>
      </w:r>
      <w:r w:rsidR="005717FB">
        <w:rPr>
          <w:sz w:val="24"/>
          <w:szCs w:val="24"/>
        </w:rPr>
        <w:t xml:space="preserve">diagrammatised </w:t>
      </w:r>
      <w:r w:rsidR="008713D1">
        <w:rPr>
          <w:sz w:val="24"/>
          <w:szCs w:val="24"/>
        </w:rPr>
        <w:t>conceptual framework</w:t>
      </w:r>
      <w:r w:rsidR="005411D1">
        <w:rPr>
          <w:sz w:val="24"/>
          <w:szCs w:val="24"/>
        </w:rPr>
        <w:t>, first</w:t>
      </w:r>
      <w:r w:rsidR="008713D1">
        <w:rPr>
          <w:sz w:val="24"/>
          <w:szCs w:val="24"/>
        </w:rPr>
        <w:t xml:space="preserve"> </w:t>
      </w:r>
      <w:r w:rsidR="005717FB">
        <w:rPr>
          <w:sz w:val="24"/>
          <w:szCs w:val="24"/>
        </w:rPr>
        <w:t>presented in Chapter 2 (</w:t>
      </w:r>
      <w:r w:rsidR="00463FA3" w:rsidRPr="00463FA3">
        <w:rPr>
          <w:sz w:val="24"/>
          <w:szCs w:val="24"/>
        </w:rPr>
        <w:fldChar w:fldCharType="begin"/>
      </w:r>
      <w:r w:rsidR="00463FA3" w:rsidRPr="00463FA3">
        <w:rPr>
          <w:sz w:val="24"/>
          <w:szCs w:val="24"/>
        </w:rPr>
        <w:instrText xml:space="preserve"> REF _Ref11859168 \h </w:instrText>
      </w:r>
      <w:r w:rsidR="00463FA3">
        <w:rPr>
          <w:sz w:val="24"/>
          <w:szCs w:val="24"/>
        </w:rPr>
        <w:instrText xml:space="preserve"> \* MERGEFORMAT </w:instrText>
      </w:r>
      <w:r w:rsidR="00463FA3" w:rsidRPr="00463FA3">
        <w:rPr>
          <w:sz w:val="24"/>
          <w:szCs w:val="24"/>
        </w:rPr>
      </w:r>
      <w:r w:rsidR="00463FA3" w:rsidRPr="00463FA3">
        <w:rPr>
          <w:sz w:val="24"/>
          <w:szCs w:val="24"/>
        </w:rPr>
        <w:fldChar w:fldCharType="separate"/>
      </w:r>
      <w:r w:rsidR="0011424E" w:rsidRPr="0011424E">
        <w:rPr>
          <w:sz w:val="24"/>
          <w:szCs w:val="24"/>
        </w:rPr>
        <w:t xml:space="preserve">Figure </w:t>
      </w:r>
      <w:r w:rsidR="0011424E" w:rsidRPr="0011424E">
        <w:rPr>
          <w:noProof/>
          <w:sz w:val="24"/>
          <w:szCs w:val="24"/>
        </w:rPr>
        <w:t>1</w:t>
      </w:r>
      <w:r w:rsidR="00463FA3" w:rsidRPr="00463FA3">
        <w:rPr>
          <w:sz w:val="24"/>
          <w:szCs w:val="24"/>
        </w:rPr>
        <w:fldChar w:fldCharType="end"/>
      </w:r>
      <w:r w:rsidR="00463FA3">
        <w:rPr>
          <w:sz w:val="24"/>
          <w:szCs w:val="24"/>
        </w:rPr>
        <w:t>)</w:t>
      </w:r>
      <w:r w:rsidR="005411D1">
        <w:rPr>
          <w:sz w:val="24"/>
          <w:szCs w:val="24"/>
        </w:rPr>
        <w:t xml:space="preserve"> </w:t>
      </w:r>
      <w:r w:rsidR="005717FB">
        <w:rPr>
          <w:sz w:val="24"/>
          <w:szCs w:val="24"/>
        </w:rPr>
        <w:t xml:space="preserve">and </w:t>
      </w:r>
      <w:r w:rsidR="005411D1">
        <w:rPr>
          <w:sz w:val="24"/>
          <w:szCs w:val="24"/>
        </w:rPr>
        <w:t>reproduced below (</w:t>
      </w:r>
      <w:r w:rsidR="005411D1" w:rsidRPr="005411D1">
        <w:rPr>
          <w:sz w:val="24"/>
          <w:szCs w:val="24"/>
        </w:rPr>
        <w:fldChar w:fldCharType="begin"/>
      </w:r>
      <w:r w:rsidR="005411D1" w:rsidRPr="005411D1">
        <w:rPr>
          <w:sz w:val="24"/>
          <w:szCs w:val="24"/>
        </w:rPr>
        <w:instrText xml:space="preserve"> REF _Ref16601036 \h </w:instrText>
      </w:r>
      <w:r w:rsidR="005411D1">
        <w:rPr>
          <w:sz w:val="24"/>
          <w:szCs w:val="24"/>
        </w:rPr>
        <w:instrText xml:space="preserve"> \* MERGEFORMAT </w:instrText>
      </w:r>
      <w:r w:rsidR="005411D1" w:rsidRPr="005411D1">
        <w:rPr>
          <w:sz w:val="24"/>
          <w:szCs w:val="24"/>
        </w:rPr>
      </w:r>
      <w:r w:rsidR="005411D1" w:rsidRPr="005411D1">
        <w:rPr>
          <w:sz w:val="24"/>
          <w:szCs w:val="24"/>
        </w:rPr>
        <w:fldChar w:fldCharType="separate"/>
      </w:r>
      <w:r w:rsidR="0011424E" w:rsidRPr="0011424E">
        <w:rPr>
          <w:sz w:val="24"/>
          <w:szCs w:val="24"/>
        </w:rPr>
        <w:t xml:space="preserve">Figure </w:t>
      </w:r>
      <w:r w:rsidR="0011424E" w:rsidRPr="0011424E">
        <w:rPr>
          <w:noProof/>
          <w:sz w:val="24"/>
          <w:szCs w:val="24"/>
        </w:rPr>
        <w:t>5</w:t>
      </w:r>
      <w:r w:rsidR="005411D1" w:rsidRPr="005411D1">
        <w:rPr>
          <w:sz w:val="24"/>
          <w:szCs w:val="24"/>
        </w:rPr>
        <w:fldChar w:fldCharType="end"/>
      </w:r>
      <w:r w:rsidR="005411D1">
        <w:rPr>
          <w:sz w:val="24"/>
          <w:szCs w:val="24"/>
        </w:rPr>
        <w:t>)</w:t>
      </w:r>
      <w:r w:rsidR="008A2EBE">
        <w:rPr>
          <w:sz w:val="24"/>
          <w:szCs w:val="24"/>
        </w:rPr>
        <w:t>,</w:t>
      </w:r>
      <w:r w:rsidR="008713D1">
        <w:rPr>
          <w:sz w:val="24"/>
          <w:szCs w:val="24"/>
        </w:rPr>
        <w:t xml:space="preserve"> </w:t>
      </w:r>
      <w:r w:rsidR="006A270C">
        <w:rPr>
          <w:sz w:val="24"/>
          <w:szCs w:val="24"/>
        </w:rPr>
        <w:t>help</w:t>
      </w:r>
      <w:r w:rsidR="007838B3">
        <w:rPr>
          <w:sz w:val="24"/>
          <w:szCs w:val="24"/>
        </w:rPr>
        <w:t>s</w:t>
      </w:r>
      <w:r w:rsidR="006A270C">
        <w:rPr>
          <w:sz w:val="24"/>
          <w:szCs w:val="24"/>
        </w:rPr>
        <w:t xml:space="preserve"> to clarify this point. </w:t>
      </w:r>
      <w:r w:rsidR="00AB4536">
        <w:rPr>
          <w:sz w:val="24"/>
          <w:szCs w:val="24"/>
        </w:rPr>
        <w:t>Boundary transactions take place in the contexts of research which a</w:t>
      </w:r>
      <w:r w:rsidR="00ED19B9">
        <w:rPr>
          <w:sz w:val="24"/>
          <w:szCs w:val="24"/>
        </w:rPr>
        <w:t xml:space="preserve">re more or less ‘bounded’. </w:t>
      </w:r>
    </w:p>
    <w:p w14:paraId="09D3B4E9" w14:textId="77777777" w:rsidR="005411D1" w:rsidRDefault="00051D58" w:rsidP="005411D1">
      <w:pPr>
        <w:keepNext/>
        <w:spacing w:after="120" w:line="360" w:lineRule="auto"/>
      </w:pPr>
      <w:r w:rsidRPr="00FA23AF">
        <w:rPr>
          <w:noProof/>
          <w:sz w:val="24"/>
          <w:szCs w:val="24"/>
          <w:lang w:eastAsia="zh-TW"/>
        </w:rPr>
        <w:drawing>
          <wp:inline distT="0" distB="0" distL="0" distR="0" wp14:anchorId="239A8B92" wp14:editId="5271E065">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27CBA5E4" w14:textId="3479ABDC" w:rsidR="00051D58" w:rsidRDefault="005411D1" w:rsidP="005411D1">
      <w:pPr>
        <w:pStyle w:val="Caption"/>
      </w:pPr>
      <w:bookmarkStart w:id="87" w:name="_Ref16601036"/>
      <w:bookmarkStart w:id="88" w:name="_Ref16601031"/>
      <w:bookmarkStart w:id="89" w:name="_Toc31702074"/>
      <w:r>
        <w:t xml:space="preserve">Figure </w:t>
      </w:r>
      <w:r w:rsidR="00A56355">
        <w:fldChar w:fldCharType="begin"/>
      </w:r>
      <w:r w:rsidR="00A56355">
        <w:instrText xml:space="preserve"> SEQ Figure \* ARABIC </w:instrText>
      </w:r>
      <w:r w:rsidR="00A56355">
        <w:fldChar w:fldCharType="separate"/>
      </w:r>
      <w:r w:rsidR="0011424E">
        <w:rPr>
          <w:noProof/>
        </w:rPr>
        <w:t>5</w:t>
      </w:r>
      <w:r w:rsidR="00A56355">
        <w:rPr>
          <w:noProof/>
        </w:rPr>
        <w:fldChar w:fldCharType="end"/>
      </w:r>
      <w:bookmarkEnd w:id="87"/>
      <w:r>
        <w:t>.</w:t>
      </w:r>
      <w:bookmarkEnd w:id="88"/>
      <w:r w:rsidR="007926B2">
        <w:t xml:space="preserve"> Conceptual framework of the functioning of research-related boundary transactions</w:t>
      </w:r>
      <w:bookmarkEnd w:id="89"/>
    </w:p>
    <w:p w14:paraId="333A4FA0" w14:textId="77777777" w:rsidR="000C49FD" w:rsidRPr="00012F9F" w:rsidRDefault="000C49FD" w:rsidP="000C49FD">
      <w:pPr>
        <w:pStyle w:val="Heading4"/>
      </w:pPr>
      <w:r>
        <w:t>Plotting the BoRs against the typology</w:t>
      </w:r>
    </w:p>
    <w:p w14:paraId="4F957D33" w14:textId="03F44C7F" w:rsidR="006C1DFC" w:rsidRPr="009C101C" w:rsidRDefault="00271D0B" w:rsidP="009C101C">
      <w:pPr>
        <w:spacing w:after="120" w:line="360" w:lineRule="auto"/>
        <w:rPr>
          <w:sz w:val="24"/>
          <w:szCs w:val="24"/>
        </w:rPr>
      </w:pPr>
      <w:r>
        <w:rPr>
          <w:sz w:val="24"/>
          <w:szCs w:val="24"/>
        </w:rPr>
        <w:t>Central to this task is</w:t>
      </w:r>
      <w:r w:rsidR="000449C8">
        <w:rPr>
          <w:sz w:val="24"/>
          <w:szCs w:val="24"/>
        </w:rPr>
        <w:t xml:space="preserve"> plotting all n=19 BoRs against the </w:t>
      </w:r>
      <w:r w:rsidR="00826071">
        <w:rPr>
          <w:sz w:val="24"/>
          <w:szCs w:val="24"/>
        </w:rPr>
        <w:t>typology adapted from McNie et al. (2016)</w:t>
      </w:r>
      <w:r w:rsidR="007E1621">
        <w:rPr>
          <w:rStyle w:val="FootnoteReference"/>
          <w:sz w:val="24"/>
          <w:szCs w:val="24"/>
        </w:rPr>
        <w:footnoteReference w:id="14"/>
      </w:r>
      <w:r w:rsidR="00826071">
        <w:rPr>
          <w:sz w:val="24"/>
          <w:szCs w:val="24"/>
        </w:rPr>
        <w:t xml:space="preserve">. </w:t>
      </w:r>
      <w:r w:rsidR="00062820" w:rsidRPr="00062820">
        <w:rPr>
          <w:sz w:val="24"/>
          <w:szCs w:val="24"/>
        </w:rPr>
        <w:fldChar w:fldCharType="begin"/>
      </w:r>
      <w:r w:rsidR="00062820" w:rsidRPr="00062820">
        <w:rPr>
          <w:sz w:val="24"/>
          <w:szCs w:val="24"/>
        </w:rPr>
        <w:instrText xml:space="preserve"> REF _Ref11662802 \h </w:instrText>
      </w:r>
      <w:r w:rsidR="00062820">
        <w:rPr>
          <w:sz w:val="24"/>
          <w:szCs w:val="24"/>
        </w:rPr>
        <w:instrText xml:space="preserve"> \* MERGEFORMAT </w:instrText>
      </w:r>
      <w:r w:rsidR="00062820" w:rsidRPr="00062820">
        <w:rPr>
          <w:sz w:val="24"/>
          <w:szCs w:val="24"/>
        </w:rPr>
      </w:r>
      <w:r w:rsidR="00062820" w:rsidRPr="00062820">
        <w:rPr>
          <w:sz w:val="24"/>
          <w:szCs w:val="24"/>
        </w:rPr>
        <w:fldChar w:fldCharType="separate"/>
      </w:r>
      <w:r w:rsidR="0011424E" w:rsidRPr="0011424E">
        <w:rPr>
          <w:sz w:val="24"/>
          <w:szCs w:val="24"/>
        </w:rPr>
        <w:t xml:space="preserve">Figure </w:t>
      </w:r>
      <w:r w:rsidR="0011424E" w:rsidRPr="0011424E">
        <w:rPr>
          <w:noProof/>
          <w:sz w:val="24"/>
          <w:szCs w:val="24"/>
        </w:rPr>
        <w:t>6</w:t>
      </w:r>
      <w:r w:rsidR="00062820" w:rsidRPr="00062820">
        <w:rPr>
          <w:sz w:val="24"/>
          <w:szCs w:val="24"/>
        </w:rPr>
        <w:fldChar w:fldCharType="end"/>
      </w:r>
      <w:r w:rsidR="00062820">
        <w:rPr>
          <w:sz w:val="24"/>
          <w:szCs w:val="24"/>
        </w:rPr>
        <w:t xml:space="preserve"> </w:t>
      </w:r>
      <w:r w:rsidR="00482AC1">
        <w:rPr>
          <w:sz w:val="24"/>
          <w:szCs w:val="24"/>
        </w:rPr>
        <w:t xml:space="preserve">shows an example of a </w:t>
      </w:r>
      <w:r w:rsidR="009C101C">
        <w:rPr>
          <w:sz w:val="24"/>
          <w:szCs w:val="24"/>
        </w:rPr>
        <w:t xml:space="preserve">fully </w:t>
      </w:r>
      <w:r w:rsidR="00482AC1">
        <w:rPr>
          <w:sz w:val="24"/>
          <w:szCs w:val="24"/>
        </w:rPr>
        <w:t>plotted typology</w:t>
      </w:r>
      <w:r w:rsidR="00166924">
        <w:rPr>
          <w:sz w:val="24"/>
          <w:szCs w:val="24"/>
        </w:rPr>
        <w:t>. The typology aims t</w:t>
      </w:r>
      <w:r w:rsidR="009C101C">
        <w:rPr>
          <w:sz w:val="24"/>
          <w:szCs w:val="24"/>
        </w:rPr>
        <w:t xml:space="preserve">o quantify my interpretations of the </w:t>
      </w:r>
      <w:r w:rsidR="009C101C">
        <w:rPr>
          <w:i/>
          <w:sz w:val="24"/>
          <w:szCs w:val="24"/>
        </w:rPr>
        <w:t xml:space="preserve">boundedness </w:t>
      </w:r>
      <w:r w:rsidR="000F5FEC">
        <w:rPr>
          <w:iCs/>
          <w:sz w:val="24"/>
          <w:szCs w:val="24"/>
        </w:rPr>
        <w:t xml:space="preserve">(as defined </w:t>
      </w:r>
      <w:r w:rsidR="006B27F1">
        <w:rPr>
          <w:iCs/>
          <w:sz w:val="24"/>
          <w:szCs w:val="24"/>
        </w:rPr>
        <w:t>in the final section of</w:t>
      </w:r>
      <w:r w:rsidR="000F5FEC">
        <w:rPr>
          <w:iCs/>
          <w:sz w:val="24"/>
          <w:szCs w:val="24"/>
        </w:rPr>
        <w:t xml:space="preserve"> Chapter 2 under the ‘Analytical Framework’</w:t>
      </w:r>
      <w:r w:rsidR="006B27F1">
        <w:rPr>
          <w:iCs/>
          <w:sz w:val="24"/>
          <w:szCs w:val="24"/>
        </w:rPr>
        <w:t xml:space="preserve"> sub-heading</w:t>
      </w:r>
      <w:r w:rsidR="000F5FEC">
        <w:rPr>
          <w:iCs/>
          <w:sz w:val="24"/>
          <w:szCs w:val="24"/>
        </w:rPr>
        <w:t xml:space="preserve">) </w:t>
      </w:r>
      <w:r w:rsidR="009C101C">
        <w:rPr>
          <w:sz w:val="24"/>
          <w:szCs w:val="24"/>
        </w:rPr>
        <w:t xml:space="preserve">of </w:t>
      </w:r>
      <w:r w:rsidR="00166924">
        <w:rPr>
          <w:sz w:val="24"/>
          <w:szCs w:val="24"/>
        </w:rPr>
        <w:t xml:space="preserve">a given BoR, taking into account the multidimensional complexity of </w:t>
      </w:r>
      <w:r w:rsidR="00D77D45">
        <w:rPr>
          <w:sz w:val="24"/>
          <w:szCs w:val="24"/>
        </w:rPr>
        <w:t>the research process</w:t>
      </w:r>
      <w:r w:rsidR="00A67DD8">
        <w:rPr>
          <w:sz w:val="24"/>
          <w:szCs w:val="24"/>
        </w:rPr>
        <w:t xml:space="preserve"> so that I can capture the possibility that </w:t>
      </w:r>
      <w:r w:rsidR="00CA638B">
        <w:rPr>
          <w:sz w:val="24"/>
          <w:szCs w:val="24"/>
        </w:rPr>
        <w:t>research might exhibit more ‘boundedness’ in some ways than in others</w:t>
      </w:r>
      <w:r w:rsidR="0073531B">
        <w:rPr>
          <w:sz w:val="24"/>
          <w:szCs w:val="24"/>
        </w:rPr>
        <w:t>.</w:t>
      </w:r>
      <w:r w:rsidR="00D16E5E">
        <w:rPr>
          <w:sz w:val="24"/>
          <w:szCs w:val="24"/>
        </w:rPr>
        <w:t xml:space="preserve"> </w:t>
      </w:r>
      <w:r w:rsidR="00D16E5E">
        <w:rPr>
          <w:sz w:val="24"/>
          <w:szCs w:val="24"/>
          <w:lang w:eastAsia="zh-TW"/>
        </w:rPr>
        <w:t xml:space="preserve">As </w:t>
      </w:r>
      <w:r w:rsidR="00D16E5E" w:rsidRPr="00062820">
        <w:rPr>
          <w:sz w:val="24"/>
          <w:szCs w:val="24"/>
        </w:rPr>
        <w:fldChar w:fldCharType="begin"/>
      </w:r>
      <w:r w:rsidR="00D16E5E" w:rsidRPr="00062820">
        <w:rPr>
          <w:sz w:val="24"/>
          <w:szCs w:val="24"/>
        </w:rPr>
        <w:instrText xml:space="preserve"> REF _Ref11662802 \h </w:instrText>
      </w:r>
      <w:r w:rsidR="00D16E5E">
        <w:rPr>
          <w:sz w:val="24"/>
          <w:szCs w:val="24"/>
        </w:rPr>
        <w:instrText xml:space="preserve"> \* MERGEFORMAT </w:instrText>
      </w:r>
      <w:r w:rsidR="00D16E5E" w:rsidRPr="00062820">
        <w:rPr>
          <w:sz w:val="24"/>
          <w:szCs w:val="24"/>
        </w:rPr>
      </w:r>
      <w:r w:rsidR="00D16E5E" w:rsidRPr="00062820">
        <w:rPr>
          <w:sz w:val="24"/>
          <w:szCs w:val="24"/>
        </w:rPr>
        <w:fldChar w:fldCharType="separate"/>
      </w:r>
      <w:r w:rsidR="0011424E" w:rsidRPr="0011424E">
        <w:rPr>
          <w:sz w:val="24"/>
          <w:szCs w:val="24"/>
        </w:rPr>
        <w:t xml:space="preserve">Figure </w:t>
      </w:r>
      <w:r w:rsidR="0011424E" w:rsidRPr="0011424E">
        <w:rPr>
          <w:noProof/>
          <w:sz w:val="24"/>
          <w:szCs w:val="24"/>
        </w:rPr>
        <w:t>6</w:t>
      </w:r>
      <w:r w:rsidR="00D16E5E" w:rsidRPr="00062820">
        <w:rPr>
          <w:sz w:val="24"/>
          <w:szCs w:val="24"/>
        </w:rPr>
        <w:fldChar w:fldCharType="end"/>
      </w:r>
      <w:r w:rsidR="00D16E5E">
        <w:rPr>
          <w:sz w:val="24"/>
          <w:szCs w:val="24"/>
        </w:rPr>
        <w:t xml:space="preserve"> shows</w:t>
      </w:r>
      <w:r w:rsidR="00D16E5E">
        <w:rPr>
          <w:sz w:val="24"/>
          <w:szCs w:val="24"/>
          <w:lang w:eastAsia="zh-TW"/>
        </w:rPr>
        <w:t>, plotting a BoR against the typology involves making a judgement about where the BoR lies on a spectrum of 1-5 for each of the fifteen attributes/activities, where 1 refers to the research being very ‘bounded’ on the given attribute/activity, and 5 being very ‘unbounded’ – t</w:t>
      </w:r>
      <w:r w:rsidR="00787758">
        <w:rPr>
          <w:sz w:val="24"/>
          <w:szCs w:val="24"/>
        </w:rPr>
        <w:t xml:space="preserve">he concept of ‘boundedness’ and my operationalisation of it is discussed in the </w:t>
      </w:r>
      <w:r w:rsidR="00787758">
        <w:rPr>
          <w:i/>
          <w:sz w:val="24"/>
          <w:szCs w:val="24"/>
        </w:rPr>
        <w:t xml:space="preserve">Analytical framework </w:t>
      </w:r>
      <w:r w:rsidR="00787758">
        <w:rPr>
          <w:sz w:val="24"/>
          <w:szCs w:val="24"/>
        </w:rPr>
        <w:t xml:space="preserve">section of Chapter 3 </w:t>
      </w:r>
      <w:r w:rsidR="00EC5345">
        <w:rPr>
          <w:sz w:val="24"/>
          <w:szCs w:val="24"/>
        </w:rPr>
        <w:t xml:space="preserve">(e.g. </w:t>
      </w:r>
      <w:r w:rsidR="00EC5345" w:rsidRPr="00EC5345">
        <w:rPr>
          <w:sz w:val="24"/>
          <w:szCs w:val="24"/>
        </w:rPr>
        <w:fldChar w:fldCharType="begin"/>
      </w:r>
      <w:r w:rsidR="00EC5345" w:rsidRPr="00EC5345">
        <w:rPr>
          <w:sz w:val="24"/>
          <w:szCs w:val="24"/>
        </w:rPr>
        <w:instrText xml:space="preserve"> REF _Ref7182115 \h </w:instrText>
      </w:r>
      <w:r w:rsidR="00EC5345">
        <w:rPr>
          <w:sz w:val="24"/>
          <w:szCs w:val="24"/>
        </w:rPr>
        <w:instrText xml:space="preserve"> \* MERGEFORMAT </w:instrText>
      </w:r>
      <w:r w:rsidR="00EC5345" w:rsidRPr="00EC5345">
        <w:rPr>
          <w:sz w:val="24"/>
          <w:szCs w:val="24"/>
        </w:rPr>
      </w:r>
      <w:r w:rsidR="00EC5345" w:rsidRPr="00EC5345">
        <w:rPr>
          <w:sz w:val="24"/>
          <w:szCs w:val="24"/>
        </w:rPr>
        <w:fldChar w:fldCharType="separate"/>
      </w:r>
      <w:r w:rsidR="0011424E" w:rsidRPr="0011424E">
        <w:rPr>
          <w:sz w:val="24"/>
          <w:szCs w:val="24"/>
        </w:rPr>
        <w:t xml:space="preserve">Table </w:t>
      </w:r>
      <w:r w:rsidR="0011424E" w:rsidRPr="0011424E">
        <w:rPr>
          <w:noProof/>
          <w:sz w:val="24"/>
          <w:szCs w:val="24"/>
        </w:rPr>
        <w:t>2</w:t>
      </w:r>
      <w:r w:rsidR="00EC5345" w:rsidRPr="00EC5345">
        <w:rPr>
          <w:sz w:val="24"/>
          <w:szCs w:val="24"/>
        </w:rPr>
        <w:fldChar w:fldCharType="end"/>
      </w:r>
      <w:r w:rsidR="00EC5345" w:rsidRPr="00EC5345">
        <w:rPr>
          <w:sz w:val="24"/>
          <w:szCs w:val="24"/>
        </w:rPr>
        <w:t>)</w:t>
      </w:r>
      <w:r w:rsidR="006F12B9">
        <w:rPr>
          <w:sz w:val="24"/>
          <w:szCs w:val="24"/>
        </w:rPr>
        <w:t>.</w:t>
      </w:r>
    </w:p>
    <w:tbl>
      <w:tblPr>
        <w:tblW w:w="7320" w:type="dxa"/>
        <w:tblLook w:val="04A0" w:firstRow="1" w:lastRow="0" w:firstColumn="1" w:lastColumn="0" w:noHBand="0" w:noVBand="1"/>
      </w:tblPr>
      <w:tblGrid>
        <w:gridCol w:w="2694"/>
        <w:gridCol w:w="4626"/>
      </w:tblGrid>
      <w:tr w:rsidR="00166924" w14:paraId="79ADB57D" w14:textId="77777777" w:rsidTr="00166924">
        <w:tc>
          <w:tcPr>
            <w:tcW w:w="2694" w:type="dxa"/>
            <w:tcBorders>
              <w:top w:val="single" w:sz="4" w:space="0" w:color="auto"/>
              <w:left w:val="single" w:sz="4" w:space="0" w:color="auto"/>
              <w:bottom w:val="single" w:sz="4" w:space="0" w:color="auto"/>
              <w:right w:val="single" w:sz="4" w:space="0" w:color="auto"/>
            </w:tcBorders>
          </w:tcPr>
          <w:p w14:paraId="6F0FAAAA" w14:textId="77777777" w:rsidR="00166924" w:rsidRPr="002B4060" w:rsidRDefault="00166924" w:rsidP="00DE3159">
            <w:pPr>
              <w:spacing w:after="0" w:line="240" w:lineRule="auto"/>
              <w:rPr>
                <w:b/>
                <w:sz w:val="24"/>
                <w:szCs w:val="24"/>
              </w:rPr>
            </w:pPr>
            <w:bookmarkStart w:id="90" w:name="_Ref533205880"/>
            <w:bookmarkStart w:id="91" w:name="_Toc536438884"/>
            <w:r w:rsidRPr="002B4060">
              <w:rPr>
                <w:b/>
                <w:sz w:val="24"/>
                <w:szCs w:val="24"/>
              </w:rPr>
              <w:t>Attribute</w:t>
            </w:r>
            <w:r>
              <w:rPr>
                <w:b/>
                <w:sz w:val="24"/>
                <w:szCs w:val="24"/>
              </w:rPr>
              <w:t>s/activities</w:t>
            </w:r>
          </w:p>
        </w:tc>
        <w:tc>
          <w:tcPr>
            <w:tcW w:w="4626" w:type="dxa"/>
            <w:tcBorders>
              <w:top w:val="single" w:sz="4" w:space="0" w:color="auto"/>
              <w:left w:val="single" w:sz="4" w:space="0" w:color="auto"/>
              <w:bottom w:val="single" w:sz="4" w:space="0" w:color="auto"/>
              <w:right w:val="single" w:sz="4" w:space="0" w:color="auto"/>
            </w:tcBorders>
          </w:tcPr>
          <w:p w14:paraId="4713307F" w14:textId="4E3E5C2F" w:rsidR="00166924" w:rsidRPr="00B8594F" w:rsidRDefault="00166924" w:rsidP="00DE3159">
            <w:pPr>
              <w:spacing w:after="0" w:line="240" w:lineRule="auto"/>
              <w:jc w:val="center"/>
              <w:rPr>
                <w:b/>
                <w:sz w:val="24"/>
                <w:szCs w:val="24"/>
              </w:rPr>
            </w:pPr>
            <w:r>
              <w:rPr>
                <w:b/>
                <w:sz w:val="24"/>
                <w:szCs w:val="24"/>
              </w:rPr>
              <w:t>‘Bounded’</w:t>
            </w:r>
            <w:r w:rsidRPr="00B8594F">
              <w:rPr>
                <w:b/>
                <w:sz w:val="24"/>
                <w:szCs w:val="24"/>
              </w:rPr>
              <w:t xml:space="preserve">                  </w:t>
            </w:r>
            <w:r>
              <w:rPr>
                <w:b/>
                <w:sz w:val="24"/>
                <w:szCs w:val="24"/>
              </w:rPr>
              <w:t xml:space="preserve">              ‘</w:t>
            </w:r>
            <w:r w:rsidRPr="00B8594F">
              <w:rPr>
                <w:b/>
                <w:sz w:val="24"/>
                <w:szCs w:val="24"/>
              </w:rPr>
              <w:t>U</w:t>
            </w:r>
            <w:r>
              <w:rPr>
                <w:b/>
                <w:sz w:val="24"/>
                <w:szCs w:val="24"/>
              </w:rPr>
              <w:t>nbounded’</w:t>
            </w:r>
          </w:p>
          <w:p w14:paraId="463851FA" w14:textId="77777777" w:rsidR="00166924" w:rsidRPr="00B8594F" w:rsidRDefault="00166924" w:rsidP="00DE3159">
            <w:pPr>
              <w:spacing w:after="0" w:line="240" w:lineRule="auto"/>
              <w:jc w:val="center"/>
              <w:rPr>
                <w:b/>
                <w:sz w:val="24"/>
                <w:szCs w:val="24"/>
              </w:rPr>
            </w:pPr>
            <w:r w:rsidRPr="00B8594F">
              <w:rPr>
                <w:b/>
                <w:sz w:val="24"/>
                <w:szCs w:val="24"/>
              </w:rPr>
              <w:t>1               2               3               4               5</w:t>
            </w:r>
          </w:p>
        </w:tc>
      </w:tr>
      <w:tr w:rsidR="00166924" w14:paraId="1C1C79DD"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498DB1AB" w14:textId="77777777" w:rsidR="00166924" w:rsidRDefault="00166924" w:rsidP="00DE3159">
            <w:pPr>
              <w:spacing w:after="0" w:line="240" w:lineRule="auto"/>
              <w:rPr>
                <w:sz w:val="24"/>
                <w:szCs w:val="24"/>
              </w:rPr>
            </w:pPr>
            <w:r>
              <w:rPr>
                <w:sz w:val="24"/>
                <w:szCs w:val="24"/>
              </w:rPr>
              <w:t>Goals</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BE5DB57" w14:textId="51F47146" w:rsidR="00166924" w:rsidRDefault="00166924" w:rsidP="00DE3159">
            <w:pPr>
              <w:spacing w:after="0" w:line="240" w:lineRule="auto"/>
              <w:rPr>
                <w:sz w:val="24"/>
                <w:szCs w:val="24"/>
              </w:rPr>
            </w:pPr>
            <w:r>
              <w:rPr>
                <w:sz w:val="24"/>
                <w:szCs w:val="24"/>
              </w:rPr>
              <w:t xml:space="preserve">                                    x              </w:t>
            </w:r>
          </w:p>
        </w:tc>
      </w:tr>
      <w:tr w:rsidR="00166924" w14:paraId="4D0CE54C"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2AF1858F" w14:textId="77777777" w:rsidR="00166924" w:rsidRDefault="00166924" w:rsidP="00DE3159">
            <w:pPr>
              <w:spacing w:after="0" w:line="240" w:lineRule="auto"/>
              <w:rPr>
                <w:sz w:val="24"/>
                <w:szCs w:val="24"/>
              </w:rPr>
            </w:pPr>
            <w:r>
              <w:rPr>
                <w:sz w:val="24"/>
                <w:szCs w:val="24"/>
              </w:rPr>
              <w:t>Relevance</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0E9D8BE7" w14:textId="087980E1" w:rsidR="00166924" w:rsidRDefault="00166924" w:rsidP="00DE3159">
            <w:pPr>
              <w:spacing w:after="0" w:line="240" w:lineRule="auto"/>
              <w:rPr>
                <w:sz w:val="24"/>
                <w:szCs w:val="24"/>
              </w:rPr>
            </w:pPr>
            <w:r>
              <w:rPr>
                <w:sz w:val="24"/>
                <w:szCs w:val="24"/>
              </w:rPr>
              <w:t xml:space="preserve">                                    x                </w:t>
            </w:r>
          </w:p>
        </w:tc>
      </w:tr>
      <w:tr w:rsidR="00166924" w14:paraId="200DE31C"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6DD724AB" w14:textId="77777777" w:rsidR="00166924" w:rsidRDefault="00166924" w:rsidP="00DE3159">
            <w:pPr>
              <w:spacing w:after="0" w:line="240" w:lineRule="auto"/>
              <w:rPr>
                <w:sz w:val="24"/>
                <w:szCs w:val="24"/>
              </w:rPr>
            </w:pPr>
            <w:r>
              <w:rPr>
                <w:sz w:val="24"/>
                <w:szCs w:val="24"/>
              </w:rPr>
              <w:t>Evaluation</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1A69E25" w14:textId="3C2C1276" w:rsidR="00166924" w:rsidRDefault="00166924" w:rsidP="00DE3159">
            <w:pPr>
              <w:spacing w:after="0" w:line="240" w:lineRule="auto"/>
              <w:rPr>
                <w:sz w:val="24"/>
                <w:szCs w:val="24"/>
              </w:rPr>
            </w:pPr>
            <w:r>
              <w:rPr>
                <w:sz w:val="24"/>
                <w:szCs w:val="24"/>
              </w:rPr>
              <w:t xml:space="preserve">                   x            </w:t>
            </w:r>
          </w:p>
        </w:tc>
      </w:tr>
      <w:tr w:rsidR="00166924" w14:paraId="64791405"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3DEFB982" w14:textId="77777777" w:rsidR="00166924" w:rsidRDefault="00166924" w:rsidP="00DE3159">
            <w:pPr>
              <w:spacing w:after="0" w:line="240" w:lineRule="auto"/>
              <w:rPr>
                <w:sz w:val="24"/>
                <w:szCs w:val="24"/>
              </w:rPr>
            </w:pPr>
            <w:r>
              <w:rPr>
                <w:sz w:val="24"/>
                <w:szCs w:val="24"/>
              </w:rPr>
              <w:t>Outputs and outcomes</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0AC7E61" w14:textId="30DB17E1" w:rsidR="00166924" w:rsidRDefault="00166924" w:rsidP="00DE3159">
            <w:pPr>
              <w:spacing w:after="0" w:line="240" w:lineRule="auto"/>
              <w:rPr>
                <w:sz w:val="24"/>
                <w:szCs w:val="24"/>
              </w:rPr>
            </w:pPr>
            <w:r>
              <w:rPr>
                <w:sz w:val="24"/>
                <w:szCs w:val="24"/>
              </w:rPr>
              <w:t xml:space="preserve">                   x            </w:t>
            </w:r>
          </w:p>
        </w:tc>
      </w:tr>
      <w:tr w:rsidR="00166924" w14:paraId="2CB97D57"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2AEB564D" w14:textId="77777777" w:rsidR="00166924" w:rsidRDefault="00166924" w:rsidP="00DE3159">
            <w:pPr>
              <w:spacing w:after="0" w:line="240" w:lineRule="auto"/>
              <w:rPr>
                <w:sz w:val="24"/>
                <w:szCs w:val="24"/>
              </w:rPr>
            </w:pPr>
            <w:r>
              <w:rPr>
                <w:sz w:val="24"/>
                <w:szCs w:val="24"/>
              </w:rPr>
              <w:t>Uncertainty</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15AA004" w14:textId="27662B88" w:rsidR="00166924" w:rsidRDefault="00166924" w:rsidP="00DE3159">
            <w:pPr>
              <w:spacing w:after="0" w:line="240" w:lineRule="auto"/>
              <w:rPr>
                <w:sz w:val="24"/>
                <w:szCs w:val="24"/>
              </w:rPr>
            </w:pPr>
            <w:r>
              <w:rPr>
                <w:sz w:val="24"/>
                <w:szCs w:val="24"/>
              </w:rPr>
              <w:t xml:space="preserve">                   x             </w:t>
            </w:r>
          </w:p>
        </w:tc>
      </w:tr>
      <w:tr w:rsidR="00166924" w14:paraId="4EE23CD0"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1AA55FCD" w14:textId="77777777" w:rsidR="00166924" w:rsidRDefault="00166924" w:rsidP="00DE3159">
            <w:pPr>
              <w:spacing w:after="0" w:line="240" w:lineRule="auto"/>
              <w:rPr>
                <w:sz w:val="24"/>
                <w:szCs w:val="24"/>
              </w:rPr>
            </w:pPr>
            <w:r>
              <w:rPr>
                <w:sz w:val="24"/>
                <w:szCs w:val="24"/>
              </w:rPr>
              <w:t>Knowledge exchange</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558E8A7" w14:textId="063C69A9" w:rsidR="00166924" w:rsidRPr="00F40D27" w:rsidRDefault="00166924" w:rsidP="007959AD">
            <w:pPr>
              <w:tabs>
                <w:tab w:val="center" w:pos="2205"/>
              </w:tabs>
              <w:spacing w:after="0" w:line="240" w:lineRule="auto"/>
              <w:rPr>
                <w:sz w:val="24"/>
                <w:szCs w:val="24"/>
              </w:rPr>
            </w:pPr>
            <w:r w:rsidRPr="00F40D27">
              <w:rPr>
                <w:sz w:val="24"/>
                <w:szCs w:val="24"/>
              </w:rPr>
              <w:t xml:space="preserve"> </w:t>
            </w:r>
            <w:r w:rsidRPr="00F40D27">
              <w:rPr>
                <w:sz w:val="24"/>
                <w:szCs w:val="24"/>
              </w:rPr>
              <w:tab/>
            </w:r>
            <w:r w:rsidR="00F40D27" w:rsidRPr="00F40D27">
              <w:rPr>
                <w:sz w:val="24"/>
                <w:szCs w:val="24"/>
              </w:rPr>
              <w:t>x</w:t>
            </w:r>
          </w:p>
        </w:tc>
      </w:tr>
      <w:tr w:rsidR="00166924" w14:paraId="0AC7ABD5"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3CD66D50" w14:textId="77777777" w:rsidR="00166924" w:rsidRDefault="00166924" w:rsidP="00DE3159">
            <w:pPr>
              <w:spacing w:after="0" w:line="240" w:lineRule="auto"/>
              <w:rPr>
                <w:sz w:val="24"/>
                <w:szCs w:val="24"/>
              </w:rPr>
            </w:pPr>
            <w:r>
              <w:rPr>
                <w:sz w:val="24"/>
                <w:szCs w:val="24"/>
              </w:rPr>
              <w:t>Accessibility</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092C7D18" w14:textId="11723C75" w:rsidR="00166924" w:rsidRPr="00F40D27" w:rsidRDefault="00166924" w:rsidP="00DE3159">
            <w:pPr>
              <w:tabs>
                <w:tab w:val="left" w:pos="1227"/>
                <w:tab w:val="center" w:pos="2185"/>
                <w:tab w:val="left" w:pos="2595"/>
              </w:tabs>
              <w:spacing w:after="0" w:line="240" w:lineRule="auto"/>
              <w:rPr>
                <w:sz w:val="24"/>
                <w:szCs w:val="24"/>
              </w:rPr>
            </w:pPr>
            <w:r w:rsidRPr="00F40D27">
              <w:rPr>
                <w:sz w:val="24"/>
                <w:szCs w:val="24"/>
              </w:rPr>
              <w:t xml:space="preserve">                                    x </w:t>
            </w:r>
          </w:p>
        </w:tc>
      </w:tr>
      <w:tr w:rsidR="00166924" w14:paraId="79FD3164"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0F5406CD" w14:textId="77777777" w:rsidR="00166924" w:rsidRDefault="00166924" w:rsidP="00DE3159">
            <w:pPr>
              <w:spacing w:after="0" w:line="240" w:lineRule="auto"/>
              <w:rPr>
                <w:sz w:val="24"/>
                <w:szCs w:val="24"/>
              </w:rPr>
            </w:pPr>
            <w:r>
              <w:rPr>
                <w:sz w:val="24"/>
                <w:szCs w:val="24"/>
              </w:rPr>
              <w:t>Boundary management</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595AC3C" w14:textId="322F58A5" w:rsidR="00166924" w:rsidRPr="00F40D27" w:rsidRDefault="00166924" w:rsidP="00DE3159">
            <w:pPr>
              <w:spacing w:after="0" w:line="240" w:lineRule="auto"/>
              <w:rPr>
                <w:sz w:val="24"/>
                <w:szCs w:val="24"/>
              </w:rPr>
            </w:pPr>
            <w:r w:rsidRPr="00F40D27">
              <w:rPr>
                <w:sz w:val="24"/>
                <w:szCs w:val="24"/>
              </w:rPr>
              <w:t xml:space="preserve">                   x           </w:t>
            </w:r>
          </w:p>
        </w:tc>
      </w:tr>
      <w:tr w:rsidR="00166924" w14:paraId="4BD2297F"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5E6486E5" w14:textId="77777777" w:rsidR="00166924" w:rsidRDefault="00166924" w:rsidP="00DE3159">
            <w:pPr>
              <w:spacing w:after="0" w:line="240" w:lineRule="auto"/>
              <w:rPr>
                <w:sz w:val="24"/>
                <w:szCs w:val="24"/>
              </w:rPr>
            </w:pPr>
            <w:r>
              <w:rPr>
                <w:sz w:val="24"/>
                <w:szCs w:val="24"/>
              </w:rPr>
              <w:t>Network</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197E8FE" w14:textId="3DE1A5E2" w:rsidR="00166924" w:rsidRPr="00F40D27" w:rsidRDefault="00166924" w:rsidP="00DE3159">
            <w:pPr>
              <w:spacing w:after="0" w:line="240" w:lineRule="auto"/>
              <w:rPr>
                <w:sz w:val="24"/>
                <w:szCs w:val="24"/>
              </w:rPr>
            </w:pPr>
            <w:r w:rsidRPr="00F40D27">
              <w:rPr>
                <w:sz w:val="24"/>
                <w:szCs w:val="24"/>
              </w:rPr>
              <w:t xml:space="preserve">                                    x              </w:t>
            </w:r>
          </w:p>
        </w:tc>
      </w:tr>
      <w:tr w:rsidR="00166924" w14:paraId="28F82404"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77DEBD37" w14:textId="77777777" w:rsidR="00166924" w:rsidRDefault="00166924" w:rsidP="00DE3159">
            <w:pPr>
              <w:spacing w:after="0" w:line="240" w:lineRule="auto"/>
              <w:rPr>
                <w:sz w:val="24"/>
                <w:szCs w:val="24"/>
              </w:rPr>
            </w:pPr>
            <w:r>
              <w:rPr>
                <w:sz w:val="24"/>
                <w:szCs w:val="24"/>
              </w:rPr>
              <w:t>Flexibility</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70DD6D9" w14:textId="0FC15E14" w:rsidR="00166924" w:rsidRDefault="00166924" w:rsidP="00DE3159">
            <w:pPr>
              <w:spacing w:after="0" w:line="240" w:lineRule="auto"/>
              <w:rPr>
                <w:sz w:val="24"/>
                <w:szCs w:val="24"/>
              </w:rPr>
            </w:pPr>
            <w:r>
              <w:rPr>
                <w:sz w:val="24"/>
                <w:szCs w:val="24"/>
              </w:rPr>
              <w:t xml:space="preserve">                   x </w:t>
            </w:r>
          </w:p>
        </w:tc>
      </w:tr>
      <w:tr w:rsidR="00166924" w14:paraId="7B7F5D47"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25169535" w14:textId="77777777" w:rsidR="00166924" w:rsidRDefault="00166924" w:rsidP="00DE3159">
            <w:pPr>
              <w:spacing w:after="0" w:line="240" w:lineRule="auto"/>
              <w:rPr>
                <w:sz w:val="24"/>
                <w:szCs w:val="24"/>
              </w:rPr>
            </w:pPr>
            <w:r>
              <w:rPr>
                <w:sz w:val="24"/>
                <w:szCs w:val="24"/>
              </w:rPr>
              <w:t>Social capital</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E66DED4" w14:textId="0B337827" w:rsidR="00166924" w:rsidRDefault="00166924" w:rsidP="00DE3159">
            <w:pPr>
              <w:spacing w:after="0" w:line="240" w:lineRule="auto"/>
              <w:rPr>
                <w:sz w:val="24"/>
                <w:szCs w:val="24"/>
              </w:rPr>
            </w:pPr>
            <w:r>
              <w:rPr>
                <w:sz w:val="24"/>
                <w:szCs w:val="24"/>
              </w:rPr>
              <w:t xml:space="preserve">x                                </w:t>
            </w:r>
          </w:p>
        </w:tc>
      </w:tr>
      <w:tr w:rsidR="00166924" w14:paraId="1B349EE1"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56AA0420" w14:textId="77777777" w:rsidR="00166924" w:rsidRDefault="00166924" w:rsidP="00DE3159">
            <w:pPr>
              <w:spacing w:after="0" w:line="240" w:lineRule="auto"/>
              <w:rPr>
                <w:sz w:val="24"/>
                <w:szCs w:val="24"/>
              </w:rPr>
            </w:pPr>
            <w:r>
              <w:rPr>
                <w:sz w:val="24"/>
                <w:szCs w:val="24"/>
              </w:rPr>
              <w:t>Disciplinary focus</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36D17BD" w14:textId="027CFA06" w:rsidR="00166924" w:rsidRDefault="00166924" w:rsidP="00DE3159">
            <w:pPr>
              <w:spacing w:after="0" w:line="240" w:lineRule="auto"/>
              <w:rPr>
                <w:sz w:val="24"/>
                <w:szCs w:val="24"/>
              </w:rPr>
            </w:pPr>
            <w:r>
              <w:rPr>
                <w:sz w:val="24"/>
                <w:szCs w:val="24"/>
              </w:rPr>
              <w:t xml:space="preserve">                    x            </w:t>
            </w:r>
          </w:p>
        </w:tc>
      </w:tr>
      <w:tr w:rsidR="00166924" w14:paraId="7620F150"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1B91A05E" w14:textId="77777777" w:rsidR="00166924" w:rsidRDefault="00166924" w:rsidP="00DE3159">
            <w:pPr>
              <w:spacing w:after="0" w:line="240" w:lineRule="auto"/>
              <w:rPr>
                <w:sz w:val="24"/>
                <w:szCs w:val="24"/>
              </w:rPr>
            </w:pPr>
            <w:r>
              <w:rPr>
                <w:sz w:val="24"/>
                <w:szCs w:val="24"/>
              </w:rPr>
              <w:t>Expertise</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CC1E953" w14:textId="741AAD11" w:rsidR="00166924" w:rsidRDefault="00F40D27" w:rsidP="00DE3159">
            <w:pPr>
              <w:spacing w:after="0" w:line="240" w:lineRule="auto"/>
              <w:rPr>
                <w:sz w:val="24"/>
                <w:szCs w:val="24"/>
              </w:rPr>
            </w:pPr>
            <w:r>
              <w:rPr>
                <w:sz w:val="24"/>
                <w:szCs w:val="24"/>
              </w:rPr>
              <w:t>x</w:t>
            </w:r>
          </w:p>
        </w:tc>
      </w:tr>
      <w:tr w:rsidR="00166924" w14:paraId="3BE01C65"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062A8AFE" w14:textId="77777777" w:rsidR="00166924" w:rsidRDefault="00166924" w:rsidP="00DE3159">
            <w:pPr>
              <w:spacing w:after="0" w:line="240" w:lineRule="auto"/>
              <w:rPr>
                <w:sz w:val="24"/>
                <w:szCs w:val="24"/>
              </w:rPr>
            </w:pPr>
            <w:r>
              <w:rPr>
                <w:sz w:val="24"/>
                <w:szCs w:val="24"/>
              </w:rPr>
              <w:t>Learning</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922ECB8" w14:textId="3EDEAB35" w:rsidR="00166924" w:rsidRDefault="00681890" w:rsidP="00DE3159">
            <w:pPr>
              <w:keepNext/>
              <w:spacing w:after="0" w:line="240" w:lineRule="auto"/>
              <w:rPr>
                <w:sz w:val="24"/>
                <w:szCs w:val="24"/>
              </w:rPr>
            </w:pPr>
            <w:r>
              <w:rPr>
                <w:sz w:val="24"/>
                <w:szCs w:val="24"/>
              </w:rPr>
              <w:t>x</w:t>
            </w:r>
          </w:p>
        </w:tc>
      </w:tr>
      <w:tr w:rsidR="00166924" w14:paraId="4909F60E" w14:textId="77777777" w:rsidTr="007C036C">
        <w:tc>
          <w:tcPr>
            <w:tcW w:w="2694" w:type="dxa"/>
            <w:tcBorders>
              <w:top w:val="single" w:sz="4" w:space="0" w:color="auto"/>
              <w:left w:val="single" w:sz="4" w:space="0" w:color="auto"/>
              <w:bottom w:val="single" w:sz="4" w:space="0" w:color="auto"/>
              <w:right w:val="single" w:sz="4" w:space="0" w:color="auto"/>
            </w:tcBorders>
            <w:shd w:val="clear" w:color="auto" w:fill="auto"/>
          </w:tcPr>
          <w:p w14:paraId="7752DB34" w14:textId="77777777" w:rsidR="00166924" w:rsidRDefault="00166924" w:rsidP="00DE3159">
            <w:pPr>
              <w:spacing w:after="0" w:line="240" w:lineRule="auto"/>
              <w:rPr>
                <w:sz w:val="24"/>
                <w:szCs w:val="24"/>
              </w:rPr>
            </w:pPr>
            <w:r>
              <w:rPr>
                <w:sz w:val="24"/>
                <w:szCs w:val="24"/>
              </w:rPr>
              <w:t>Human capital</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40B05DC4" w14:textId="2E7CCBC1" w:rsidR="00166924" w:rsidRDefault="00166924" w:rsidP="00594BAB">
            <w:pPr>
              <w:keepNext/>
              <w:spacing w:after="0" w:line="240" w:lineRule="auto"/>
              <w:rPr>
                <w:sz w:val="24"/>
                <w:szCs w:val="24"/>
              </w:rPr>
            </w:pPr>
            <w:r>
              <w:rPr>
                <w:sz w:val="24"/>
                <w:szCs w:val="24"/>
              </w:rPr>
              <w:t xml:space="preserve">                    </w:t>
            </w:r>
            <w:r w:rsidR="00681890">
              <w:rPr>
                <w:sz w:val="24"/>
                <w:szCs w:val="24"/>
              </w:rPr>
              <w:t>x</w:t>
            </w:r>
          </w:p>
        </w:tc>
      </w:tr>
    </w:tbl>
    <w:p w14:paraId="6DEDC593" w14:textId="7A44FC37" w:rsidR="008C7D5D" w:rsidRDefault="00594BAB" w:rsidP="00594BAB">
      <w:pPr>
        <w:pStyle w:val="Caption"/>
        <w:rPr>
          <w:sz w:val="24"/>
          <w:szCs w:val="24"/>
        </w:rPr>
      </w:pPr>
      <w:bookmarkStart w:id="92" w:name="_Ref11662802"/>
      <w:bookmarkStart w:id="93" w:name="_Toc31702075"/>
      <w:bookmarkEnd w:id="90"/>
      <w:bookmarkEnd w:id="91"/>
      <w:r>
        <w:t xml:space="preserve">Figure </w:t>
      </w:r>
      <w:r w:rsidR="00885373">
        <w:rPr>
          <w:noProof/>
        </w:rPr>
        <w:fldChar w:fldCharType="begin"/>
      </w:r>
      <w:r w:rsidR="00885373">
        <w:rPr>
          <w:noProof/>
        </w:rPr>
        <w:instrText xml:space="preserve"> SEQ Figure \* ARABIC </w:instrText>
      </w:r>
      <w:r w:rsidR="00885373">
        <w:rPr>
          <w:noProof/>
        </w:rPr>
        <w:fldChar w:fldCharType="separate"/>
      </w:r>
      <w:r w:rsidR="0011424E">
        <w:rPr>
          <w:noProof/>
        </w:rPr>
        <w:t>6</w:t>
      </w:r>
      <w:r w:rsidR="00885373">
        <w:rPr>
          <w:noProof/>
        </w:rPr>
        <w:fldChar w:fldCharType="end"/>
      </w:r>
      <w:bookmarkEnd w:id="92"/>
      <w:r>
        <w:t>. Example plotted typology</w:t>
      </w:r>
      <w:bookmarkEnd w:id="93"/>
    </w:p>
    <w:p w14:paraId="24D49092" w14:textId="77777777" w:rsidR="00D560D2" w:rsidRDefault="003F3F0C" w:rsidP="00D46C6E">
      <w:pPr>
        <w:spacing w:after="120" w:line="360" w:lineRule="auto"/>
        <w:rPr>
          <w:sz w:val="24"/>
          <w:szCs w:val="24"/>
        </w:rPr>
      </w:pPr>
      <w:r>
        <w:rPr>
          <w:sz w:val="24"/>
          <w:szCs w:val="24"/>
        </w:rPr>
        <w:t xml:space="preserve">As McNie et al. (2016) emphasise, plotting the typology is inevitably “a subjective activity” </w:t>
      </w:r>
      <w:r>
        <w:rPr>
          <w:sz w:val="24"/>
          <w:szCs w:val="24"/>
        </w:rPr>
        <w:fldChar w:fldCharType="begin"/>
      </w:r>
      <w:r>
        <w:rPr>
          <w:sz w:val="24"/>
          <w:szCs w:val="24"/>
        </w:rPr>
        <w:instrText xml:space="preserve"> ADDIN EN.CITE &lt;EndNote&gt;&lt;Cite ExcludeAuth="1" ExcludeYear="1"&gt;&lt;Author&gt;McNie&lt;/Author&gt;&lt;Year&gt;2016&lt;/Year&gt;&lt;IDText&gt;Improving the public value of science: A typology to inform discussion, design and implementation of research&lt;/IDText&gt;&lt;Pages&gt;891&lt;/Pages&gt;&lt;DisplayText&gt;(p. 891)&lt;/DisplayText&gt;&lt;record&gt;&lt;urls&gt;&lt;related-urls&gt;&lt;url&gt;https://www.scopus.com/inward/record.uri?eid=2-s2.0-84959431924&amp;amp;partnerID=40&amp;amp;md5=6e4fc01d19d1b61b09084e6d6aa244db&lt;/url&gt;&lt;/related-urls&gt;&lt;/urls&gt;&lt;work-type&gt;Article&lt;/work-type&gt;&lt;titles&gt;&lt;title&gt;Improving the public value of science: A typology to inform discussion, design and implementation of research&lt;/title&gt;&lt;secondary-title&gt;Research Policy&lt;/secondary-title&gt;&lt;/titles&gt;&lt;pages&gt;884-895&lt;/pages&gt;&lt;number&gt;4&lt;/number&gt;&lt;contributors&gt;&lt;authors&gt;&lt;author&gt;McNie, E. C.&lt;/author&gt;&lt;author&gt;Parris, A.&lt;/author&gt;&lt;author&gt;Sarewitz, D.&lt;/author&gt;&lt;/authors&gt;&lt;/contributors&gt;&lt;added-date format="utc"&gt;1473704837&lt;/added-date&gt;&lt;ref-type name="Journal Article"&gt;17&lt;/ref-type&gt;&lt;dates&gt;&lt;year&gt;2016&lt;/year&gt;&lt;/dates&gt;&lt;rec-number&gt;3484&lt;/rec-number&gt;&lt;last-updated-date format="utc"&gt;1473704837&lt;/last-updated-date&gt;&lt;electronic-resource-num&gt;10.1016/j.respol.2016.01.004&lt;/electronic-resource-num&gt;&lt;volume&gt;45&lt;/volume&gt;&lt;remote-database-name&gt;Scopus&lt;/remote-database-name&gt;&lt;/record&gt;&lt;/Cite&gt;&lt;/EndNote&gt;</w:instrText>
      </w:r>
      <w:r>
        <w:rPr>
          <w:sz w:val="24"/>
          <w:szCs w:val="24"/>
        </w:rPr>
        <w:fldChar w:fldCharType="separate"/>
      </w:r>
      <w:r>
        <w:rPr>
          <w:noProof/>
          <w:sz w:val="24"/>
          <w:szCs w:val="24"/>
        </w:rPr>
        <w:t>(p. 891)</w:t>
      </w:r>
      <w:r>
        <w:rPr>
          <w:sz w:val="24"/>
          <w:szCs w:val="24"/>
        </w:rPr>
        <w:fldChar w:fldCharType="end"/>
      </w:r>
      <w:r>
        <w:rPr>
          <w:sz w:val="24"/>
          <w:szCs w:val="24"/>
        </w:rPr>
        <w:t xml:space="preserve">. However, I made myself well-informed to make these judgements through my intensive reading of the documentary data, as well as gaining insights directly from relevant researchers via interview (for fourteen of the nineteen BoRs). Throughout the plotting process, I frequently went back and forth comparing values I had plotted for different BoRs and different phases to check that all of the values plotted reflected my best judgement, and that my standards were not changing over time. After I completed plotting all values, I went back to the beginning and checked each value once more in light of having now got the perspective of the whole set, and there were some values that I altered at this stage. All of the n=19 BoRs’ plotted typologies are presented in Appendix D. </w:t>
      </w:r>
    </w:p>
    <w:p w14:paraId="0F329281" w14:textId="2BFD05CF" w:rsidR="00D46C6E" w:rsidRPr="00D46C6E" w:rsidRDefault="008F3893" w:rsidP="00D46C6E">
      <w:pPr>
        <w:spacing w:after="120" w:line="360" w:lineRule="auto"/>
        <w:rPr>
          <w:sz w:val="24"/>
          <w:szCs w:val="24"/>
        </w:rPr>
      </w:pPr>
      <w:r>
        <w:rPr>
          <w:sz w:val="24"/>
          <w:szCs w:val="24"/>
        </w:rPr>
        <w:t>Two</w:t>
      </w:r>
      <w:r w:rsidR="00D46C6E">
        <w:rPr>
          <w:sz w:val="24"/>
          <w:szCs w:val="24"/>
        </w:rPr>
        <w:t xml:space="preserve"> further </w:t>
      </w:r>
      <w:r>
        <w:rPr>
          <w:sz w:val="24"/>
          <w:szCs w:val="24"/>
        </w:rPr>
        <w:t xml:space="preserve">points should be made </w:t>
      </w:r>
      <w:r w:rsidR="00B87045">
        <w:rPr>
          <w:sz w:val="24"/>
          <w:szCs w:val="24"/>
        </w:rPr>
        <w:t>about</w:t>
      </w:r>
      <w:r w:rsidR="00D46C6E">
        <w:rPr>
          <w:sz w:val="24"/>
          <w:szCs w:val="24"/>
        </w:rPr>
        <w:t xml:space="preserve"> the </w:t>
      </w:r>
      <w:r w:rsidR="00973A0B">
        <w:rPr>
          <w:sz w:val="24"/>
          <w:szCs w:val="24"/>
        </w:rPr>
        <w:t xml:space="preserve">typology analysis of the </w:t>
      </w:r>
      <w:r w:rsidR="00BA5462">
        <w:rPr>
          <w:sz w:val="24"/>
          <w:szCs w:val="24"/>
        </w:rPr>
        <w:t>n=1</w:t>
      </w:r>
      <w:r w:rsidR="00D46C6E">
        <w:rPr>
          <w:sz w:val="24"/>
          <w:szCs w:val="24"/>
        </w:rPr>
        <w:t xml:space="preserve">9 </w:t>
      </w:r>
      <w:r w:rsidR="00BA5462">
        <w:rPr>
          <w:sz w:val="24"/>
          <w:szCs w:val="24"/>
        </w:rPr>
        <w:t xml:space="preserve">BoRs and </w:t>
      </w:r>
      <w:r w:rsidR="00D46C6E">
        <w:rPr>
          <w:sz w:val="24"/>
          <w:szCs w:val="24"/>
        </w:rPr>
        <w:t xml:space="preserve">typologies before describing </w:t>
      </w:r>
      <w:r w:rsidR="00BA5462">
        <w:rPr>
          <w:sz w:val="24"/>
          <w:szCs w:val="24"/>
        </w:rPr>
        <w:t xml:space="preserve">the way in which </w:t>
      </w:r>
      <w:r w:rsidR="007D56AA">
        <w:rPr>
          <w:sz w:val="24"/>
          <w:szCs w:val="24"/>
        </w:rPr>
        <w:t xml:space="preserve">I used the </w:t>
      </w:r>
      <w:r w:rsidR="009B000C">
        <w:rPr>
          <w:sz w:val="24"/>
          <w:szCs w:val="24"/>
        </w:rPr>
        <w:t xml:space="preserve">aggregated </w:t>
      </w:r>
      <w:r w:rsidR="007D56AA">
        <w:rPr>
          <w:sz w:val="24"/>
          <w:szCs w:val="24"/>
        </w:rPr>
        <w:t xml:space="preserve">typology data for </w:t>
      </w:r>
      <w:r w:rsidR="009B000C" w:rsidRPr="00AB13DA">
        <w:rPr>
          <w:sz w:val="24"/>
          <w:szCs w:val="24"/>
        </w:rPr>
        <w:t>‘interpretative quantitative’</w:t>
      </w:r>
      <w:r w:rsidR="009B000C">
        <w:rPr>
          <w:sz w:val="24"/>
          <w:szCs w:val="24"/>
        </w:rPr>
        <w:t xml:space="preserve"> analysis</w:t>
      </w:r>
      <w:r w:rsidR="009B000C" w:rsidRPr="00AB13DA">
        <w:rPr>
          <w:sz w:val="24"/>
          <w:szCs w:val="24"/>
        </w:rPr>
        <w:t xml:space="preserve"> </w:t>
      </w:r>
      <w:r w:rsidR="009B000C" w:rsidRPr="00AB13DA">
        <w:rPr>
          <w:sz w:val="24"/>
          <w:szCs w:val="24"/>
        </w:rPr>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009B000C" w:rsidRPr="00AB13DA">
        <w:rPr>
          <w:sz w:val="24"/>
          <w:szCs w:val="24"/>
        </w:rPr>
        <w:instrText xml:space="preserve"> ADDIN EN.CITE </w:instrText>
      </w:r>
      <w:r w:rsidR="009B000C" w:rsidRPr="00AB13DA">
        <w:rPr>
          <w:sz w:val="24"/>
          <w:szCs w:val="24"/>
        </w:rPr>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009B000C" w:rsidRPr="00AB13DA">
        <w:rPr>
          <w:sz w:val="24"/>
          <w:szCs w:val="24"/>
        </w:rPr>
        <w:instrText xml:space="preserve"> ADDIN EN.CITE.DATA </w:instrText>
      </w:r>
      <w:r w:rsidR="009B000C" w:rsidRPr="00AB13DA">
        <w:rPr>
          <w:sz w:val="24"/>
          <w:szCs w:val="24"/>
        </w:rPr>
      </w:r>
      <w:r w:rsidR="009B000C" w:rsidRPr="00AB13DA">
        <w:rPr>
          <w:sz w:val="24"/>
          <w:szCs w:val="24"/>
        </w:rPr>
        <w:fldChar w:fldCharType="end"/>
      </w:r>
      <w:r w:rsidR="009B000C" w:rsidRPr="00AB13DA">
        <w:rPr>
          <w:sz w:val="24"/>
          <w:szCs w:val="24"/>
        </w:rPr>
      </w:r>
      <w:r w:rsidR="009B000C" w:rsidRPr="00AB13DA">
        <w:rPr>
          <w:sz w:val="24"/>
          <w:szCs w:val="24"/>
        </w:rPr>
        <w:fldChar w:fldCharType="separate"/>
      </w:r>
      <w:r w:rsidR="009B000C" w:rsidRPr="00AB13DA">
        <w:rPr>
          <w:noProof/>
          <w:sz w:val="24"/>
          <w:szCs w:val="24"/>
        </w:rPr>
        <w:t>(Babones, 2016; Westerman &amp; Yanchar, 2011)</w:t>
      </w:r>
      <w:r w:rsidR="009B000C" w:rsidRPr="00AB13DA">
        <w:rPr>
          <w:sz w:val="24"/>
          <w:szCs w:val="24"/>
        </w:rPr>
        <w:fldChar w:fldCharType="end"/>
      </w:r>
      <w:r w:rsidR="00D46C6E">
        <w:rPr>
          <w:sz w:val="24"/>
          <w:szCs w:val="24"/>
        </w:rPr>
        <w:t>. First, in</w:t>
      </w:r>
      <w:r w:rsidR="00033C9C">
        <w:rPr>
          <w:sz w:val="24"/>
          <w:szCs w:val="24"/>
        </w:rPr>
        <w:t xml:space="preserve"> Appendix </w:t>
      </w:r>
      <w:r w:rsidR="004D3BA5">
        <w:rPr>
          <w:sz w:val="24"/>
          <w:szCs w:val="24"/>
        </w:rPr>
        <w:t>D</w:t>
      </w:r>
      <w:r w:rsidR="00033C9C">
        <w:rPr>
          <w:sz w:val="24"/>
          <w:szCs w:val="24"/>
        </w:rPr>
        <w:t>, t</w:t>
      </w:r>
      <w:r w:rsidR="006051BF">
        <w:rPr>
          <w:sz w:val="24"/>
          <w:szCs w:val="24"/>
        </w:rPr>
        <w:t xml:space="preserve">he reader will notice that </w:t>
      </w:r>
      <w:r w:rsidR="0047329D">
        <w:rPr>
          <w:sz w:val="24"/>
          <w:szCs w:val="24"/>
        </w:rPr>
        <w:t>the nineteen</w:t>
      </w:r>
      <w:r w:rsidR="00033C9C">
        <w:rPr>
          <w:sz w:val="24"/>
          <w:szCs w:val="24"/>
        </w:rPr>
        <w:t xml:space="preserve"> typologies</w:t>
      </w:r>
      <w:r w:rsidR="0047329D">
        <w:rPr>
          <w:sz w:val="24"/>
          <w:szCs w:val="24"/>
        </w:rPr>
        <w:t xml:space="preserve"> (one per BoR)</w:t>
      </w:r>
      <w:r w:rsidR="00033C9C">
        <w:rPr>
          <w:sz w:val="24"/>
          <w:szCs w:val="24"/>
        </w:rPr>
        <w:t xml:space="preserve"> have not one value per attribute/activity, but three.</w:t>
      </w:r>
      <w:r w:rsidR="006D3CB1">
        <w:rPr>
          <w:sz w:val="24"/>
          <w:szCs w:val="24"/>
        </w:rPr>
        <w:t xml:space="preserve"> </w:t>
      </w:r>
      <w:r w:rsidR="006D3CB1">
        <w:rPr>
          <w:rFonts w:eastAsia="Times New Roman"/>
          <w:sz w:val="24"/>
          <w:szCs w:val="24"/>
        </w:rPr>
        <w:t>This is because I chose to plot all BoRs three times, at three distinct</w:t>
      </w:r>
      <w:r w:rsidR="006E6180">
        <w:rPr>
          <w:rFonts w:eastAsia="Times New Roman"/>
          <w:sz w:val="24"/>
          <w:szCs w:val="24"/>
        </w:rPr>
        <w:t xml:space="preserve"> temporal</w:t>
      </w:r>
      <w:r w:rsidR="006D3CB1">
        <w:rPr>
          <w:rFonts w:eastAsia="Times New Roman"/>
          <w:sz w:val="24"/>
          <w:szCs w:val="24"/>
        </w:rPr>
        <w:t xml:space="preserve"> </w:t>
      </w:r>
      <w:r w:rsidR="00D46C6E">
        <w:rPr>
          <w:rFonts w:eastAsia="Times New Roman"/>
          <w:sz w:val="24"/>
          <w:szCs w:val="24"/>
        </w:rPr>
        <w:t xml:space="preserve">‘landmarks’ or what I call </w:t>
      </w:r>
      <w:r w:rsidR="006D3CB1">
        <w:rPr>
          <w:rFonts w:eastAsia="Times New Roman"/>
          <w:sz w:val="24"/>
          <w:szCs w:val="24"/>
        </w:rPr>
        <w:t>‘phases’</w:t>
      </w:r>
      <w:r w:rsidR="006051BF">
        <w:rPr>
          <w:rFonts w:eastAsia="Times New Roman"/>
          <w:sz w:val="24"/>
          <w:szCs w:val="24"/>
        </w:rPr>
        <w:t>.</w:t>
      </w:r>
      <w:r w:rsidR="006D3CB1">
        <w:rPr>
          <w:rFonts w:eastAsia="Times New Roman"/>
          <w:sz w:val="24"/>
          <w:szCs w:val="24"/>
        </w:rPr>
        <w:t xml:space="preserve"> This made sense in my case because some of the BoRs took place over long </w:t>
      </w:r>
      <w:r w:rsidR="00A022A5">
        <w:rPr>
          <w:rFonts w:eastAsia="Times New Roman"/>
          <w:sz w:val="24"/>
          <w:szCs w:val="24"/>
        </w:rPr>
        <w:t>timescales</w:t>
      </w:r>
      <w:r w:rsidR="006D3CB1">
        <w:rPr>
          <w:rFonts w:eastAsia="Times New Roman"/>
          <w:sz w:val="24"/>
          <w:szCs w:val="24"/>
        </w:rPr>
        <w:t>, therefore differing from the shorter-term projects that the typology’s original authors studied.</w:t>
      </w:r>
      <w:r w:rsidR="006051BF">
        <w:rPr>
          <w:rFonts w:eastAsia="Times New Roman"/>
          <w:sz w:val="24"/>
          <w:szCs w:val="24"/>
        </w:rPr>
        <w:t xml:space="preserve"> </w:t>
      </w:r>
      <w:r w:rsidR="006D3CB1">
        <w:rPr>
          <w:rFonts w:eastAsia="Times New Roman"/>
          <w:sz w:val="24"/>
          <w:szCs w:val="24"/>
        </w:rPr>
        <w:t xml:space="preserve">A single figure to describe the attributes/activities for a whole BoR, some of which describe research over a two-decade period, seemed to me overly reductive </w:t>
      </w:r>
      <w:r w:rsidR="00314727">
        <w:rPr>
          <w:rFonts w:eastAsia="Times New Roman"/>
          <w:sz w:val="24"/>
          <w:szCs w:val="24"/>
        </w:rPr>
        <w:t>since research might be more or less ‘bounded’ over time</w:t>
      </w:r>
      <w:r w:rsidR="006D3CB1">
        <w:rPr>
          <w:rFonts w:eastAsia="Times New Roman"/>
          <w:sz w:val="24"/>
          <w:szCs w:val="24"/>
        </w:rPr>
        <w:t xml:space="preserve">. </w:t>
      </w:r>
      <w:r w:rsidR="004D2627">
        <w:rPr>
          <w:rFonts w:eastAsia="Times New Roman"/>
          <w:sz w:val="24"/>
          <w:szCs w:val="24"/>
        </w:rPr>
        <w:t>To strike a</w:t>
      </w:r>
      <w:r w:rsidR="006D3CB1">
        <w:rPr>
          <w:rFonts w:eastAsia="Times New Roman"/>
          <w:sz w:val="24"/>
          <w:szCs w:val="24"/>
        </w:rPr>
        <w:t xml:space="preserve"> balance between capturing more complexity whilst </w:t>
      </w:r>
      <w:r w:rsidR="00677F35">
        <w:rPr>
          <w:rFonts w:eastAsia="Times New Roman"/>
          <w:sz w:val="24"/>
          <w:szCs w:val="24"/>
        </w:rPr>
        <w:t>keeping analysis manageable</w:t>
      </w:r>
      <w:r w:rsidR="006D3CB1">
        <w:rPr>
          <w:rFonts w:eastAsia="Times New Roman"/>
          <w:sz w:val="24"/>
          <w:szCs w:val="24"/>
        </w:rPr>
        <w:t>,</w:t>
      </w:r>
      <w:r w:rsidR="006051BF">
        <w:rPr>
          <w:rFonts w:eastAsia="Times New Roman"/>
          <w:sz w:val="24"/>
          <w:szCs w:val="24"/>
        </w:rPr>
        <w:t xml:space="preserve"> I conceptualise</w:t>
      </w:r>
      <w:r w:rsidR="006D3CB1">
        <w:rPr>
          <w:rFonts w:eastAsia="Times New Roman"/>
          <w:sz w:val="24"/>
          <w:szCs w:val="24"/>
        </w:rPr>
        <w:t>d</w:t>
      </w:r>
      <w:r w:rsidR="006051BF">
        <w:rPr>
          <w:rFonts w:eastAsia="Times New Roman"/>
          <w:sz w:val="24"/>
          <w:szCs w:val="24"/>
        </w:rPr>
        <w:t xml:space="preserve"> all BoRs as consisting of three</w:t>
      </w:r>
      <w:r w:rsidR="006051BF" w:rsidRPr="00C30A68">
        <w:rPr>
          <w:rFonts w:eastAsia="Times New Roman"/>
          <w:sz w:val="24"/>
          <w:szCs w:val="24"/>
        </w:rPr>
        <w:t xml:space="preserve"> distinct</w:t>
      </w:r>
      <w:r w:rsidR="006051BF">
        <w:rPr>
          <w:rFonts w:eastAsia="Times New Roman"/>
          <w:sz w:val="24"/>
          <w:szCs w:val="24"/>
        </w:rPr>
        <w:t xml:space="preserve"> </w:t>
      </w:r>
      <w:r w:rsidR="00D46C6E">
        <w:rPr>
          <w:rFonts w:eastAsia="Times New Roman"/>
          <w:sz w:val="24"/>
          <w:szCs w:val="24"/>
        </w:rPr>
        <w:t>‘</w:t>
      </w:r>
      <w:r w:rsidR="006051BF" w:rsidRPr="006D3CB1">
        <w:rPr>
          <w:rFonts w:eastAsia="Times New Roman"/>
          <w:sz w:val="24"/>
          <w:szCs w:val="24"/>
        </w:rPr>
        <w:t>phases</w:t>
      </w:r>
      <w:r w:rsidR="00D46C6E">
        <w:rPr>
          <w:rFonts w:eastAsia="Times New Roman"/>
          <w:sz w:val="24"/>
          <w:szCs w:val="24"/>
        </w:rPr>
        <w:t>’</w:t>
      </w:r>
      <w:r w:rsidR="006D3CB1">
        <w:rPr>
          <w:rFonts w:eastAsia="Times New Roman"/>
          <w:sz w:val="24"/>
          <w:szCs w:val="24"/>
        </w:rPr>
        <w:t xml:space="preserve">. The phases did not correspond to any </w:t>
      </w:r>
      <w:r w:rsidR="006D3CB1">
        <w:rPr>
          <w:rFonts w:eastAsia="Times New Roman"/>
          <w:i/>
          <w:sz w:val="24"/>
          <w:szCs w:val="24"/>
        </w:rPr>
        <w:t xml:space="preserve">a priori </w:t>
      </w:r>
      <w:r w:rsidR="00A4067B">
        <w:rPr>
          <w:rFonts w:eastAsia="Times New Roman"/>
          <w:sz w:val="24"/>
          <w:szCs w:val="24"/>
        </w:rPr>
        <w:t>understanding of the ‘phases’ that academic STEMM research go</w:t>
      </w:r>
      <w:r w:rsidR="00D46C6E">
        <w:rPr>
          <w:rFonts w:eastAsia="Times New Roman"/>
          <w:sz w:val="24"/>
          <w:szCs w:val="24"/>
        </w:rPr>
        <w:t>es</w:t>
      </w:r>
      <w:r w:rsidR="00A4067B">
        <w:rPr>
          <w:rFonts w:eastAsia="Times New Roman"/>
          <w:sz w:val="24"/>
          <w:szCs w:val="24"/>
        </w:rPr>
        <w:t xml:space="preserve"> through, but simply an acknowledgement that there are often important milestones or new directions in a body of research that marks a shift, possibly including a shift in the </w:t>
      </w:r>
      <w:r w:rsidR="00A4067B">
        <w:rPr>
          <w:rFonts w:eastAsia="Times New Roman"/>
          <w:i/>
          <w:sz w:val="24"/>
          <w:szCs w:val="24"/>
        </w:rPr>
        <w:t xml:space="preserve">boundedness </w:t>
      </w:r>
      <w:r w:rsidR="00A4067B">
        <w:rPr>
          <w:rFonts w:eastAsia="Times New Roman"/>
          <w:sz w:val="24"/>
          <w:szCs w:val="24"/>
        </w:rPr>
        <w:t xml:space="preserve">of the research activities/attributes. </w:t>
      </w:r>
      <w:r w:rsidR="0059795C">
        <w:rPr>
          <w:rFonts w:eastAsia="Times New Roman"/>
          <w:sz w:val="24"/>
          <w:szCs w:val="24"/>
        </w:rPr>
        <w:t xml:space="preserve">This allowed a more nuanced assessment of the BoRs’ boundedness. </w:t>
      </w:r>
      <w:r w:rsidR="00FA75C9">
        <w:rPr>
          <w:rFonts w:eastAsia="Times New Roman"/>
          <w:sz w:val="24"/>
          <w:szCs w:val="24"/>
        </w:rPr>
        <w:t>F</w:t>
      </w:r>
      <w:r w:rsidR="00D46C6E">
        <w:rPr>
          <w:rFonts w:eastAsia="Times New Roman"/>
          <w:sz w:val="24"/>
          <w:szCs w:val="24"/>
        </w:rPr>
        <w:t xml:space="preserve">or analytical steps which relied on aggregating typology values (described below), I used the average values </w:t>
      </w:r>
      <w:r w:rsidR="00D67CD1">
        <w:rPr>
          <w:rFonts w:eastAsia="Times New Roman"/>
          <w:sz w:val="24"/>
          <w:szCs w:val="24"/>
        </w:rPr>
        <w:t xml:space="preserve">of </w:t>
      </w:r>
      <w:r w:rsidR="00D46C6E">
        <w:rPr>
          <w:rFonts w:eastAsia="Times New Roman"/>
          <w:sz w:val="24"/>
          <w:szCs w:val="24"/>
        </w:rPr>
        <w:t>all three ‘phases’.</w:t>
      </w:r>
    </w:p>
    <w:p w14:paraId="1D136C52" w14:textId="7B383C78" w:rsidR="00DE3159" w:rsidRDefault="00D46C6E" w:rsidP="0059795C">
      <w:pPr>
        <w:spacing w:before="120" w:after="120" w:line="360" w:lineRule="auto"/>
        <w:rPr>
          <w:sz w:val="24"/>
          <w:szCs w:val="24"/>
        </w:rPr>
      </w:pPr>
      <w:r>
        <w:rPr>
          <w:rFonts w:eastAsia="Times New Roman"/>
          <w:sz w:val="24"/>
          <w:szCs w:val="24"/>
        </w:rPr>
        <w:t>Second, a</w:t>
      </w:r>
      <w:r w:rsidR="003E2CBE">
        <w:rPr>
          <w:rFonts w:eastAsia="Times New Roman"/>
          <w:sz w:val="24"/>
          <w:szCs w:val="24"/>
        </w:rPr>
        <w:t xml:space="preserve">longside the plotted typologies, Appendix </w:t>
      </w:r>
      <w:r w:rsidR="004D3BA5">
        <w:rPr>
          <w:rFonts w:eastAsia="Times New Roman"/>
          <w:sz w:val="24"/>
          <w:szCs w:val="24"/>
        </w:rPr>
        <w:t>D</w:t>
      </w:r>
      <w:r w:rsidR="003E2CBE">
        <w:rPr>
          <w:rFonts w:eastAsia="Times New Roman"/>
          <w:sz w:val="24"/>
          <w:szCs w:val="24"/>
        </w:rPr>
        <w:t xml:space="preserve"> also presents </w:t>
      </w:r>
      <w:r w:rsidR="00DE3159">
        <w:rPr>
          <w:sz w:val="24"/>
          <w:szCs w:val="24"/>
        </w:rPr>
        <w:t>narrative descriptions</w:t>
      </w:r>
      <w:r w:rsidR="003E2CBE">
        <w:rPr>
          <w:sz w:val="24"/>
          <w:szCs w:val="24"/>
        </w:rPr>
        <w:t xml:space="preserve"> of each BoR</w:t>
      </w:r>
      <w:r w:rsidR="00DE3159">
        <w:rPr>
          <w:sz w:val="24"/>
          <w:szCs w:val="24"/>
        </w:rPr>
        <w:t xml:space="preserve">. </w:t>
      </w:r>
      <w:r w:rsidR="001F0D4D">
        <w:rPr>
          <w:sz w:val="24"/>
          <w:szCs w:val="24"/>
        </w:rPr>
        <w:t>Presentation of these narratives are important for a few reasons.</w:t>
      </w:r>
      <w:r w:rsidR="00DE3159">
        <w:rPr>
          <w:sz w:val="24"/>
          <w:szCs w:val="24"/>
        </w:rPr>
        <w:t xml:space="preserve"> They serve as a condensed version of my understanding and interpretation of </w:t>
      </w:r>
      <w:r w:rsidR="00F6273B">
        <w:rPr>
          <w:sz w:val="24"/>
          <w:szCs w:val="24"/>
        </w:rPr>
        <w:t>the BoRs based on</w:t>
      </w:r>
      <w:r w:rsidR="00DE3159">
        <w:rPr>
          <w:sz w:val="24"/>
          <w:szCs w:val="24"/>
        </w:rPr>
        <w:t xml:space="preserve"> the documentary and interview data. They can be referred back to for my own purposes but also</w:t>
      </w:r>
      <w:r w:rsidR="00244AF4">
        <w:rPr>
          <w:sz w:val="24"/>
          <w:szCs w:val="24"/>
        </w:rPr>
        <w:t xml:space="preserve"> by others</w:t>
      </w:r>
      <w:r w:rsidR="00DE3159">
        <w:rPr>
          <w:sz w:val="24"/>
          <w:szCs w:val="24"/>
        </w:rPr>
        <w:t xml:space="preserve"> to </w:t>
      </w:r>
      <w:r w:rsidR="00244AF4">
        <w:rPr>
          <w:sz w:val="24"/>
          <w:szCs w:val="24"/>
        </w:rPr>
        <w:t>view and potentially</w:t>
      </w:r>
      <w:r w:rsidR="00DE3159">
        <w:rPr>
          <w:sz w:val="24"/>
          <w:szCs w:val="24"/>
        </w:rPr>
        <w:t xml:space="preserve"> scrutinise my interpretation</w:t>
      </w:r>
      <w:r w:rsidR="00244AF4">
        <w:rPr>
          <w:sz w:val="24"/>
          <w:szCs w:val="24"/>
        </w:rPr>
        <w:t>s</w:t>
      </w:r>
      <w:r w:rsidR="00DE3159">
        <w:rPr>
          <w:sz w:val="24"/>
          <w:szCs w:val="24"/>
        </w:rPr>
        <w:t>. This is important because narrative accounts of events are never neutral or unambiguous ‘truths’ but rather they are specific and potentially fallible claims to knowledge</w:t>
      </w:r>
      <w:r w:rsidR="00DE3159">
        <w:rPr>
          <w:rStyle w:val="FootnoteReference"/>
          <w:sz w:val="24"/>
          <w:szCs w:val="24"/>
        </w:rPr>
        <w:footnoteReference w:id="15"/>
      </w:r>
      <w:r w:rsidR="00DE3159">
        <w:rPr>
          <w:sz w:val="24"/>
          <w:szCs w:val="24"/>
        </w:rPr>
        <w:t xml:space="preserve"> – in my case, knowledge about the important boundary processes associated with a given BoR. </w:t>
      </w:r>
    </w:p>
    <w:p w14:paraId="3774B2E4" w14:textId="7E02794D" w:rsidR="00D34F17" w:rsidRPr="00696568" w:rsidRDefault="00D34F17" w:rsidP="00A31892">
      <w:pPr>
        <w:pStyle w:val="Heading4"/>
      </w:pPr>
      <w:r>
        <w:t>Analysing the BoRs using the typology data</w:t>
      </w:r>
    </w:p>
    <w:p w14:paraId="1D939C27" w14:textId="44C4A204" w:rsidR="00E42DA1" w:rsidRDefault="00244BB6" w:rsidP="00C81C15">
      <w:pPr>
        <w:autoSpaceDE w:val="0"/>
        <w:autoSpaceDN w:val="0"/>
        <w:adjustRightInd w:val="0"/>
        <w:spacing w:after="120" w:line="360" w:lineRule="auto"/>
        <w:rPr>
          <w:sz w:val="24"/>
          <w:szCs w:val="24"/>
          <w:lang w:eastAsia="zh-TW"/>
        </w:rPr>
      </w:pPr>
      <w:r>
        <w:rPr>
          <w:sz w:val="24"/>
          <w:szCs w:val="24"/>
        </w:rPr>
        <w:t xml:space="preserve">The data derived from plotting the nineteen </w:t>
      </w:r>
      <w:r w:rsidR="00A11DFE">
        <w:rPr>
          <w:sz w:val="24"/>
          <w:szCs w:val="24"/>
        </w:rPr>
        <w:t>BoRs against the typology</w:t>
      </w:r>
      <w:r>
        <w:rPr>
          <w:sz w:val="24"/>
          <w:szCs w:val="24"/>
        </w:rPr>
        <w:t xml:space="preserve"> lends </w:t>
      </w:r>
      <w:r w:rsidR="008A3425" w:rsidRPr="00AB13DA">
        <w:rPr>
          <w:sz w:val="24"/>
          <w:szCs w:val="24"/>
        </w:rPr>
        <w:t>itself to ‘interpretative quantitative’</w:t>
      </w:r>
      <w:r>
        <w:rPr>
          <w:sz w:val="24"/>
          <w:szCs w:val="24"/>
        </w:rPr>
        <w:t xml:space="preserve"> analysis</w:t>
      </w:r>
      <w:r w:rsidR="008A3425" w:rsidRPr="00AB13DA">
        <w:rPr>
          <w:sz w:val="24"/>
          <w:szCs w:val="24"/>
        </w:rPr>
        <w:t xml:space="preserve"> </w:t>
      </w:r>
      <w:r w:rsidR="008A3425" w:rsidRPr="00AB13DA">
        <w:rPr>
          <w:sz w:val="24"/>
          <w:szCs w:val="24"/>
        </w:rPr>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008A3425" w:rsidRPr="00AB13DA">
        <w:rPr>
          <w:sz w:val="24"/>
          <w:szCs w:val="24"/>
        </w:rPr>
        <w:instrText xml:space="preserve"> ADDIN EN.CITE </w:instrText>
      </w:r>
      <w:r w:rsidR="008A3425" w:rsidRPr="00AB13DA">
        <w:rPr>
          <w:sz w:val="24"/>
          <w:szCs w:val="24"/>
        </w:rPr>
        <w:fldChar w:fldCharType="begin">
          <w:fldData xml:space="preserve">PEVuZE5vdGU+PENpdGU+PEF1dGhvcj5CYWJvbmVzPC9BdXRob3I+PFllYXI+MjAxNjwvWWVhcj48
SURUZXh0PkludGVycHJldGl2ZSBRdWFudGl0YXRpdmUgTWV0aG9kcyBmb3IgdGhlIFNvY2lhbCBT
Y2llbmNlczwvSURUZXh0PjxEaXNwbGF5VGV4dD4oQmFib25lcywgMjAxNjsgV2VzdGVybWFuICZh
bXA7IFlhbmNoYXIsIDIwMTEpPC9EaXNwbGF5VGV4dD48cmVjb3JkPjxrZXl3b3Jkcz48a2V5d29y
ZD5EYXRhIEdlbmVyYXRpbmcgUHJvY2Vzc2VzPC9rZXl3b3JkPjxrZXl3b3JkPkludGVybmF0aW9u
YWwgQmVuY2htYXJraW5nIFJldmlld3M8L2tleXdvcmQ+PGtleXdvcmQ+SW50ZXJwcmV0aXZlIFNv
Y2lvbG9neTwva2V5d29yZD48a2V5d29yZD5NZWFzdXJlbWVudDwva2V5d29yZD48a2V5d29yZD5N
b2RlbGxpbmc8L2tleXdvcmQ+PGtleXdvcmQ+UG9zaXRpdmlzbTwva2V5d29yZD48a2V5d29yZD5R
dWFsaXRhdGl2ZSBNZXRob2RzPC9rZXl3b3JkPjxrZXl3b3JkPlF1YW50aXRhdGl2ZSBNZXRob2Rz
PC9rZXl3b3JkPjxrZXl3b3JkPlJlZmxleGl2aXR5PC9rZXl3b3JkPjxrZXl3b3JkPlN0YXRpc3Rp
Y3M8L2tleXdvcmQ+PGtleXdvcmQ+U29jaW9sb2d5ICZhbXA7IFNvY2lhbCBIaXN0b3J5PC9rZXl3
b3JkPjwva2V5d29yZHM+PGlzYm4+MDAzOC0wMzg1PC9pc2JuPjx0aXRsZXM+PHRpdGxlPkludGVy
cHJldGl2ZSBRdWFudGl0YXRpdmUgTWV0aG9kcyBmb3IgdGhlIFNvY2lhbCBTY2llbmNlczwvdGl0
bGU+PHNlY29uZGFyeS10aXRsZT5Tb2Npb2xvZ3k8L3NlY29uZGFyeS10aXRsZT48L3RpdGxlcz48
cGFnZXM+NDUzLTQ2OTwvcGFnZXM+PG51bWJlcj4zPC9udW1iZXI+PGNvbnRyaWJ1dG9ycz48YXV0
aG9ycz48YXV0aG9yPkJhYm9uZXMsIFNhbHZhdG9yZTwvYXV0aG9yPjwvYXV0aG9ycz48L2NvbnRy
aWJ1dG9ycz48YWRkZWQtZGF0ZSBmb3JtYXQ9InV0YyI+MTU1NTMyODA1ODwvYWRkZWQtZGF0ZT48
cHViLWxvY2F0aW9uPkxvbmRvbiwgRW5nbGFuZDwvcHViLWxvY2F0aW9uPjxyZWYtdHlwZSBuYW1l
PSJKb3VybmFsIEFydGljbGUiPjE3PC9yZWYtdHlwZT48ZGF0ZXM+PHllYXI+MjAxNjwveWVhcj48
L2RhdGVzPjxyZWMtbnVtYmVyPjc3NjU8L3JlYy1udW1iZXI+PGxhc3QtdXBkYXRlZC1kYXRlIGZv
cm1hdD0idXRjIj4xNTU1MzI4MDU4PC9sYXN0LXVwZGF0ZWQtZGF0ZT48ZWxlY3Ryb25pYy1yZXNv
dXJjZS1udW0+MTAuMTE3Ny8wMDM4MDM4NTE1NTgzNjM3PC9lbGVjdHJvbmljLXJlc291cmNlLW51
bT48dm9sdW1lPjUwPC92b2x1bWU+PC9yZWNvcmQ+PC9DaXRlPjxDaXRlPjxBdXRob3I+V2VzdGVy
bWFuPC9BdXRob3I+PFllYXI+MjAxMTwvWWVhcj48SURUZXh0PkNoYW5naW5nIHRoZSB0ZXJtcyBv
ZiB0aGUgZGViYXRlOiBRdWFudGl0YXRpdmUgbWV0aG9kcyBpbiBleHBsaWNpdGx5IGludGVycHJl
dGl2ZSByZXNlYXJjaDwvSURUZXh0PjxyZWNvcmQ+PGtleXdvcmRzPjxrZXl3b3JkPkV4cGxpY2l0
bHkgSW50ZXJwcmV0aXZlIFF1YW50aXRhdGl2ZSBSZXNlYXJjaDwva2V5d29yZD48a2V5d29yZD5J
bnRlcnByZXRhdGlvbjwva2V5d29yZD48a2V5d29yZD5RdWFsaXRhdGl2ZSBSZXNlYXJjaDwva2V5
d29yZD48a2V5d29yZD5RdWFudGl0YXRpdmUgTWV0aG9kczwva2V5d29yZD48a2V5d29yZD5TY2ll
bmNlIFdhcnM8L2tleXdvcmQ+PGtleXdvcmQ+UHN5Y2hvbG9neTwva2V5d29yZD48L2tleXdvcmRz
Pjxpc2JuPjA5NTktMzU0MzwvaXNibj48dGl0bGVzPjx0aXRsZT5DaGFuZ2luZyB0aGUgdGVybXMg
b2YgdGhlIGRlYmF0ZTogUXVhbnRpdGF0aXZlIG1ldGhvZHMgaW4gZXhwbGljaXRseSBpbnRlcnBy
ZXRpdmUgcmVzZWFyY2g8L3RpdGxlPjxzZWNvbmRhcnktdGl0bGU+VGhlb3J5ICZhbXA7IFBzeWNo
b2xvZ3k8L3NlY29uZGFyeS10aXRsZT48L3RpdGxlcz48cGFnZXM+MTM5LTE1NDwvcGFnZXM+PG51
bWJlcj4yPC9udW1iZXI+PGNvbnRyaWJ1dG9ycz48YXV0aG9ycz48YXV0aG9yPldlc3Rlcm1hbiwg
TWljaGFlbCBBLjwvYXV0aG9yPjxhdXRob3I+WWFuY2hhciwgU3RlcGhlbiBDLjwvYXV0aG9yPjwv
YXV0aG9ycz48L2NvbnRyaWJ1dG9ycz48YWRkZWQtZGF0ZSBmb3JtYXQ9InV0YyI+MTU1NTMyODc4
NzwvYWRkZWQtZGF0ZT48cHViLWxvY2F0aW9uPkxvbmRvbiwgRW5nbGFuZDwvcHViLWxvY2F0aW9u
PjxyZWYtdHlwZSBuYW1lPSJKb3VybmFsIEFydGljbGUiPjE3PC9yZWYtdHlwZT48ZGF0ZXM+PHll
YXI+MjAxMTwveWVhcj48L2RhdGVzPjxyZWMtbnVtYmVyPjc3NjY8L3JlYy1udW1iZXI+PGxhc3Qt
dXBkYXRlZC1kYXRlIGZvcm1hdD0idXRjIj4xNTU1MzI4Nzg3PC9sYXN0LXVwZGF0ZWQtZGF0ZT48
Y29udHJpYnV0b3JzPjxzZWNvbmRhcnktYXV0aG9ycz48YXV0aG9yPldlc3Rlcm1hbiwgTWljaGFl
bCBBLjwvYXV0aG9yPjxhdXRob3I+WWFuY2hhciwgU3RlcGhlbiBDLjwvYXV0aG9yPjwvc2Vjb25k
YXJ5LWF1dGhvcnM+PC9jb250cmlidXRvcnM+PGVsZWN0cm9uaWMtcmVzb3VyY2UtbnVtPjEwLjEx
NzcvMDk1OTM1NDMxMDM5MzU2NTwvZWxlY3Ryb25pYy1yZXNvdXJjZS1udW0+PHZvbHVtZT4yMTwv
dm9sdW1lPjwvcmVjb3JkPjwvQ2l0ZT48L0VuZE5vdGU+
</w:fldData>
        </w:fldChar>
      </w:r>
      <w:r w:rsidR="008A3425" w:rsidRPr="00AB13DA">
        <w:rPr>
          <w:sz w:val="24"/>
          <w:szCs w:val="24"/>
        </w:rPr>
        <w:instrText xml:space="preserve"> ADDIN EN.CITE.DATA </w:instrText>
      </w:r>
      <w:r w:rsidR="008A3425" w:rsidRPr="00AB13DA">
        <w:rPr>
          <w:sz w:val="24"/>
          <w:szCs w:val="24"/>
        </w:rPr>
      </w:r>
      <w:r w:rsidR="008A3425" w:rsidRPr="00AB13DA">
        <w:rPr>
          <w:sz w:val="24"/>
          <w:szCs w:val="24"/>
        </w:rPr>
        <w:fldChar w:fldCharType="end"/>
      </w:r>
      <w:r w:rsidR="008A3425" w:rsidRPr="00AB13DA">
        <w:rPr>
          <w:sz w:val="24"/>
          <w:szCs w:val="24"/>
        </w:rPr>
      </w:r>
      <w:r w:rsidR="008A3425" w:rsidRPr="00AB13DA">
        <w:rPr>
          <w:sz w:val="24"/>
          <w:szCs w:val="24"/>
        </w:rPr>
        <w:fldChar w:fldCharType="separate"/>
      </w:r>
      <w:r w:rsidR="008A3425" w:rsidRPr="00AB13DA">
        <w:rPr>
          <w:noProof/>
          <w:sz w:val="24"/>
          <w:szCs w:val="24"/>
        </w:rPr>
        <w:t>(Babones, 2016; Westerman &amp; Yanchar, 2011)</w:t>
      </w:r>
      <w:r w:rsidR="008A3425" w:rsidRPr="00AB13DA">
        <w:rPr>
          <w:sz w:val="24"/>
          <w:szCs w:val="24"/>
        </w:rPr>
        <w:fldChar w:fldCharType="end"/>
      </w:r>
      <w:r>
        <w:rPr>
          <w:sz w:val="24"/>
          <w:szCs w:val="24"/>
        </w:rPr>
        <w:t>.</w:t>
      </w:r>
      <w:r w:rsidR="00732A9D">
        <w:rPr>
          <w:sz w:val="24"/>
          <w:szCs w:val="24"/>
        </w:rPr>
        <w:t xml:space="preserve"> As </w:t>
      </w:r>
      <w:r w:rsidR="006B694F">
        <w:rPr>
          <w:sz w:val="24"/>
          <w:szCs w:val="24"/>
        </w:rPr>
        <w:t>already discussed</w:t>
      </w:r>
      <w:r w:rsidR="00874C15">
        <w:rPr>
          <w:sz w:val="24"/>
          <w:szCs w:val="24"/>
        </w:rPr>
        <w:t xml:space="preserve">, I am interested </w:t>
      </w:r>
      <w:r w:rsidR="00495339">
        <w:rPr>
          <w:sz w:val="24"/>
          <w:szCs w:val="24"/>
        </w:rPr>
        <w:t xml:space="preserve">in </w:t>
      </w:r>
      <w:r w:rsidR="00B76739">
        <w:rPr>
          <w:sz w:val="24"/>
          <w:szCs w:val="24"/>
        </w:rPr>
        <w:t xml:space="preserve">how </w:t>
      </w:r>
      <w:r w:rsidR="00874C15">
        <w:rPr>
          <w:sz w:val="24"/>
          <w:szCs w:val="24"/>
        </w:rPr>
        <w:t>particular</w:t>
      </w:r>
      <w:r w:rsidR="00B76739">
        <w:rPr>
          <w:sz w:val="24"/>
          <w:szCs w:val="24"/>
        </w:rPr>
        <w:t xml:space="preserve"> features of the</w:t>
      </w:r>
      <w:r w:rsidR="00874C15">
        <w:rPr>
          <w:sz w:val="24"/>
          <w:szCs w:val="24"/>
        </w:rPr>
        <w:t xml:space="preserve"> research context may shape boundary transactions and their role in reproducing or potentially weakening academic boundaries. The ‘research contexts’ I am interested in relate to </w:t>
      </w:r>
      <w:r w:rsidR="00874C15">
        <w:rPr>
          <w:i/>
          <w:sz w:val="24"/>
          <w:szCs w:val="24"/>
        </w:rPr>
        <w:t xml:space="preserve">institutional </w:t>
      </w:r>
      <w:r w:rsidR="00874C15">
        <w:rPr>
          <w:sz w:val="24"/>
          <w:szCs w:val="24"/>
        </w:rPr>
        <w:t xml:space="preserve">and </w:t>
      </w:r>
      <w:r w:rsidR="00874C15">
        <w:rPr>
          <w:i/>
          <w:sz w:val="24"/>
          <w:szCs w:val="24"/>
        </w:rPr>
        <w:t xml:space="preserve">epistemic </w:t>
      </w:r>
      <w:r w:rsidR="00874C15">
        <w:rPr>
          <w:sz w:val="24"/>
          <w:szCs w:val="24"/>
        </w:rPr>
        <w:t xml:space="preserve">context. </w:t>
      </w:r>
      <w:r w:rsidR="00B76739">
        <w:rPr>
          <w:sz w:val="24"/>
          <w:szCs w:val="24"/>
        </w:rPr>
        <w:t xml:space="preserve">Analysis of the typology data therefore involves aggregating the data </w:t>
      </w:r>
      <w:r w:rsidR="00874C15">
        <w:rPr>
          <w:sz w:val="24"/>
          <w:szCs w:val="24"/>
        </w:rPr>
        <w:t>to different institutional and epistemic contexts to allow comparison. For example, I can compare the average typology values of</w:t>
      </w:r>
      <w:r w:rsidR="00CE5B10">
        <w:rPr>
          <w:sz w:val="24"/>
          <w:szCs w:val="24"/>
        </w:rPr>
        <w:t>:</w:t>
      </w:r>
      <w:r w:rsidR="00874C15">
        <w:rPr>
          <w:sz w:val="24"/>
          <w:szCs w:val="24"/>
        </w:rPr>
        <w:t xml:space="preserve"> Life, Basic and Natural sciences</w:t>
      </w:r>
      <w:r w:rsidR="00CE5B10">
        <w:rPr>
          <w:sz w:val="24"/>
          <w:szCs w:val="24"/>
        </w:rPr>
        <w:t>;</w:t>
      </w:r>
      <w:r w:rsidR="00874C15">
        <w:rPr>
          <w:sz w:val="24"/>
          <w:szCs w:val="24"/>
        </w:rPr>
        <w:t xml:space="preserve"> ‘elite’ and ‘non-elite’ institutional contexts</w:t>
      </w:r>
      <w:r w:rsidR="00CE5B10">
        <w:rPr>
          <w:sz w:val="24"/>
          <w:szCs w:val="24"/>
        </w:rPr>
        <w:t>;</w:t>
      </w:r>
      <w:r w:rsidR="00874C15">
        <w:rPr>
          <w:sz w:val="24"/>
          <w:szCs w:val="24"/>
        </w:rPr>
        <w:t xml:space="preserve"> and Basic and Applied disciplines</w:t>
      </w:r>
      <w:r w:rsidR="00E62F99">
        <w:rPr>
          <w:rStyle w:val="FootnoteReference"/>
          <w:sz w:val="24"/>
          <w:szCs w:val="24"/>
        </w:rPr>
        <w:footnoteReference w:id="16"/>
      </w:r>
      <w:r w:rsidR="00874C15">
        <w:rPr>
          <w:sz w:val="24"/>
          <w:szCs w:val="24"/>
        </w:rPr>
        <w:t xml:space="preserve">. </w:t>
      </w:r>
    </w:p>
    <w:p w14:paraId="252394F1" w14:textId="1124A248" w:rsidR="00082217" w:rsidRDefault="00E42DA1" w:rsidP="00187F81">
      <w:pPr>
        <w:autoSpaceDE w:val="0"/>
        <w:autoSpaceDN w:val="0"/>
        <w:adjustRightInd w:val="0"/>
        <w:spacing w:after="120" w:line="360" w:lineRule="auto"/>
        <w:rPr>
          <w:sz w:val="24"/>
          <w:szCs w:val="24"/>
          <w:lang w:eastAsia="zh-TW"/>
        </w:rPr>
      </w:pPr>
      <w:r>
        <w:rPr>
          <w:sz w:val="24"/>
          <w:szCs w:val="24"/>
          <w:lang w:eastAsia="zh-TW"/>
        </w:rPr>
        <w:t xml:space="preserve">To better understand the relationship between research context and the boundedness of research, </w:t>
      </w:r>
      <w:r w:rsidR="00A0025E">
        <w:rPr>
          <w:sz w:val="24"/>
          <w:szCs w:val="24"/>
          <w:lang w:eastAsia="zh-TW"/>
        </w:rPr>
        <w:t>I use the same ‘aggregation’ method to</w:t>
      </w:r>
      <w:r>
        <w:rPr>
          <w:sz w:val="24"/>
          <w:szCs w:val="24"/>
          <w:lang w:eastAsia="zh-TW"/>
        </w:rPr>
        <w:t xml:space="preserve"> </w:t>
      </w:r>
      <w:r w:rsidR="006E55A4">
        <w:rPr>
          <w:sz w:val="24"/>
          <w:szCs w:val="24"/>
          <w:lang w:eastAsia="zh-TW"/>
        </w:rPr>
        <w:t xml:space="preserve">explore whether there are any patterns emerging related to the typology’s </w:t>
      </w:r>
      <w:r w:rsidR="00FE2962">
        <w:rPr>
          <w:sz w:val="24"/>
          <w:szCs w:val="24"/>
          <w:lang w:eastAsia="zh-TW"/>
        </w:rPr>
        <w:t xml:space="preserve">fifteen </w:t>
      </w:r>
      <w:r w:rsidR="006E55A4">
        <w:rPr>
          <w:sz w:val="24"/>
          <w:szCs w:val="24"/>
          <w:lang w:eastAsia="zh-TW"/>
        </w:rPr>
        <w:t xml:space="preserve">attributes/activities. That is, </w:t>
      </w:r>
      <w:r w:rsidR="00257708">
        <w:rPr>
          <w:sz w:val="24"/>
          <w:szCs w:val="24"/>
          <w:lang w:eastAsia="zh-TW"/>
        </w:rPr>
        <w:t>I explore</w:t>
      </w:r>
      <w:r w:rsidR="006E55A4">
        <w:rPr>
          <w:sz w:val="24"/>
          <w:szCs w:val="24"/>
          <w:lang w:eastAsia="zh-TW"/>
        </w:rPr>
        <w:t xml:space="preserve"> if and why some research activities/attributes are systematically more associated with reproducing boundaries and some more associated with weakening boundaries. </w:t>
      </w:r>
    </w:p>
    <w:p w14:paraId="467193FF" w14:textId="39C31393" w:rsidR="005E3D98" w:rsidRDefault="005E3D98" w:rsidP="00A31892">
      <w:pPr>
        <w:pStyle w:val="Heading4"/>
        <w:rPr>
          <w:lang w:eastAsia="zh-TW"/>
        </w:rPr>
      </w:pPr>
      <w:r>
        <w:rPr>
          <w:lang w:eastAsia="zh-TW"/>
        </w:rPr>
        <w:t>Interpreting the analysis of typology data</w:t>
      </w:r>
    </w:p>
    <w:p w14:paraId="26999C40" w14:textId="112719F7" w:rsidR="00C71A90" w:rsidRDefault="001D1167" w:rsidP="00C81C15">
      <w:pPr>
        <w:autoSpaceDE w:val="0"/>
        <w:autoSpaceDN w:val="0"/>
        <w:adjustRightInd w:val="0"/>
        <w:spacing w:after="120" w:line="360" w:lineRule="auto"/>
        <w:rPr>
          <w:sz w:val="24"/>
          <w:szCs w:val="24"/>
          <w:lang w:eastAsia="zh-TW"/>
        </w:rPr>
      </w:pPr>
      <w:r>
        <w:rPr>
          <w:sz w:val="24"/>
          <w:szCs w:val="24"/>
          <w:lang w:eastAsia="zh-TW"/>
        </w:rPr>
        <w:t>T</w:t>
      </w:r>
      <w:r w:rsidR="000C6E37">
        <w:rPr>
          <w:sz w:val="24"/>
          <w:szCs w:val="24"/>
          <w:lang w:eastAsia="zh-TW"/>
        </w:rPr>
        <w:t xml:space="preserve">he aggregated values </w:t>
      </w:r>
      <w:r w:rsidR="00761A27">
        <w:rPr>
          <w:sz w:val="24"/>
          <w:szCs w:val="24"/>
          <w:lang w:eastAsia="zh-TW"/>
        </w:rPr>
        <w:t xml:space="preserve">are interpreted as </w:t>
      </w:r>
      <w:r w:rsidR="003940F8">
        <w:rPr>
          <w:sz w:val="24"/>
          <w:szCs w:val="24"/>
          <w:lang w:eastAsia="zh-TW"/>
        </w:rPr>
        <w:t>indicator</w:t>
      </w:r>
      <w:r w:rsidR="00885373">
        <w:rPr>
          <w:sz w:val="24"/>
          <w:szCs w:val="24"/>
          <w:lang w:eastAsia="zh-TW"/>
        </w:rPr>
        <w:t xml:space="preserve">s </w:t>
      </w:r>
      <w:r w:rsidR="00A2021D">
        <w:rPr>
          <w:sz w:val="24"/>
          <w:szCs w:val="24"/>
          <w:lang w:eastAsia="zh-TW"/>
        </w:rPr>
        <w:t xml:space="preserve">of </w:t>
      </w:r>
      <w:r w:rsidR="00ED54DB">
        <w:rPr>
          <w:sz w:val="24"/>
          <w:szCs w:val="24"/>
          <w:lang w:eastAsia="zh-TW"/>
        </w:rPr>
        <w:t xml:space="preserve">the </w:t>
      </w:r>
      <w:r w:rsidR="00A2021D">
        <w:rPr>
          <w:sz w:val="24"/>
          <w:szCs w:val="24"/>
          <w:lang w:eastAsia="zh-TW"/>
        </w:rPr>
        <w:t>‘boundedness’ o</w:t>
      </w:r>
      <w:r w:rsidR="00B4310E">
        <w:rPr>
          <w:sz w:val="24"/>
          <w:szCs w:val="24"/>
          <w:lang w:eastAsia="zh-TW"/>
        </w:rPr>
        <w:t>f research sampled from</w:t>
      </w:r>
      <w:r w:rsidR="00DD07E7">
        <w:rPr>
          <w:sz w:val="24"/>
          <w:szCs w:val="24"/>
          <w:lang w:eastAsia="zh-TW"/>
        </w:rPr>
        <w:t xml:space="preserve"> different contextual categories, say from</w:t>
      </w:r>
      <w:r w:rsidR="00B4310E">
        <w:rPr>
          <w:sz w:val="24"/>
          <w:szCs w:val="24"/>
          <w:lang w:eastAsia="zh-TW"/>
        </w:rPr>
        <w:t xml:space="preserve"> Applied disciplines, Life sciences, or ‘elite’ institutional contexts</w:t>
      </w:r>
      <w:r w:rsidR="00ED54DB">
        <w:rPr>
          <w:sz w:val="24"/>
          <w:szCs w:val="24"/>
          <w:lang w:eastAsia="zh-TW"/>
        </w:rPr>
        <w:t xml:space="preserve">. </w:t>
      </w:r>
      <w:r w:rsidR="00D6160C">
        <w:rPr>
          <w:sz w:val="24"/>
          <w:szCs w:val="24"/>
          <w:lang w:eastAsia="zh-TW"/>
        </w:rPr>
        <w:t>‘</w:t>
      </w:r>
      <w:r w:rsidR="00DD07E7">
        <w:rPr>
          <w:sz w:val="24"/>
          <w:szCs w:val="24"/>
          <w:lang w:eastAsia="zh-TW"/>
        </w:rPr>
        <w:t>Boundedness</w:t>
      </w:r>
      <w:r w:rsidR="00D6160C">
        <w:rPr>
          <w:sz w:val="24"/>
          <w:szCs w:val="24"/>
          <w:lang w:eastAsia="zh-TW"/>
        </w:rPr>
        <w:t>’</w:t>
      </w:r>
      <w:r w:rsidR="00DD07E7">
        <w:rPr>
          <w:sz w:val="24"/>
          <w:szCs w:val="24"/>
          <w:lang w:eastAsia="zh-TW"/>
        </w:rPr>
        <w:t xml:space="preserve"> is</w:t>
      </w:r>
      <w:r w:rsidR="00D6160C">
        <w:rPr>
          <w:sz w:val="24"/>
          <w:szCs w:val="24"/>
          <w:lang w:eastAsia="zh-TW"/>
        </w:rPr>
        <w:t>, in turn,</w:t>
      </w:r>
      <w:r w:rsidR="00DD07E7">
        <w:rPr>
          <w:sz w:val="24"/>
          <w:szCs w:val="24"/>
          <w:lang w:eastAsia="zh-TW"/>
        </w:rPr>
        <w:t xml:space="preserve"> interpreted as the extent to which research in a given category </w:t>
      </w:r>
      <w:r w:rsidR="00C836A2">
        <w:rPr>
          <w:sz w:val="24"/>
          <w:szCs w:val="24"/>
          <w:lang w:eastAsia="zh-TW"/>
        </w:rPr>
        <w:t>tends</w:t>
      </w:r>
      <w:r w:rsidR="00DD07E7">
        <w:rPr>
          <w:sz w:val="24"/>
          <w:szCs w:val="24"/>
          <w:lang w:eastAsia="zh-TW"/>
        </w:rPr>
        <w:t xml:space="preserve"> towards the reproduction or weakening of academic boundaries.</w:t>
      </w:r>
      <w:r w:rsidR="00BF4A8C">
        <w:rPr>
          <w:sz w:val="24"/>
          <w:szCs w:val="24"/>
          <w:lang w:eastAsia="zh-TW"/>
        </w:rPr>
        <w:t xml:space="preserve"> In respect of the critical realist framework adopted, these have the epistemic status of ‘</w:t>
      </w:r>
      <w:r w:rsidR="00851ACA">
        <w:rPr>
          <w:sz w:val="24"/>
          <w:szCs w:val="24"/>
          <w:lang w:eastAsia="zh-TW"/>
        </w:rPr>
        <w:t>surface-level</w:t>
      </w:r>
      <w:r w:rsidR="00BF4A8C">
        <w:rPr>
          <w:sz w:val="24"/>
          <w:szCs w:val="24"/>
          <w:lang w:eastAsia="zh-TW"/>
        </w:rPr>
        <w:t>’ empirical</w:t>
      </w:r>
      <w:r w:rsidR="00851ACA">
        <w:rPr>
          <w:sz w:val="24"/>
          <w:szCs w:val="24"/>
          <w:lang w:eastAsia="zh-TW"/>
        </w:rPr>
        <w:t xml:space="preserve"> observations,</w:t>
      </w:r>
      <w:r w:rsidR="00913AD5">
        <w:rPr>
          <w:sz w:val="24"/>
          <w:szCs w:val="24"/>
          <w:lang w:eastAsia="zh-TW"/>
        </w:rPr>
        <w:t xml:space="preserve"> and as such</w:t>
      </w:r>
      <w:r w:rsidR="00851ACA">
        <w:rPr>
          <w:sz w:val="24"/>
          <w:szCs w:val="24"/>
          <w:lang w:eastAsia="zh-TW"/>
        </w:rPr>
        <w:t xml:space="preserve"> they require further analysis to understand their underpinning causal mechanisms and structures. </w:t>
      </w:r>
    </w:p>
    <w:p w14:paraId="4EEAE2BD" w14:textId="0043C171" w:rsidR="00BB7B88" w:rsidRDefault="00851ACA" w:rsidP="00C81C15">
      <w:pPr>
        <w:autoSpaceDE w:val="0"/>
        <w:autoSpaceDN w:val="0"/>
        <w:adjustRightInd w:val="0"/>
        <w:spacing w:after="120" w:line="360" w:lineRule="auto"/>
        <w:rPr>
          <w:sz w:val="24"/>
          <w:szCs w:val="24"/>
          <w:lang w:eastAsia="zh-TW"/>
        </w:rPr>
      </w:pPr>
      <w:r>
        <w:rPr>
          <w:sz w:val="24"/>
          <w:szCs w:val="24"/>
          <w:lang w:eastAsia="zh-TW"/>
        </w:rPr>
        <w:t xml:space="preserve">For this, I turn to </w:t>
      </w:r>
      <w:r w:rsidR="00B04FB8">
        <w:rPr>
          <w:sz w:val="24"/>
          <w:szCs w:val="24"/>
          <w:lang w:eastAsia="zh-TW"/>
        </w:rPr>
        <w:t xml:space="preserve">a detailed analysis of boundary transactions. This is in line with the </w:t>
      </w:r>
      <w:r w:rsidR="002D372C">
        <w:rPr>
          <w:sz w:val="24"/>
          <w:szCs w:val="24"/>
          <w:lang w:eastAsia="zh-TW"/>
        </w:rPr>
        <w:t xml:space="preserve">theoretical ‘boundary lens’ adopted, which </w:t>
      </w:r>
      <w:r w:rsidR="00B04FB8">
        <w:rPr>
          <w:sz w:val="24"/>
          <w:szCs w:val="24"/>
          <w:lang w:eastAsia="zh-TW"/>
        </w:rPr>
        <w:t>sees boundary transactions as causally important in the reproduction or otherwise of boundaries</w:t>
      </w:r>
      <w:r w:rsidR="002F2D75">
        <w:rPr>
          <w:sz w:val="24"/>
          <w:szCs w:val="24"/>
          <w:lang w:eastAsia="zh-TW"/>
        </w:rPr>
        <w:t xml:space="preserve"> (see Chapter 2)</w:t>
      </w:r>
      <w:r w:rsidR="00B04FB8">
        <w:rPr>
          <w:sz w:val="24"/>
          <w:szCs w:val="24"/>
          <w:lang w:eastAsia="zh-TW"/>
        </w:rPr>
        <w:t xml:space="preserve">. </w:t>
      </w:r>
      <w:r w:rsidR="00BB7B88">
        <w:rPr>
          <w:sz w:val="24"/>
          <w:szCs w:val="24"/>
          <w:lang w:eastAsia="zh-TW"/>
        </w:rPr>
        <w:t xml:space="preserve">Following the aggregation of typology values, the main things to be explained are: </w:t>
      </w:r>
    </w:p>
    <w:p w14:paraId="448EF0A7" w14:textId="224F307D" w:rsidR="00BB7B88" w:rsidRPr="00BB7B88" w:rsidRDefault="00BB7B88" w:rsidP="00A17598">
      <w:pPr>
        <w:pStyle w:val="ListParagraph"/>
        <w:numPr>
          <w:ilvl w:val="1"/>
          <w:numId w:val="7"/>
        </w:numPr>
        <w:autoSpaceDE w:val="0"/>
        <w:autoSpaceDN w:val="0"/>
        <w:adjustRightInd w:val="0"/>
        <w:spacing w:after="120" w:line="360" w:lineRule="auto"/>
        <w:rPr>
          <w:i/>
          <w:sz w:val="24"/>
          <w:szCs w:val="24"/>
          <w:lang w:eastAsia="zh-TW"/>
        </w:rPr>
      </w:pPr>
      <w:r>
        <w:rPr>
          <w:sz w:val="24"/>
          <w:szCs w:val="24"/>
          <w:lang w:eastAsia="zh-TW"/>
        </w:rPr>
        <w:t xml:space="preserve">The sample’s </w:t>
      </w:r>
      <w:r>
        <w:rPr>
          <w:i/>
          <w:sz w:val="24"/>
          <w:szCs w:val="24"/>
          <w:lang w:eastAsia="zh-TW"/>
        </w:rPr>
        <w:t xml:space="preserve">overall </w:t>
      </w:r>
      <w:r>
        <w:rPr>
          <w:sz w:val="24"/>
          <w:szCs w:val="24"/>
          <w:lang w:eastAsia="zh-TW"/>
        </w:rPr>
        <w:t xml:space="preserve">tendency towards </w:t>
      </w:r>
      <w:r w:rsidR="006816D2">
        <w:rPr>
          <w:sz w:val="24"/>
          <w:szCs w:val="24"/>
          <w:lang w:eastAsia="zh-TW"/>
        </w:rPr>
        <w:t xml:space="preserve">the </w:t>
      </w:r>
      <w:r>
        <w:rPr>
          <w:sz w:val="24"/>
          <w:szCs w:val="24"/>
          <w:lang w:eastAsia="zh-TW"/>
        </w:rPr>
        <w:t>reproduction</w:t>
      </w:r>
      <w:r w:rsidR="006816D2">
        <w:rPr>
          <w:sz w:val="24"/>
          <w:szCs w:val="24"/>
          <w:lang w:eastAsia="zh-TW"/>
        </w:rPr>
        <w:t xml:space="preserve"> or weakening or academic boundaries (as it turns out, the data point more towards boundary reproduction than weakening)</w:t>
      </w:r>
      <w:r w:rsidR="00F759E6">
        <w:rPr>
          <w:sz w:val="24"/>
          <w:szCs w:val="24"/>
          <w:lang w:eastAsia="zh-TW"/>
        </w:rPr>
        <w:t>;</w:t>
      </w:r>
    </w:p>
    <w:p w14:paraId="72674B72" w14:textId="5CDBCF8A" w:rsidR="002664E9" w:rsidRPr="004F5A2C" w:rsidRDefault="00BB7B88" w:rsidP="00A17598">
      <w:pPr>
        <w:pStyle w:val="ListParagraph"/>
        <w:numPr>
          <w:ilvl w:val="1"/>
          <w:numId w:val="7"/>
        </w:numPr>
        <w:autoSpaceDE w:val="0"/>
        <w:autoSpaceDN w:val="0"/>
        <w:adjustRightInd w:val="0"/>
        <w:spacing w:after="120" w:line="360" w:lineRule="auto"/>
        <w:rPr>
          <w:i/>
          <w:sz w:val="24"/>
          <w:szCs w:val="24"/>
          <w:lang w:eastAsia="zh-TW"/>
        </w:rPr>
      </w:pPr>
      <w:r>
        <w:rPr>
          <w:sz w:val="24"/>
          <w:szCs w:val="24"/>
          <w:lang w:eastAsia="zh-TW"/>
        </w:rPr>
        <w:t>Variations</w:t>
      </w:r>
      <w:r w:rsidR="00B04FB8" w:rsidRPr="00BB7B88">
        <w:rPr>
          <w:i/>
          <w:sz w:val="24"/>
          <w:szCs w:val="24"/>
          <w:lang w:eastAsia="zh-TW"/>
        </w:rPr>
        <w:t xml:space="preserve"> </w:t>
      </w:r>
      <w:r>
        <w:rPr>
          <w:sz w:val="24"/>
          <w:szCs w:val="24"/>
          <w:lang w:eastAsia="zh-TW"/>
        </w:rPr>
        <w:t xml:space="preserve">by different research contexts (i.e. institutional and epistemic context). </w:t>
      </w:r>
    </w:p>
    <w:p w14:paraId="6E19AF4D" w14:textId="5B3CCB63" w:rsidR="002664E9" w:rsidRDefault="002664E9" w:rsidP="00BB7B88">
      <w:pPr>
        <w:autoSpaceDE w:val="0"/>
        <w:autoSpaceDN w:val="0"/>
        <w:adjustRightInd w:val="0"/>
        <w:spacing w:after="120" w:line="360" w:lineRule="auto"/>
        <w:rPr>
          <w:sz w:val="24"/>
          <w:szCs w:val="24"/>
          <w:lang w:eastAsia="zh-TW"/>
        </w:rPr>
      </w:pPr>
      <w:r>
        <w:rPr>
          <w:sz w:val="24"/>
          <w:szCs w:val="24"/>
          <w:lang w:eastAsia="zh-TW"/>
        </w:rPr>
        <w:t>This is addressed in the next phase of analysis, discussed below.</w:t>
      </w:r>
    </w:p>
    <w:p w14:paraId="36794D1A" w14:textId="05A47D3C" w:rsidR="00202173" w:rsidRDefault="00506B86" w:rsidP="000C6E37">
      <w:pPr>
        <w:pStyle w:val="Heading3"/>
      </w:pPr>
      <w:bookmarkStart w:id="94" w:name="_Toc31701970"/>
      <w:r>
        <w:t>Analysis</w:t>
      </w:r>
      <w:r w:rsidR="00122D89">
        <w:t xml:space="preserve"> of b</w:t>
      </w:r>
      <w:r w:rsidR="00202173">
        <w:t>oundary transactions in the BoRs</w:t>
      </w:r>
      <w:r w:rsidR="00A4295A">
        <w:t>: operational mechanisms</w:t>
      </w:r>
      <w:bookmarkEnd w:id="94"/>
    </w:p>
    <w:p w14:paraId="2CA1BD41" w14:textId="540192EB" w:rsidR="003941B6" w:rsidRDefault="00717F5A" w:rsidP="00202173">
      <w:pPr>
        <w:spacing w:after="120" w:line="360" w:lineRule="auto"/>
        <w:rPr>
          <w:sz w:val="24"/>
          <w:szCs w:val="24"/>
        </w:rPr>
      </w:pPr>
      <w:r>
        <w:rPr>
          <w:iCs/>
          <w:sz w:val="24"/>
          <w:szCs w:val="24"/>
        </w:rPr>
        <w:t>In Chapter 2, b</w:t>
      </w:r>
      <w:r w:rsidR="0098710F">
        <w:rPr>
          <w:iCs/>
          <w:sz w:val="24"/>
          <w:szCs w:val="24"/>
        </w:rPr>
        <w:t xml:space="preserve">oundary transactions </w:t>
      </w:r>
      <w:r>
        <w:rPr>
          <w:iCs/>
          <w:sz w:val="24"/>
          <w:szCs w:val="24"/>
        </w:rPr>
        <w:t>were</w:t>
      </w:r>
      <w:r w:rsidR="0098710F">
        <w:rPr>
          <w:iCs/>
          <w:sz w:val="24"/>
          <w:szCs w:val="24"/>
        </w:rPr>
        <w:t xml:space="preserve"> conceptualised as key mechanisms vis-à-vis the reproduction or otherwise of academic boundaries. </w:t>
      </w:r>
      <w:r w:rsidR="009B4610">
        <w:rPr>
          <w:iCs/>
          <w:sz w:val="24"/>
          <w:szCs w:val="24"/>
        </w:rPr>
        <w:t>An important first step is therefore to identify boundary transactions in my sampled BoRs</w:t>
      </w:r>
      <w:r w:rsidR="00492E0C">
        <w:rPr>
          <w:iCs/>
          <w:sz w:val="24"/>
          <w:szCs w:val="24"/>
        </w:rPr>
        <w:t>. This</w:t>
      </w:r>
      <w:r w:rsidR="00492E0C">
        <w:rPr>
          <w:sz w:val="24"/>
          <w:szCs w:val="24"/>
        </w:rPr>
        <w:t xml:space="preserve"> step can be thought of as ‘qualitative data-mining’ – a form of qualitative content analysis </w:t>
      </w:r>
      <w:r w:rsidR="00492E0C" w:rsidRPr="001E7F9C">
        <w:rPr>
          <w:sz w:val="24"/>
          <w:szCs w:val="24"/>
        </w:rPr>
        <w:fldChar w:fldCharType="begin">
          <w:fldData xml:space="preserve">PEVuZE5vdGU+PENpdGU+PEF1dGhvcj5UaXRzY2hlcjwvQXV0aG9yPjxZZWFyPjIwMDA8L1llYXI+
PFJlY051bT4wPC9SZWNOdW0+PElEVGV4dD5NZXRob2RzIG9mIHRleHQgYW5kIGRpc2NvdXJzZSBh
bmFseXNpczwvSURUZXh0PjxEaXNwbGF5VGV4dD4oSG9sc3RpLCAxOTY5OyBTY2hyZWllciwgMjAx
NDsgVGl0c2NoZXIsIFdvZGFrLCAmYW1wOyBWZXR0ZXIsIDIwMDApPC9EaXNwbGF5VGV4dD48cmVj
b3JkPjxrZXl3b3Jkcz48a2V5d29yZD5TZW1pb3RpY3M8L2tleXdvcmQ+PGtleXdvcmQ+RGlzY291
cnNlIGFuYWx5c2lzPC9rZXl3b3JkPjxrZXl3b3JkPkRpc2NvdXJzZSBhbmFseXNpcywgTGl0ZXJh
cnk8L2tleXdvcmQ+PGtleXdvcmQ+TGl0ZXJhcnkgZGlzY291cnNlIGFuYWx5c2lzPC9rZXl3b3Jk
PjxrZXl3b3JkPlJoZXRvcmljPC9rZXl3b3JkPjxrZXl3b3JkPkxpdGVyYXJ5IHN0eWxlPC9rZXl3
b3JkPjxrZXl3b3JkPkRpc2NvdXJzZSBncmFtbWFyPC9rZXl3b3JkPjxrZXl3b3JkPlRleHQgZ3Jh
bW1hcjwva2V5d29yZD48a2V5d29yZD5TZW1hbnRpY3M8L2tleXdvcmQ+PGtleXdvcmQ+U2VtaW90
aWNzPC9rZXl3b3JkPjxrZXl3b3JkPlNlbWVpb3RpY3M8L2tleXdvcmQ+PGtleXdvcmQ+U2VtaW9s
b2d5IChMaW5ndWlzdGljcyk8L2tleXdvcmQ+PGtleXdvcmQ+U2VtYW50aWNzPC9rZXl3b3JkPjxr
ZXl3b3JkPlNpZ25zIGFuZCBzeW1ib2xzPC9rZXl3b3JkPjxrZXl3b3JkPlN0cnVjdHVyYWxpc20g
KExpdGVyYXJ5IGFuYWx5c2lzKTwva2V5d29yZD48L2tleXdvcmRzPjx0aXRsZXM+PHRpdGxlPk1l
dGhvZHMgb2YgdGV4dCBhbmQgZGlzY291cnNlIGFuYWx5c2lzPC90aXRsZT48L3RpdGxlcz48Y29u
dHJpYnV0b3JzPjxhdXRob3JzPjxhdXRob3I+VGl0c2NoZXIsIFN0ZWZhbiBNZXllciwgTWljaGFl
bDwvYXV0aG9yPjxhdXRob3I+V29kYWssIFJ1dGg8L2F1dGhvcj48YXV0aG9yPlZldHRlciwgRXZh
PC9hdXRob3I+PC9hdXRob3JzPjwvY29udHJpYnV0b3JzPjxhZGRlZC1kYXRlIGZvcm1hdD0idXRj
Ij4xNTIwMDExNDI2PC9hZGRlZC1kYXRlPjxwdWItbG9jYXRpb24+TG9uZG9uPC9wdWItbG9jYXRp
b24+PHJlZi10eXBlIG5hbWU9IkJvb2siPjY8L3JlZi10eXBlPjxkYXRlcz48eWVhcj4yMDAwPC95
ZWFyPjwvZGF0ZXM+PHJlYy1udW1iZXI+NzM4MjwvcmVjLW51bWJlcj48cHVibGlzaGVyPlNBR0U8
L3B1Ymxpc2hlcj48bGFzdC11cGRhdGVkLWRhdGUgZm9ybWF0PSJ1dGMiPjE1MjAwMTE1NzY8L2xh
c3QtdXBkYXRlZC1kYXRlPjwvcmVjb3JkPjwvQ2l0ZT48Q2l0ZT48QXV0aG9yPlNjaHJlaWVyPC9B
dXRob3I+PFllYXI+MjAxNDwvWWVhcj48UmVjTnVtPjA8L1JlY051bT48cmVjb3JkPjxjb250cmli
dXRvcnM+PHRlcnRpYXJ5LWF1dGhvcnM+PGF1dGhvcj5NZXR6bGVyLCBLYXRpZTwvYXV0aG9yPjxh
dXRob3I+U2NvdHQsIFdlbmR5PC9hdXRob3I+PC90ZXJ0aWFyeS1hdXRob3JzPjwvY29udHJpYnV0
b3JzPjxrZXl3b3Jkcz48a2V5d29yZD5RdWFsaXRhdGl2ZSByZXNlYXJjaDwva2V5d29yZD48a2V5
d29yZD5Tb2NpYWwgc2NpZW5jZXMgLS0gUmVzZWFyY2ggLS0gTWV0aG9kb2xvZ3k8L2tleXdvcmQ+
PGtleXdvcmQ+UXVhbGl0YXRpdmUgYW5hbHlzaXMgKFJlc2VhcmNoKTwva2V5d29yZD48a2V5d29y
ZD5RdWFsaXRhdGl2ZSBtZXRob2RzIChSZXNlYXJjaCk8L2tleXdvcmQ+PGtleXdvcmQ+UmVzZWFy
Y2g8L2tleXdvcmQ+PGtleXdvcmQ+RWxlY3Ryb25pYyBib29rczwva2V5d29yZD48L2tleXdvcmRz
Pjx0aXRsZXM+PHNlY29uZGFyeS10aXRsZT5UaGUgU0FHRSBoYW5kYm9vayBvZiBxdWFsaXRhdGl2
ZSBkYXRhIGFuYWx5c2lzPC9zZWNvbmRhcnktdGl0bGU+PC90aXRsZXM+PGNvbnRyaWJ1dG9ycz48
YXV0aG9ycz48YXV0aG9yPlNjaHJlaWVyLCBNYXJncml0PC9hdXRob3I+PC9hdXRob3JzPjwvY29u
dHJpYnV0b3JzPjxhZGRlZC1kYXRlIGZvcm1hdD0idXRjIj4xNTIwMDEzNDgxPC9hZGRlZC1kYXRl
PjxwdWItbG9jYXRpb24+TG9uZG9uPC9wdWItbG9jYXRpb24+PHJlZi10eXBlIG5hbWU9IkJvb2sg
U2VjdGlvbiI+NTwvcmVmLXR5cGU+PGRhdGVzPjx5ZWFyPjIwMTQ8L3llYXI+PC9kYXRlcz48cmVj
LW51bWJlcj43Mzg0PC9yZWMtbnVtYmVyPjxwdWJsaXNoZXI+U0FHRTwvcHVibGlzaGVyPjxsYXN0
LXVwZGF0ZWQtZGF0ZSBmb3JtYXQ9InV0YyI+MTUyMDAxMzU5NjwvbGFzdC11cGRhdGVkLWRhdGU+
PGNvbnRyaWJ1dG9ycz48c2Vjb25kYXJ5LWF1dGhvcnM+PGF1dGhvcj5GbGljaywgVXdlPC9hdXRo
b3I+PC9zZWNvbmRhcnktYXV0aG9ycz48L2NvbnRyaWJ1dG9ycz48L3JlY29yZD48L0NpdGU+PENp
dGU+PEF1dGhvcj5Ib2xzdGk8L0F1dGhvcj48WWVhcj4xOTY5PC9ZZWFyPjxJRFRleHQ+Q29udGVu
dCBhbmFseXNpcyBmb3IgdGhlIHNvY2lhbCBzY2llbmNlcyBhbmQgaHVtYW5pdGllczwvSURUZXh0
PjxyZWNvcmQ+PGtleXdvcmRzPjxrZXl3b3JkPkNvbnRlbnQgYW5hbHlzaXMgKENvbW11bmljYXRp
b24pPC9rZXl3b3JkPjxrZXl3b3JkPkNvbnRlbnQgYW5hbHlzaXMgKENvbW11bmljYXRpb24pIC0t
IERhdGEgcHJvY2Vzc2luZzwva2V5d29yZD48a2V5d29yZD5BbmFseXNpcyBvZiBjb250ZW50IChD
b21tdW5pY2F0aW9uKTwva2V5d29yZD48a2V5d29yZD5Db21tdW5pY2F0aW9uIC0tIENvbnRlbnQg
YW5hbHlzaXM8L2tleXdvcmQ+PGtleXdvcmQ+U3ViamVjdCBhbmFseXNpczwva2V5d29yZD48a2V5
d29yZD5Db21tdW5pY2F0aW9uIC0tIE1ldGhvZG9sb2d5PC9rZXl3b3JkPjwva2V5d29yZHM+PHRp
dGxlcz48dGl0bGU+Q29udGVudCBhbmFseXNpcyBmb3IgdGhlIHNvY2lhbCBzY2llbmNlcyBhbmQg
aHVtYW5pdGllczwvdGl0bGU+PC90aXRsZXM+PGNvbnRyaWJ1dG9ycz48YXV0aG9ycz48YXV0aG9y
PkhvbHN0aSwgT2xlIFIuPC9hdXRob3I+PC9hdXRob3JzPjwvY29udHJpYnV0b3JzPjxhZGRlZC1k
YXRlIGZvcm1hdD0idXRjIj4xNTIwMDA0OTI2PC9hZGRlZC1kYXRlPjxwdWItbG9jYXRpb24+UmVh
ZGluZywgTWFzcy48L3B1Yi1sb2NhdGlvbj48cmVmLXR5cGUgbmFtZT0iQm9vayI+NjwvcmVmLXR5
cGU+PGRhdGVzPjx5ZWFyPjE5Njk8L3llYXI+PC9kYXRlcz48cmVjLW51bWJlcj43Mzc4PC9yZWMt
bnVtYmVyPjxwdWJsaXNoZXI+QWRkaXNvbi1XZXNsZXkgUHVibGlzaGluZzwvcHVibGlzaGVyPjxs
YXN0LXVwZGF0ZWQtZGF0ZSBmb3JtYXQ9InV0YyI+MTUzMDYzNzI5NDwvbGFzdC11cGRhdGVkLWRh
dGU+PC9yZWNvcmQ+PC9DaXRlPjwvRW5kTm90ZT5=
</w:fldData>
        </w:fldChar>
      </w:r>
      <w:r w:rsidR="00492E0C">
        <w:rPr>
          <w:sz w:val="24"/>
          <w:szCs w:val="24"/>
        </w:rPr>
        <w:instrText xml:space="preserve"> ADDIN EN.CITE </w:instrText>
      </w:r>
      <w:r w:rsidR="00492E0C">
        <w:rPr>
          <w:sz w:val="24"/>
          <w:szCs w:val="24"/>
        </w:rPr>
        <w:fldChar w:fldCharType="begin">
          <w:fldData xml:space="preserve">PEVuZE5vdGU+PENpdGU+PEF1dGhvcj5UaXRzY2hlcjwvQXV0aG9yPjxZZWFyPjIwMDA8L1llYXI+
PFJlY051bT4wPC9SZWNOdW0+PElEVGV4dD5NZXRob2RzIG9mIHRleHQgYW5kIGRpc2NvdXJzZSBh
bmFseXNpczwvSURUZXh0PjxEaXNwbGF5VGV4dD4oSG9sc3RpLCAxOTY5OyBTY2hyZWllciwgMjAx
NDsgVGl0c2NoZXIsIFdvZGFrLCAmYW1wOyBWZXR0ZXIsIDIwMDApPC9EaXNwbGF5VGV4dD48cmVj
b3JkPjxrZXl3b3Jkcz48a2V5d29yZD5TZW1pb3RpY3M8L2tleXdvcmQ+PGtleXdvcmQ+RGlzY291
cnNlIGFuYWx5c2lzPC9rZXl3b3JkPjxrZXl3b3JkPkRpc2NvdXJzZSBhbmFseXNpcywgTGl0ZXJh
cnk8L2tleXdvcmQ+PGtleXdvcmQ+TGl0ZXJhcnkgZGlzY291cnNlIGFuYWx5c2lzPC9rZXl3b3Jk
PjxrZXl3b3JkPlJoZXRvcmljPC9rZXl3b3JkPjxrZXl3b3JkPkxpdGVyYXJ5IHN0eWxlPC9rZXl3
b3JkPjxrZXl3b3JkPkRpc2NvdXJzZSBncmFtbWFyPC9rZXl3b3JkPjxrZXl3b3JkPlRleHQgZ3Jh
bW1hcjwva2V5d29yZD48a2V5d29yZD5TZW1hbnRpY3M8L2tleXdvcmQ+PGtleXdvcmQ+U2VtaW90
aWNzPC9rZXl3b3JkPjxrZXl3b3JkPlNlbWVpb3RpY3M8L2tleXdvcmQ+PGtleXdvcmQ+U2VtaW9s
b2d5IChMaW5ndWlzdGljcyk8L2tleXdvcmQ+PGtleXdvcmQ+U2VtYW50aWNzPC9rZXl3b3JkPjxr
ZXl3b3JkPlNpZ25zIGFuZCBzeW1ib2xzPC9rZXl3b3JkPjxrZXl3b3JkPlN0cnVjdHVyYWxpc20g
KExpdGVyYXJ5IGFuYWx5c2lzKTwva2V5d29yZD48L2tleXdvcmRzPjx0aXRsZXM+PHRpdGxlPk1l
dGhvZHMgb2YgdGV4dCBhbmQgZGlzY291cnNlIGFuYWx5c2lzPC90aXRsZT48L3RpdGxlcz48Y29u
dHJpYnV0b3JzPjxhdXRob3JzPjxhdXRob3I+VGl0c2NoZXIsIFN0ZWZhbiBNZXllciwgTWljaGFl
bDwvYXV0aG9yPjxhdXRob3I+V29kYWssIFJ1dGg8L2F1dGhvcj48YXV0aG9yPlZldHRlciwgRXZh
PC9hdXRob3I+PC9hdXRob3JzPjwvY29udHJpYnV0b3JzPjxhZGRlZC1kYXRlIGZvcm1hdD0idXRj
Ij4xNTIwMDExNDI2PC9hZGRlZC1kYXRlPjxwdWItbG9jYXRpb24+TG9uZG9uPC9wdWItbG9jYXRp
b24+PHJlZi10eXBlIG5hbWU9IkJvb2siPjY8L3JlZi10eXBlPjxkYXRlcz48eWVhcj4yMDAwPC95
ZWFyPjwvZGF0ZXM+PHJlYy1udW1iZXI+NzM4MjwvcmVjLW51bWJlcj48cHVibGlzaGVyPlNBR0U8
L3B1Ymxpc2hlcj48bGFzdC11cGRhdGVkLWRhdGUgZm9ybWF0PSJ1dGMiPjE1MjAwMTE1NzY8L2xh
c3QtdXBkYXRlZC1kYXRlPjwvcmVjb3JkPjwvQ2l0ZT48Q2l0ZT48QXV0aG9yPlNjaHJlaWVyPC9B
dXRob3I+PFllYXI+MjAxNDwvWWVhcj48UmVjTnVtPjA8L1JlY051bT48cmVjb3JkPjxjb250cmli
dXRvcnM+PHRlcnRpYXJ5LWF1dGhvcnM+PGF1dGhvcj5NZXR6bGVyLCBLYXRpZTwvYXV0aG9yPjxh
dXRob3I+U2NvdHQsIFdlbmR5PC9hdXRob3I+PC90ZXJ0aWFyeS1hdXRob3JzPjwvY29udHJpYnV0
b3JzPjxrZXl3b3Jkcz48a2V5d29yZD5RdWFsaXRhdGl2ZSByZXNlYXJjaDwva2V5d29yZD48a2V5
d29yZD5Tb2NpYWwgc2NpZW5jZXMgLS0gUmVzZWFyY2ggLS0gTWV0aG9kb2xvZ3k8L2tleXdvcmQ+
PGtleXdvcmQ+UXVhbGl0YXRpdmUgYW5hbHlzaXMgKFJlc2VhcmNoKTwva2V5d29yZD48a2V5d29y
ZD5RdWFsaXRhdGl2ZSBtZXRob2RzIChSZXNlYXJjaCk8L2tleXdvcmQ+PGtleXdvcmQ+UmVzZWFy
Y2g8L2tleXdvcmQ+PGtleXdvcmQ+RWxlY3Ryb25pYyBib29rczwva2V5d29yZD48L2tleXdvcmRz
Pjx0aXRsZXM+PHNlY29uZGFyeS10aXRsZT5UaGUgU0FHRSBoYW5kYm9vayBvZiBxdWFsaXRhdGl2
ZSBkYXRhIGFuYWx5c2lzPC9zZWNvbmRhcnktdGl0bGU+PC90aXRsZXM+PGNvbnRyaWJ1dG9ycz48
YXV0aG9ycz48YXV0aG9yPlNjaHJlaWVyLCBNYXJncml0PC9hdXRob3I+PC9hdXRob3JzPjwvY29u
dHJpYnV0b3JzPjxhZGRlZC1kYXRlIGZvcm1hdD0idXRjIj4xNTIwMDEzNDgxPC9hZGRlZC1kYXRl
PjxwdWItbG9jYXRpb24+TG9uZG9uPC9wdWItbG9jYXRpb24+PHJlZi10eXBlIG5hbWU9IkJvb2sg
U2VjdGlvbiI+NTwvcmVmLXR5cGU+PGRhdGVzPjx5ZWFyPjIwMTQ8L3llYXI+PC9kYXRlcz48cmVj
LW51bWJlcj43Mzg0PC9yZWMtbnVtYmVyPjxwdWJsaXNoZXI+U0FHRTwvcHVibGlzaGVyPjxsYXN0
LXVwZGF0ZWQtZGF0ZSBmb3JtYXQ9InV0YyI+MTUyMDAxMzU5NjwvbGFzdC11cGRhdGVkLWRhdGU+
PGNvbnRyaWJ1dG9ycz48c2Vjb25kYXJ5LWF1dGhvcnM+PGF1dGhvcj5GbGljaywgVXdlPC9hdXRo
b3I+PC9zZWNvbmRhcnktYXV0aG9ycz48L2NvbnRyaWJ1dG9ycz48L3JlY29yZD48L0NpdGU+PENp
dGU+PEF1dGhvcj5Ib2xzdGk8L0F1dGhvcj48WWVhcj4xOTY5PC9ZZWFyPjxJRFRleHQ+Q29udGVu
dCBhbmFseXNpcyBmb3IgdGhlIHNvY2lhbCBzY2llbmNlcyBhbmQgaHVtYW5pdGllczwvSURUZXh0
PjxyZWNvcmQ+PGtleXdvcmRzPjxrZXl3b3JkPkNvbnRlbnQgYW5hbHlzaXMgKENvbW11bmljYXRp
b24pPC9rZXl3b3JkPjxrZXl3b3JkPkNvbnRlbnQgYW5hbHlzaXMgKENvbW11bmljYXRpb24pIC0t
IERhdGEgcHJvY2Vzc2luZzwva2V5d29yZD48a2V5d29yZD5BbmFseXNpcyBvZiBjb250ZW50IChD
b21tdW5pY2F0aW9uKTwva2V5d29yZD48a2V5d29yZD5Db21tdW5pY2F0aW9uIC0tIENvbnRlbnQg
YW5hbHlzaXM8L2tleXdvcmQ+PGtleXdvcmQ+U3ViamVjdCBhbmFseXNpczwva2V5d29yZD48a2V5
d29yZD5Db21tdW5pY2F0aW9uIC0tIE1ldGhvZG9sb2d5PC9rZXl3b3JkPjwva2V5d29yZHM+PHRp
dGxlcz48dGl0bGU+Q29udGVudCBhbmFseXNpcyBmb3IgdGhlIHNvY2lhbCBzY2llbmNlcyBhbmQg
aHVtYW5pdGllczwvdGl0bGU+PC90aXRsZXM+PGNvbnRyaWJ1dG9ycz48YXV0aG9ycz48YXV0aG9y
PkhvbHN0aSwgT2xlIFIuPC9hdXRob3I+PC9hdXRob3JzPjwvY29udHJpYnV0b3JzPjxhZGRlZC1k
YXRlIGZvcm1hdD0idXRjIj4xNTIwMDA0OTI2PC9hZGRlZC1kYXRlPjxwdWItbG9jYXRpb24+UmVh
ZGluZywgTWFzcy48L3B1Yi1sb2NhdGlvbj48cmVmLXR5cGUgbmFtZT0iQm9vayI+NjwvcmVmLXR5
cGU+PGRhdGVzPjx5ZWFyPjE5Njk8L3llYXI+PC9kYXRlcz48cmVjLW51bWJlcj43Mzc4PC9yZWMt
bnVtYmVyPjxwdWJsaXNoZXI+QWRkaXNvbi1XZXNsZXkgUHVibGlzaGluZzwvcHVibGlzaGVyPjxs
YXN0LXVwZGF0ZWQtZGF0ZSBmb3JtYXQ9InV0YyI+MTUzMDYzNzI5NDwvbGFzdC11cGRhdGVkLWRh
dGU+PC9yZWNvcmQ+PC9DaXRlPjwvRW5kTm90ZT5=
</w:fldData>
        </w:fldChar>
      </w:r>
      <w:r w:rsidR="00492E0C">
        <w:rPr>
          <w:sz w:val="24"/>
          <w:szCs w:val="24"/>
        </w:rPr>
        <w:instrText xml:space="preserve"> ADDIN EN.CITE.DATA </w:instrText>
      </w:r>
      <w:r w:rsidR="00492E0C">
        <w:rPr>
          <w:sz w:val="24"/>
          <w:szCs w:val="24"/>
        </w:rPr>
      </w:r>
      <w:r w:rsidR="00492E0C">
        <w:rPr>
          <w:sz w:val="24"/>
          <w:szCs w:val="24"/>
        </w:rPr>
        <w:fldChar w:fldCharType="end"/>
      </w:r>
      <w:r w:rsidR="00492E0C" w:rsidRPr="001E7F9C">
        <w:rPr>
          <w:sz w:val="24"/>
          <w:szCs w:val="24"/>
        </w:rPr>
      </w:r>
      <w:r w:rsidR="00492E0C" w:rsidRPr="001E7F9C">
        <w:rPr>
          <w:sz w:val="24"/>
          <w:szCs w:val="24"/>
        </w:rPr>
        <w:fldChar w:fldCharType="separate"/>
      </w:r>
      <w:r w:rsidR="00492E0C">
        <w:rPr>
          <w:noProof/>
          <w:sz w:val="24"/>
          <w:szCs w:val="24"/>
        </w:rPr>
        <w:t>(Holsti, 1969; Schreier, 2014; Titscher, Wodak, &amp; Vetter, 2000)</w:t>
      </w:r>
      <w:r w:rsidR="00492E0C" w:rsidRPr="001E7F9C">
        <w:rPr>
          <w:sz w:val="24"/>
          <w:szCs w:val="24"/>
        </w:rPr>
        <w:fldChar w:fldCharType="end"/>
      </w:r>
      <w:r w:rsidR="00492E0C" w:rsidRPr="001E7F9C">
        <w:rPr>
          <w:sz w:val="24"/>
          <w:szCs w:val="24"/>
        </w:rPr>
        <w:t xml:space="preserve">, in which documents are analysed “as containers for content” </w:t>
      </w:r>
      <w:r w:rsidR="00492E0C" w:rsidRPr="001E7F9C">
        <w:rPr>
          <w:sz w:val="24"/>
          <w:szCs w:val="24"/>
        </w:rPr>
        <w:fldChar w:fldCharType="begin"/>
      </w:r>
      <w:r w:rsidR="00492E0C" w:rsidRPr="001E7F9C">
        <w:rPr>
          <w:sz w:val="24"/>
          <w:szCs w:val="24"/>
        </w:rPr>
        <w:instrText xml:space="preserve"> ADDIN EN.CITE &lt;EndNote&gt;&lt;Cite&gt;&lt;Author&gt;Prior&lt;/Author&gt;&lt;Year&gt;2008&lt;/Year&gt;&lt;RecNum&gt;0&lt;/RecNum&gt;&lt;IDText&gt;Documents and Action&lt;/IDText&gt;&lt;Pages&gt;479&lt;/Pages&gt;&lt;DisplayText&gt;(Prior, 2008, p. 479)&lt;/DisplayText&gt;&lt;record&gt;&lt;keywords&gt;&lt;keyword&gt;Social sciences -- Research -- Methodology&lt;/keyword&gt;&lt;keyword&gt;Electronic books&lt;/keyword&gt;&lt;/keywords&gt;&lt;titles&gt;&lt;title&gt;Documents and Action&lt;/title&gt;&lt;secondary-title&gt;The SAGE Handbook of Social Research Methods&lt;/secondary-title&gt;&lt;/titles&gt;&lt;contributors&gt;&lt;authors&gt;&lt;author&gt;Prior, Lindsay&lt;/author&gt;&lt;/authors&gt;&lt;/contributors&gt;&lt;added-date format="utc"&gt;1520010168&lt;/added-date&gt;&lt;pub-location&gt;Los Angeles&lt;/pub-location&gt;&lt;ref-type name="Book Section"&gt;5&lt;/ref-type&gt;&lt;dates&gt;&lt;year&gt;2008&lt;/year&gt;&lt;/dates&gt;&lt;rec-number&gt;7381&lt;/rec-number&gt;&lt;publisher&gt;SAGE&lt;/publisher&gt;&lt;last-updated-date format="utc"&gt;1520010250&lt;/last-updated-date&gt;&lt;contributors&gt;&lt;secondary-authors&gt;&lt;author&gt;Alasuutari, Pertti&lt;/author&gt;&lt;author&gt;Bickman, Leonard&lt;/author&gt;&lt;author&gt;Brannen, Julia&lt;/author&gt;&lt;/secondary-authors&gt;&lt;/contributors&gt;&lt;/record&gt;&lt;/Cite&gt;&lt;/EndNote&gt;</w:instrText>
      </w:r>
      <w:r w:rsidR="00492E0C" w:rsidRPr="001E7F9C">
        <w:rPr>
          <w:sz w:val="24"/>
          <w:szCs w:val="24"/>
        </w:rPr>
        <w:fldChar w:fldCharType="separate"/>
      </w:r>
      <w:r w:rsidR="00492E0C" w:rsidRPr="001E7F9C">
        <w:rPr>
          <w:noProof/>
          <w:sz w:val="24"/>
          <w:szCs w:val="24"/>
        </w:rPr>
        <w:t>(Prior, 2008, p. 479)</w:t>
      </w:r>
      <w:r w:rsidR="00492E0C" w:rsidRPr="001E7F9C">
        <w:rPr>
          <w:sz w:val="24"/>
          <w:szCs w:val="24"/>
        </w:rPr>
        <w:fldChar w:fldCharType="end"/>
      </w:r>
      <w:r w:rsidR="00492E0C">
        <w:rPr>
          <w:sz w:val="24"/>
          <w:szCs w:val="24"/>
        </w:rPr>
        <w:t xml:space="preserve"> through</w:t>
      </w:r>
      <w:r w:rsidR="00492E0C" w:rsidRPr="001E7F9C">
        <w:rPr>
          <w:sz w:val="24"/>
          <w:szCs w:val="24"/>
        </w:rPr>
        <w:t xml:space="preserve"> “the mining of the narrative text contained in documents” </w:t>
      </w:r>
      <w:r w:rsidR="00492E0C" w:rsidRPr="001E7F9C">
        <w:rPr>
          <w:sz w:val="24"/>
          <w:szCs w:val="24"/>
        </w:rPr>
        <w:fldChar w:fldCharType="begin"/>
      </w:r>
      <w:r w:rsidR="00492E0C" w:rsidRPr="001E7F9C">
        <w:rPr>
          <w:sz w:val="24"/>
          <w:szCs w:val="24"/>
        </w:rPr>
        <w:instrText xml:space="preserve"> ADDIN EN.CITE &lt;EndNote&gt;&lt;Cite&gt;&lt;Author&gt;Henry&lt;/Author&gt;&lt;Year&gt;2014&lt;/Year&gt;&lt;RecNum&gt;0&lt;/RecNum&gt;&lt;IDText&gt;Using Qualitative Data- Mining for Practice Research in Child Welfare&lt;/IDText&gt;&lt;Pages&gt;8&lt;/Pages&gt;&lt;DisplayText&gt;(Henry, Carnochan, &amp;amp; Austin, 2014, p. 8)&lt;/DisplayText&gt;&lt;record&gt;&lt;keywords&gt;&lt;keyword&gt;California&lt;/keyword&gt;&lt;keyword&gt;Foster Care&lt;/keyword&gt;&lt;keyword&gt;Data Mining&lt;/keyword&gt;&lt;keyword&gt;Organizational Change&lt;/keyword&gt;&lt;keyword&gt;Children&lt;/keyword&gt;&lt;keyword&gt;Content Analysis&lt;/keyword&gt;&lt;keyword&gt;Families &amp;amp;amp&lt;/keyword&gt;&lt;keyword&gt;Family Life&lt;/keyword&gt;&lt;keyword&gt;Researchers&lt;/keyword&gt;&lt;keyword&gt;Consortia&lt;/keyword&gt;&lt;keyword&gt;Child Welfare&lt;/keyword&gt;&lt;keyword&gt;Social Work&lt;/keyword&gt;&lt;keyword&gt;Mining Industry&lt;/keyword&gt;&lt;keyword&gt;Qualitative Research&lt;/keyword&gt;&lt;keyword&gt;Child Welfare Services&lt;/keyword&gt;&lt;keyword&gt;Social Services&lt;/keyword&gt;&lt;/keywords&gt;&lt;isbn&gt;0009-4021&lt;/isbn&gt;&lt;titles&gt;&lt;title&gt;Using Qualitative Data- Mining for Practice Research in Child Welfare&lt;/title&gt;&lt;secondary-title&gt;Child Welf.&lt;/secondary-title&gt;&lt;/titles&gt;&lt;pages&gt;7-26&lt;/pages&gt;&lt;number&gt;6&lt;/number&gt;&lt;contributors&gt;&lt;authors&gt;&lt;author&gt;Henry, C.&lt;/author&gt;&lt;author&gt;Carnochan, S.&lt;/author&gt;&lt;author&gt;Austin, Mj&lt;/author&gt;&lt;/authors&gt;&lt;/contributors&gt;&lt;added-date format="utc"&gt;1520007852&lt;/added-date&gt;&lt;ref-type name="Journal Article"&gt;17&lt;/ref-type&gt;&lt;dates&gt;&lt;year&gt;2014&lt;/year&gt;&lt;/dates&gt;&lt;rec-number&gt;7379&lt;/rec-number&gt;&lt;last-updated-date format="utc"&gt;1520007852&lt;/last-updated-date&gt;&lt;volume&gt;93&lt;/volume&gt;&lt;/record&gt;&lt;/Cite&gt;&lt;/EndNote&gt;</w:instrText>
      </w:r>
      <w:r w:rsidR="00492E0C" w:rsidRPr="001E7F9C">
        <w:rPr>
          <w:sz w:val="24"/>
          <w:szCs w:val="24"/>
        </w:rPr>
        <w:fldChar w:fldCharType="separate"/>
      </w:r>
      <w:r w:rsidR="00492E0C" w:rsidRPr="001E7F9C">
        <w:rPr>
          <w:noProof/>
          <w:sz w:val="24"/>
          <w:szCs w:val="24"/>
        </w:rPr>
        <w:t>(Henry, Carnochan, &amp; Austin, 2014, p. 8)</w:t>
      </w:r>
      <w:r w:rsidR="00492E0C" w:rsidRPr="001E7F9C">
        <w:rPr>
          <w:sz w:val="24"/>
          <w:szCs w:val="24"/>
        </w:rPr>
        <w:fldChar w:fldCharType="end"/>
      </w:r>
      <w:r w:rsidR="00492E0C">
        <w:rPr>
          <w:sz w:val="24"/>
          <w:szCs w:val="24"/>
        </w:rPr>
        <w:t xml:space="preserve">. </w:t>
      </w:r>
      <w:r w:rsidR="00202173">
        <w:rPr>
          <w:iCs/>
          <w:sz w:val="24"/>
          <w:szCs w:val="24"/>
        </w:rPr>
        <w:t xml:space="preserve">I read </w:t>
      </w:r>
      <w:r w:rsidR="00202173">
        <w:rPr>
          <w:sz w:val="24"/>
          <w:szCs w:val="24"/>
        </w:rPr>
        <w:t>through the data associated with the n=19 BoRs, starting with the documentary materials and, later, the interview transcript</w:t>
      </w:r>
      <w:r w:rsidR="008745F6">
        <w:rPr>
          <w:sz w:val="24"/>
          <w:szCs w:val="24"/>
        </w:rPr>
        <w:t xml:space="preserve">s, </w:t>
      </w:r>
      <w:r w:rsidR="00202173">
        <w:rPr>
          <w:sz w:val="24"/>
          <w:szCs w:val="24"/>
        </w:rPr>
        <w:t xml:space="preserve">to identify </w:t>
      </w:r>
      <w:r w:rsidR="00500A6F">
        <w:rPr>
          <w:sz w:val="24"/>
          <w:szCs w:val="24"/>
        </w:rPr>
        <w:t>any</w:t>
      </w:r>
      <w:r w:rsidR="005913FB">
        <w:rPr>
          <w:sz w:val="24"/>
          <w:szCs w:val="24"/>
        </w:rPr>
        <w:t xml:space="preserve"> boundary transactions </w:t>
      </w:r>
      <w:r w:rsidR="00500A6F">
        <w:rPr>
          <w:sz w:val="24"/>
          <w:szCs w:val="24"/>
        </w:rPr>
        <w:t>associated with</w:t>
      </w:r>
      <w:r w:rsidR="005913FB">
        <w:rPr>
          <w:sz w:val="24"/>
          <w:szCs w:val="24"/>
        </w:rPr>
        <w:t xml:space="preserve"> my sampled research.</w:t>
      </w:r>
      <w:r w:rsidR="00202173">
        <w:rPr>
          <w:sz w:val="24"/>
          <w:szCs w:val="24"/>
        </w:rPr>
        <w:t xml:space="preserve"> The literature review </w:t>
      </w:r>
      <w:r w:rsidR="00125CA8">
        <w:rPr>
          <w:sz w:val="24"/>
          <w:szCs w:val="24"/>
        </w:rPr>
        <w:t xml:space="preserve">(Chapter 2) </w:t>
      </w:r>
      <w:r w:rsidR="00202173">
        <w:rPr>
          <w:sz w:val="24"/>
          <w:szCs w:val="24"/>
        </w:rPr>
        <w:t>provided the initial frame of five main forms of boundary transaction</w:t>
      </w:r>
      <w:r w:rsidR="00492E0C">
        <w:rPr>
          <w:sz w:val="24"/>
          <w:szCs w:val="24"/>
        </w:rPr>
        <w:t xml:space="preserve"> and this helped to guide my reading and focus. </w:t>
      </w:r>
      <w:r w:rsidR="00202173">
        <w:rPr>
          <w:sz w:val="24"/>
          <w:szCs w:val="24"/>
        </w:rPr>
        <w:t>I also inductively coded sub-forms of some of these five main forms</w:t>
      </w:r>
      <w:r w:rsidR="00492E0C">
        <w:rPr>
          <w:sz w:val="24"/>
          <w:szCs w:val="24"/>
        </w:rPr>
        <w:t xml:space="preserve">. </w:t>
      </w:r>
    </w:p>
    <w:p w14:paraId="668FB56F" w14:textId="2C4A1D91" w:rsidR="00202173" w:rsidRDefault="00202173" w:rsidP="00202173">
      <w:pPr>
        <w:spacing w:after="120" w:line="360" w:lineRule="auto"/>
        <w:rPr>
          <w:sz w:val="24"/>
          <w:szCs w:val="24"/>
        </w:rPr>
      </w:pPr>
      <w:r w:rsidRPr="006E2003">
        <w:rPr>
          <w:sz w:val="24"/>
          <w:szCs w:val="24"/>
        </w:rPr>
        <w:fldChar w:fldCharType="begin"/>
      </w:r>
      <w:r w:rsidRPr="006E2003">
        <w:rPr>
          <w:sz w:val="24"/>
          <w:szCs w:val="24"/>
        </w:rPr>
        <w:instrText xml:space="preserve"> REF _Ref11659964 \h </w:instrText>
      </w:r>
      <w:r>
        <w:rPr>
          <w:sz w:val="24"/>
          <w:szCs w:val="24"/>
        </w:rPr>
        <w:instrText xml:space="preserve"> \* MERGEFORMAT </w:instrText>
      </w:r>
      <w:r w:rsidRPr="006E2003">
        <w:rPr>
          <w:sz w:val="24"/>
          <w:szCs w:val="24"/>
        </w:rPr>
      </w:r>
      <w:r w:rsidRPr="006E2003">
        <w:rPr>
          <w:sz w:val="24"/>
          <w:szCs w:val="24"/>
        </w:rPr>
        <w:fldChar w:fldCharType="separate"/>
      </w:r>
      <w:r w:rsidR="0011424E" w:rsidRPr="0011424E">
        <w:rPr>
          <w:sz w:val="24"/>
          <w:szCs w:val="24"/>
        </w:rPr>
        <w:t xml:space="preserve">Table </w:t>
      </w:r>
      <w:r w:rsidR="0011424E" w:rsidRPr="0011424E">
        <w:rPr>
          <w:noProof/>
          <w:sz w:val="24"/>
          <w:szCs w:val="24"/>
        </w:rPr>
        <w:t>4</w:t>
      </w:r>
      <w:r w:rsidRPr="006E2003">
        <w:rPr>
          <w:sz w:val="24"/>
          <w:szCs w:val="24"/>
        </w:rPr>
        <w:fldChar w:fldCharType="end"/>
      </w:r>
      <w:r>
        <w:rPr>
          <w:sz w:val="24"/>
          <w:szCs w:val="24"/>
        </w:rPr>
        <w:t xml:space="preserve"> summarises the main forms and, where applicable, sub-forms of boundary transaction identified in the sampled research.</w:t>
      </w:r>
      <w:r w:rsidR="005679ED">
        <w:rPr>
          <w:sz w:val="24"/>
          <w:szCs w:val="24"/>
        </w:rPr>
        <w:t xml:space="preserve"> It shows that I coded any form of ‘</w:t>
      </w:r>
      <w:r w:rsidR="003941B6">
        <w:rPr>
          <w:sz w:val="24"/>
          <w:szCs w:val="24"/>
        </w:rPr>
        <w:t>O</w:t>
      </w:r>
      <w:r w:rsidR="005679ED">
        <w:rPr>
          <w:sz w:val="24"/>
          <w:szCs w:val="24"/>
        </w:rPr>
        <w:t>utreach’</w:t>
      </w:r>
      <w:r w:rsidR="00390E79">
        <w:rPr>
          <w:sz w:val="24"/>
          <w:szCs w:val="24"/>
        </w:rPr>
        <w:t xml:space="preserve"> under th</w:t>
      </w:r>
      <w:r w:rsidR="003941B6">
        <w:rPr>
          <w:sz w:val="24"/>
          <w:szCs w:val="24"/>
        </w:rPr>
        <w:t>is</w:t>
      </w:r>
      <w:r w:rsidR="00390E79">
        <w:rPr>
          <w:sz w:val="24"/>
          <w:szCs w:val="24"/>
        </w:rPr>
        <w:t xml:space="preserve"> broad heading</w:t>
      </w:r>
      <w:r w:rsidR="00390E79">
        <w:rPr>
          <w:rStyle w:val="FootnoteReference"/>
          <w:sz w:val="22"/>
          <w:szCs w:val="22"/>
        </w:rPr>
        <w:footnoteReference w:id="17"/>
      </w:r>
      <w:r w:rsidR="00390E79">
        <w:rPr>
          <w:sz w:val="24"/>
          <w:szCs w:val="24"/>
        </w:rPr>
        <w:t>. For ‘</w:t>
      </w:r>
      <w:r w:rsidR="003941B6">
        <w:rPr>
          <w:sz w:val="24"/>
          <w:szCs w:val="24"/>
        </w:rPr>
        <w:t>C</w:t>
      </w:r>
      <w:r w:rsidR="00390E79">
        <w:rPr>
          <w:sz w:val="24"/>
          <w:szCs w:val="24"/>
        </w:rPr>
        <w:t>ollaboration’, I chose</w:t>
      </w:r>
      <w:r w:rsidR="00390E79" w:rsidRPr="00E13C3E">
        <w:rPr>
          <w:sz w:val="24"/>
          <w:szCs w:val="24"/>
        </w:rPr>
        <w:t xml:space="preserve"> only</w:t>
      </w:r>
      <w:r w:rsidR="00390E79">
        <w:rPr>
          <w:i/>
          <w:iCs/>
          <w:sz w:val="24"/>
          <w:szCs w:val="24"/>
        </w:rPr>
        <w:t xml:space="preserve"> </w:t>
      </w:r>
      <w:r w:rsidR="00390E79">
        <w:rPr>
          <w:sz w:val="24"/>
          <w:szCs w:val="24"/>
        </w:rPr>
        <w:t xml:space="preserve">to code where there were actual instances of </w:t>
      </w:r>
      <w:r w:rsidR="00390E79" w:rsidRPr="00390E79">
        <w:rPr>
          <w:i/>
          <w:iCs/>
          <w:sz w:val="24"/>
          <w:szCs w:val="24"/>
        </w:rPr>
        <w:t>co-authoring</w:t>
      </w:r>
      <w:r w:rsidR="00390E79">
        <w:rPr>
          <w:sz w:val="24"/>
          <w:szCs w:val="24"/>
        </w:rPr>
        <w:t xml:space="preserve"> outputs, such as patents or papers. I made this decision because the notion of ‘collaboration’ could cover such a broad range of relationships. Although this means that collaborations are likely to be undercounted under the ‘Collaboration’ heading, this is partly made up for in the other headings. For example, ‘outreach’ and ‘boundary-spanners’ both imply a relation with some external, non-academic organisation, and this relationship could be conceived of (at least in some, if not all cases) as a collaborative one. </w:t>
      </w:r>
      <w:r w:rsidR="00813633">
        <w:rPr>
          <w:sz w:val="24"/>
          <w:szCs w:val="24"/>
        </w:rPr>
        <w:t>‘</w:t>
      </w:r>
      <w:r w:rsidR="008959F1">
        <w:rPr>
          <w:sz w:val="24"/>
          <w:szCs w:val="24"/>
        </w:rPr>
        <w:t>Use-oriented outputs</w:t>
      </w:r>
      <w:r w:rsidR="00813633">
        <w:rPr>
          <w:sz w:val="24"/>
          <w:szCs w:val="24"/>
        </w:rPr>
        <w:t>’ include three sub-forms of boundary transaction: use-focused publications</w:t>
      </w:r>
      <w:r w:rsidR="00BC56AF">
        <w:rPr>
          <w:sz w:val="24"/>
          <w:szCs w:val="24"/>
        </w:rPr>
        <w:t xml:space="preserve"> (publications which have a clear aim to reach an audience beyond the academic’s own scientific community</w:t>
      </w:r>
      <w:r w:rsidR="003941B6">
        <w:rPr>
          <w:sz w:val="24"/>
          <w:szCs w:val="24"/>
        </w:rPr>
        <w:t>)</w:t>
      </w:r>
      <w:r w:rsidR="00813633">
        <w:rPr>
          <w:sz w:val="24"/>
          <w:szCs w:val="24"/>
        </w:rPr>
        <w:t>; technological outputs</w:t>
      </w:r>
      <w:r w:rsidR="00BC56AF">
        <w:rPr>
          <w:sz w:val="24"/>
          <w:szCs w:val="24"/>
        </w:rPr>
        <w:t xml:space="preserve"> (such as patents or software)</w:t>
      </w:r>
      <w:r w:rsidR="00813633">
        <w:rPr>
          <w:sz w:val="24"/>
          <w:szCs w:val="24"/>
        </w:rPr>
        <w:t xml:space="preserve">; and </w:t>
      </w:r>
      <w:r w:rsidR="003941B6">
        <w:rPr>
          <w:sz w:val="24"/>
          <w:szCs w:val="24"/>
        </w:rPr>
        <w:t>what I call ‘</w:t>
      </w:r>
      <w:r w:rsidR="00813633">
        <w:rPr>
          <w:sz w:val="24"/>
          <w:szCs w:val="24"/>
        </w:rPr>
        <w:t>bridging concepts</w:t>
      </w:r>
      <w:r w:rsidR="003941B6">
        <w:rPr>
          <w:sz w:val="24"/>
          <w:szCs w:val="24"/>
        </w:rPr>
        <w:t>’</w:t>
      </w:r>
      <w:r w:rsidR="00BC56AF">
        <w:rPr>
          <w:sz w:val="24"/>
          <w:szCs w:val="24"/>
        </w:rPr>
        <w:t xml:space="preserve"> (</w:t>
      </w:r>
      <w:r w:rsidR="003941B6">
        <w:rPr>
          <w:sz w:val="24"/>
          <w:szCs w:val="24"/>
        </w:rPr>
        <w:t>which are grounded in science, but are designed to be understood and applied by non-experts</w:t>
      </w:r>
      <w:r w:rsidR="00F45449">
        <w:rPr>
          <w:sz w:val="24"/>
          <w:szCs w:val="24"/>
        </w:rPr>
        <w:t xml:space="preserve"> – further discussion of ‘bridging concepts’, with examples, can be found under the analysis of Basic/Applied disciplines towards the end of Chapter 4)</w:t>
      </w:r>
      <w:r w:rsidR="00813633">
        <w:rPr>
          <w:sz w:val="24"/>
          <w:szCs w:val="24"/>
        </w:rPr>
        <w:t>.</w:t>
      </w:r>
      <w:r w:rsidR="00F0612A">
        <w:rPr>
          <w:sz w:val="24"/>
          <w:szCs w:val="24"/>
        </w:rPr>
        <w:t xml:space="preserve"> There are three sub-forms of ‘Boundary structures’: formal partnerships, such as medical schools which formally bring together university and NHS Trust, or formal university-industry consortia; economic structures such as spin-outs and technology transfer offices; and what I term here ‘transdisciplinary structures’, which cover all forms of problem-focused research centre and as well as other structures designed to link researchers either with other researchers or with users, provided that this linkage is not grounded (solely) on shared disciplinary background. </w:t>
      </w:r>
      <w:r w:rsidR="00814F8E">
        <w:rPr>
          <w:sz w:val="24"/>
          <w:szCs w:val="24"/>
        </w:rPr>
        <w:t xml:space="preserve">Lastly, I found that staff, students and graduates could all play the role of ‘Boundary-spanner’. </w:t>
      </w:r>
    </w:p>
    <w:p w14:paraId="083C887B" w14:textId="61D88A62" w:rsidR="00A969F2" w:rsidRDefault="00A969F2" w:rsidP="00202173">
      <w:pPr>
        <w:spacing w:after="120" w:line="360" w:lineRule="auto"/>
        <w:rPr>
          <w:sz w:val="24"/>
          <w:szCs w:val="24"/>
        </w:rPr>
      </w:pPr>
    </w:p>
    <w:p w14:paraId="4B41BB06" w14:textId="77777777" w:rsidR="00A969F2" w:rsidRPr="00390E79" w:rsidRDefault="00A969F2" w:rsidP="00202173">
      <w:pPr>
        <w:spacing w:after="120" w:line="360" w:lineRule="auto"/>
        <w:rPr>
          <w:sz w:val="24"/>
          <w:szCs w:val="24"/>
        </w:rPr>
      </w:pPr>
    </w:p>
    <w:tbl>
      <w:tblPr>
        <w:tblStyle w:val="TableGrid"/>
        <w:tblW w:w="0" w:type="auto"/>
        <w:tblLook w:val="04A0" w:firstRow="1" w:lastRow="0" w:firstColumn="1" w:lastColumn="0" w:noHBand="0" w:noVBand="1"/>
      </w:tblPr>
      <w:tblGrid>
        <w:gridCol w:w="2547"/>
        <w:gridCol w:w="6469"/>
      </w:tblGrid>
      <w:tr w:rsidR="00202173" w14:paraId="388F2946" w14:textId="77777777" w:rsidTr="00885373">
        <w:tc>
          <w:tcPr>
            <w:tcW w:w="2547" w:type="dxa"/>
          </w:tcPr>
          <w:p w14:paraId="32305F1B" w14:textId="77777777" w:rsidR="00202173" w:rsidRDefault="00202173" w:rsidP="00885373">
            <w:pPr>
              <w:rPr>
                <w:b/>
                <w:sz w:val="22"/>
                <w:szCs w:val="22"/>
              </w:rPr>
            </w:pPr>
            <w:r>
              <w:rPr>
                <w:b/>
                <w:sz w:val="22"/>
                <w:szCs w:val="22"/>
              </w:rPr>
              <w:t>Boundary</w:t>
            </w:r>
            <w:r w:rsidRPr="00ED61C9">
              <w:rPr>
                <w:b/>
                <w:sz w:val="22"/>
                <w:szCs w:val="22"/>
              </w:rPr>
              <w:t xml:space="preserve"> transaction</w:t>
            </w:r>
            <w:r>
              <w:rPr>
                <w:b/>
                <w:sz w:val="22"/>
                <w:szCs w:val="22"/>
              </w:rPr>
              <w:t xml:space="preserve"> </w:t>
            </w:r>
          </w:p>
          <w:p w14:paraId="04BD6B59" w14:textId="77777777" w:rsidR="00202173" w:rsidRPr="00ED61C9" w:rsidRDefault="00202173" w:rsidP="00885373">
            <w:pPr>
              <w:rPr>
                <w:b/>
                <w:sz w:val="22"/>
                <w:szCs w:val="22"/>
              </w:rPr>
            </w:pPr>
            <w:r>
              <w:rPr>
                <w:b/>
                <w:sz w:val="22"/>
                <w:szCs w:val="22"/>
              </w:rPr>
              <w:t>(Coding frame)</w:t>
            </w:r>
          </w:p>
        </w:tc>
        <w:tc>
          <w:tcPr>
            <w:tcW w:w="6469" w:type="dxa"/>
          </w:tcPr>
          <w:p w14:paraId="71CBF551" w14:textId="77777777" w:rsidR="00202173" w:rsidRPr="00ED61C9" w:rsidRDefault="00202173" w:rsidP="00885373">
            <w:pPr>
              <w:rPr>
                <w:b/>
                <w:sz w:val="22"/>
                <w:szCs w:val="22"/>
              </w:rPr>
            </w:pPr>
            <w:r w:rsidRPr="00ED61C9">
              <w:rPr>
                <w:b/>
                <w:sz w:val="22"/>
                <w:szCs w:val="22"/>
              </w:rPr>
              <w:t>Sub-forms</w:t>
            </w:r>
            <w:r>
              <w:rPr>
                <w:b/>
                <w:sz w:val="22"/>
                <w:szCs w:val="22"/>
              </w:rPr>
              <w:t xml:space="preserve"> (where applicable)</w:t>
            </w:r>
          </w:p>
        </w:tc>
      </w:tr>
      <w:tr w:rsidR="00202173" w14:paraId="3D0B9135" w14:textId="77777777" w:rsidTr="00885373">
        <w:tc>
          <w:tcPr>
            <w:tcW w:w="2547" w:type="dxa"/>
          </w:tcPr>
          <w:p w14:paraId="672F3E37" w14:textId="77777777" w:rsidR="00202173" w:rsidRPr="00ED61C9" w:rsidRDefault="00202173" w:rsidP="00885373">
            <w:pPr>
              <w:rPr>
                <w:sz w:val="22"/>
                <w:szCs w:val="22"/>
              </w:rPr>
            </w:pPr>
            <w:r>
              <w:rPr>
                <w:sz w:val="22"/>
                <w:szCs w:val="22"/>
              </w:rPr>
              <w:t>Outreach</w:t>
            </w:r>
          </w:p>
        </w:tc>
        <w:tc>
          <w:tcPr>
            <w:tcW w:w="6469" w:type="dxa"/>
          </w:tcPr>
          <w:p w14:paraId="1A72B161" w14:textId="616E7794" w:rsidR="00202173" w:rsidRPr="00ED61C9" w:rsidRDefault="00202173" w:rsidP="00885373">
            <w:pPr>
              <w:rPr>
                <w:sz w:val="22"/>
                <w:szCs w:val="22"/>
              </w:rPr>
            </w:pPr>
            <w:r>
              <w:rPr>
                <w:sz w:val="22"/>
                <w:szCs w:val="22"/>
              </w:rPr>
              <w:t>n/a</w:t>
            </w:r>
          </w:p>
        </w:tc>
      </w:tr>
      <w:tr w:rsidR="00202173" w14:paraId="6AA23886" w14:textId="77777777" w:rsidTr="00885373">
        <w:tc>
          <w:tcPr>
            <w:tcW w:w="2547" w:type="dxa"/>
          </w:tcPr>
          <w:p w14:paraId="7FCE7637" w14:textId="77777777" w:rsidR="00202173" w:rsidRPr="00ED61C9" w:rsidRDefault="00202173" w:rsidP="00885373">
            <w:pPr>
              <w:rPr>
                <w:sz w:val="22"/>
                <w:szCs w:val="22"/>
              </w:rPr>
            </w:pPr>
            <w:r>
              <w:rPr>
                <w:sz w:val="22"/>
                <w:szCs w:val="22"/>
              </w:rPr>
              <w:t>Collaboration</w:t>
            </w:r>
          </w:p>
        </w:tc>
        <w:tc>
          <w:tcPr>
            <w:tcW w:w="6469" w:type="dxa"/>
          </w:tcPr>
          <w:p w14:paraId="2E9A25A0" w14:textId="119E1430" w:rsidR="00202173" w:rsidRPr="00ED61C9" w:rsidRDefault="006B6130" w:rsidP="00885373">
            <w:pPr>
              <w:rPr>
                <w:sz w:val="22"/>
                <w:szCs w:val="22"/>
              </w:rPr>
            </w:pPr>
            <w:r>
              <w:rPr>
                <w:sz w:val="22"/>
                <w:szCs w:val="22"/>
              </w:rPr>
              <w:t>Co-authorship</w:t>
            </w:r>
          </w:p>
        </w:tc>
      </w:tr>
      <w:tr w:rsidR="00202173" w14:paraId="79528AD6" w14:textId="77777777" w:rsidTr="00885373">
        <w:tc>
          <w:tcPr>
            <w:tcW w:w="2547" w:type="dxa"/>
          </w:tcPr>
          <w:p w14:paraId="6C5F5EDE" w14:textId="77777777" w:rsidR="00202173" w:rsidRPr="00ED61C9" w:rsidRDefault="00202173" w:rsidP="00885373">
            <w:pPr>
              <w:rPr>
                <w:sz w:val="22"/>
                <w:szCs w:val="22"/>
              </w:rPr>
            </w:pPr>
            <w:r>
              <w:rPr>
                <w:sz w:val="22"/>
                <w:szCs w:val="22"/>
              </w:rPr>
              <w:t>Use-oriented outputs</w:t>
            </w:r>
          </w:p>
        </w:tc>
        <w:tc>
          <w:tcPr>
            <w:tcW w:w="6469" w:type="dxa"/>
          </w:tcPr>
          <w:p w14:paraId="21C763F6" w14:textId="77777777" w:rsidR="00202173" w:rsidRPr="00ED61C9" w:rsidRDefault="00202173" w:rsidP="00885373">
            <w:pPr>
              <w:rPr>
                <w:sz w:val="22"/>
                <w:szCs w:val="22"/>
              </w:rPr>
            </w:pPr>
            <w:r>
              <w:rPr>
                <w:sz w:val="22"/>
                <w:szCs w:val="22"/>
              </w:rPr>
              <w:t>Use-focused publications; Technological outputs; Bridging concepts</w:t>
            </w:r>
          </w:p>
        </w:tc>
      </w:tr>
      <w:tr w:rsidR="00202173" w14:paraId="49E4EABF" w14:textId="77777777" w:rsidTr="00885373">
        <w:tc>
          <w:tcPr>
            <w:tcW w:w="2547" w:type="dxa"/>
          </w:tcPr>
          <w:p w14:paraId="6EA535F7" w14:textId="77777777" w:rsidR="00202173" w:rsidRPr="00ED61C9" w:rsidRDefault="00202173" w:rsidP="00885373">
            <w:pPr>
              <w:rPr>
                <w:sz w:val="22"/>
                <w:szCs w:val="22"/>
              </w:rPr>
            </w:pPr>
            <w:r>
              <w:rPr>
                <w:sz w:val="22"/>
                <w:szCs w:val="22"/>
              </w:rPr>
              <w:t>Boundary structures</w:t>
            </w:r>
          </w:p>
        </w:tc>
        <w:tc>
          <w:tcPr>
            <w:tcW w:w="6469" w:type="dxa"/>
          </w:tcPr>
          <w:p w14:paraId="5314393E" w14:textId="77777777" w:rsidR="00202173" w:rsidRPr="00ED61C9" w:rsidRDefault="00202173" w:rsidP="00885373">
            <w:pPr>
              <w:rPr>
                <w:sz w:val="22"/>
                <w:szCs w:val="22"/>
              </w:rPr>
            </w:pPr>
            <w:r>
              <w:rPr>
                <w:sz w:val="22"/>
                <w:szCs w:val="22"/>
              </w:rPr>
              <w:t>Formal partnerships; Economic structures; Transdisciplinary structures</w:t>
            </w:r>
          </w:p>
        </w:tc>
      </w:tr>
      <w:tr w:rsidR="00202173" w14:paraId="1245D189" w14:textId="77777777" w:rsidTr="00885373">
        <w:tc>
          <w:tcPr>
            <w:tcW w:w="2547" w:type="dxa"/>
          </w:tcPr>
          <w:p w14:paraId="6E0E7873" w14:textId="77777777" w:rsidR="00202173" w:rsidRPr="00ED61C9" w:rsidRDefault="00202173" w:rsidP="00885373">
            <w:pPr>
              <w:rPr>
                <w:sz w:val="22"/>
                <w:szCs w:val="22"/>
              </w:rPr>
            </w:pPr>
            <w:r>
              <w:rPr>
                <w:sz w:val="22"/>
                <w:szCs w:val="22"/>
              </w:rPr>
              <w:t>Boundary-spanners</w:t>
            </w:r>
          </w:p>
        </w:tc>
        <w:tc>
          <w:tcPr>
            <w:tcW w:w="6469" w:type="dxa"/>
          </w:tcPr>
          <w:p w14:paraId="3C2FD687" w14:textId="77777777" w:rsidR="00202173" w:rsidRPr="00ED61C9" w:rsidRDefault="00202173" w:rsidP="00885373">
            <w:pPr>
              <w:keepNext/>
              <w:rPr>
                <w:sz w:val="22"/>
                <w:szCs w:val="22"/>
              </w:rPr>
            </w:pPr>
            <w:r>
              <w:rPr>
                <w:sz w:val="22"/>
                <w:szCs w:val="22"/>
              </w:rPr>
              <w:t>Staff; Students/graduates</w:t>
            </w:r>
          </w:p>
        </w:tc>
      </w:tr>
    </w:tbl>
    <w:p w14:paraId="1B843C1B" w14:textId="50130BE5" w:rsidR="00202173" w:rsidRDefault="00202173" w:rsidP="00202173">
      <w:pPr>
        <w:pStyle w:val="Caption"/>
        <w:rPr>
          <w:sz w:val="24"/>
          <w:szCs w:val="24"/>
        </w:rPr>
      </w:pPr>
      <w:bookmarkStart w:id="95" w:name="_Ref11659964"/>
      <w:bookmarkStart w:id="96" w:name="_Toc31702033"/>
      <w:r>
        <w:t xml:space="preserve">Table </w:t>
      </w:r>
      <w:r w:rsidR="00A56355">
        <w:fldChar w:fldCharType="begin"/>
      </w:r>
      <w:r w:rsidR="00A56355">
        <w:instrText xml:space="preserve"> SEQ Table \* ARABIC </w:instrText>
      </w:r>
      <w:r w:rsidR="00A56355">
        <w:fldChar w:fldCharType="separate"/>
      </w:r>
      <w:r w:rsidR="0011424E">
        <w:rPr>
          <w:noProof/>
        </w:rPr>
        <w:t>4</w:t>
      </w:r>
      <w:r w:rsidR="00A56355">
        <w:rPr>
          <w:noProof/>
        </w:rPr>
        <w:fldChar w:fldCharType="end"/>
      </w:r>
      <w:bookmarkEnd w:id="95"/>
      <w:r>
        <w:t>. Main forms and sub-forms of boundary transaction</w:t>
      </w:r>
      <w:bookmarkEnd w:id="96"/>
    </w:p>
    <w:p w14:paraId="0F484826" w14:textId="055F3317" w:rsidR="00CC1AFA" w:rsidRDefault="00FE0DB3" w:rsidP="00082217">
      <w:pPr>
        <w:spacing w:before="120" w:after="120" w:line="360" w:lineRule="auto"/>
        <w:rPr>
          <w:sz w:val="24"/>
          <w:szCs w:val="24"/>
        </w:rPr>
      </w:pPr>
      <w:r>
        <w:rPr>
          <w:sz w:val="24"/>
          <w:szCs w:val="24"/>
        </w:rPr>
        <w:t>My decision to focus on boundary transactions as mechanisms through which boundaries can be potentially weakened or reproduced was theoretical, but the particular way in which I considered boundary transactions was partly informed</w:t>
      </w:r>
      <w:r w:rsidR="00353ACF">
        <w:rPr>
          <w:sz w:val="24"/>
          <w:szCs w:val="24"/>
        </w:rPr>
        <w:t xml:space="preserve"> by the empirical findings from the </w:t>
      </w:r>
      <w:r>
        <w:rPr>
          <w:sz w:val="24"/>
          <w:szCs w:val="24"/>
        </w:rPr>
        <w:t xml:space="preserve">interpretive quantitative analysis (described above) derived from the typology data. </w:t>
      </w:r>
      <w:r w:rsidR="00493638">
        <w:rPr>
          <w:sz w:val="24"/>
          <w:szCs w:val="24"/>
        </w:rPr>
        <w:t xml:space="preserve">Since analysis </w:t>
      </w:r>
      <w:r w:rsidR="00844752">
        <w:rPr>
          <w:sz w:val="24"/>
          <w:szCs w:val="24"/>
        </w:rPr>
        <w:t xml:space="preserve">of the typology data </w:t>
      </w:r>
      <w:r w:rsidR="00493638">
        <w:rPr>
          <w:sz w:val="24"/>
          <w:szCs w:val="24"/>
        </w:rPr>
        <w:t xml:space="preserve">found that overall, the sampled BoRs tended towards the reproduction of academic boundaries rather than their weakening, </w:t>
      </w:r>
      <w:r w:rsidR="00F03221">
        <w:rPr>
          <w:sz w:val="24"/>
          <w:szCs w:val="24"/>
        </w:rPr>
        <w:t>the main task was to understand this function of the identified boundary transactions.</w:t>
      </w:r>
    </w:p>
    <w:p w14:paraId="252FF3F9" w14:textId="29D312B8" w:rsidR="001859B7" w:rsidRPr="001859B7" w:rsidRDefault="00D73247" w:rsidP="00082217">
      <w:pPr>
        <w:spacing w:before="120" w:after="120" w:line="360" w:lineRule="auto"/>
        <w:rPr>
          <w:sz w:val="24"/>
          <w:szCs w:val="24"/>
        </w:rPr>
      </w:pPr>
      <w:r>
        <w:rPr>
          <w:sz w:val="24"/>
          <w:szCs w:val="24"/>
        </w:rPr>
        <w:t xml:space="preserve">After the coding of the boundary transactions as per </w:t>
      </w:r>
      <w:r w:rsidRPr="006E2003">
        <w:rPr>
          <w:sz w:val="24"/>
          <w:szCs w:val="24"/>
        </w:rPr>
        <w:fldChar w:fldCharType="begin"/>
      </w:r>
      <w:r w:rsidRPr="006E2003">
        <w:rPr>
          <w:sz w:val="24"/>
          <w:szCs w:val="24"/>
        </w:rPr>
        <w:instrText xml:space="preserve"> REF _Ref11659964 \h </w:instrText>
      </w:r>
      <w:r>
        <w:rPr>
          <w:sz w:val="24"/>
          <w:szCs w:val="24"/>
        </w:rPr>
        <w:instrText xml:space="preserve"> \* MERGEFORMAT </w:instrText>
      </w:r>
      <w:r w:rsidRPr="006E2003">
        <w:rPr>
          <w:sz w:val="24"/>
          <w:szCs w:val="24"/>
        </w:rPr>
      </w:r>
      <w:r w:rsidRPr="006E2003">
        <w:rPr>
          <w:sz w:val="24"/>
          <w:szCs w:val="24"/>
        </w:rPr>
        <w:fldChar w:fldCharType="separate"/>
      </w:r>
      <w:r w:rsidR="0011424E" w:rsidRPr="0011424E">
        <w:rPr>
          <w:sz w:val="24"/>
          <w:szCs w:val="24"/>
        </w:rPr>
        <w:t xml:space="preserve">Table </w:t>
      </w:r>
      <w:r w:rsidR="0011424E" w:rsidRPr="0011424E">
        <w:rPr>
          <w:noProof/>
          <w:sz w:val="24"/>
          <w:szCs w:val="24"/>
        </w:rPr>
        <w:t>4</w:t>
      </w:r>
      <w:r w:rsidRPr="006E2003">
        <w:rPr>
          <w:sz w:val="24"/>
          <w:szCs w:val="24"/>
        </w:rPr>
        <w:fldChar w:fldCharType="end"/>
      </w:r>
      <w:r w:rsidR="00E1061E">
        <w:rPr>
          <w:sz w:val="24"/>
          <w:szCs w:val="24"/>
        </w:rPr>
        <w:t>, i</w:t>
      </w:r>
      <w:r>
        <w:rPr>
          <w:sz w:val="24"/>
          <w:szCs w:val="24"/>
        </w:rPr>
        <w:t>nvestigation</w:t>
      </w:r>
      <w:r w:rsidR="00E1061E">
        <w:rPr>
          <w:sz w:val="24"/>
          <w:szCs w:val="24"/>
        </w:rPr>
        <w:t xml:space="preserve"> involved reading and re-reading details related to the boundary transactions within the contexts of their BoRs to inductively seek patterns as to how boundary transactions are systematically contributing to this reproduction. </w:t>
      </w:r>
      <w:r w:rsidR="0024606C">
        <w:rPr>
          <w:sz w:val="24"/>
          <w:szCs w:val="24"/>
        </w:rPr>
        <w:t>A</w:t>
      </w:r>
      <w:r w:rsidR="00E1061E">
        <w:rPr>
          <w:sz w:val="24"/>
          <w:szCs w:val="24"/>
        </w:rPr>
        <w:t xml:space="preserve">nalysis at this stage did not seek to understand </w:t>
      </w:r>
      <w:r w:rsidR="00E1061E" w:rsidRPr="0027581D">
        <w:rPr>
          <w:i/>
          <w:sz w:val="24"/>
          <w:szCs w:val="24"/>
        </w:rPr>
        <w:t>variations between</w:t>
      </w:r>
      <w:r w:rsidR="00E1061E">
        <w:rPr>
          <w:sz w:val="24"/>
          <w:szCs w:val="24"/>
        </w:rPr>
        <w:t xml:space="preserve"> different research contexts</w:t>
      </w:r>
      <w:r w:rsidR="0024606C">
        <w:rPr>
          <w:sz w:val="24"/>
          <w:szCs w:val="24"/>
        </w:rPr>
        <w:t xml:space="preserve">, but a general understanding of how boundary transactions played out in the context of </w:t>
      </w:r>
      <w:r w:rsidR="00BA6A0F">
        <w:rPr>
          <w:sz w:val="24"/>
          <w:szCs w:val="24"/>
        </w:rPr>
        <w:t>academic STEMM research</w:t>
      </w:r>
      <w:r w:rsidR="00E1061E" w:rsidRPr="00036ADE">
        <w:rPr>
          <w:sz w:val="24"/>
          <w:szCs w:val="24"/>
        </w:rPr>
        <w:t>.</w:t>
      </w:r>
      <w:r w:rsidR="00242770" w:rsidRPr="00036ADE">
        <w:rPr>
          <w:sz w:val="24"/>
          <w:szCs w:val="24"/>
        </w:rPr>
        <w:t xml:space="preserve"> Key characteristics of the boundary transactions to emerge were that they often contributed not only to a ‘third mission’ or ‘impact agenda’, but</w:t>
      </w:r>
      <w:r w:rsidR="00431E59" w:rsidRPr="00036ADE">
        <w:rPr>
          <w:sz w:val="24"/>
          <w:szCs w:val="24"/>
        </w:rPr>
        <w:t xml:space="preserve"> rather were linked up to other core missions such as promoting the teaching and training of students;</w:t>
      </w:r>
      <w:r w:rsidR="00242770" w:rsidRPr="00036ADE">
        <w:rPr>
          <w:sz w:val="24"/>
          <w:szCs w:val="24"/>
        </w:rPr>
        <w:t xml:space="preserve"> similarly, rather than </w:t>
      </w:r>
      <w:r w:rsidR="00036ADE" w:rsidRPr="00036ADE">
        <w:rPr>
          <w:sz w:val="24"/>
          <w:szCs w:val="24"/>
        </w:rPr>
        <w:t>boundary transaction being targeted solely towards</w:t>
      </w:r>
      <w:r w:rsidR="00242770" w:rsidRPr="00036ADE">
        <w:rPr>
          <w:sz w:val="24"/>
          <w:szCs w:val="24"/>
        </w:rPr>
        <w:t xml:space="preserve"> short-term </w:t>
      </w:r>
      <w:r w:rsidR="00036ADE" w:rsidRPr="00036ADE">
        <w:rPr>
          <w:sz w:val="24"/>
          <w:szCs w:val="24"/>
        </w:rPr>
        <w:t>results or immediate impacts</w:t>
      </w:r>
      <w:r w:rsidR="00242770" w:rsidRPr="00036ADE">
        <w:rPr>
          <w:sz w:val="24"/>
          <w:szCs w:val="24"/>
        </w:rPr>
        <w:t>, they were often part of longer-term relationships such that the ‘impactful’ results could not be disentangled from the long</w:t>
      </w:r>
      <w:r w:rsidR="00036ADE" w:rsidRPr="00036ADE">
        <w:rPr>
          <w:sz w:val="24"/>
          <w:szCs w:val="24"/>
        </w:rPr>
        <w:t xml:space="preserve">er </w:t>
      </w:r>
      <w:r w:rsidR="00242770" w:rsidRPr="00036ADE">
        <w:rPr>
          <w:sz w:val="24"/>
          <w:szCs w:val="24"/>
        </w:rPr>
        <w:t>term academic research</w:t>
      </w:r>
      <w:r w:rsidR="00036ADE" w:rsidRPr="00036ADE">
        <w:rPr>
          <w:sz w:val="24"/>
          <w:szCs w:val="24"/>
        </w:rPr>
        <w:t xml:space="preserve"> contributions being made</w:t>
      </w:r>
      <w:r w:rsidR="00242770" w:rsidRPr="00036ADE">
        <w:rPr>
          <w:sz w:val="24"/>
          <w:szCs w:val="24"/>
        </w:rPr>
        <w:t>.</w:t>
      </w:r>
      <w:r w:rsidR="00242770">
        <w:rPr>
          <w:sz w:val="24"/>
          <w:szCs w:val="24"/>
        </w:rPr>
        <w:t xml:space="preserve"> </w:t>
      </w:r>
      <w:r w:rsidR="001859B7">
        <w:rPr>
          <w:sz w:val="24"/>
          <w:szCs w:val="24"/>
        </w:rPr>
        <w:t>This analytical step was therefore inductive, but not</w:t>
      </w:r>
      <w:r w:rsidR="00FA059A">
        <w:rPr>
          <w:sz w:val="24"/>
          <w:szCs w:val="24"/>
        </w:rPr>
        <w:t xml:space="preserve"> according to a ‘</w:t>
      </w:r>
      <w:r w:rsidR="001859B7" w:rsidRPr="00FA059A">
        <w:rPr>
          <w:sz w:val="24"/>
          <w:szCs w:val="24"/>
        </w:rPr>
        <w:t>grounded</w:t>
      </w:r>
      <w:r w:rsidR="00FA059A">
        <w:rPr>
          <w:sz w:val="24"/>
          <w:szCs w:val="24"/>
        </w:rPr>
        <w:t>’</w:t>
      </w:r>
      <w:r w:rsidR="001859B7" w:rsidRPr="00FA059A">
        <w:rPr>
          <w:sz w:val="24"/>
          <w:szCs w:val="24"/>
        </w:rPr>
        <w:t xml:space="preserve"> </w:t>
      </w:r>
      <w:r w:rsidR="001859B7">
        <w:rPr>
          <w:sz w:val="24"/>
          <w:szCs w:val="24"/>
        </w:rPr>
        <w:t>or open-ended</w:t>
      </w:r>
      <w:r w:rsidR="00FA059A">
        <w:rPr>
          <w:sz w:val="24"/>
          <w:szCs w:val="24"/>
        </w:rPr>
        <w:t xml:space="preserve"> approach to qualitative theory-generation</w:t>
      </w:r>
      <w:r w:rsidR="001859B7">
        <w:rPr>
          <w:sz w:val="24"/>
          <w:szCs w:val="24"/>
        </w:rPr>
        <w:t xml:space="preserve">, as it was guided by (i) my theoretical understanding of the ways that boundary transactions can operate, and (ii) the goal of seeking explanations for the </w:t>
      </w:r>
      <w:r w:rsidR="00FA059A">
        <w:rPr>
          <w:sz w:val="24"/>
          <w:szCs w:val="24"/>
        </w:rPr>
        <w:t>empirical findings from the typological data analysis.</w:t>
      </w:r>
    </w:p>
    <w:p w14:paraId="7F3C56AB" w14:textId="386AFAC1" w:rsidR="00754706" w:rsidRPr="006D6500" w:rsidRDefault="00021812" w:rsidP="00082217">
      <w:pPr>
        <w:spacing w:before="120" w:after="120" w:line="360" w:lineRule="auto"/>
        <w:rPr>
          <w:sz w:val="24"/>
          <w:szCs w:val="24"/>
        </w:rPr>
      </w:pPr>
      <w:r>
        <w:rPr>
          <w:sz w:val="24"/>
          <w:szCs w:val="24"/>
        </w:rPr>
        <w:t>As for the epistemological status of these boundary transactions and the findings from their analysis, b</w:t>
      </w:r>
      <w:r w:rsidR="00754706">
        <w:rPr>
          <w:sz w:val="24"/>
          <w:szCs w:val="24"/>
        </w:rPr>
        <w:t xml:space="preserve">oundary transactions are </w:t>
      </w:r>
      <w:r w:rsidR="005A2F8E">
        <w:rPr>
          <w:sz w:val="24"/>
          <w:szCs w:val="24"/>
        </w:rPr>
        <w:t>key causal mechanisms</w:t>
      </w:r>
      <w:r>
        <w:rPr>
          <w:sz w:val="24"/>
          <w:szCs w:val="24"/>
        </w:rPr>
        <w:t xml:space="preserve"> that</w:t>
      </w:r>
      <w:r w:rsidR="005A2F8E">
        <w:rPr>
          <w:sz w:val="24"/>
          <w:szCs w:val="24"/>
        </w:rPr>
        <w:t xml:space="preserve"> operate just below the surface of the ‘empirical’ level captured by the typology data.</w:t>
      </w:r>
      <w:r>
        <w:rPr>
          <w:sz w:val="24"/>
          <w:szCs w:val="24"/>
        </w:rPr>
        <w:t xml:space="preserve"> They </w:t>
      </w:r>
      <w:r w:rsidR="00892CDB">
        <w:rPr>
          <w:sz w:val="24"/>
          <w:szCs w:val="24"/>
        </w:rPr>
        <w:t>are not</w:t>
      </w:r>
      <w:r w:rsidR="00162506">
        <w:rPr>
          <w:sz w:val="24"/>
          <w:szCs w:val="24"/>
        </w:rPr>
        <w:t xml:space="preserve"> of course</w:t>
      </w:r>
      <w:r w:rsidR="00892CDB">
        <w:rPr>
          <w:sz w:val="24"/>
          <w:szCs w:val="24"/>
        </w:rPr>
        <w:t xml:space="preserve"> the </w:t>
      </w:r>
      <w:r w:rsidR="00892CDB" w:rsidRPr="00162506">
        <w:rPr>
          <w:i/>
          <w:sz w:val="24"/>
          <w:szCs w:val="24"/>
        </w:rPr>
        <w:t>only</w:t>
      </w:r>
      <w:r w:rsidR="00892CDB">
        <w:rPr>
          <w:sz w:val="24"/>
          <w:szCs w:val="24"/>
        </w:rPr>
        <w:t xml:space="preserve"> causal mechanisms associated with reproducing boundaries</w:t>
      </w:r>
      <w:r w:rsidR="00162506">
        <w:rPr>
          <w:sz w:val="24"/>
          <w:szCs w:val="24"/>
        </w:rPr>
        <w:t xml:space="preserve"> – </w:t>
      </w:r>
      <w:r w:rsidR="00892CDB">
        <w:rPr>
          <w:sz w:val="24"/>
          <w:szCs w:val="24"/>
        </w:rPr>
        <w:t>for example, this focus on boundary transactions does not clarify how i</w:t>
      </w:r>
      <w:r>
        <w:rPr>
          <w:sz w:val="24"/>
          <w:szCs w:val="24"/>
        </w:rPr>
        <w:t>nternal mechanisms of integratio</w:t>
      </w:r>
      <w:r w:rsidRPr="00892CDB">
        <w:rPr>
          <w:sz w:val="24"/>
          <w:szCs w:val="24"/>
        </w:rPr>
        <w:t>n</w:t>
      </w:r>
      <w:r w:rsidR="00892CDB">
        <w:rPr>
          <w:sz w:val="24"/>
          <w:szCs w:val="24"/>
        </w:rPr>
        <w:t xml:space="preserve"> contribute to the reproduction of boundaries</w:t>
      </w:r>
      <w:r w:rsidR="00AF3E7E" w:rsidRPr="00892CDB">
        <w:rPr>
          <w:sz w:val="24"/>
          <w:szCs w:val="24"/>
        </w:rPr>
        <w:t xml:space="preserve"> </w:t>
      </w:r>
      <w:r w:rsidR="00892CDB" w:rsidRPr="00892CDB">
        <w:rPr>
          <w:sz w:val="24"/>
          <w:szCs w:val="24"/>
        </w:rPr>
        <w:fldChar w:fldCharType="begin">
          <w:fldData xml:space="preserve">PEVuZE5vdGU+PENpdGU+PEF1dGhvcj5QYXJzb25zPC9BdXRob3I+PFllYXI+MTk2NzwvWWVhcj48
SURUZXh0PlNvY2lvbG9naWNhbCB0aGVvcnkgYW5kIG1vZGVybiBzb2NpZXR5PC9JRFRleHQ+PERp
c3BsYXlUZXh0PihCLiBSLiBDbGFyaywgMTk4MzsgR3VtcG9ydCwgMjAwMDsgUGFyc29ucywgMTk2
NzsgUGFyc29ucyAmYW1wOyBQbGF0dCwgMTk3Myk8L0Rpc3BsYXlUZXh0PjxyZWNvcmQ+PHRpdGxl
cz48dGl0bGU+U29jaW9sb2dpY2FsIHRoZW9yeSBhbmQgbW9kZXJuIHNvY2lldHk8L3RpdGxlPjwv
dGl0bGVzPjxjb250cmlidXRvcnM+PGF1dGhvcnM+PGF1dGhvcj5QYXJzb25zLCBUYWxjb3R0PC9h
dXRob3I+PC9hdXRob3JzPjwvY29udHJpYnV0b3JzPjxhZGRlZC1kYXRlIGZvcm1hdD0idXRjIj4x
NTQ5NDY0NTg3PC9hZGRlZC1kYXRlPjxwdWItbG9jYXRpb24+TmV3IFlvcms8L3B1Yi1sb2NhdGlv
bj48cmVmLXR5cGUgbmFtZT0iQm9vayI+NjwvcmVmLXR5cGU+PGRhdGVzPjx5ZWFyPjE5Njc8L3ll
YXI+PC9kYXRlcz48cmVjLW51bWJlcj43NzI4PC9yZWMtbnVtYmVyPjxwdWJsaXNoZXI+TmV3IFlv
cmsgRnJlZSBQcmVzczwvcHVibGlzaGVyPjxsYXN0LXVwZGF0ZWQtZGF0ZSBmb3JtYXQ9InV0YyI+
MTU0OTQ2NDY1MDwvbGFzdC11cGRhdGVkLWRhdGU+PC9yZWNvcmQ+PC9DaXRlPjxDaXRlPjxBdXRo
b3I+UGFyc29uczwvQXV0aG9yPjxZZWFyPjE5NzM8L1llYXI+PElEVGV4dD5UaGUgQW1lcmljYW4g
dW5pdmVyc2l0eTwvSURUZXh0PjxyZWNvcmQ+PGtleXdvcmRzPjxrZXl3b3JkPlVuaXZlcnNpdGll
cyBhbmQgY29sbGVnZXMgLS0gVW5pdGVkIFN0YXRlczwva2V5d29yZD48L2tleXdvcmRzPjx0aXRs
ZXM+PHRpdGxlPlRoZSBBbWVyaWNhbiB1bml2ZXJzaXR5PC90aXRsZT48L3RpdGxlcz48Y29udHJp
YnV0b3JzPjxhdXRob3JzPjxhdXRob3I+UGFyc29ucywgVGFsY290dDwvYXV0aG9yPjxhdXRob3I+
UGxhdHQsIEdlcmFsZCBNLjwvYXV0aG9yPjwvYXV0aG9ycz48L2NvbnRyaWJ1dG9ycz48YWRkZWQt
ZGF0ZSBmb3JtYXQ9InV0YyI+MTUyMzY1MTAyOTwvYWRkZWQtZGF0ZT48cHViLWxvY2F0aW9uPkNh
bWJyaWRnZSwgTWFzcy48L3B1Yi1sb2NhdGlvbj48cmVmLXR5cGUgbmFtZT0iQm9vayI+NjwvcmVm
LXR5cGU+PGRhdGVzPjx5ZWFyPjE5NzM8L3llYXI+PC9kYXRlcz48cmVjLW51bWJlcj43NDg1PC9y
ZWMtbnVtYmVyPjxwdWJsaXNoZXI+SGFydmFyZCBVbml2ZXJzaXR5IFByZXNzPC9wdWJsaXNoZXI+
PGxhc3QtdXBkYXRlZC1kYXRlIGZvcm1hdD0idXRjIj4xNTIzNjUxMDYxPC9sYXN0LXVwZGF0ZWQt
ZGF0ZT48L3JlY29yZD48L0NpdGU+PENpdGU+PEF1dGhvcj5HdW1wb3J0PC9BdXRob3I+PFllYXI+
MjAwMDwvWWVhcj48SURUZXh0PkFjYWRlbWljIHJlc3RydWN0dXJpbmc6IE9yZ2FuaXphdGlvbmFs
IGNoYW5nZSBhbmQgaW5zdGl0dXRpb25hbCBpbXBlcmF0aXZlczwvSURUZXh0PjxyZWNvcmQ+PGlz
Ym4+MDAxOC0xNTYwPC9pc2JuPjx0aXRsZXM+PHRpdGxlPkFjYWRlbWljIHJlc3RydWN0dXJpbmc6
IE9yZ2FuaXphdGlvbmFsIGNoYW5nZSBhbmQgaW5zdGl0dXRpb25hbCBpbXBlcmF0aXZlczwvdGl0
bGU+PHNlY29uZGFyeS10aXRsZT5IaWdoZXIgRWR1Y2F0aW9uPC9zZWNvbmRhcnktdGl0bGU+PC90
aXRsZXM+PHBhZ2VzPjY3LTkxPC9wYWdlcz48bnVtYmVyPjE8L251bWJlcj48Y29udHJpYnV0b3Jz
PjxhdXRob3JzPjxhdXRob3I+R3VtcG9ydCwgUGF0cmljaWEgSi48L2F1dGhvcj48L2F1dGhvcnM+
PC9jb250cmlidXRvcnM+PGFkZGVkLWRhdGUgZm9ybWF0PSJ1dGMiPjE0OTI0NzI5NDM8L2FkZGVk
LWRhdGU+PHB1Yi1sb2NhdGlvbj5Eb3JkcmVjaHQ8L3B1Yi1sb2NhdGlvbj48cmVmLXR5cGUgbmFt
ZT0iSm91cm5hbCBBcnRpY2xlIj4xNzwvcmVmLXR5cGU+PGRhdGVzPjx5ZWFyPjIwMDA8L3llYXI+
PC9kYXRlcz48cmVjLW51bWJlcj42NzE5PC9yZWMtbnVtYmVyPjxsYXN0LXVwZGF0ZWQtZGF0ZSBm
b3JtYXQ9InV0YyI+MTUyMjk1NjkwNzwvbGFzdC11cGRhdGVkLWRhdGU+PGVsZWN0cm9uaWMtcmVz
b3VyY2UtbnVtPjEwLjEwMjMvQToxMDAzODU5MDI2MzAxPC9lbGVjdHJvbmljLXJlc291cmNlLW51
bT48dm9sdW1lPjM5PC92b2x1bWU+PC9yZWNvcmQ+PC9DaXRlPjxDaXRlPjxBdXRob3I+Q2xhcms8
L0F1dGhvcj48WWVhcj4xOTgzPC9ZZWFyPjxJRFRleHQ+VGhlIGhpZ2hlciBlZHVjYXRpb24gc3lz
dGVtOiBhY2FkZW1pYyBvcmdhbmlzYXRpb24gaW4gY3Jvc3MtbmF0aW9uYWwgcGVyc3BlY3RpdmU8
L0lEVGV4dD48cmVjb3JkPjxrZXl3b3Jkcz48a2V5d29yZD5FZHVjYXRpb24sIEhpZ2hlcjwva2V5
d29yZD48a2V5d29yZD5FZHVjYXRpb24sIEhpZ2hlcjwva2V5d29yZD48a2V5d29yZD5IaWdoZXIg
ZWR1Y2F0aW9uIENvbXBhcmF0aXZlIHN0dWRpZXM8L2tleXdvcmQ+PC9rZXl3b3Jkcz48dGl0bGVz
Pjx0aXRsZT5UaGUgaGlnaGVyIGVkdWNhdGlvbiBzeXN0ZW06IGFjYWRlbWljIG9yZ2FuaXNhdGlv
biBpbiBjcm9zcy1uYXRpb25hbCBwZXJzcGVjdGl2ZTwvdGl0bGU+PC90aXRsZXM+PGNvbnRyaWJ1
dG9ycz48YXV0aG9ycz48YXV0aG9yPkNsYXJrLCBCdXJ0b24gUi48L2F1dGhvcj48L2F1dGhvcnM+
PC9jb250cmlidXRvcnM+PGFkZGVkLWRhdGUgZm9ybWF0PSJ1dGMiPjE0NTgxNTM5NDg8L2FkZGVk
LWRhdGU+PHB1Yi1sb2NhdGlvbj5Mb25kb248L3B1Yi1sb2NhdGlvbj48cmVmLXR5cGUgbmFtZT0i
Qm9vayI+NjwvcmVmLXR5cGU+PGRhdGVzPjx5ZWFyPjE5ODM8L3llYXI+PC9kYXRlcz48cmVjLW51
bWJlcj4yOTQ8L3JlYy1udW1iZXI+PHB1Ymxpc2hlcj5Vbml2ZXJzaXR5IG9mIENhbGlmb3JuaWEg
UHJlc3M8L3B1Ymxpc2hlcj48bGFzdC11cGRhdGVkLWRhdGUgZm9ybWF0PSJ1dGMiPjE0NzEwMTEz
MzI8L2xhc3QtdXBkYXRlZC1kYXRlPjwvcmVjb3JkPjwvQ2l0ZT48L0VuZE5vdGU+AG==
</w:fldData>
        </w:fldChar>
      </w:r>
      <w:r w:rsidR="00892CDB" w:rsidRPr="00892CDB">
        <w:rPr>
          <w:sz w:val="24"/>
          <w:szCs w:val="24"/>
        </w:rPr>
        <w:instrText xml:space="preserve"> ADDIN EN.CITE </w:instrText>
      </w:r>
      <w:r w:rsidR="00892CDB" w:rsidRPr="00892CDB">
        <w:rPr>
          <w:sz w:val="24"/>
          <w:szCs w:val="24"/>
        </w:rPr>
        <w:fldChar w:fldCharType="begin">
          <w:fldData xml:space="preserve">PEVuZE5vdGU+PENpdGU+PEF1dGhvcj5QYXJzb25zPC9BdXRob3I+PFllYXI+MTk2NzwvWWVhcj48
SURUZXh0PlNvY2lvbG9naWNhbCB0aGVvcnkgYW5kIG1vZGVybiBzb2NpZXR5PC9JRFRleHQ+PERp
c3BsYXlUZXh0PihCLiBSLiBDbGFyaywgMTk4MzsgR3VtcG9ydCwgMjAwMDsgUGFyc29ucywgMTk2
NzsgUGFyc29ucyAmYW1wOyBQbGF0dCwgMTk3Myk8L0Rpc3BsYXlUZXh0PjxyZWNvcmQ+PHRpdGxl
cz48dGl0bGU+U29jaW9sb2dpY2FsIHRoZW9yeSBhbmQgbW9kZXJuIHNvY2lldHk8L3RpdGxlPjwv
dGl0bGVzPjxjb250cmlidXRvcnM+PGF1dGhvcnM+PGF1dGhvcj5QYXJzb25zLCBUYWxjb3R0PC9h
dXRob3I+PC9hdXRob3JzPjwvY29udHJpYnV0b3JzPjxhZGRlZC1kYXRlIGZvcm1hdD0idXRjIj4x
NTQ5NDY0NTg3PC9hZGRlZC1kYXRlPjxwdWItbG9jYXRpb24+TmV3IFlvcms8L3B1Yi1sb2NhdGlv
bj48cmVmLXR5cGUgbmFtZT0iQm9vayI+NjwvcmVmLXR5cGU+PGRhdGVzPjx5ZWFyPjE5Njc8L3ll
YXI+PC9kYXRlcz48cmVjLW51bWJlcj43NzI4PC9yZWMtbnVtYmVyPjxwdWJsaXNoZXI+TmV3IFlv
cmsgRnJlZSBQcmVzczwvcHVibGlzaGVyPjxsYXN0LXVwZGF0ZWQtZGF0ZSBmb3JtYXQ9InV0YyI+
MTU0OTQ2NDY1MDwvbGFzdC11cGRhdGVkLWRhdGU+PC9yZWNvcmQ+PC9DaXRlPjxDaXRlPjxBdXRo
b3I+UGFyc29uczwvQXV0aG9yPjxZZWFyPjE5NzM8L1llYXI+PElEVGV4dD5UaGUgQW1lcmljYW4g
dW5pdmVyc2l0eTwvSURUZXh0PjxyZWNvcmQ+PGtleXdvcmRzPjxrZXl3b3JkPlVuaXZlcnNpdGll
cyBhbmQgY29sbGVnZXMgLS0gVW5pdGVkIFN0YXRlczwva2V5d29yZD48L2tleXdvcmRzPjx0aXRs
ZXM+PHRpdGxlPlRoZSBBbWVyaWNhbiB1bml2ZXJzaXR5PC90aXRsZT48L3RpdGxlcz48Y29udHJp
YnV0b3JzPjxhdXRob3JzPjxhdXRob3I+UGFyc29ucywgVGFsY290dDwvYXV0aG9yPjxhdXRob3I+
UGxhdHQsIEdlcmFsZCBNLjwvYXV0aG9yPjwvYXV0aG9ycz48L2NvbnRyaWJ1dG9ycz48YWRkZWQt
ZGF0ZSBmb3JtYXQ9InV0YyI+MTUyMzY1MTAyOTwvYWRkZWQtZGF0ZT48cHViLWxvY2F0aW9uPkNh
bWJyaWRnZSwgTWFzcy48L3B1Yi1sb2NhdGlvbj48cmVmLXR5cGUgbmFtZT0iQm9vayI+NjwvcmVm
LXR5cGU+PGRhdGVzPjx5ZWFyPjE5NzM8L3llYXI+PC9kYXRlcz48cmVjLW51bWJlcj43NDg1PC9y
ZWMtbnVtYmVyPjxwdWJsaXNoZXI+SGFydmFyZCBVbml2ZXJzaXR5IFByZXNzPC9wdWJsaXNoZXI+
PGxhc3QtdXBkYXRlZC1kYXRlIGZvcm1hdD0idXRjIj4xNTIzNjUxMDYxPC9sYXN0LXVwZGF0ZWQt
ZGF0ZT48L3JlY29yZD48L0NpdGU+PENpdGU+PEF1dGhvcj5HdW1wb3J0PC9BdXRob3I+PFllYXI+
MjAwMDwvWWVhcj48SURUZXh0PkFjYWRlbWljIHJlc3RydWN0dXJpbmc6IE9yZ2FuaXphdGlvbmFs
IGNoYW5nZSBhbmQgaW5zdGl0dXRpb25hbCBpbXBlcmF0aXZlczwvSURUZXh0PjxyZWNvcmQ+PGlz
Ym4+MDAxOC0xNTYwPC9pc2JuPjx0aXRsZXM+PHRpdGxlPkFjYWRlbWljIHJlc3RydWN0dXJpbmc6
IE9yZ2FuaXphdGlvbmFsIGNoYW5nZSBhbmQgaW5zdGl0dXRpb25hbCBpbXBlcmF0aXZlczwvdGl0
bGU+PHNlY29uZGFyeS10aXRsZT5IaWdoZXIgRWR1Y2F0aW9uPC9zZWNvbmRhcnktdGl0bGU+PC90
aXRsZXM+PHBhZ2VzPjY3LTkxPC9wYWdlcz48bnVtYmVyPjE8L251bWJlcj48Y29udHJpYnV0b3Jz
PjxhdXRob3JzPjxhdXRob3I+R3VtcG9ydCwgUGF0cmljaWEgSi48L2F1dGhvcj48L2F1dGhvcnM+
PC9jb250cmlidXRvcnM+PGFkZGVkLWRhdGUgZm9ybWF0PSJ1dGMiPjE0OTI0NzI5NDM8L2FkZGVk
LWRhdGU+PHB1Yi1sb2NhdGlvbj5Eb3JkcmVjaHQ8L3B1Yi1sb2NhdGlvbj48cmVmLXR5cGUgbmFt
ZT0iSm91cm5hbCBBcnRpY2xlIj4xNzwvcmVmLXR5cGU+PGRhdGVzPjx5ZWFyPjIwMDA8L3llYXI+
PC9kYXRlcz48cmVjLW51bWJlcj42NzE5PC9yZWMtbnVtYmVyPjxsYXN0LXVwZGF0ZWQtZGF0ZSBm
b3JtYXQ9InV0YyI+MTUyMjk1NjkwNzwvbGFzdC11cGRhdGVkLWRhdGU+PGVsZWN0cm9uaWMtcmVz
b3VyY2UtbnVtPjEwLjEwMjMvQToxMDAzODU5MDI2MzAxPC9lbGVjdHJvbmljLXJlc291cmNlLW51
bT48dm9sdW1lPjM5PC92b2x1bWU+PC9yZWNvcmQ+PC9DaXRlPjxDaXRlPjxBdXRob3I+Q2xhcms8
L0F1dGhvcj48WWVhcj4xOTgzPC9ZZWFyPjxJRFRleHQ+VGhlIGhpZ2hlciBlZHVjYXRpb24gc3lz
dGVtOiBhY2FkZW1pYyBvcmdhbmlzYXRpb24gaW4gY3Jvc3MtbmF0aW9uYWwgcGVyc3BlY3RpdmU8
L0lEVGV4dD48cmVjb3JkPjxrZXl3b3Jkcz48a2V5d29yZD5FZHVjYXRpb24sIEhpZ2hlcjwva2V5
d29yZD48a2V5d29yZD5FZHVjYXRpb24sIEhpZ2hlcjwva2V5d29yZD48a2V5d29yZD5IaWdoZXIg
ZWR1Y2F0aW9uIENvbXBhcmF0aXZlIHN0dWRpZXM8L2tleXdvcmQ+PC9rZXl3b3Jkcz48dGl0bGVz
Pjx0aXRsZT5UaGUgaGlnaGVyIGVkdWNhdGlvbiBzeXN0ZW06IGFjYWRlbWljIG9yZ2FuaXNhdGlv
biBpbiBjcm9zcy1uYXRpb25hbCBwZXJzcGVjdGl2ZTwvdGl0bGU+PC90aXRsZXM+PGNvbnRyaWJ1
dG9ycz48YXV0aG9ycz48YXV0aG9yPkNsYXJrLCBCdXJ0b24gUi48L2F1dGhvcj48L2F1dGhvcnM+
PC9jb250cmlidXRvcnM+PGFkZGVkLWRhdGUgZm9ybWF0PSJ1dGMiPjE0NTgxNTM5NDg8L2FkZGVk
LWRhdGU+PHB1Yi1sb2NhdGlvbj5Mb25kb248L3B1Yi1sb2NhdGlvbj48cmVmLXR5cGUgbmFtZT0i
Qm9vayI+NjwvcmVmLXR5cGU+PGRhdGVzPjx5ZWFyPjE5ODM8L3llYXI+PC9kYXRlcz48cmVjLW51
bWJlcj4yOTQ8L3JlYy1udW1iZXI+PHB1Ymxpc2hlcj5Vbml2ZXJzaXR5IG9mIENhbGlmb3JuaWEg
UHJlc3M8L3B1Ymxpc2hlcj48bGFzdC11cGRhdGVkLWRhdGUgZm9ybWF0PSJ1dGMiPjE0NzEwMTEz
MzI8L2xhc3QtdXBkYXRlZC1kYXRlPjwvcmVjb3JkPjwvQ2l0ZT48L0VuZE5vdGU+AG==
</w:fldData>
        </w:fldChar>
      </w:r>
      <w:r w:rsidR="00892CDB" w:rsidRPr="00892CDB">
        <w:rPr>
          <w:sz w:val="24"/>
          <w:szCs w:val="24"/>
        </w:rPr>
        <w:instrText xml:space="preserve"> ADDIN EN.CITE.DATA </w:instrText>
      </w:r>
      <w:r w:rsidR="00892CDB" w:rsidRPr="00892CDB">
        <w:rPr>
          <w:sz w:val="24"/>
          <w:szCs w:val="24"/>
        </w:rPr>
      </w:r>
      <w:r w:rsidR="00892CDB" w:rsidRPr="00892CDB">
        <w:rPr>
          <w:sz w:val="24"/>
          <w:szCs w:val="24"/>
        </w:rPr>
        <w:fldChar w:fldCharType="end"/>
      </w:r>
      <w:r w:rsidR="00892CDB" w:rsidRPr="00892CDB">
        <w:rPr>
          <w:sz w:val="24"/>
          <w:szCs w:val="24"/>
        </w:rPr>
      </w:r>
      <w:r w:rsidR="00892CDB" w:rsidRPr="00892CDB">
        <w:rPr>
          <w:sz w:val="24"/>
          <w:szCs w:val="24"/>
        </w:rPr>
        <w:fldChar w:fldCharType="separate"/>
      </w:r>
      <w:r w:rsidR="00892CDB" w:rsidRPr="00892CDB">
        <w:rPr>
          <w:noProof/>
          <w:sz w:val="24"/>
          <w:szCs w:val="24"/>
        </w:rPr>
        <w:t>(B. R. Clark, 1983; Gumport, 2000; Parsons, 1967; Parsons &amp; Platt, 1973)</w:t>
      </w:r>
      <w:r w:rsidR="00892CDB" w:rsidRPr="00892CDB">
        <w:rPr>
          <w:sz w:val="24"/>
          <w:szCs w:val="24"/>
        </w:rPr>
        <w:fldChar w:fldCharType="end"/>
      </w:r>
      <w:r w:rsidR="00892CDB" w:rsidRPr="00892CDB">
        <w:rPr>
          <w:sz w:val="24"/>
          <w:szCs w:val="24"/>
        </w:rPr>
        <w:t>.</w:t>
      </w:r>
      <w:r w:rsidR="005A2F8E">
        <w:rPr>
          <w:sz w:val="24"/>
          <w:szCs w:val="24"/>
        </w:rPr>
        <w:t xml:space="preserve"> </w:t>
      </w:r>
      <w:r w:rsidR="00237A3B">
        <w:rPr>
          <w:sz w:val="24"/>
          <w:szCs w:val="24"/>
        </w:rPr>
        <w:t xml:space="preserve">However, they do shed light on how boundaries are reproduced through research processes and practices, specifically on the role of research-related boundary transactions on </w:t>
      </w:r>
      <w:r w:rsidR="00C20E4A">
        <w:rPr>
          <w:sz w:val="24"/>
          <w:szCs w:val="24"/>
        </w:rPr>
        <w:t xml:space="preserve">academic boundary </w:t>
      </w:r>
      <w:r w:rsidR="00237A3B">
        <w:rPr>
          <w:sz w:val="24"/>
          <w:szCs w:val="24"/>
        </w:rPr>
        <w:t xml:space="preserve">reproduction. From the critical realist perspective, this is an important theoretical step, addressing important </w:t>
      </w:r>
      <w:r w:rsidR="00237A3B">
        <w:rPr>
          <w:i/>
          <w:sz w:val="24"/>
          <w:szCs w:val="24"/>
        </w:rPr>
        <w:t xml:space="preserve">how </w:t>
      </w:r>
      <w:r w:rsidR="00237A3B">
        <w:rPr>
          <w:sz w:val="24"/>
          <w:szCs w:val="24"/>
        </w:rPr>
        <w:t xml:space="preserve">questions, but it does not yet address more underpinning </w:t>
      </w:r>
      <w:r w:rsidR="00237A3B">
        <w:rPr>
          <w:i/>
          <w:sz w:val="24"/>
          <w:szCs w:val="24"/>
        </w:rPr>
        <w:t xml:space="preserve">why </w:t>
      </w:r>
      <w:r w:rsidR="00237A3B">
        <w:rPr>
          <w:sz w:val="24"/>
          <w:szCs w:val="24"/>
        </w:rPr>
        <w:t xml:space="preserve">questions. Further </w:t>
      </w:r>
      <w:r w:rsidR="005A2F8E">
        <w:rPr>
          <w:sz w:val="24"/>
          <w:szCs w:val="24"/>
        </w:rPr>
        <w:t xml:space="preserve">in-depth </w:t>
      </w:r>
      <w:r w:rsidR="006E701E">
        <w:rPr>
          <w:sz w:val="24"/>
          <w:szCs w:val="24"/>
        </w:rPr>
        <w:t xml:space="preserve">investigation </w:t>
      </w:r>
      <w:r w:rsidR="005A2F8E">
        <w:rPr>
          <w:sz w:val="24"/>
          <w:szCs w:val="24"/>
        </w:rPr>
        <w:t xml:space="preserve">is required to begin to reach the underpinning structures shaping the observed functioning </w:t>
      </w:r>
      <w:r w:rsidR="008D10A4">
        <w:rPr>
          <w:sz w:val="24"/>
          <w:szCs w:val="24"/>
        </w:rPr>
        <w:t xml:space="preserve">and effects </w:t>
      </w:r>
      <w:r w:rsidR="005A2F8E">
        <w:rPr>
          <w:sz w:val="24"/>
          <w:szCs w:val="24"/>
        </w:rPr>
        <w:t>of boundary transactions.</w:t>
      </w:r>
      <w:r w:rsidR="00A433FB">
        <w:rPr>
          <w:sz w:val="24"/>
          <w:szCs w:val="24"/>
        </w:rPr>
        <w:t xml:space="preserve"> </w:t>
      </w:r>
    </w:p>
    <w:p w14:paraId="69CC6130" w14:textId="2CD36F66" w:rsidR="00191826" w:rsidRDefault="00F07734" w:rsidP="00A433FB">
      <w:pPr>
        <w:pStyle w:val="Heading3"/>
      </w:pPr>
      <w:bookmarkStart w:id="97" w:name="_Toc31701971"/>
      <w:r>
        <w:t>Interpretive</w:t>
      </w:r>
      <w:r w:rsidR="00E172FD">
        <w:t>, explanatory investigation</w:t>
      </w:r>
      <w:r w:rsidR="002001A2">
        <w:t>: underpinning structures and realities</w:t>
      </w:r>
      <w:bookmarkEnd w:id="97"/>
    </w:p>
    <w:p w14:paraId="728870FC" w14:textId="69FA9320" w:rsidR="00160634" w:rsidRDefault="00167226" w:rsidP="00A433FB">
      <w:pPr>
        <w:spacing w:after="120" w:line="360" w:lineRule="auto"/>
        <w:rPr>
          <w:sz w:val="24"/>
          <w:szCs w:val="24"/>
        </w:rPr>
      </w:pPr>
      <w:r>
        <w:rPr>
          <w:sz w:val="24"/>
          <w:szCs w:val="24"/>
        </w:rPr>
        <w:t xml:space="preserve">The ideal of critical realist research is to reveal underpinning structures and realities which shape the phenomena studied, but whose existence and functioning transcends the specific cases or empirical objects and findings of a given study. </w:t>
      </w:r>
      <w:r w:rsidR="005603F8">
        <w:rPr>
          <w:sz w:val="24"/>
          <w:szCs w:val="24"/>
        </w:rPr>
        <w:t xml:space="preserve">The Bernsteinian lens adopted sees the shaping of academic boundaries as </w:t>
      </w:r>
      <w:r w:rsidR="00782D86">
        <w:rPr>
          <w:sz w:val="24"/>
          <w:szCs w:val="24"/>
        </w:rPr>
        <w:t xml:space="preserve">ultimately </w:t>
      </w:r>
      <w:r w:rsidR="005603F8">
        <w:rPr>
          <w:sz w:val="24"/>
          <w:szCs w:val="24"/>
        </w:rPr>
        <w:t>contingent on underpinning interplays of power and control</w:t>
      </w:r>
      <w:r w:rsidR="00DA17BE">
        <w:rPr>
          <w:sz w:val="24"/>
          <w:szCs w:val="24"/>
        </w:rPr>
        <w:t xml:space="preserve">. </w:t>
      </w:r>
      <w:r w:rsidR="00C96E45">
        <w:rPr>
          <w:sz w:val="24"/>
          <w:szCs w:val="24"/>
        </w:rPr>
        <w:t>Some of the relevant sources of power will of course be associated with academia itself, but this may not be evenly distributed</w:t>
      </w:r>
      <w:r w:rsidR="00537E15">
        <w:rPr>
          <w:sz w:val="24"/>
          <w:szCs w:val="24"/>
        </w:rPr>
        <w:t xml:space="preserve"> </w:t>
      </w:r>
      <w:r w:rsidR="00C96E45">
        <w:rPr>
          <w:sz w:val="24"/>
          <w:szCs w:val="24"/>
        </w:rPr>
        <w:t>within academia</w:t>
      </w:r>
      <w:r w:rsidR="003D4599">
        <w:rPr>
          <w:sz w:val="24"/>
          <w:szCs w:val="24"/>
        </w:rPr>
        <w:t>,</w:t>
      </w:r>
      <w:r w:rsidR="00537E15">
        <w:rPr>
          <w:sz w:val="24"/>
          <w:szCs w:val="24"/>
        </w:rPr>
        <w:t xml:space="preserve"> for example</w:t>
      </w:r>
      <w:r w:rsidR="00C96E45">
        <w:rPr>
          <w:sz w:val="24"/>
          <w:szCs w:val="24"/>
        </w:rPr>
        <w:t xml:space="preserve"> across different institutional and epistemic contexts. </w:t>
      </w:r>
      <w:r w:rsidR="001B6015">
        <w:rPr>
          <w:sz w:val="24"/>
          <w:szCs w:val="24"/>
        </w:rPr>
        <w:t>There will also be external forces of power acting upon academia</w:t>
      </w:r>
      <w:r w:rsidR="00B50752">
        <w:rPr>
          <w:sz w:val="24"/>
          <w:szCs w:val="24"/>
        </w:rPr>
        <w:t xml:space="preserve"> and these may act upon academia in general ways or in ways which are mediated by different academic research contexts.</w:t>
      </w:r>
      <w:r w:rsidR="007D5695">
        <w:rPr>
          <w:sz w:val="24"/>
          <w:szCs w:val="24"/>
        </w:rPr>
        <w:t xml:space="preserve"> </w:t>
      </w:r>
      <w:r w:rsidR="00DA17BE">
        <w:rPr>
          <w:sz w:val="24"/>
          <w:szCs w:val="24"/>
        </w:rPr>
        <w:t xml:space="preserve">In my study, academia’s power over its boundaries is indicated by its ‘boundedness’ in the typology analysis, which was interpreted as indicating the extent to which academia’s </w:t>
      </w:r>
      <w:r w:rsidR="00C265A2">
        <w:rPr>
          <w:sz w:val="24"/>
          <w:szCs w:val="24"/>
        </w:rPr>
        <w:t xml:space="preserve">research </w:t>
      </w:r>
      <w:r w:rsidR="004914EC">
        <w:rPr>
          <w:sz w:val="24"/>
          <w:szCs w:val="24"/>
        </w:rPr>
        <w:t xml:space="preserve">activities </w:t>
      </w:r>
      <w:r w:rsidR="00C265A2">
        <w:rPr>
          <w:sz w:val="24"/>
          <w:szCs w:val="24"/>
        </w:rPr>
        <w:t xml:space="preserve">and related </w:t>
      </w:r>
      <w:r w:rsidR="00B81BDB">
        <w:rPr>
          <w:sz w:val="24"/>
          <w:szCs w:val="24"/>
        </w:rPr>
        <w:t>boundary transactions</w:t>
      </w:r>
      <w:r w:rsidR="00C265A2">
        <w:rPr>
          <w:sz w:val="24"/>
          <w:szCs w:val="24"/>
        </w:rPr>
        <w:t xml:space="preserve"> </w:t>
      </w:r>
      <w:r w:rsidR="00DA17BE">
        <w:rPr>
          <w:sz w:val="24"/>
          <w:szCs w:val="24"/>
        </w:rPr>
        <w:t>were found to tend towards the reproduction of boundaries rather than their weakening. The goal is therefore to reveal and understand how power operates on academic research and research-related boundary transactions.</w:t>
      </w:r>
    </w:p>
    <w:p w14:paraId="05C2D4C6" w14:textId="469292BD" w:rsidR="00B50752" w:rsidRDefault="00B50752" w:rsidP="00A433FB">
      <w:pPr>
        <w:spacing w:after="120" w:line="360" w:lineRule="auto"/>
        <w:rPr>
          <w:sz w:val="24"/>
          <w:szCs w:val="24"/>
        </w:rPr>
      </w:pPr>
      <w:r>
        <w:rPr>
          <w:sz w:val="24"/>
          <w:szCs w:val="24"/>
        </w:rPr>
        <w:t>Th</w:t>
      </w:r>
      <w:r w:rsidR="00D64ED3">
        <w:rPr>
          <w:sz w:val="24"/>
          <w:szCs w:val="24"/>
        </w:rPr>
        <w:t>is</w:t>
      </w:r>
      <w:r w:rsidR="00DA17BE">
        <w:rPr>
          <w:sz w:val="24"/>
          <w:szCs w:val="24"/>
        </w:rPr>
        <w:t xml:space="preserve"> stage of analysis</w:t>
      </w:r>
      <w:r>
        <w:rPr>
          <w:sz w:val="24"/>
          <w:szCs w:val="24"/>
        </w:rPr>
        <w:t xml:space="preserve"> therefore starts by aiming to explain empirical findings of th</w:t>
      </w:r>
      <w:r w:rsidR="00A37408">
        <w:rPr>
          <w:sz w:val="24"/>
          <w:szCs w:val="24"/>
        </w:rPr>
        <w:t>e analysis of the typology data</w:t>
      </w:r>
      <w:r w:rsidR="00DB435D">
        <w:rPr>
          <w:sz w:val="24"/>
          <w:szCs w:val="24"/>
        </w:rPr>
        <w:t>, specifically th</w:t>
      </w:r>
      <w:r w:rsidR="00A37408">
        <w:rPr>
          <w:sz w:val="24"/>
          <w:szCs w:val="24"/>
        </w:rPr>
        <w:t>e</w:t>
      </w:r>
      <w:r w:rsidR="00DB435D">
        <w:rPr>
          <w:sz w:val="24"/>
          <w:szCs w:val="24"/>
        </w:rPr>
        <w:t xml:space="preserve"> observed</w:t>
      </w:r>
      <w:r w:rsidR="00A37408">
        <w:rPr>
          <w:sz w:val="24"/>
          <w:szCs w:val="24"/>
        </w:rPr>
        <w:t xml:space="preserve"> variations </w:t>
      </w:r>
      <w:r w:rsidR="00E826DC">
        <w:rPr>
          <w:sz w:val="24"/>
          <w:szCs w:val="24"/>
        </w:rPr>
        <w:t>across institutional and epistemic backgroun</w:t>
      </w:r>
      <w:r w:rsidR="00BC5641">
        <w:rPr>
          <w:sz w:val="24"/>
          <w:szCs w:val="24"/>
        </w:rPr>
        <w:t>d</w:t>
      </w:r>
      <w:r w:rsidR="004556BC">
        <w:rPr>
          <w:sz w:val="24"/>
          <w:szCs w:val="24"/>
        </w:rPr>
        <w:t>. It draws</w:t>
      </w:r>
      <w:r w:rsidR="00806F2F">
        <w:rPr>
          <w:sz w:val="24"/>
          <w:szCs w:val="24"/>
        </w:rPr>
        <w:t xml:space="preserve"> ‘intensively’ </w:t>
      </w:r>
      <w:r w:rsidR="00806F2F">
        <w:rPr>
          <w:sz w:val="24"/>
          <w:szCs w:val="24"/>
        </w:rPr>
        <w:fldChar w:fldCharType="begin"/>
      </w:r>
      <w:r w:rsidR="00806F2F">
        <w:rPr>
          <w:sz w:val="24"/>
          <w:szCs w:val="24"/>
        </w:rPr>
        <w:instrText xml:space="preserve"> ADDIN EN.CITE &lt;EndNote&gt;&lt;Cite&gt;&lt;Author&gt;Danermark&lt;/Author&gt;&lt;Year&gt;2002&lt;/Year&gt;&lt;IDText&gt;Explaining society: critical realism in the social sciences&lt;/IDText&gt;&lt;DisplayText&gt;(Danermark et al., 2002)&lt;/DisplayText&gt;&lt;record&gt;&lt;keywords&gt;&lt;keyword&gt;Sociology -- Methodology&lt;/keyword&gt;&lt;keyword&gt;Social sciences -- Methodology&lt;/keyword&gt;&lt;keyword&gt;Critical realism&lt;/keyword&gt;&lt;keyword&gt;Philosophy, Modern&lt;/keyword&gt;&lt;keyword&gt;Realism&lt;/keyword&gt;&lt;/keywords&gt;&lt;titles&gt;&lt;title&gt;Explaining society: critical realism in the social sciences&lt;/title&gt;&lt;/titles&gt;&lt;contributors&gt;&lt;authors&gt;&lt;author&gt;Danermark, Berth&lt;/author&gt;&lt;author&gt;Ekstrom, Mats&lt;/author&gt;&lt;author&gt;Jakobsen, Liselotte&lt;/author&gt;&lt;author&gt;Karlsson, Jan Ch.&lt;/author&gt;&lt;/authors&gt;&lt;/contributors&gt;&lt;added-date format="utc"&gt;1530802367&lt;/added-date&gt;&lt;pub-location&gt;London&lt;/pub-location&gt;&lt;ref-type name="Book"&gt;6&lt;/ref-type&gt;&lt;dates&gt;&lt;year&gt;2002&lt;/year&gt;&lt;/dates&gt;&lt;rec-number&gt;7593&lt;/rec-number&gt;&lt;publisher&gt;Routledge&lt;/publisher&gt;&lt;last-updated-date format="utc"&gt;1530804819&lt;/last-updated-date&gt;&lt;/record&gt;&lt;/Cite&gt;&lt;/EndNote&gt;</w:instrText>
      </w:r>
      <w:r w:rsidR="00806F2F">
        <w:rPr>
          <w:sz w:val="24"/>
          <w:szCs w:val="24"/>
        </w:rPr>
        <w:fldChar w:fldCharType="separate"/>
      </w:r>
      <w:r w:rsidR="00806F2F">
        <w:rPr>
          <w:noProof/>
          <w:sz w:val="24"/>
          <w:szCs w:val="24"/>
        </w:rPr>
        <w:t>(Danermark et al., 2002)</w:t>
      </w:r>
      <w:r w:rsidR="00806F2F">
        <w:rPr>
          <w:sz w:val="24"/>
          <w:szCs w:val="24"/>
        </w:rPr>
        <w:fldChar w:fldCharType="end"/>
      </w:r>
      <w:r w:rsidR="004556BC">
        <w:rPr>
          <w:sz w:val="24"/>
          <w:szCs w:val="24"/>
        </w:rPr>
        <w:t xml:space="preserve"> on the interviews</w:t>
      </w:r>
      <w:r w:rsidR="00B0337B">
        <w:rPr>
          <w:sz w:val="24"/>
          <w:szCs w:val="24"/>
        </w:rPr>
        <w:t xml:space="preserve"> and</w:t>
      </w:r>
      <w:r w:rsidR="004556BC">
        <w:rPr>
          <w:sz w:val="24"/>
          <w:szCs w:val="24"/>
        </w:rPr>
        <w:t xml:space="preserve"> analysis of the distribution of types of boundary transaction across different research contexts</w:t>
      </w:r>
      <w:r w:rsidR="00B0337B">
        <w:rPr>
          <w:sz w:val="24"/>
          <w:szCs w:val="24"/>
        </w:rPr>
        <w:t xml:space="preserve"> in order to seek explanations for variations between</w:t>
      </w:r>
      <w:r w:rsidR="00B0432F">
        <w:rPr>
          <w:sz w:val="24"/>
          <w:szCs w:val="24"/>
        </w:rPr>
        <w:t xml:space="preserve"> different institutional and epistemic</w:t>
      </w:r>
      <w:r w:rsidR="00B0337B">
        <w:rPr>
          <w:sz w:val="24"/>
          <w:szCs w:val="24"/>
        </w:rPr>
        <w:t xml:space="preserve"> contexts. </w:t>
      </w:r>
      <w:r w:rsidR="00AE2D98">
        <w:rPr>
          <w:sz w:val="24"/>
          <w:szCs w:val="24"/>
        </w:rPr>
        <w:t xml:space="preserve">Given the theoretical discussion in Chapter 2 highlighting the importance of ‘control’ over boundary transactions, the in-depth analysis here seeks </w:t>
      </w:r>
      <w:r w:rsidR="007D5695">
        <w:rPr>
          <w:sz w:val="24"/>
          <w:szCs w:val="24"/>
        </w:rPr>
        <w:t>patterns of different levels of control over</w:t>
      </w:r>
      <w:r w:rsidR="00503126">
        <w:rPr>
          <w:sz w:val="24"/>
          <w:szCs w:val="24"/>
        </w:rPr>
        <w:t xml:space="preserve"> transactions</w:t>
      </w:r>
      <w:r w:rsidR="005E4723">
        <w:rPr>
          <w:sz w:val="24"/>
          <w:szCs w:val="24"/>
        </w:rPr>
        <w:t xml:space="preserve">, </w:t>
      </w:r>
      <w:r w:rsidR="007D5695">
        <w:rPr>
          <w:sz w:val="24"/>
          <w:szCs w:val="24"/>
        </w:rPr>
        <w:t>as well as different forms</w:t>
      </w:r>
      <w:r w:rsidR="00A14F0E">
        <w:rPr>
          <w:sz w:val="24"/>
          <w:szCs w:val="24"/>
        </w:rPr>
        <w:t xml:space="preserve"> of</w:t>
      </w:r>
      <w:r w:rsidR="007D5695">
        <w:rPr>
          <w:sz w:val="24"/>
          <w:szCs w:val="24"/>
        </w:rPr>
        <w:t xml:space="preserve"> boundary transaction</w:t>
      </w:r>
      <w:r w:rsidR="00503126">
        <w:rPr>
          <w:sz w:val="24"/>
          <w:szCs w:val="24"/>
        </w:rPr>
        <w:t>,</w:t>
      </w:r>
      <w:r w:rsidR="007D5695">
        <w:rPr>
          <w:sz w:val="24"/>
          <w:szCs w:val="24"/>
        </w:rPr>
        <w:t xml:space="preserve"> as possible</w:t>
      </w:r>
      <w:r w:rsidR="00975134">
        <w:rPr>
          <w:sz w:val="24"/>
          <w:szCs w:val="24"/>
        </w:rPr>
        <w:t xml:space="preserve"> explanatory mechanisms</w:t>
      </w:r>
      <w:r w:rsidR="00CE3295">
        <w:rPr>
          <w:sz w:val="24"/>
          <w:szCs w:val="24"/>
        </w:rPr>
        <w:t xml:space="preserve">. </w:t>
      </w:r>
      <w:r w:rsidR="00DB435D">
        <w:rPr>
          <w:sz w:val="24"/>
          <w:szCs w:val="24"/>
        </w:rPr>
        <w:t xml:space="preserve">For example, it finds that researchers in ‘elite’ departmental contexts exhibit greater control over the knowledge </w:t>
      </w:r>
      <w:r w:rsidR="002C0A00">
        <w:rPr>
          <w:sz w:val="24"/>
          <w:szCs w:val="24"/>
        </w:rPr>
        <w:t xml:space="preserve">production process </w:t>
      </w:r>
      <w:r w:rsidR="00DB435D">
        <w:rPr>
          <w:sz w:val="24"/>
          <w:szCs w:val="24"/>
        </w:rPr>
        <w:t xml:space="preserve">than researchers in ‘non-elite’ contexts, </w:t>
      </w:r>
      <w:r w:rsidR="00D7534A">
        <w:rPr>
          <w:sz w:val="24"/>
          <w:szCs w:val="24"/>
        </w:rPr>
        <w:t>with the latter</w:t>
      </w:r>
      <w:r w:rsidR="00DB435D">
        <w:rPr>
          <w:sz w:val="24"/>
          <w:szCs w:val="24"/>
        </w:rPr>
        <w:t xml:space="preserve"> more likely to share ownership over knowledge production with non-academic collaborators. </w:t>
      </w:r>
      <w:r w:rsidR="00B2635A">
        <w:rPr>
          <w:sz w:val="24"/>
          <w:szCs w:val="24"/>
        </w:rPr>
        <w:t xml:space="preserve">As another example, it finds that Life scientists often cede significantly </w:t>
      </w:r>
      <w:r w:rsidR="00093DDA">
        <w:rPr>
          <w:sz w:val="24"/>
          <w:szCs w:val="24"/>
        </w:rPr>
        <w:t xml:space="preserve">greater </w:t>
      </w:r>
      <w:r w:rsidR="00B2635A">
        <w:rPr>
          <w:sz w:val="24"/>
          <w:szCs w:val="24"/>
        </w:rPr>
        <w:t xml:space="preserve">control </w:t>
      </w:r>
      <w:r w:rsidR="00093DDA">
        <w:rPr>
          <w:sz w:val="24"/>
          <w:szCs w:val="24"/>
        </w:rPr>
        <w:t xml:space="preserve">than Formal scientists do to non-academic collaborators and users </w:t>
      </w:r>
      <w:r w:rsidR="00B2635A">
        <w:rPr>
          <w:sz w:val="24"/>
          <w:szCs w:val="24"/>
        </w:rPr>
        <w:t>over the forms of boundary transaction</w:t>
      </w:r>
      <w:r w:rsidR="006E0DC2">
        <w:rPr>
          <w:sz w:val="24"/>
          <w:szCs w:val="24"/>
        </w:rPr>
        <w:t>. This occurs</w:t>
      </w:r>
      <w:r w:rsidR="00093DDA">
        <w:rPr>
          <w:sz w:val="24"/>
          <w:szCs w:val="24"/>
        </w:rPr>
        <w:t xml:space="preserve"> largely because the latter almost exclusively engage with non-academics who themselves have relevant doctoral qualifications and significant academic/scientific expertise and therefore are willing and able to accept forms of transaction which are relatively unchanged from their ‘natural’ academic form, for example advance technologies, patents or technical articles or other reports, whereas Life scientists often engage with actors who have a legitimate and relatively powerful stake in the topic, but whose non-scientific background means that they demand more user-friendly and less scientific forms of output such as lay-summaries and workshops</w:t>
      </w:r>
      <w:r w:rsidR="00CB75CB">
        <w:rPr>
          <w:sz w:val="24"/>
          <w:szCs w:val="24"/>
        </w:rPr>
        <w:t xml:space="preserve">, over which academics have inherently less control. </w:t>
      </w:r>
    </w:p>
    <w:p w14:paraId="12622C78" w14:textId="6C6AB3D0" w:rsidR="001A05FA" w:rsidRDefault="006917A8" w:rsidP="0036597B">
      <w:pPr>
        <w:spacing w:after="120" w:line="360" w:lineRule="auto"/>
        <w:rPr>
          <w:sz w:val="24"/>
          <w:szCs w:val="24"/>
        </w:rPr>
      </w:pPr>
      <w:r>
        <w:rPr>
          <w:sz w:val="24"/>
          <w:szCs w:val="24"/>
        </w:rPr>
        <w:t xml:space="preserve">By focusing on the </w:t>
      </w:r>
      <w:r w:rsidR="002A0750">
        <w:rPr>
          <w:sz w:val="24"/>
          <w:szCs w:val="24"/>
        </w:rPr>
        <w:t>observed variations in the</w:t>
      </w:r>
      <w:r w:rsidR="00782E72">
        <w:rPr>
          <w:sz w:val="24"/>
          <w:szCs w:val="24"/>
        </w:rPr>
        <w:t xml:space="preserve"> power and control over</w:t>
      </w:r>
      <w:r w:rsidR="002A0750">
        <w:rPr>
          <w:sz w:val="24"/>
          <w:szCs w:val="24"/>
        </w:rPr>
        <w:t xml:space="preserve"> academic</w:t>
      </w:r>
      <w:r w:rsidR="00782E72">
        <w:rPr>
          <w:sz w:val="24"/>
          <w:szCs w:val="24"/>
        </w:rPr>
        <w:t xml:space="preserve"> boundaries and boundary transactions</w:t>
      </w:r>
      <w:r w:rsidR="002A0750">
        <w:rPr>
          <w:sz w:val="24"/>
          <w:szCs w:val="24"/>
        </w:rPr>
        <w:t xml:space="preserve"> exhibited by different contexts of academic research – </w:t>
      </w:r>
      <w:r>
        <w:rPr>
          <w:sz w:val="24"/>
          <w:szCs w:val="24"/>
        </w:rPr>
        <w:t>such as more and less ‘prestigious’ departmental contexts, different branches of science, and more applied and more basic disciplinary contexts</w:t>
      </w:r>
      <w:r w:rsidR="002A0750">
        <w:rPr>
          <w:sz w:val="24"/>
          <w:szCs w:val="24"/>
        </w:rPr>
        <w:t xml:space="preserve"> –</w:t>
      </w:r>
      <w:r>
        <w:rPr>
          <w:sz w:val="24"/>
          <w:szCs w:val="24"/>
        </w:rPr>
        <w:t xml:space="preserve"> the analysis </w:t>
      </w:r>
      <w:r w:rsidR="00E32D3D">
        <w:rPr>
          <w:sz w:val="24"/>
          <w:szCs w:val="24"/>
        </w:rPr>
        <w:t>is precise and evidence-based in terms of how it brings</w:t>
      </w:r>
      <w:r>
        <w:rPr>
          <w:sz w:val="24"/>
          <w:szCs w:val="24"/>
        </w:rPr>
        <w:t xml:space="preserve"> into focus </w:t>
      </w:r>
      <w:r w:rsidR="00E32D3D">
        <w:rPr>
          <w:sz w:val="24"/>
          <w:szCs w:val="24"/>
        </w:rPr>
        <w:t>the relevant underpinning</w:t>
      </w:r>
      <w:r>
        <w:rPr>
          <w:sz w:val="24"/>
          <w:szCs w:val="24"/>
        </w:rPr>
        <w:t xml:space="preserve"> sources of power</w:t>
      </w:r>
      <w:r w:rsidR="001A05FA">
        <w:rPr>
          <w:sz w:val="24"/>
          <w:szCs w:val="24"/>
        </w:rPr>
        <w:t xml:space="preserve">. </w:t>
      </w:r>
      <w:r w:rsidR="00AF5692">
        <w:rPr>
          <w:sz w:val="24"/>
          <w:szCs w:val="24"/>
        </w:rPr>
        <w:t>A</w:t>
      </w:r>
      <w:r w:rsidR="00B3559B">
        <w:rPr>
          <w:sz w:val="24"/>
          <w:szCs w:val="24"/>
        </w:rPr>
        <w:t xml:space="preserve">ll claims regarding </w:t>
      </w:r>
      <w:r w:rsidR="000642BB">
        <w:rPr>
          <w:sz w:val="24"/>
          <w:szCs w:val="24"/>
        </w:rPr>
        <w:t>the significance</w:t>
      </w:r>
      <w:r w:rsidR="001A05FA">
        <w:rPr>
          <w:sz w:val="24"/>
          <w:szCs w:val="24"/>
        </w:rPr>
        <w:t xml:space="preserve"> of </w:t>
      </w:r>
      <w:r w:rsidR="00B3559B">
        <w:rPr>
          <w:sz w:val="24"/>
          <w:szCs w:val="24"/>
        </w:rPr>
        <w:t xml:space="preserve">sources of power are </w:t>
      </w:r>
      <w:r w:rsidR="001A05FA">
        <w:rPr>
          <w:sz w:val="24"/>
          <w:szCs w:val="24"/>
        </w:rPr>
        <w:t xml:space="preserve">(i) </w:t>
      </w:r>
      <w:r w:rsidR="00B3559B">
        <w:rPr>
          <w:sz w:val="24"/>
          <w:szCs w:val="24"/>
        </w:rPr>
        <w:t xml:space="preserve">derived directly from the interview and documentary data and </w:t>
      </w:r>
      <w:r w:rsidR="001A05FA">
        <w:rPr>
          <w:sz w:val="24"/>
          <w:szCs w:val="24"/>
        </w:rPr>
        <w:t xml:space="preserve">(ii) scrutinised and selected for their plausibility as explaining the empirical results of the interpretive quantitative analysis of the typology data. </w:t>
      </w:r>
      <w:r w:rsidR="0036597B">
        <w:rPr>
          <w:sz w:val="24"/>
          <w:szCs w:val="24"/>
        </w:rPr>
        <w:t xml:space="preserve">The sources of power emerging from this analysis therefore can be understood, from the critical realist perspective, as elements of </w:t>
      </w:r>
      <w:r w:rsidR="0036381F">
        <w:rPr>
          <w:sz w:val="24"/>
          <w:szCs w:val="24"/>
        </w:rPr>
        <w:t>underpinning structures whose operations</w:t>
      </w:r>
      <w:r w:rsidR="001B5DA6">
        <w:rPr>
          <w:sz w:val="24"/>
          <w:szCs w:val="24"/>
        </w:rPr>
        <w:t xml:space="preserve"> shape and</w:t>
      </w:r>
      <w:r w:rsidR="0036381F">
        <w:rPr>
          <w:sz w:val="24"/>
          <w:szCs w:val="24"/>
        </w:rPr>
        <w:t xml:space="preserve"> </w:t>
      </w:r>
      <w:r w:rsidR="001B5DA6">
        <w:rPr>
          <w:sz w:val="24"/>
          <w:szCs w:val="24"/>
        </w:rPr>
        <w:t>transcend the specific phenomena studied</w:t>
      </w:r>
      <w:r w:rsidR="0036597B">
        <w:rPr>
          <w:sz w:val="24"/>
          <w:szCs w:val="24"/>
        </w:rPr>
        <w:t xml:space="preserve">. The final section of the Analysis (Chapter </w:t>
      </w:r>
      <w:r w:rsidR="0067117F">
        <w:rPr>
          <w:sz w:val="24"/>
          <w:szCs w:val="24"/>
        </w:rPr>
        <w:t>4</w:t>
      </w:r>
      <w:r w:rsidR="0036597B">
        <w:rPr>
          <w:sz w:val="24"/>
          <w:szCs w:val="24"/>
        </w:rPr>
        <w:t xml:space="preserve">), entitled </w:t>
      </w:r>
      <w:r w:rsidR="0036597B">
        <w:rPr>
          <w:i/>
          <w:sz w:val="24"/>
          <w:szCs w:val="24"/>
        </w:rPr>
        <w:t>Towards an explanatory analysis</w:t>
      </w:r>
      <w:r w:rsidR="0036597B">
        <w:rPr>
          <w:sz w:val="24"/>
          <w:szCs w:val="24"/>
        </w:rPr>
        <w:t xml:space="preserve">, focuses </w:t>
      </w:r>
      <w:r w:rsidR="0022354B">
        <w:rPr>
          <w:sz w:val="24"/>
          <w:szCs w:val="24"/>
        </w:rPr>
        <w:t xml:space="preserve">on </w:t>
      </w:r>
      <w:r w:rsidR="0036597B">
        <w:rPr>
          <w:sz w:val="24"/>
          <w:szCs w:val="24"/>
        </w:rPr>
        <w:t>how the data is suggestive of certain underpinning structures and sources of power shaping the boundary transactions and their role in boundary reproduction</w:t>
      </w:r>
      <w:r w:rsidR="007848D7">
        <w:rPr>
          <w:sz w:val="24"/>
          <w:szCs w:val="24"/>
        </w:rPr>
        <w:t>. T</w:t>
      </w:r>
      <w:r w:rsidR="0036597B">
        <w:rPr>
          <w:sz w:val="24"/>
          <w:szCs w:val="24"/>
        </w:rPr>
        <w:t xml:space="preserve">he Discussion (Chapter </w:t>
      </w:r>
      <w:r w:rsidR="0067117F">
        <w:rPr>
          <w:sz w:val="24"/>
          <w:szCs w:val="24"/>
        </w:rPr>
        <w:t>5</w:t>
      </w:r>
      <w:r w:rsidR="0036597B">
        <w:rPr>
          <w:sz w:val="24"/>
          <w:szCs w:val="24"/>
        </w:rPr>
        <w:t xml:space="preserve">) is dedicated primarily to elucidating and exploring the </w:t>
      </w:r>
      <w:r w:rsidR="00DB3D4B">
        <w:rPr>
          <w:sz w:val="24"/>
          <w:szCs w:val="24"/>
        </w:rPr>
        <w:t xml:space="preserve">explanatory </w:t>
      </w:r>
      <w:r w:rsidR="0036597B">
        <w:rPr>
          <w:sz w:val="24"/>
          <w:szCs w:val="24"/>
        </w:rPr>
        <w:t xml:space="preserve">plausibility of the underpinning structures emerging from </w:t>
      </w:r>
      <w:r w:rsidR="00DB3D4B">
        <w:rPr>
          <w:sz w:val="24"/>
          <w:szCs w:val="24"/>
        </w:rPr>
        <w:t>my</w:t>
      </w:r>
      <w:r w:rsidR="0036597B">
        <w:rPr>
          <w:sz w:val="24"/>
          <w:szCs w:val="24"/>
        </w:rPr>
        <w:t xml:space="preserve"> analysis</w:t>
      </w:r>
      <w:r w:rsidR="00DB3D4B">
        <w:rPr>
          <w:sz w:val="24"/>
          <w:szCs w:val="24"/>
        </w:rPr>
        <w:t xml:space="preserve"> </w:t>
      </w:r>
      <w:r w:rsidR="0036597B">
        <w:rPr>
          <w:sz w:val="24"/>
          <w:szCs w:val="24"/>
        </w:rPr>
        <w:t>in relation to existing</w:t>
      </w:r>
      <w:r w:rsidR="00A27A1D">
        <w:rPr>
          <w:sz w:val="24"/>
          <w:szCs w:val="24"/>
        </w:rPr>
        <w:t xml:space="preserve"> empirical and theoretical</w:t>
      </w:r>
      <w:r w:rsidR="0036597B">
        <w:rPr>
          <w:sz w:val="24"/>
          <w:szCs w:val="24"/>
        </w:rPr>
        <w:t xml:space="preserve"> </w:t>
      </w:r>
      <w:r w:rsidR="00A27A1D">
        <w:rPr>
          <w:sz w:val="24"/>
          <w:szCs w:val="24"/>
        </w:rPr>
        <w:t>literature</w:t>
      </w:r>
      <w:r w:rsidR="0036597B">
        <w:rPr>
          <w:sz w:val="24"/>
          <w:szCs w:val="24"/>
        </w:rPr>
        <w:t>.</w:t>
      </w:r>
    </w:p>
    <w:p w14:paraId="62DF7EAF" w14:textId="3CC89235" w:rsidR="00082217" w:rsidRPr="00D57957" w:rsidRDefault="00082217" w:rsidP="00CE1B98">
      <w:pPr>
        <w:pStyle w:val="Heading2"/>
      </w:pPr>
      <w:bookmarkStart w:id="98" w:name="_Toc536717945"/>
      <w:bookmarkStart w:id="99" w:name="_Toc31701972"/>
      <w:r>
        <w:t>Validity and generalisability</w:t>
      </w:r>
      <w:bookmarkEnd w:id="98"/>
      <w:bookmarkEnd w:id="99"/>
    </w:p>
    <w:p w14:paraId="330BF031" w14:textId="77777777" w:rsidR="00082217" w:rsidRDefault="00082217" w:rsidP="00082217">
      <w:pPr>
        <w:spacing w:after="120" w:line="360" w:lineRule="auto"/>
        <w:rPr>
          <w:rFonts w:eastAsia="Times New Roman"/>
          <w:sz w:val="24"/>
          <w:szCs w:val="24"/>
        </w:rPr>
      </w:pPr>
      <w:r>
        <w:rPr>
          <w:rFonts w:eastAsia="Times New Roman"/>
          <w:sz w:val="24"/>
          <w:szCs w:val="24"/>
        </w:rPr>
        <w:t xml:space="preserve">Maxwell </w:t>
      </w:r>
      <w:r w:rsidR="00233012">
        <w:rPr>
          <w:rFonts w:eastAsia="Times New Roman"/>
          <w:sz w:val="24"/>
          <w:szCs w:val="24"/>
        </w:rPr>
        <w:fldChar w:fldCharType="begin"/>
      </w:r>
      <w:r>
        <w:rPr>
          <w:rFonts w:eastAsia="Times New Roman"/>
          <w:sz w:val="24"/>
          <w:szCs w:val="24"/>
        </w:rPr>
        <w:instrText xml:space="preserve"> ADDIN EN.CITE &lt;EndNote&gt;&lt;Cite ExcludeAuth="1"&gt;&lt;Author&gt;Maxwell&lt;/Author&gt;&lt;Year&gt;2013&lt;/Year&gt;&lt;IDText&gt;Qualitative research design: an interactive approach&lt;/IDText&gt;&lt;Pages&gt;126-129&lt;/Pages&gt;&lt;DisplayText&gt;(2013, pp. 126-129)&lt;/DisplayText&gt;&lt;record&gt;&lt;keywords&gt;&lt;keyword&gt;Research -- Methodology&lt;/keyword&gt;&lt;/keywords&gt;&lt;titles&gt;&lt;title&gt;Qualitative research design: an interactive approach&lt;/title&gt;&lt;/titles&gt;&lt;contributors&gt;&lt;authors&gt;&lt;author&gt;Maxwell, Joseph Alex&lt;/author&gt;&lt;/authors&gt;&lt;/contributors&gt;&lt;edition&gt;3rd&lt;/edition&gt;&lt;added-date format="utc"&gt;1468342713&lt;/added-date&gt;&lt;pub-location&gt;Los Angeles&lt;/pub-location&gt;&lt;ref-type name="Book"&gt;6&lt;/ref-type&gt;&lt;dates&gt;&lt;year&gt;2013&lt;/year&gt;&lt;/dates&gt;&lt;rec-number&gt;425&lt;/rec-number&gt;&lt;publisher&gt;SAGE&lt;/publisher&gt;&lt;last-updated-date format="utc"&gt;1517618938&lt;/last-updated-date&gt;&lt;/record&gt;&lt;/Cite&gt;&lt;/EndNote&gt;</w:instrText>
      </w:r>
      <w:r w:rsidR="00233012">
        <w:rPr>
          <w:rFonts w:eastAsia="Times New Roman"/>
          <w:sz w:val="24"/>
          <w:szCs w:val="24"/>
        </w:rPr>
        <w:fldChar w:fldCharType="separate"/>
      </w:r>
      <w:r>
        <w:rPr>
          <w:rFonts w:eastAsia="Times New Roman"/>
          <w:noProof/>
          <w:sz w:val="24"/>
          <w:szCs w:val="24"/>
        </w:rPr>
        <w:t>(2013, pp. 126-129)</w:t>
      </w:r>
      <w:r w:rsidR="00233012">
        <w:rPr>
          <w:rFonts w:eastAsia="Times New Roman"/>
          <w:sz w:val="24"/>
          <w:szCs w:val="24"/>
        </w:rPr>
        <w:fldChar w:fldCharType="end"/>
      </w:r>
      <w:r>
        <w:rPr>
          <w:rFonts w:eastAsia="Times New Roman"/>
          <w:sz w:val="24"/>
          <w:szCs w:val="24"/>
        </w:rPr>
        <w:t xml:space="preserve"> describes eight strategies that may be employed to test validity of qualitative research: collecting </w:t>
      </w:r>
      <w:r>
        <w:rPr>
          <w:rFonts w:eastAsia="Times New Roman"/>
          <w:i/>
          <w:sz w:val="24"/>
          <w:szCs w:val="24"/>
        </w:rPr>
        <w:t xml:space="preserve">rich </w:t>
      </w:r>
      <w:r>
        <w:rPr>
          <w:rFonts w:eastAsia="Times New Roman"/>
          <w:sz w:val="24"/>
          <w:szCs w:val="24"/>
        </w:rPr>
        <w:t xml:space="preserve">data; being </w:t>
      </w:r>
      <w:r w:rsidRPr="00301F7F">
        <w:rPr>
          <w:rFonts w:eastAsia="Times New Roman"/>
          <w:i/>
          <w:sz w:val="24"/>
          <w:szCs w:val="24"/>
        </w:rPr>
        <w:t>intensively involved</w:t>
      </w:r>
      <w:r>
        <w:rPr>
          <w:rFonts w:eastAsia="Times New Roman"/>
          <w:sz w:val="24"/>
          <w:szCs w:val="24"/>
        </w:rPr>
        <w:t xml:space="preserve"> in the data; soliciting </w:t>
      </w:r>
      <w:r>
        <w:rPr>
          <w:rFonts w:eastAsia="Times New Roman"/>
          <w:i/>
          <w:sz w:val="24"/>
          <w:szCs w:val="24"/>
        </w:rPr>
        <w:t>participant</w:t>
      </w:r>
      <w:r>
        <w:rPr>
          <w:rFonts w:eastAsia="Times New Roman"/>
          <w:sz w:val="24"/>
          <w:szCs w:val="24"/>
        </w:rPr>
        <w:t xml:space="preserve"> </w:t>
      </w:r>
      <w:r>
        <w:rPr>
          <w:rFonts w:eastAsia="Times New Roman"/>
          <w:i/>
          <w:sz w:val="24"/>
          <w:szCs w:val="24"/>
        </w:rPr>
        <w:t>validation</w:t>
      </w:r>
      <w:r>
        <w:rPr>
          <w:rFonts w:eastAsia="Times New Roman"/>
          <w:sz w:val="24"/>
          <w:szCs w:val="24"/>
        </w:rPr>
        <w:t xml:space="preserve"> of your interpretation of events; </w:t>
      </w:r>
      <w:r>
        <w:rPr>
          <w:rFonts w:eastAsia="Times New Roman"/>
          <w:i/>
          <w:sz w:val="24"/>
          <w:szCs w:val="24"/>
        </w:rPr>
        <w:t xml:space="preserve">intervening </w:t>
      </w:r>
      <w:r>
        <w:rPr>
          <w:rFonts w:eastAsia="Times New Roman"/>
          <w:sz w:val="24"/>
          <w:szCs w:val="24"/>
        </w:rPr>
        <w:t xml:space="preserve">in the social world; searching for </w:t>
      </w:r>
      <w:r w:rsidRPr="00AD57AF">
        <w:rPr>
          <w:rFonts w:eastAsia="Times New Roman"/>
          <w:i/>
          <w:sz w:val="24"/>
          <w:szCs w:val="24"/>
        </w:rPr>
        <w:t>discrepant evidence</w:t>
      </w:r>
      <w:r>
        <w:rPr>
          <w:rFonts w:eastAsia="Times New Roman"/>
          <w:sz w:val="24"/>
          <w:szCs w:val="24"/>
        </w:rPr>
        <w:t xml:space="preserve">; </w:t>
      </w:r>
      <w:r w:rsidRPr="008F6313">
        <w:rPr>
          <w:rFonts w:eastAsia="Times New Roman"/>
          <w:i/>
          <w:sz w:val="24"/>
          <w:szCs w:val="24"/>
        </w:rPr>
        <w:t>triangulation</w:t>
      </w:r>
      <w:r>
        <w:rPr>
          <w:rFonts w:eastAsia="Times New Roman"/>
          <w:sz w:val="24"/>
          <w:szCs w:val="24"/>
        </w:rPr>
        <w:t xml:space="preserve">; introducing an explicit </w:t>
      </w:r>
      <w:r>
        <w:rPr>
          <w:rFonts w:eastAsia="Times New Roman"/>
          <w:i/>
          <w:sz w:val="24"/>
          <w:szCs w:val="24"/>
        </w:rPr>
        <w:t>quantitative element</w:t>
      </w:r>
      <w:r>
        <w:rPr>
          <w:rFonts w:eastAsia="Times New Roman"/>
          <w:sz w:val="24"/>
          <w:szCs w:val="24"/>
        </w:rPr>
        <w:t xml:space="preserve">; </w:t>
      </w:r>
      <w:r>
        <w:rPr>
          <w:rFonts w:eastAsia="Times New Roman"/>
          <w:i/>
          <w:sz w:val="24"/>
          <w:szCs w:val="24"/>
        </w:rPr>
        <w:t>comparing cases</w:t>
      </w:r>
      <w:r>
        <w:rPr>
          <w:rFonts w:eastAsia="Times New Roman"/>
          <w:sz w:val="24"/>
          <w:szCs w:val="24"/>
        </w:rPr>
        <w:t xml:space="preserve">. Of these eight, I adopt elements of seven, with only </w:t>
      </w:r>
      <w:r>
        <w:rPr>
          <w:rFonts w:eastAsia="Times New Roman"/>
          <w:i/>
          <w:sz w:val="24"/>
          <w:szCs w:val="24"/>
        </w:rPr>
        <w:t xml:space="preserve">intervention </w:t>
      </w:r>
      <w:r>
        <w:rPr>
          <w:rFonts w:eastAsia="Times New Roman"/>
          <w:sz w:val="24"/>
          <w:szCs w:val="24"/>
        </w:rPr>
        <w:t>being inappropriate to this study due to my focus on past events.</w:t>
      </w:r>
    </w:p>
    <w:p w14:paraId="6C0A61DD" w14:textId="7C61EA0E" w:rsidR="00082217" w:rsidRDefault="00082217" w:rsidP="00082217">
      <w:pPr>
        <w:spacing w:after="120" w:line="360" w:lineRule="auto"/>
        <w:rPr>
          <w:rFonts w:eastAsia="Times New Roman"/>
          <w:sz w:val="24"/>
          <w:szCs w:val="24"/>
        </w:rPr>
      </w:pPr>
      <w:r>
        <w:rPr>
          <w:rFonts w:eastAsia="Times New Roman"/>
          <w:i/>
          <w:sz w:val="24"/>
          <w:szCs w:val="24"/>
        </w:rPr>
        <w:t xml:space="preserve">Intense involvement </w:t>
      </w:r>
      <w:r>
        <w:rPr>
          <w:rFonts w:eastAsia="Times New Roman"/>
          <w:sz w:val="24"/>
          <w:szCs w:val="24"/>
        </w:rPr>
        <w:t xml:space="preserve">with </w:t>
      </w:r>
      <w:r>
        <w:rPr>
          <w:rFonts w:eastAsia="Times New Roman"/>
          <w:i/>
          <w:sz w:val="24"/>
          <w:szCs w:val="24"/>
        </w:rPr>
        <w:t xml:space="preserve">rich </w:t>
      </w:r>
      <w:r>
        <w:rPr>
          <w:rFonts w:eastAsia="Times New Roman"/>
          <w:sz w:val="24"/>
          <w:szCs w:val="24"/>
        </w:rPr>
        <w:t>data is achieved by multiple re-readings of a range of data, including 34</w:t>
      </w:r>
      <w:r w:rsidR="004A3C99">
        <w:rPr>
          <w:rFonts w:eastAsia="Times New Roman"/>
          <w:sz w:val="24"/>
          <w:szCs w:val="24"/>
        </w:rPr>
        <w:t>5</w:t>
      </w:r>
      <w:r>
        <w:rPr>
          <w:rFonts w:eastAsia="Times New Roman"/>
          <w:sz w:val="24"/>
          <w:szCs w:val="24"/>
        </w:rPr>
        <w:t xml:space="preserve"> documentary sources and “verbatim transcripts of the interviews” (Maxwell, 2013, p. 126). And, although I have not gone back to my participants to comment on my final report and conclusions, my strategy to interview participants </w:t>
      </w:r>
      <w:r w:rsidRPr="000B02D1">
        <w:rPr>
          <w:rFonts w:eastAsia="Times New Roman"/>
          <w:i/>
          <w:sz w:val="24"/>
          <w:szCs w:val="24"/>
        </w:rPr>
        <w:t xml:space="preserve">after </w:t>
      </w:r>
      <w:r>
        <w:rPr>
          <w:rFonts w:eastAsia="Times New Roman"/>
          <w:sz w:val="24"/>
          <w:szCs w:val="24"/>
        </w:rPr>
        <w:t xml:space="preserve">I had already developed a deep understanding of the BoRs through the documentary analysis incorporated an element of </w:t>
      </w:r>
      <w:r>
        <w:rPr>
          <w:rFonts w:eastAsia="Times New Roman"/>
          <w:i/>
          <w:sz w:val="24"/>
          <w:szCs w:val="24"/>
        </w:rPr>
        <w:t xml:space="preserve">participant validation </w:t>
      </w:r>
      <w:r>
        <w:rPr>
          <w:rFonts w:eastAsia="Times New Roman"/>
          <w:sz w:val="24"/>
          <w:szCs w:val="24"/>
        </w:rPr>
        <w:t xml:space="preserve">into the research design. </w:t>
      </w:r>
    </w:p>
    <w:p w14:paraId="655941DC" w14:textId="77777777" w:rsidR="00082217" w:rsidRDefault="00082217" w:rsidP="00082217">
      <w:pPr>
        <w:spacing w:after="120" w:line="360" w:lineRule="auto"/>
        <w:rPr>
          <w:iCs/>
          <w:sz w:val="24"/>
          <w:szCs w:val="24"/>
        </w:rPr>
      </w:pPr>
      <w:r>
        <w:rPr>
          <w:iCs/>
          <w:sz w:val="24"/>
          <w:szCs w:val="24"/>
        </w:rPr>
        <w:t xml:space="preserve">Moving onto </w:t>
      </w:r>
      <w:r>
        <w:rPr>
          <w:i/>
          <w:iCs/>
          <w:sz w:val="24"/>
          <w:szCs w:val="24"/>
        </w:rPr>
        <w:t>triangulation</w:t>
      </w:r>
      <w:r>
        <w:rPr>
          <w:iCs/>
          <w:sz w:val="24"/>
          <w:szCs w:val="24"/>
        </w:rPr>
        <w:t>:</w:t>
      </w:r>
    </w:p>
    <w:p w14:paraId="2C408863" w14:textId="77777777" w:rsidR="00082217" w:rsidRDefault="00082217" w:rsidP="008D30CC">
      <w:pPr>
        <w:autoSpaceDE w:val="0"/>
        <w:autoSpaceDN w:val="0"/>
        <w:adjustRightInd w:val="0"/>
        <w:spacing w:after="120" w:line="240" w:lineRule="auto"/>
        <w:ind w:left="720"/>
        <w:rPr>
          <w:sz w:val="24"/>
          <w:szCs w:val="24"/>
        </w:rPr>
      </w:pPr>
      <w:r>
        <w:rPr>
          <w:iCs/>
          <w:sz w:val="24"/>
          <w:szCs w:val="24"/>
        </w:rPr>
        <w:t xml:space="preserve">“This involves using different methods as a check on one another, seeing if methods with different strengths and limitations all support a single conclusion. This strategy reduces the risk that your conclusions will reflect only the biases of a specific method, and allows ... a more secure understanding of the issues” </w:t>
      </w:r>
      <w:r w:rsidR="00233012">
        <w:rPr>
          <w:iCs/>
          <w:sz w:val="24"/>
          <w:szCs w:val="24"/>
        </w:rPr>
        <w:fldChar w:fldCharType="begin"/>
      </w:r>
      <w:r>
        <w:rPr>
          <w:iCs/>
          <w:sz w:val="24"/>
          <w:szCs w:val="24"/>
        </w:rPr>
        <w:instrText xml:space="preserve"> ADDIN EN.CITE &lt;EndNote&gt;&lt;Cite&gt;&lt;Author&gt;Maxwell&lt;/Author&gt;&lt;Year&gt;2013&lt;/Year&gt;&lt;IDText&gt;Qualitative research design: an interactive approach&lt;/IDText&gt;&lt;Pages&gt;102&lt;/Pages&gt;&lt;DisplayText&gt;(Maxwell, 2013, p. 102)&lt;/DisplayText&gt;&lt;record&gt;&lt;keywords&gt;&lt;keyword&gt;Research -- Methodology&lt;/keyword&gt;&lt;/keywords&gt;&lt;titles&gt;&lt;title&gt;Qualitative research design: an interactive approach&lt;/title&gt;&lt;/titles&gt;&lt;contributors&gt;&lt;authors&gt;&lt;author&gt;Maxwell, Joseph Alex&lt;/author&gt;&lt;/authors&gt;&lt;/contributors&gt;&lt;edition&gt;3rd&lt;/edition&gt;&lt;added-date format="utc"&gt;1468328313&lt;/added-date&gt;&lt;pub-location&gt;Los Angeles&lt;/pub-location&gt;&lt;ref-type name="Book"&gt;6&lt;/ref-type&gt;&lt;dates&gt;&lt;year&gt;2013&lt;/year&gt;&lt;/dates&gt;&lt;rec-number&gt;425&lt;/rec-number&gt;&lt;publisher&gt;SAGE&lt;/publisher&gt;&lt;last-updated-date format="utc"&gt;1517600938&lt;/last-updated-date&gt;&lt;/record&gt;&lt;/Cite&gt;&lt;/EndNote&gt;</w:instrText>
      </w:r>
      <w:r w:rsidR="00233012">
        <w:rPr>
          <w:iCs/>
          <w:sz w:val="24"/>
          <w:szCs w:val="24"/>
        </w:rPr>
        <w:fldChar w:fldCharType="separate"/>
      </w:r>
      <w:r>
        <w:rPr>
          <w:iCs/>
          <w:noProof/>
          <w:sz w:val="24"/>
          <w:szCs w:val="24"/>
        </w:rPr>
        <w:t>(Maxwell, 2013, p. 102)</w:t>
      </w:r>
      <w:r w:rsidR="00233012">
        <w:rPr>
          <w:iCs/>
          <w:sz w:val="24"/>
          <w:szCs w:val="24"/>
        </w:rPr>
        <w:fldChar w:fldCharType="end"/>
      </w:r>
      <w:r>
        <w:rPr>
          <w:iCs/>
          <w:sz w:val="24"/>
          <w:szCs w:val="24"/>
        </w:rPr>
        <w:t xml:space="preserve">. </w:t>
      </w:r>
    </w:p>
    <w:p w14:paraId="42BD1448" w14:textId="77777777" w:rsidR="00082217" w:rsidRDefault="00082217" w:rsidP="00082217">
      <w:pPr>
        <w:spacing w:after="120" w:line="360" w:lineRule="auto"/>
        <w:rPr>
          <w:sz w:val="24"/>
          <w:szCs w:val="24"/>
        </w:rPr>
      </w:pPr>
      <w:r>
        <w:rPr>
          <w:sz w:val="24"/>
          <w:szCs w:val="24"/>
        </w:rPr>
        <w:t xml:space="preserve">There are two elements of triangulation incorporated into my design. First, I triangulate various data sources to complete the coding in the first analytical stage. This adds validity to my interpretation of the BoRs and the ways in which academic boundaries were confronted and crossed in the process. Second, I triangulate descriptive statistics and in-depth qualitative analysis in the third analytical stage. This adds validity to my study since any posited explanations must be compatible with, and will be constrained by, two sets of findings. </w:t>
      </w:r>
    </w:p>
    <w:p w14:paraId="6ABFF195" w14:textId="77777777" w:rsidR="00082217" w:rsidRDefault="00082217" w:rsidP="00082217">
      <w:pPr>
        <w:spacing w:after="120" w:line="360" w:lineRule="auto"/>
        <w:rPr>
          <w:rFonts w:eastAsia="Times New Roman"/>
          <w:sz w:val="24"/>
          <w:szCs w:val="24"/>
        </w:rPr>
      </w:pPr>
      <w:r>
        <w:rPr>
          <w:rFonts w:eastAsia="Times New Roman"/>
          <w:sz w:val="24"/>
          <w:szCs w:val="24"/>
        </w:rPr>
        <w:t xml:space="preserve">Regarding the incorporation of a </w:t>
      </w:r>
      <w:r>
        <w:rPr>
          <w:rFonts w:eastAsia="Times New Roman"/>
          <w:i/>
          <w:sz w:val="24"/>
          <w:szCs w:val="24"/>
        </w:rPr>
        <w:t>quantitative element</w:t>
      </w:r>
      <w:r w:rsidRPr="0074591E">
        <w:rPr>
          <w:rFonts w:eastAsia="Times New Roman"/>
          <w:sz w:val="24"/>
          <w:szCs w:val="24"/>
        </w:rPr>
        <w:t>,</w:t>
      </w:r>
      <w:r>
        <w:rPr>
          <w:rFonts w:eastAsia="Times New Roman"/>
          <w:i/>
          <w:sz w:val="24"/>
          <w:szCs w:val="24"/>
        </w:rPr>
        <w:t xml:space="preserve"> </w:t>
      </w:r>
      <w:r>
        <w:rPr>
          <w:rFonts w:eastAsia="Times New Roman"/>
          <w:sz w:val="24"/>
          <w:szCs w:val="24"/>
        </w:rPr>
        <w:t xml:space="preserve">Maxwell (2013) explains that many qualitative designs already do include </w:t>
      </w:r>
    </w:p>
    <w:p w14:paraId="60A3E2C1" w14:textId="77777777" w:rsidR="00082217" w:rsidRDefault="00082217" w:rsidP="008D30CC">
      <w:pPr>
        <w:spacing w:after="120" w:line="240" w:lineRule="auto"/>
        <w:ind w:left="720"/>
        <w:rPr>
          <w:rFonts w:eastAsia="Times New Roman"/>
          <w:sz w:val="24"/>
          <w:szCs w:val="24"/>
        </w:rPr>
      </w:pPr>
      <w:r>
        <w:rPr>
          <w:rFonts w:eastAsia="Times New Roman"/>
          <w:sz w:val="24"/>
          <w:szCs w:val="24"/>
        </w:rPr>
        <w:t>“an implicit quantitative component. Any claim that a particular phenomenon is typical, rare, or prevalent in the setting or population studied, or that some behaviours or themes were more common than others, is an inherently quantitative claim, and requires some quantitative support.” (p. 128)</w:t>
      </w:r>
    </w:p>
    <w:p w14:paraId="0A3EE919" w14:textId="77777777" w:rsidR="00082217" w:rsidRDefault="00082217" w:rsidP="00082217">
      <w:pPr>
        <w:spacing w:after="120" w:line="360" w:lineRule="auto"/>
        <w:rPr>
          <w:rFonts w:eastAsia="Times New Roman"/>
          <w:sz w:val="24"/>
          <w:szCs w:val="24"/>
        </w:rPr>
      </w:pPr>
      <w:r>
        <w:rPr>
          <w:rFonts w:eastAsia="Times New Roman"/>
          <w:sz w:val="24"/>
          <w:szCs w:val="24"/>
        </w:rPr>
        <w:t xml:space="preserve">The use of descriptive statistics, of the kind I have employed, therefore </w:t>
      </w:r>
    </w:p>
    <w:p w14:paraId="2A811589" w14:textId="77777777" w:rsidR="00082217" w:rsidRPr="00551C20" w:rsidRDefault="00082217" w:rsidP="008D30CC">
      <w:pPr>
        <w:spacing w:after="120" w:line="240" w:lineRule="auto"/>
        <w:ind w:left="720"/>
        <w:rPr>
          <w:rFonts w:eastAsia="Times New Roman"/>
          <w:sz w:val="24"/>
          <w:szCs w:val="24"/>
        </w:rPr>
      </w:pPr>
      <w:r>
        <w:rPr>
          <w:rFonts w:eastAsia="Times New Roman"/>
          <w:sz w:val="24"/>
          <w:szCs w:val="24"/>
        </w:rPr>
        <w:t xml:space="preserve">“does not make [the] study quantitative...; it simply makes explicit, and more precise, the implicitly quantitative nature of such claims...[,] allows you to test and support claims that are inherently quantitative, ... [and allows] for identifying and communicating the </w:t>
      </w:r>
      <w:r>
        <w:rPr>
          <w:rFonts w:eastAsia="Times New Roman"/>
          <w:i/>
          <w:sz w:val="24"/>
          <w:szCs w:val="24"/>
        </w:rPr>
        <w:t xml:space="preserve">diversity </w:t>
      </w:r>
      <w:r>
        <w:rPr>
          <w:rFonts w:eastAsia="Times New Roman"/>
          <w:sz w:val="24"/>
          <w:szCs w:val="24"/>
        </w:rPr>
        <w:t xml:space="preserve">of actions and perspectives in the settings and populations you study” (Maxwell, 2013, pp. 128-129, original emphasis). </w:t>
      </w:r>
    </w:p>
    <w:p w14:paraId="3523FE1D" w14:textId="77777777" w:rsidR="00082217" w:rsidRDefault="00082217" w:rsidP="00082217">
      <w:pPr>
        <w:spacing w:after="120" w:line="360" w:lineRule="auto"/>
        <w:rPr>
          <w:rFonts w:eastAsia="Times New Roman"/>
          <w:sz w:val="24"/>
          <w:szCs w:val="24"/>
        </w:rPr>
      </w:pPr>
      <w:r>
        <w:rPr>
          <w:rFonts w:eastAsia="Times New Roman"/>
          <w:sz w:val="24"/>
          <w:szCs w:val="24"/>
        </w:rPr>
        <w:t xml:space="preserve">An explicit and systematic quantitative element also helps to consider validity through the </w:t>
      </w:r>
      <w:r>
        <w:rPr>
          <w:rFonts w:eastAsia="Times New Roman"/>
          <w:i/>
          <w:sz w:val="24"/>
          <w:szCs w:val="24"/>
        </w:rPr>
        <w:t>search of discrepant data</w:t>
      </w:r>
      <w:r>
        <w:rPr>
          <w:rFonts w:eastAsia="Times New Roman"/>
          <w:sz w:val="24"/>
          <w:szCs w:val="24"/>
        </w:rPr>
        <w:t xml:space="preserve">: </w:t>
      </w:r>
    </w:p>
    <w:p w14:paraId="40D8741B" w14:textId="77777777" w:rsidR="00082217" w:rsidRPr="00551C20" w:rsidRDefault="00082217" w:rsidP="008D30CC">
      <w:pPr>
        <w:spacing w:after="120" w:line="240" w:lineRule="auto"/>
        <w:ind w:left="720"/>
        <w:rPr>
          <w:rFonts w:eastAsia="Times New Roman"/>
          <w:sz w:val="24"/>
          <w:szCs w:val="24"/>
        </w:rPr>
      </w:pPr>
      <w:r>
        <w:rPr>
          <w:rFonts w:eastAsia="Times New Roman"/>
          <w:sz w:val="24"/>
          <w:szCs w:val="24"/>
        </w:rPr>
        <w:t xml:space="preserve">“The appropriate use of numbers ... enables you to assess the </w:t>
      </w:r>
      <w:r>
        <w:rPr>
          <w:rFonts w:eastAsia="Times New Roman"/>
          <w:i/>
          <w:sz w:val="24"/>
          <w:szCs w:val="24"/>
        </w:rPr>
        <w:t xml:space="preserve">amount </w:t>
      </w:r>
      <w:r>
        <w:rPr>
          <w:rFonts w:eastAsia="Times New Roman"/>
          <w:sz w:val="24"/>
          <w:szCs w:val="24"/>
        </w:rPr>
        <w:t>of evidence in your data that bears on a particular conclusion or threat, such as how many discrepant instances exist and from how many sources they were obtained” (Maxwell, 2013, p. 128, original emphasis).</w:t>
      </w:r>
    </w:p>
    <w:p w14:paraId="4AEAF3EB" w14:textId="77777777" w:rsidR="00082217" w:rsidRDefault="00082217" w:rsidP="00082217">
      <w:pPr>
        <w:spacing w:after="120" w:line="360" w:lineRule="auto"/>
        <w:rPr>
          <w:rFonts w:eastAsia="Times New Roman"/>
          <w:sz w:val="24"/>
          <w:szCs w:val="24"/>
        </w:rPr>
      </w:pPr>
      <w:r>
        <w:rPr>
          <w:rFonts w:eastAsia="Times New Roman"/>
          <w:sz w:val="24"/>
          <w:szCs w:val="24"/>
        </w:rPr>
        <w:t xml:space="preserve">In addition to this quantitative element of validity via consideration of discrepant data, I actively consider the implications for my developing theories and explanations of </w:t>
      </w:r>
      <w:r w:rsidRPr="004E5E97">
        <w:rPr>
          <w:rFonts w:eastAsia="Times New Roman"/>
          <w:sz w:val="24"/>
          <w:szCs w:val="24"/>
        </w:rPr>
        <w:t>discrepant data</w:t>
      </w:r>
      <w:r>
        <w:rPr>
          <w:rFonts w:eastAsia="Times New Roman"/>
          <w:sz w:val="24"/>
          <w:szCs w:val="24"/>
        </w:rPr>
        <w:t xml:space="preserve">, highlighting them as a challenge to increase the nuance and complexity of my theoretical explanations rather than necessarily assuming them to be simply ‘anomalous’. </w:t>
      </w:r>
    </w:p>
    <w:p w14:paraId="329C5C7B" w14:textId="1456CDAA" w:rsidR="00082217" w:rsidRDefault="00082217" w:rsidP="00082217">
      <w:pPr>
        <w:spacing w:after="120" w:line="360" w:lineRule="auto"/>
        <w:rPr>
          <w:rFonts w:eastAsia="Times New Roman"/>
          <w:sz w:val="24"/>
          <w:szCs w:val="24"/>
        </w:rPr>
      </w:pPr>
      <w:r>
        <w:rPr>
          <w:rFonts w:eastAsia="Times New Roman"/>
          <w:sz w:val="24"/>
          <w:szCs w:val="24"/>
        </w:rPr>
        <w:t xml:space="preserve">Lastly, although my design is not strictly one of a comparative case study, the maximum variation sampling strategy and the analytical strategies that I have adopted does introduce the potential for </w:t>
      </w:r>
      <w:r>
        <w:rPr>
          <w:rFonts w:eastAsia="Times New Roman"/>
          <w:i/>
          <w:sz w:val="24"/>
          <w:szCs w:val="24"/>
        </w:rPr>
        <w:t xml:space="preserve">comparison </w:t>
      </w:r>
      <w:r>
        <w:rPr>
          <w:rFonts w:eastAsia="Times New Roman"/>
          <w:sz w:val="24"/>
          <w:szCs w:val="24"/>
        </w:rPr>
        <w:t xml:space="preserve">as a validity test in the way Maxwell (2013, p. 129) describes. That is, the comparative element of the study helps the reliability and validity of any conclusions that rest on demonstrable similarities or differences within and between different categories (e.g. Applied and Basic research). </w:t>
      </w:r>
      <w:r w:rsidR="0067117F">
        <w:rPr>
          <w:rFonts w:eastAsia="Times New Roman"/>
          <w:sz w:val="24"/>
          <w:szCs w:val="24"/>
        </w:rPr>
        <w:t xml:space="preserve">This will become apparent in Chapters 4 and 5. </w:t>
      </w:r>
      <w:r>
        <w:rPr>
          <w:rFonts w:eastAsia="Times New Roman"/>
          <w:sz w:val="24"/>
          <w:szCs w:val="24"/>
        </w:rPr>
        <w:t xml:space="preserve"> </w:t>
      </w:r>
    </w:p>
    <w:p w14:paraId="3394B9EB" w14:textId="6A1F3DA2" w:rsidR="00082217" w:rsidRPr="003C14FB" w:rsidRDefault="00082217" w:rsidP="00082217">
      <w:pPr>
        <w:spacing w:after="120" w:line="360" w:lineRule="auto"/>
        <w:rPr>
          <w:rFonts w:eastAsia="Times New Roman"/>
          <w:sz w:val="24"/>
          <w:szCs w:val="24"/>
        </w:rPr>
      </w:pPr>
      <w:r>
        <w:rPr>
          <w:rFonts w:eastAsia="Times New Roman"/>
          <w:sz w:val="24"/>
          <w:szCs w:val="24"/>
        </w:rPr>
        <w:t xml:space="preserve">I do not claim that the particular events of my sampled BoRs are statistically generalisable to or representative </w:t>
      </w:r>
      <w:r w:rsidR="00254646">
        <w:rPr>
          <w:rFonts w:eastAsia="Times New Roman"/>
          <w:sz w:val="24"/>
          <w:szCs w:val="24"/>
        </w:rPr>
        <w:t>of the wider population of STEM</w:t>
      </w:r>
      <w:r>
        <w:rPr>
          <w:rFonts w:eastAsia="Times New Roman"/>
          <w:sz w:val="24"/>
          <w:szCs w:val="24"/>
        </w:rPr>
        <w:t>M academic research</w:t>
      </w:r>
      <w:r w:rsidR="005A160F">
        <w:rPr>
          <w:rFonts w:eastAsia="Times New Roman"/>
          <w:sz w:val="24"/>
          <w:szCs w:val="24"/>
        </w:rPr>
        <w:t xml:space="preserve"> or of research which scored highly on the impact element of REF2014</w:t>
      </w:r>
      <w:r>
        <w:rPr>
          <w:rFonts w:eastAsia="Times New Roman"/>
          <w:sz w:val="24"/>
          <w:szCs w:val="24"/>
        </w:rPr>
        <w:t xml:space="preserve">. However, I would argue that there is an analytical, theoretical generalisability to my findings and conclusions regarding the interplay between underpinning conditions and mechanisms within the structure of the higher education sector, and how these are likely to play out differently in different institutional and epistemic contexts. In the Conclusion (Chapter </w:t>
      </w:r>
      <w:r w:rsidR="00CC139D">
        <w:rPr>
          <w:rFonts w:eastAsia="Times New Roman"/>
          <w:sz w:val="24"/>
          <w:szCs w:val="24"/>
        </w:rPr>
        <w:t>6</w:t>
      </w:r>
      <w:r>
        <w:rPr>
          <w:rFonts w:eastAsia="Times New Roman"/>
          <w:sz w:val="24"/>
          <w:szCs w:val="24"/>
        </w:rPr>
        <w:t>), I elaborate this discussion of the generalisability of the study with respect to specific findings.</w:t>
      </w:r>
    </w:p>
    <w:p w14:paraId="6BAD410A" w14:textId="77777777" w:rsidR="00082217" w:rsidRPr="002F7B3C" w:rsidRDefault="00082217" w:rsidP="00082217">
      <w:pPr>
        <w:spacing w:after="120" w:line="360" w:lineRule="auto"/>
        <w:rPr>
          <w:sz w:val="24"/>
          <w:szCs w:val="24"/>
        </w:rPr>
      </w:pPr>
      <w:r>
        <w:rPr>
          <w:rFonts w:eastAsia="Times New Roman"/>
          <w:sz w:val="24"/>
          <w:szCs w:val="24"/>
        </w:rPr>
        <w:t>I also want to acknowledge a potential criticism of my utilisation of the REF Impact data, particularly my decision to draw only from submissions achieving a high Impact rating</w:t>
      </w:r>
      <w:r w:rsidRPr="418505C0">
        <w:rPr>
          <w:rFonts w:eastAsia="Times New Roman"/>
          <w:sz w:val="24"/>
          <w:szCs w:val="24"/>
        </w:rPr>
        <w:t>. This is a practical decision</w:t>
      </w:r>
      <w:r>
        <w:rPr>
          <w:rFonts w:eastAsia="Times New Roman"/>
          <w:sz w:val="24"/>
          <w:szCs w:val="24"/>
        </w:rPr>
        <w:t xml:space="preserve"> for the sake of my study</w:t>
      </w:r>
      <w:r w:rsidRPr="418505C0">
        <w:rPr>
          <w:rFonts w:eastAsia="Times New Roman"/>
          <w:sz w:val="24"/>
          <w:szCs w:val="24"/>
        </w:rPr>
        <w:t xml:space="preserve"> and should not be taken </w:t>
      </w:r>
      <w:r>
        <w:rPr>
          <w:rFonts w:eastAsia="Times New Roman"/>
          <w:sz w:val="24"/>
          <w:szCs w:val="24"/>
        </w:rPr>
        <w:t>as a complete</w:t>
      </w:r>
      <w:r w:rsidRPr="418505C0">
        <w:rPr>
          <w:rFonts w:eastAsia="Times New Roman"/>
          <w:sz w:val="24"/>
          <w:szCs w:val="24"/>
        </w:rPr>
        <w:t xml:space="preserve"> endorsement of the methods</w:t>
      </w:r>
      <w:r>
        <w:rPr>
          <w:rFonts w:eastAsia="Times New Roman"/>
          <w:sz w:val="24"/>
          <w:szCs w:val="24"/>
        </w:rPr>
        <w:t xml:space="preserve">, </w:t>
      </w:r>
      <w:r w:rsidRPr="418505C0">
        <w:rPr>
          <w:rFonts w:eastAsia="Times New Roman"/>
          <w:sz w:val="24"/>
          <w:szCs w:val="24"/>
        </w:rPr>
        <w:t>definitions</w:t>
      </w:r>
      <w:r>
        <w:rPr>
          <w:rFonts w:eastAsia="Times New Roman"/>
          <w:sz w:val="24"/>
          <w:szCs w:val="24"/>
        </w:rPr>
        <w:t xml:space="preserve"> and processes</w:t>
      </w:r>
      <w:r w:rsidRPr="418505C0">
        <w:rPr>
          <w:rFonts w:eastAsia="Times New Roman"/>
          <w:sz w:val="24"/>
          <w:szCs w:val="24"/>
        </w:rPr>
        <w:t xml:space="preserve"> employed by the REF</w:t>
      </w:r>
      <w:r>
        <w:rPr>
          <w:rFonts w:eastAsia="Times New Roman"/>
          <w:sz w:val="24"/>
          <w:szCs w:val="24"/>
        </w:rPr>
        <w:t xml:space="preserve"> assessment</w:t>
      </w:r>
      <w:r w:rsidRPr="418505C0">
        <w:rPr>
          <w:rFonts w:eastAsia="Times New Roman"/>
          <w:sz w:val="24"/>
          <w:szCs w:val="24"/>
        </w:rPr>
        <w:t>, many of which are contentious.</w:t>
      </w:r>
      <w:r>
        <w:rPr>
          <w:rFonts w:eastAsia="Times New Roman"/>
          <w:sz w:val="24"/>
          <w:szCs w:val="24"/>
        </w:rPr>
        <w:t xml:space="preserve"> A small but growing and intriguing, and highly insightful body of empirical literature has identified issues with the assessment of impact in the REF </w:t>
      </w:r>
      <w:r w:rsidR="00233012">
        <w:rPr>
          <w:rFonts w:eastAsia="Times New Roman"/>
          <w:sz w:val="24"/>
          <w:szCs w:val="24"/>
        </w:rPr>
        <w:fldChar w:fldCharType="begin">
          <w:fldData xml:space="preserve">PEVuZE5vdGU+PENpdGU+PEF1dGhvcj5TYW11ZWw8L0F1dGhvcj48WWVhcj4yMDE1PC9ZZWFyPjxJ
RFRleHQ+U29jaWV0YWwgaW1wYWN0IGV2YWx1YXRpb246IEV4cGxvcmluZyBldmFsdWF0b3IgcGVy
Y2VwdGlvbnMgb2YgdGhlIGNoYXJhY3Rlcml6YXRpb24gb2YgaW1wYWN0IHVuZGVyIHRoZSBSRUYy
MDE0PC9JRFRleHQ+PERpc3BsYXlUZXh0PihEZXJyaWNrICZhbXA7IFNhbXVlbCwgMjAxNjsgU2Ft
dWVsICZhbXA7IERlcnJpY2ssIDIwMTU7IFdhdGVybWV5ZXIgJmFtcDsgQ2h1YmIsIDIwMTg7IFdh
dGVybWV5ZXIgJmFtcDsgSGVkZ2Vjb2UsIDIwMTYpPC9EaXNwbGF5VGV4dD48cmVjb3JkPjxrZXl3
b3Jkcz48a2V5d29yZD5Tb2NpZXRhbCBJbXBhY3Q8L2tleXdvcmQ+PGtleXdvcmQ+UmVzZWFyY2gg
RXhjZWxsZW5jZSBGcmFtZXdvcms8L2tleXdvcmQ+PGtleXdvcmQ+UXVhbGl0YXRpdmUgUmVzZWFy
Y2g8L2tleXdvcmQ+PGtleXdvcmQ+UmVzZWFyY2ggRXZhbHVhdGlvbjwva2V5d29yZD48L2tleXdv
cmRzPjxpc2JuPjA5NTgtMjAyOTwvaXNibj48dGl0bGVzPjx0aXRsZT5Tb2NpZXRhbCBpbXBhY3Qg
ZXZhbHVhdGlvbjogRXhwbG9yaW5nIGV2YWx1YXRvciBwZXJjZXB0aW9ucyBvZiB0aGUgY2hhcmFj
dGVyaXphdGlvbiBvZiBpbXBhY3QgdW5kZXIgdGhlIFJFRjIwMTQ8L3RpdGxlPjxzZWNvbmRhcnkt
dGl0bGU+UmVzZWFyY2ggRXZhbHVhdGlvbjwvc2Vjb25kYXJ5LXRpdGxlPjwvdGl0bGVzPjxwYWdl
cz4yMjktMjQxPC9wYWdlcz48bnVtYmVyPjM8L251bWJlcj48Y29udHJpYnV0b3JzPjxhdXRob3Jz
PjxhdXRob3I+U2FtdWVsLCBHYWJyaWVsbGUgTi48L2F1dGhvcj48YXV0aG9yPkRlcnJpY2ssIEdl
bW1hIEUuPC9hdXRob3I+PC9hdXRob3JzPjwvY29udHJpYnV0b3JzPjxhZGRlZC1kYXRlIGZvcm1h
dD0idXRjIj4xNTE1NDMzNDY2PC9hZGRlZC1kYXRlPjxyZWYtdHlwZSBuYW1lPSJKb3VybmFsIEFy
dGljbGUiPjE3PC9yZWYtdHlwZT48ZGF0ZXM+PHllYXI+MjAxNTwveWVhcj48L2RhdGVzPjxyZWMt
bnVtYmVyPjczMDE8L3JlYy1udW1iZXI+PGxhc3QtdXBkYXRlZC1kYXRlIGZvcm1hdD0idXRjIj4x
NTE1NDMzNDY2PC9sYXN0LXVwZGF0ZWQtZGF0ZT48ZWxlY3Ryb25pYy1yZXNvdXJjZS1udW0+MTAu
MTA5My9yZXNldmFsL3J2djAwNzwvZWxlY3Ryb25pYy1yZXNvdXJjZS1udW0+PHZvbHVtZT4yNDwv
dm9sdW1lPjwvcmVjb3JkPjwvQ2l0ZT48Q2l0ZT48QXV0aG9yPkRlcnJpY2s8L0F1dGhvcj48WWVh
cj4yMDE2PC9ZZWFyPjxJRFRleHQ+VGhlIEV2YWx1YXRpb24gU2NhbGU6IEV4cGxvcmluZyBEZWNp
c2lvbnMgQWJvdXQgU29jaWV0YWwgSW1wYWN0IGluIFBlZXIgUmV2aWV3IFBhbmVsczwvSURUZXh0
PjxyZWNvcmQ+PGtleXdvcmRzPjxrZXl3b3JkPlNvY2lldGFsIGltcGFjdDwva2V5d29yZD48a2V5
d29yZD5QZWVyIHJldmlldzwva2V5d29yZD48a2V5d29yZD5FdmFsdWF0aW9uIGZyYW1ld29ya3M8
L2tleXdvcmQ+PGtleXdvcmQ+SW1wYWN0PC9rZXl3b3JkPjxrZXl3b3JkPlF1YWxpdGF0aXZlPC9r
ZXl3b3JkPjwva2V5d29yZHM+PGlzYm4+MDAyNi00Njk1PC9pc2JuPjx0aXRsZXM+PHRpdGxlPlRo
ZSBFdmFsdWF0aW9uIFNjYWxlOiBFeHBsb3JpbmcgRGVjaXNpb25zIEFib3V0IFNvY2lldGFsIElt
cGFjdCBpbiBQZWVyIFJldmlldyBQYW5lbHM8L3RpdGxlPjxzZWNvbmRhcnktdGl0bGU+QSBSZXZp
ZXcgb2YgU2NpZW5jZSwgTGVhcm5pbmcgYW5kIFBvbGljeTwvc2Vjb25kYXJ5LXRpdGxlPjwvdGl0
bGVzPjxwYWdlcz43NS05NzwvcGFnZXM+PG51bWJlcj4xPC9udW1iZXI+PGNvbnRyaWJ1dG9ycz48
YXV0aG9ycz48YXV0aG9yPkRlcnJpY2ssIEdlbW1hPC9hdXRob3I+PGF1dGhvcj5TYW11ZWwsIEdh
YnJpZWxsZTwvYXV0aG9yPjwvYXV0aG9ycz48L2NvbnRyaWJ1dG9ycz48YWRkZWQtZGF0ZSBmb3Jt
YXQ9InV0YyI+MTUzMDg4MTk3ODwvYWRkZWQtZGF0ZT48cHViLWxvY2F0aW9uPkRvcmRyZWNodDwv
cHViLWxvY2F0aW9uPjxyZWYtdHlwZSBuYW1lPSJKb3VybmFsIEFydGljbGUiPjE3PC9yZWYtdHlw
ZT48ZGF0ZXM+PHllYXI+MjAxNjwveWVhcj48L2RhdGVzPjxyZWMtbnVtYmVyPjc2MDE8L3JlYy1u
dW1iZXI+PGxhc3QtdXBkYXRlZC1kYXRlIGZvcm1hdD0idXRjIj4xNTMwODgxOTc4PC9sYXN0LXVw
ZGF0ZWQtZGF0ZT48ZWxlY3Ryb25pYy1yZXNvdXJjZS1udW0+MTAuMTAwNy9zMTEwMjQtMDE2LTky
OTAtMDwvZWxlY3Ryb25pYy1yZXNvdXJjZS1udW0+PHZvbHVtZT41NDwvdm9sdW1lPjwvcmVjb3Jk
PjwvQ2l0ZT48Q2l0ZT48QXV0aG9yPldhdGVybWV5ZXI8L0F1dGhvcj48WWVhcj4yMDE2PC9ZZWFy
PjxJRFRleHQ+U2VsbGluZyDigJhpbXBhY3TigJk6IHBlZXIgcmV2aWV3ZXIgcHJvamVjdGlvbnMg
b2Ygd2hhdCBpcyBuZWVkZWQgYW5kIHdoYXQgY291bnRzIGluIFJFRiBpbXBhY3QgY2FzZSBzdHVk
aWVzLiBBIHJldHJvc3BlY3RpdmUgYW5hbHlzaXM8L0lEVGV4dD48cmVjb3JkPjxrZXl3b3Jkcz48
a2V5d29yZD5BcnRpY2xlPC9rZXl3b3JkPjxrZXl3b3JkPkNyaXRpY2FsIEFuYWx5c2lzPC9rZXl3
b3JkPjxrZXl3b3JkPkFjdG9ycyBJbnN0aXR1dGlvbnM8L2tleXdvcmQ+PC9rZXl3b3Jkcz48aXNi
bj4wMjY4LTA5Mzk8L2lzYm4+PHRpdGxlcz48dGl0bGU+U2VsbGluZyDigJhpbXBhY3TigJk6IHBl
ZXIgcmV2aWV3ZXIgcHJvamVjdGlvbnMgb2Ygd2hhdCBpcyBuZWVkZWQgYW5kIHdoYXQgY291bnRz
IGluIFJFRiBpbXBhY3QgY2FzZSBzdHVkaWVzLiBBIHJldHJvc3BlY3RpdmUgYW5hbHlzaXM8L3Rp
dGxlPjxzZWNvbmRhcnktdGl0bGU+Sm91cm5hbCBvZiBFZHVjYXRpb24gUG9saWN5PC9zZWNvbmRh
cnktdGl0bGU+PC90aXRsZXM+PHBhZ2VzPjY1MS02NjU8L3BhZ2VzPjxudW1iZXI+NTwvbnVtYmVy
Pjxjb250cmlidXRvcnM+PGF1dGhvcnM+PGF1dGhvcj5XYXRlcm1leWVyLCBSaWNoYXJkPC9hdXRo
b3I+PGF1dGhvcj5IZWRnZWNvZSwgQWRhbTwvYXV0aG9yPjwvYXV0aG9ycz48L2NvbnRyaWJ1dG9y
cz48YWRkZWQtZGF0ZSBmb3JtYXQ9InV0YyI+MTUzMDg4MjIwNjwvYWRkZWQtZGF0ZT48cmVmLXR5
cGUgbmFtZT0iSm91cm5hbCBBcnRpY2xlIj4xNzwvcmVmLXR5cGU+PGRhdGVzPjx5ZWFyPjIwMTY8
L3llYXI+PC9kYXRlcz48cmVjLW51bWJlcj43NjAyPC9yZWMtbnVtYmVyPjxwdWJsaXNoZXI+Um91
dGxlZGdlPC9wdWJsaXNoZXI+PGxhc3QtdXBkYXRlZC1kYXRlIGZvcm1hdD0idXRjIj4xNTMwODgy
MjA2PC9sYXN0LXVwZGF0ZWQtZGF0ZT48ZWxlY3Ryb25pYy1yZXNvdXJjZS1udW0+MTAuMTA4MC8w
MjY4MDkzOS4yMDE2LjExNzA4ODU8L2VsZWN0cm9uaWMtcmVzb3VyY2UtbnVtPjx2b2x1bWU+MzE8
L3ZvbHVtZT48L3JlY29yZD48L0NpdGU+PENpdGU+PEF1dGhvcj5XYXRlcm1leWVyPC9BdXRob3I+
PFllYXI+MjAxODwvWWVhcj48SURUZXh0PkV2YWx1YXRpbmcg4oCYaW1wYWN04oCZIGluIHRoZSBV
S+KAmXMgUmVzZWFyY2ggRXhjZWxsZW5jZSBGcmFtZXdvcmsgKFJFRik6IGxpbWluYWxpdHksIGxv
b3NlbmVzcyBhbmQgbmV3IG1vZGFsaXRpZXMgb2Ygc2Nob2xhcmx5IGRpc3RpbmN0aW9uPC9JRFRl
eHQ+PHJlY29yZD48a2V5d29yZHM+PGtleXdvcmQ+QXJ0aWNsZTwva2V5d29yZD48a2V5d29yZD5S
ZXNlYXJjaCBGdW5kaW5nIEFuZCBFdmFsdWF0aW9uPC9rZXl3b3JkPjxrZXl3b3JkPlJlc2VhcmNo
IFBvbGljeTwva2V5d29yZD48a2V5d29yZD5SZXNlYXJjaCBJbXBhY3Q8L2tleXdvcmQ+PGtleXdv
cmQ+QWNjb3VudGFiaWxpdHk8L2tleXdvcmQ+PGtleXdvcmQ+UmVzZWFyY2ggRXhjZWxsZW5jZTwv
a2V5d29yZD48L2tleXdvcmRzPjxpc2JuPjAzMDctNTA3OTwvaXNibj48dGl0bGVzPjx0aXRsZT5F
dmFsdWF0aW5nIOKAmGltcGFjdOKAmSBpbiB0aGUgVUvigJlzIFJlc2VhcmNoIEV4Y2VsbGVuY2Ug
RnJhbWV3b3JrIChSRUYpOiBsaW1pbmFsaXR5LCBsb29zZW5lc3MgYW5kIG5ldyBtb2RhbGl0aWVz
IG9mIHNjaG9sYXJseSBkaXN0aW5jdGlvbjwvdGl0bGU+PHNlY29uZGFyeS10aXRsZT5TdHVkaWVz
IGluIEhpZ2hlciBFZHVjYXRpb248L3NlY29uZGFyeS10aXRsZT48L3RpdGxlcz48cGFnZXM+MS0x
MzwvcGFnZXM+PGNvbnRyaWJ1dG9ycz48YXV0aG9ycz48YXV0aG9yPldhdGVybWV5ZXIsIFJpY2hh
cmQ8L2F1dGhvcj48YXV0aG9yPkNodWJiLCBKZW5uaWZlcjwvYXV0aG9yPjwvYXV0aG9ycz48L2Nv
bnRyaWJ1dG9ycz48YWRkZWQtZGF0ZSBmb3JtYXQ9InV0YyI+MTUzMDg4MjI5NTwvYWRkZWQtZGF0
ZT48cmVmLXR5cGUgbmFtZT0iSm91cm5hbCBBcnRpY2xlIj4xNzwvcmVmLXR5cGU+PGRhdGVzPjx5
ZWFyPjIwMTg8L3llYXI+PC9kYXRlcz48cmVjLW51bWJlcj43NjAzPC9yZWMtbnVtYmVyPjxwdWJs
aXNoZXI+Um91dGxlZGdlPC9wdWJsaXNoZXI+PGxhc3QtdXBkYXRlZC1kYXRlIGZvcm1hdD0idXRj
Ij4xNTMwODgyMjk1PC9sYXN0LXVwZGF0ZWQtZGF0ZT48ZWxlY3Ryb25pYy1yZXNvdXJjZS1udW0+
MTAuMTA4MC8wMzA3NTA3OS4yMDE4LjE0NTUwODI8L2VsZWN0cm9uaWMtcmVzb3VyY2UtbnVtPjwv
cmVjb3JkPjwvQ2l0ZT48L0VuZE5vdGU+
</w:fldData>
        </w:fldChar>
      </w:r>
      <w:r>
        <w:rPr>
          <w:rFonts w:eastAsia="Times New Roman"/>
          <w:sz w:val="24"/>
          <w:szCs w:val="24"/>
        </w:rPr>
        <w:instrText xml:space="preserve"> ADDIN EN.CITE </w:instrText>
      </w:r>
      <w:r w:rsidR="00233012">
        <w:rPr>
          <w:rFonts w:eastAsia="Times New Roman"/>
          <w:sz w:val="24"/>
          <w:szCs w:val="24"/>
        </w:rPr>
        <w:fldChar w:fldCharType="begin">
          <w:fldData xml:space="preserve">PEVuZE5vdGU+PENpdGU+PEF1dGhvcj5TYW11ZWw8L0F1dGhvcj48WWVhcj4yMDE1PC9ZZWFyPjxJ
RFRleHQ+U29jaWV0YWwgaW1wYWN0IGV2YWx1YXRpb246IEV4cGxvcmluZyBldmFsdWF0b3IgcGVy
Y2VwdGlvbnMgb2YgdGhlIGNoYXJhY3Rlcml6YXRpb24gb2YgaW1wYWN0IHVuZGVyIHRoZSBSRUYy
MDE0PC9JRFRleHQ+PERpc3BsYXlUZXh0PihEZXJyaWNrICZhbXA7IFNhbXVlbCwgMjAxNjsgU2Ft
dWVsICZhbXA7IERlcnJpY2ssIDIwMTU7IFdhdGVybWV5ZXIgJmFtcDsgQ2h1YmIsIDIwMTg7IFdh
dGVybWV5ZXIgJmFtcDsgSGVkZ2Vjb2UsIDIwMTYpPC9EaXNwbGF5VGV4dD48cmVjb3JkPjxrZXl3
b3Jkcz48a2V5d29yZD5Tb2NpZXRhbCBJbXBhY3Q8L2tleXdvcmQ+PGtleXdvcmQ+UmVzZWFyY2gg
RXhjZWxsZW5jZSBGcmFtZXdvcms8L2tleXdvcmQ+PGtleXdvcmQ+UXVhbGl0YXRpdmUgUmVzZWFy
Y2g8L2tleXdvcmQ+PGtleXdvcmQ+UmVzZWFyY2ggRXZhbHVhdGlvbjwva2V5d29yZD48L2tleXdv
cmRzPjxpc2JuPjA5NTgtMjAyOTwvaXNibj48dGl0bGVzPjx0aXRsZT5Tb2NpZXRhbCBpbXBhY3Qg
ZXZhbHVhdGlvbjogRXhwbG9yaW5nIGV2YWx1YXRvciBwZXJjZXB0aW9ucyBvZiB0aGUgY2hhcmFj
dGVyaXphdGlvbiBvZiBpbXBhY3QgdW5kZXIgdGhlIFJFRjIwMTQ8L3RpdGxlPjxzZWNvbmRhcnkt
dGl0bGU+UmVzZWFyY2ggRXZhbHVhdGlvbjwvc2Vjb25kYXJ5LXRpdGxlPjwvdGl0bGVzPjxwYWdl
cz4yMjktMjQxPC9wYWdlcz48bnVtYmVyPjM8L251bWJlcj48Y29udHJpYnV0b3JzPjxhdXRob3Jz
PjxhdXRob3I+U2FtdWVsLCBHYWJyaWVsbGUgTi48L2F1dGhvcj48YXV0aG9yPkRlcnJpY2ssIEdl
bW1hIEUuPC9hdXRob3I+PC9hdXRob3JzPjwvY29udHJpYnV0b3JzPjxhZGRlZC1kYXRlIGZvcm1h
dD0idXRjIj4xNTE1NDMzNDY2PC9hZGRlZC1kYXRlPjxyZWYtdHlwZSBuYW1lPSJKb3VybmFsIEFy
dGljbGUiPjE3PC9yZWYtdHlwZT48ZGF0ZXM+PHllYXI+MjAxNTwveWVhcj48L2RhdGVzPjxyZWMt
bnVtYmVyPjczMDE8L3JlYy1udW1iZXI+PGxhc3QtdXBkYXRlZC1kYXRlIGZvcm1hdD0idXRjIj4x
NTE1NDMzNDY2PC9sYXN0LXVwZGF0ZWQtZGF0ZT48ZWxlY3Ryb25pYy1yZXNvdXJjZS1udW0+MTAu
MTA5My9yZXNldmFsL3J2djAwNzwvZWxlY3Ryb25pYy1yZXNvdXJjZS1udW0+PHZvbHVtZT4yNDwv
dm9sdW1lPjwvcmVjb3JkPjwvQ2l0ZT48Q2l0ZT48QXV0aG9yPkRlcnJpY2s8L0F1dGhvcj48WWVh
cj4yMDE2PC9ZZWFyPjxJRFRleHQ+VGhlIEV2YWx1YXRpb24gU2NhbGU6IEV4cGxvcmluZyBEZWNp
c2lvbnMgQWJvdXQgU29jaWV0YWwgSW1wYWN0IGluIFBlZXIgUmV2aWV3IFBhbmVsczwvSURUZXh0
PjxyZWNvcmQ+PGtleXdvcmRzPjxrZXl3b3JkPlNvY2lldGFsIGltcGFjdDwva2V5d29yZD48a2V5
d29yZD5QZWVyIHJldmlldzwva2V5d29yZD48a2V5d29yZD5FdmFsdWF0aW9uIGZyYW1ld29ya3M8
L2tleXdvcmQ+PGtleXdvcmQ+SW1wYWN0PC9rZXl3b3JkPjxrZXl3b3JkPlF1YWxpdGF0aXZlPC9r
ZXl3b3JkPjwva2V5d29yZHM+PGlzYm4+MDAyNi00Njk1PC9pc2JuPjx0aXRsZXM+PHRpdGxlPlRo
ZSBFdmFsdWF0aW9uIFNjYWxlOiBFeHBsb3JpbmcgRGVjaXNpb25zIEFib3V0IFNvY2lldGFsIElt
cGFjdCBpbiBQZWVyIFJldmlldyBQYW5lbHM8L3RpdGxlPjxzZWNvbmRhcnktdGl0bGU+QSBSZXZp
ZXcgb2YgU2NpZW5jZSwgTGVhcm5pbmcgYW5kIFBvbGljeTwvc2Vjb25kYXJ5LXRpdGxlPjwvdGl0
bGVzPjxwYWdlcz43NS05NzwvcGFnZXM+PG51bWJlcj4xPC9udW1iZXI+PGNvbnRyaWJ1dG9ycz48
YXV0aG9ycz48YXV0aG9yPkRlcnJpY2ssIEdlbW1hPC9hdXRob3I+PGF1dGhvcj5TYW11ZWwsIEdh
YnJpZWxsZTwvYXV0aG9yPjwvYXV0aG9ycz48L2NvbnRyaWJ1dG9ycz48YWRkZWQtZGF0ZSBmb3Jt
YXQ9InV0YyI+MTUzMDg4MTk3ODwvYWRkZWQtZGF0ZT48cHViLWxvY2F0aW9uPkRvcmRyZWNodDwv
cHViLWxvY2F0aW9uPjxyZWYtdHlwZSBuYW1lPSJKb3VybmFsIEFydGljbGUiPjE3PC9yZWYtdHlw
ZT48ZGF0ZXM+PHllYXI+MjAxNjwveWVhcj48L2RhdGVzPjxyZWMtbnVtYmVyPjc2MDE8L3JlYy1u
dW1iZXI+PGxhc3QtdXBkYXRlZC1kYXRlIGZvcm1hdD0idXRjIj4xNTMwODgxOTc4PC9sYXN0LXVw
ZGF0ZWQtZGF0ZT48ZWxlY3Ryb25pYy1yZXNvdXJjZS1udW0+MTAuMTAwNy9zMTEwMjQtMDE2LTky
OTAtMDwvZWxlY3Ryb25pYy1yZXNvdXJjZS1udW0+PHZvbHVtZT41NDwvdm9sdW1lPjwvcmVjb3Jk
PjwvQ2l0ZT48Q2l0ZT48QXV0aG9yPldhdGVybWV5ZXI8L0F1dGhvcj48WWVhcj4yMDE2PC9ZZWFy
PjxJRFRleHQ+U2VsbGluZyDigJhpbXBhY3TigJk6IHBlZXIgcmV2aWV3ZXIgcHJvamVjdGlvbnMg
b2Ygd2hhdCBpcyBuZWVkZWQgYW5kIHdoYXQgY291bnRzIGluIFJFRiBpbXBhY3QgY2FzZSBzdHVk
aWVzLiBBIHJldHJvc3BlY3RpdmUgYW5hbHlzaXM8L0lEVGV4dD48cmVjb3JkPjxrZXl3b3Jkcz48
a2V5d29yZD5BcnRpY2xlPC9rZXl3b3JkPjxrZXl3b3JkPkNyaXRpY2FsIEFuYWx5c2lzPC9rZXl3
b3JkPjxrZXl3b3JkPkFjdG9ycyBJbnN0aXR1dGlvbnM8L2tleXdvcmQ+PC9rZXl3b3Jkcz48aXNi
bj4wMjY4LTA5Mzk8L2lzYm4+PHRpdGxlcz48dGl0bGU+U2VsbGluZyDigJhpbXBhY3TigJk6IHBl
ZXIgcmV2aWV3ZXIgcHJvamVjdGlvbnMgb2Ygd2hhdCBpcyBuZWVkZWQgYW5kIHdoYXQgY291bnRz
IGluIFJFRiBpbXBhY3QgY2FzZSBzdHVkaWVzLiBBIHJldHJvc3BlY3RpdmUgYW5hbHlzaXM8L3Rp
dGxlPjxzZWNvbmRhcnktdGl0bGU+Sm91cm5hbCBvZiBFZHVjYXRpb24gUG9saWN5PC9zZWNvbmRh
cnktdGl0bGU+PC90aXRsZXM+PHBhZ2VzPjY1MS02NjU8L3BhZ2VzPjxudW1iZXI+NTwvbnVtYmVy
Pjxjb250cmlidXRvcnM+PGF1dGhvcnM+PGF1dGhvcj5XYXRlcm1leWVyLCBSaWNoYXJkPC9hdXRo
b3I+PGF1dGhvcj5IZWRnZWNvZSwgQWRhbTwvYXV0aG9yPjwvYXV0aG9ycz48L2NvbnRyaWJ1dG9y
cz48YWRkZWQtZGF0ZSBmb3JtYXQ9InV0YyI+MTUzMDg4MjIwNjwvYWRkZWQtZGF0ZT48cmVmLXR5
cGUgbmFtZT0iSm91cm5hbCBBcnRpY2xlIj4xNzwvcmVmLXR5cGU+PGRhdGVzPjx5ZWFyPjIwMTY8
L3llYXI+PC9kYXRlcz48cmVjLW51bWJlcj43NjAyPC9yZWMtbnVtYmVyPjxwdWJsaXNoZXI+Um91
dGxlZGdlPC9wdWJsaXNoZXI+PGxhc3QtdXBkYXRlZC1kYXRlIGZvcm1hdD0idXRjIj4xNTMwODgy
MjA2PC9sYXN0LXVwZGF0ZWQtZGF0ZT48ZWxlY3Ryb25pYy1yZXNvdXJjZS1udW0+MTAuMTA4MC8w
MjY4MDkzOS4yMDE2LjExNzA4ODU8L2VsZWN0cm9uaWMtcmVzb3VyY2UtbnVtPjx2b2x1bWU+MzE8
L3ZvbHVtZT48L3JlY29yZD48L0NpdGU+PENpdGU+PEF1dGhvcj5XYXRlcm1leWVyPC9BdXRob3I+
PFllYXI+MjAxODwvWWVhcj48SURUZXh0PkV2YWx1YXRpbmcg4oCYaW1wYWN04oCZIGluIHRoZSBV
S+KAmXMgUmVzZWFyY2ggRXhjZWxsZW5jZSBGcmFtZXdvcmsgKFJFRik6IGxpbWluYWxpdHksIGxv
b3NlbmVzcyBhbmQgbmV3IG1vZGFsaXRpZXMgb2Ygc2Nob2xhcmx5IGRpc3RpbmN0aW9uPC9JRFRl
eHQ+PHJlY29yZD48a2V5d29yZHM+PGtleXdvcmQ+QXJ0aWNsZTwva2V5d29yZD48a2V5d29yZD5S
ZXNlYXJjaCBGdW5kaW5nIEFuZCBFdmFsdWF0aW9uPC9rZXl3b3JkPjxrZXl3b3JkPlJlc2VhcmNo
IFBvbGljeTwva2V5d29yZD48a2V5d29yZD5SZXNlYXJjaCBJbXBhY3Q8L2tleXdvcmQ+PGtleXdv
cmQ+QWNjb3VudGFiaWxpdHk8L2tleXdvcmQ+PGtleXdvcmQ+UmVzZWFyY2ggRXhjZWxsZW5jZTwv
a2V5d29yZD48L2tleXdvcmRzPjxpc2JuPjAzMDctNTA3OTwvaXNibj48dGl0bGVzPjx0aXRsZT5F
dmFsdWF0aW5nIOKAmGltcGFjdOKAmSBpbiB0aGUgVUvigJlzIFJlc2VhcmNoIEV4Y2VsbGVuY2Ug
RnJhbWV3b3JrIChSRUYpOiBsaW1pbmFsaXR5LCBsb29zZW5lc3MgYW5kIG5ldyBtb2RhbGl0aWVz
IG9mIHNjaG9sYXJseSBkaXN0aW5jdGlvbjwvdGl0bGU+PHNlY29uZGFyeS10aXRsZT5TdHVkaWVz
IGluIEhpZ2hlciBFZHVjYXRpb248L3NlY29uZGFyeS10aXRsZT48L3RpdGxlcz48cGFnZXM+MS0x
MzwvcGFnZXM+PGNvbnRyaWJ1dG9ycz48YXV0aG9ycz48YXV0aG9yPldhdGVybWV5ZXIsIFJpY2hh
cmQ8L2F1dGhvcj48YXV0aG9yPkNodWJiLCBKZW5uaWZlcjwvYXV0aG9yPjwvYXV0aG9ycz48L2Nv
bnRyaWJ1dG9ycz48YWRkZWQtZGF0ZSBmb3JtYXQ9InV0YyI+MTUzMDg4MjI5NTwvYWRkZWQtZGF0
ZT48cmVmLXR5cGUgbmFtZT0iSm91cm5hbCBBcnRpY2xlIj4xNzwvcmVmLXR5cGU+PGRhdGVzPjx5
ZWFyPjIwMTg8L3llYXI+PC9kYXRlcz48cmVjLW51bWJlcj43NjAzPC9yZWMtbnVtYmVyPjxwdWJs
aXNoZXI+Um91dGxlZGdlPC9wdWJsaXNoZXI+PGxhc3QtdXBkYXRlZC1kYXRlIGZvcm1hdD0idXRj
Ij4xNTMwODgyMjk1PC9sYXN0LXVwZGF0ZWQtZGF0ZT48ZWxlY3Ryb25pYy1yZXNvdXJjZS1udW0+
MTAuMTA4MC8wMzA3NTA3OS4yMDE4LjE0NTUwODI8L2VsZWN0cm9uaWMtcmVzb3VyY2UtbnVtPjwv
cmVjb3JkPjwvQ2l0ZT48L0VuZE5vdGU+
</w:fldData>
        </w:fldChar>
      </w:r>
      <w:r>
        <w:rPr>
          <w:rFonts w:eastAsia="Times New Roman"/>
          <w:sz w:val="24"/>
          <w:szCs w:val="24"/>
        </w:rPr>
        <w:instrText xml:space="preserve"> ADDIN EN.CITE.DATA </w:instrText>
      </w:r>
      <w:r w:rsidR="00233012">
        <w:rPr>
          <w:rFonts w:eastAsia="Times New Roman"/>
          <w:sz w:val="24"/>
          <w:szCs w:val="24"/>
        </w:rPr>
      </w:r>
      <w:r w:rsidR="00233012">
        <w:rPr>
          <w:rFonts w:eastAsia="Times New Roman"/>
          <w:sz w:val="24"/>
          <w:szCs w:val="24"/>
        </w:rPr>
        <w:fldChar w:fldCharType="end"/>
      </w:r>
      <w:r w:rsidR="00233012">
        <w:rPr>
          <w:rFonts w:eastAsia="Times New Roman"/>
          <w:sz w:val="24"/>
          <w:szCs w:val="24"/>
        </w:rPr>
      </w:r>
      <w:r w:rsidR="00233012">
        <w:rPr>
          <w:rFonts w:eastAsia="Times New Roman"/>
          <w:sz w:val="24"/>
          <w:szCs w:val="24"/>
        </w:rPr>
        <w:fldChar w:fldCharType="separate"/>
      </w:r>
      <w:r>
        <w:rPr>
          <w:rFonts w:eastAsia="Times New Roman"/>
          <w:noProof/>
          <w:sz w:val="24"/>
          <w:szCs w:val="24"/>
        </w:rPr>
        <w:t>(Derrick &amp; Samuel, 2016; Samuel &amp; Derrick, 2015; Watermeyer &amp; Chubb, 2018; Watermeyer &amp; Hedgecoe, 2016)</w:t>
      </w:r>
      <w:r w:rsidR="00233012">
        <w:rPr>
          <w:rFonts w:eastAsia="Times New Roman"/>
          <w:sz w:val="24"/>
          <w:szCs w:val="24"/>
        </w:rPr>
        <w:fldChar w:fldCharType="end"/>
      </w:r>
      <w:r>
        <w:rPr>
          <w:rFonts w:eastAsia="Times New Roman"/>
          <w:sz w:val="24"/>
          <w:szCs w:val="24"/>
        </w:rPr>
        <w:t>.</w:t>
      </w:r>
      <w:r w:rsidRPr="418505C0">
        <w:rPr>
          <w:rFonts w:eastAsia="Times New Roman"/>
          <w:sz w:val="24"/>
          <w:szCs w:val="24"/>
        </w:rPr>
        <w:t xml:space="preserve"> There are inevitably imperfections with any operationalised definition of a concept as broad and contested as ‘impact’. However, </w:t>
      </w:r>
      <w:r>
        <w:rPr>
          <w:rFonts w:eastAsia="Times New Roman"/>
          <w:sz w:val="24"/>
          <w:szCs w:val="24"/>
        </w:rPr>
        <w:t xml:space="preserve">I believe </w:t>
      </w:r>
      <w:r w:rsidRPr="418505C0">
        <w:rPr>
          <w:rFonts w:eastAsia="Times New Roman"/>
          <w:sz w:val="24"/>
          <w:szCs w:val="24"/>
        </w:rPr>
        <w:t xml:space="preserve">the REF </w:t>
      </w:r>
      <w:r>
        <w:rPr>
          <w:rFonts w:eastAsia="Times New Roman"/>
          <w:sz w:val="24"/>
          <w:szCs w:val="24"/>
        </w:rPr>
        <w:t>does have value as the result of a very larg</w:t>
      </w:r>
      <w:r w:rsidRPr="418505C0">
        <w:rPr>
          <w:rFonts w:eastAsia="Times New Roman"/>
          <w:sz w:val="24"/>
          <w:szCs w:val="24"/>
        </w:rPr>
        <w:t>e</w:t>
      </w:r>
      <w:r>
        <w:rPr>
          <w:rFonts w:eastAsia="Times New Roman"/>
          <w:sz w:val="24"/>
          <w:szCs w:val="24"/>
        </w:rPr>
        <w:t>-</w:t>
      </w:r>
      <w:r w:rsidRPr="418505C0">
        <w:rPr>
          <w:rFonts w:eastAsia="Times New Roman"/>
          <w:sz w:val="24"/>
          <w:szCs w:val="24"/>
        </w:rPr>
        <w:t xml:space="preserve">scale peer review process which, among other things, </w:t>
      </w:r>
      <w:r>
        <w:rPr>
          <w:rFonts w:eastAsia="Times New Roman"/>
          <w:sz w:val="24"/>
          <w:szCs w:val="24"/>
        </w:rPr>
        <w:t>yields a significant dataset about BoRs that have engaged with various non-academic sectors and actors in the pursuit of advancing their research agenda and realising non-academic impact</w:t>
      </w:r>
      <w:r w:rsidRPr="418505C0">
        <w:rPr>
          <w:rFonts w:eastAsia="Times New Roman"/>
          <w:sz w:val="24"/>
          <w:szCs w:val="24"/>
        </w:rPr>
        <w:t xml:space="preserve">. The alternative </w:t>
      </w:r>
      <w:r>
        <w:rPr>
          <w:rFonts w:eastAsia="Times New Roman"/>
          <w:sz w:val="24"/>
          <w:szCs w:val="24"/>
        </w:rPr>
        <w:t>to my drawing from this dataset would have been to</w:t>
      </w:r>
      <w:r w:rsidRPr="418505C0">
        <w:rPr>
          <w:rFonts w:eastAsia="Times New Roman"/>
          <w:sz w:val="24"/>
          <w:szCs w:val="24"/>
        </w:rPr>
        <w:t xml:space="preserve"> identify impactful research myself using some other criteria, which would constitute a significant project in itself. </w:t>
      </w:r>
    </w:p>
    <w:p w14:paraId="70A50036" w14:textId="2A0B5AED" w:rsidR="00082217" w:rsidRDefault="00082217" w:rsidP="00CE1B98">
      <w:pPr>
        <w:pStyle w:val="Heading2"/>
      </w:pPr>
      <w:bookmarkStart w:id="100" w:name="_Toc536717946"/>
      <w:bookmarkStart w:id="101" w:name="_Toc31701973"/>
      <w:r w:rsidRPr="00A90193">
        <w:t>Ethics</w:t>
      </w:r>
      <w:bookmarkEnd w:id="100"/>
      <w:bookmarkEnd w:id="101"/>
    </w:p>
    <w:p w14:paraId="050600E5" w14:textId="77777777" w:rsidR="00082217" w:rsidRDefault="00082217" w:rsidP="00082217">
      <w:pPr>
        <w:spacing w:after="120" w:line="360" w:lineRule="auto"/>
        <w:rPr>
          <w:sz w:val="24"/>
          <w:szCs w:val="24"/>
        </w:rPr>
      </w:pPr>
      <w:r>
        <w:rPr>
          <w:sz w:val="24"/>
          <w:szCs w:val="24"/>
        </w:rPr>
        <w:t>Ethical issues touch every aspect of research design (Maxwell, 2013, p. 7). However, for the qualitative researcher, the “primary ethical obligation” (Maxwell, 2013, p. 92) is to the individual participants. Treatment and respect for my participants and their anonymity will therefore take up most of this section. However, I also consider broader ethical issues.</w:t>
      </w:r>
    </w:p>
    <w:p w14:paraId="525D0C9C" w14:textId="77777777" w:rsidR="00082217" w:rsidRDefault="00082217" w:rsidP="00082217">
      <w:pPr>
        <w:spacing w:after="120" w:line="360" w:lineRule="auto"/>
        <w:rPr>
          <w:sz w:val="24"/>
          <w:szCs w:val="24"/>
        </w:rPr>
      </w:pPr>
      <w:r>
        <w:rPr>
          <w:sz w:val="24"/>
          <w:szCs w:val="24"/>
        </w:rPr>
        <w:t>The topic of the research is not of a particularly sensitive nature on a personal level. Moreover, since I am interviewing participants as experts and professionals who have specific experience</w:t>
      </w:r>
      <w:r w:rsidRPr="00AE061A">
        <w:rPr>
          <w:sz w:val="24"/>
          <w:szCs w:val="24"/>
        </w:rPr>
        <w:t xml:space="preserve"> of conducting highly reputable academic research and of interacting with non-academic actors in order to achieve </w:t>
      </w:r>
      <w:r>
        <w:rPr>
          <w:sz w:val="24"/>
          <w:szCs w:val="24"/>
        </w:rPr>
        <w:t xml:space="preserve">‘impacts’ which have been recognised for their ‘reach’ and ‘significance’ (to borrow directly from the REF criteria terminology), it could be argued that the power balance between researcher and researched is somewhat reversed in this context </w:t>
      </w:r>
      <w:r w:rsidR="00233012">
        <w:rPr>
          <w:sz w:val="24"/>
          <w:szCs w:val="24"/>
        </w:rPr>
        <w:fldChar w:fldCharType="begin">
          <w:fldData xml:space="preserve">PEVuZE5vdGU+PENpdGU+PEF1dGhvcj5IYXJ2ZXk8L0F1dGhvcj48WWVhcj4yMDEwPC9ZZWFyPjxJ
RFRleHQ+TWV0aG9kb2xvZ2ljYWwgQXBwcm9hY2hlcyBmb3IgSW50ZXJ2aWV3aW5nIEVsaXRlczwv
SURUZXh0PjxEaXNwbGF5VGV4dD4oQnVybmhhbSwgTHV0eiwgR3JhbnQsICZhbXA7IExheXRvbi1I
ZW5yeSwgMjAwODsgSGFydmV5LCAyMDEwOyBTdGVwaGVucywgMjAxMCk8L0Rpc3BsYXlUZXh0Pjxy
ZWNvcmQ+PGlzYm4+MTc0OS04MTk4PC9pc2JuPjx0aXRsZXM+PHRpdGxlPk1ldGhvZG9sb2dpY2Fs
IEFwcHJvYWNoZXMgZm9yIEludGVydmlld2luZyBFbGl0ZXM8L3RpdGxlPjxzZWNvbmRhcnktdGl0
bGU+R2VvZ3JhcGh5IENvbXBhc3M8L3NlY29uZGFyeS10aXRsZT48L3RpdGxlcz48cGFnZXM+MTkz
LTIwNTwvcGFnZXM+PG51bWJlcj4zPC9udW1iZXI+PGNvbnRyaWJ1dG9ycz48YXV0aG9ycz48YXV0
aG9yPkhhcnZleSwgV2lsbGlhbSBTLjwvYXV0aG9yPjwvYXV0aG9ycz48L2NvbnRyaWJ1dG9ycz48
YWRkZWQtZGF0ZSBmb3JtYXQ9InV0YyI+MTQ3NzY2NDk4MzwvYWRkZWQtZGF0ZT48cHViLWxvY2F0
aW9uPk94Zm9yZCwgVUs8L3B1Yi1sb2NhdGlvbj48cmVmLXR5cGUgbmFtZT0iSm91cm5hbCBBcnRp
Y2xlIj4xNzwvcmVmLXR5cGU+PGRhdGVzPjx5ZWFyPjIwMTA8L3llYXI+PC9kYXRlcz48cmVjLW51
bWJlcj42MDI4PC9yZWMtbnVtYmVyPjxsYXN0LXVwZGF0ZWQtZGF0ZSBmb3JtYXQ9InV0YyI+MTQ3
NzY2NTQ2ODwvbGFzdC11cGRhdGVkLWRhdGU+PGVsZWN0cm9uaWMtcmVzb3VyY2UtbnVtPjEwLjEx
MTEvai4xNzQ5LTgxOTguMjAwOS4wMDMxMy54PC9lbGVjdHJvbmljLXJlc291cmNlLW51bT48dm9s
dW1lPjQ8L3ZvbHVtZT48L3JlY29yZD48L0NpdGU+PENpdGU+PEF1dGhvcj5CdXJuaGFtPC9BdXRo
b3I+PFllYXI+MjAwODwvWWVhcj48SURUZXh0PlJlc2VhcmNoIG1ldGhvZHMgaW4gcG9saXRpY3M8
L0lEVGV4dD48cmVjb3JkPjxrZXl3b3Jkcz48a2V5d29yZD5Qb2xpdGljYWwgc2NpZW5jZSAtLSBS
ZXNlYXJjaCAtLSBNZXRob2RvbG9neTwva2V5d29yZD48a2V5d29yZD5BZG1pbmlzdHJhdGlvbjwv
a2V5d29yZD48a2V5d29yZD5DaXZpbCBnb3Zlcm5tZW50PC9rZXl3b3JkPjxrZXl3b3JkPkNvbW1v
bndlYWx0aCwgVGhlPC9rZXl3b3JkPjxrZXl3b3JkPkdvdmVybm1lbnQ8L2tleXdvcmQ+PGtleXdv
cmQ+UG9saXRpY2FsIHRoZW9yeTwva2V5d29yZD48a2V5d29yZD5Qb2xpdGljYWwgdGhvdWdodDwv
a2V5d29yZD48a2V5d29yZD5Qb2xpdGljczwva2V5d29yZD48a2V5d29yZD5TY2llbmNlLCBQb2xp
dGljYWw8L2tleXdvcmQ+PGtleXdvcmQ+U29jaWFsIHNjaWVuY2VzPC9rZXl3b3JkPjxrZXl3b3Jk
PlN0YXRlLCBUaGU8L2tleXdvcmQ+PC9rZXl3b3Jkcz48dGl0bGVzPjx0aXRsZT5SZXNlYXJjaCBt
ZXRob2RzIGluIHBvbGl0aWNzPC90aXRsZT48L3RpdGxlcz48Y29udHJpYnV0b3JzPjxhdXRob3Jz
PjxhdXRob3I+QnVybmhhbSwgUGV0ZXI8L2F1dGhvcj48YXV0aG9yPkx1dHosIEthcmluIEdpbGxh
bmQ8L2F1dGhvcj48YXV0aG9yPkdyYW50LCBXeW48L2F1dGhvcj48YXV0aG9yPkxheXRvbi1IZW5y
eSwgWmlnPC9hdXRob3I+PC9hdXRob3JzPjwvY29udHJpYnV0b3JzPjxlZGl0aW9uPjJuZDwvZWRp
dGlvbj48YWRkZWQtZGF0ZSBmb3JtYXQ9InV0YyI+MTQ2ODM1Njk0NzwvYWRkZWQtZGF0ZT48cHVi
LWxvY2F0aW9uPkJhc2luZ3N0b2tlPC9wdWItbG9jYXRpb24+PHJlZi10eXBlIG5hbWU9IkJvb2si
PjY8L3JlZi10eXBlPjxkYXRlcz48eWVhcj4yMDA4PC95ZWFyPjwvZGF0ZXM+PHJlYy1udW1iZXI+
NDM2PC9yZWMtbnVtYmVyPjxwdWJsaXNoZXI+UGFsZ3JhdmUgTWFjbWlsbGFuPC9wdWJsaXNoZXI+
PGxhc3QtdXBkYXRlZC1kYXRlIGZvcm1hdD0idXRjIj4xNDc3Njc0NzQwPC9sYXN0LXVwZGF0ZWQt
ZGF0ZT48L3JlY29yZD48L0NpdGU+PENpdGU+PEF1dGhvcj5TdGVwaGVuczwvQXV0aG9yPjxZZWFy
PjIwMTA8L1llYXI+PElEVGV4dD5Db2xsZWN0aW5nIERhdGEgZnJvbSBFbGl0ZXMgYW5kIFVsdHJh
IEVsaXRlczogVGVsZXBob25lIGFuZCBGYWNlLXRvLUZhY2UgSW50ZXJ2aWV3cyB3aXRoIE1hY3Jv
ZWNvbm9taXN0czwvSURUZXh0PjxyZWNvcmQ+PGtleXdvcmRzPjxrZXl3b3JkPlNvY2lhbCBzY2ll
bmNlcyAtLSBSZXNlYXJjaCAtLSBNZXRob2RvbG9neTwva2V5d29yZD48a2V5d29yZD5RdWFsaXRh
dGl2ZSByZXNlYXJjaCAtLSBNZXRob2RvbG9neTwva2V5d29yZD48a2V5d29yZD5FbGVjdHJvbmlj
IGJvb2tzPC9rZXl3b3JkPjwva2V5d29yZHM+PHRpdGxlcz48dGl0bGU+Q29sbGVjdGluZyBEYXRh
IGZyb20gRWxpdGVzIGFuZCBVbHRyYSBFbGl0ZXM6IFRlbGVwaG9uZSBhbmQgRmFjZS10by1GYWNl
IEludGVydmlld3Mgd2l0aCBNYWNyb2Vjb25vbWlzdHM8L3RpdGxlPjxzZWNvbmRhcnktdGl0bGU+
U0FHRSBRdWFsaXRhdGl2ZSBSZXNlYXJjaCBNZXRob2RzPC9zZWNvbmRhcnktdGl0bGU+PC90aXRs
ZXM+PGNvbnRyaWJ1dG9ycz48YXV0aG9ycz48YXV0aG9yPlN0ZXBoZW5zLCBOZWlsPC9hdXRob3I+
PC9hdXRob3JzPjwvY29udHJpYnV0b3JzPjxhZGRlZC1kYXRlIGZvcm1hdD0idXRjIj4xNTMwNzEx
MjQxPC9hZGRlZC1kYXRlPjxwdWItbG9jYXRpb24+TG9uZG9uPC9wdWItbG9jYXRpb24+PHJlZi10
eXBlIG5hbWU9IkJvb2sgU2VjdGlvbiI+NTwvcmVmLXR5cGU+PGRhdGVzPjx5ZWFyPjIwMTA8L3ll
YXI+PC9kYXRlcz48cmVjLW51bWJlcj43NTg2PC9yZWMtbnVtYmVyPjxwdWJsaXNoZXI+U0FHRTwv
cHVibGlzaGVyPjxsYXN0LXVwZGF0ZWQtZGF0ZSBmb3JtYXQ9InV0YyI+MTUzMDcxMTM2NDwvbGFz
dC11cGRhdGVkLWRhdGU+PGNvbnRyaWJ1dG9ycz48c2Vjb25kYXJ5LWF1dGhvcnM+PGF1dGhvcj5B
dGtpbnNvbiwgUGF1bDwvYXV0aG9yPjxhdXRob3I+RGVsYW1vbnQsIFNhcmE8L2F1dGhvcj48YXV0
aG9yPkRlbGFtb250LCBLYXRoZXJpbmUgU2FyYTwvYXV0aG9yPjxhdXRob3I+RGVsYW1vbnQsIFMu
PC9hdXRob3I+PC9zZWNvbmRhcnktYXV0aG9ycz48L2NvbnRyaWJ1dG9ycz48L3JlY29yZD48L0Np
dGU+PC9FbmROb3RlPgB=
</w:fldData>
        </w:fldChar>
      </w:r>
      <w:r>
        <w:rPr>
          <w:sz w:val="24"/>
          <w:szCs w:val="24"/>
        </w:rPr>
        <w:instrText xml:space="preserve"> ADDIN EN.CITE </w:instrText>
      </w:r>
      <w:r w:rsidR="00233012">
        <w:rPr>
          <w:sz w:val="24"/>
          <w:szCs w:val="24"/>
        </w:rPr>
        <w:fldChar w:fldCharType="begin">
          <w:fldData xml:space="preserve">PEVuZE5vdGU+PENpdGU+PEF1dGhvcj5IYXJ2ZXk8L0F1dGhvcj48WWVhcj4yMDEwPC9ZZWFyPjxJ
RFRleHQ+TWV0aG9kb2xvZ2ljYWwgQXBwcm9hY2hlcyBmb3IgSW50ZXJ2aWV3aW5nIEVsaXRlczwv
SURUZXh0PjxEaXNwbGF5VGV4dD4oQnVybmhhbSwgTHV0eiwgR3JhbnQsICZhbXA7IExheXRvbi1I
ZW5yeSwgMjAwODsgSGFydmV5LCAyMDEwOyBTdGVwaGVucywgMjAxMCk8L0Rpc3BsYXlUZXh0Pjxy
ZWNvcmQ+PGlzYm4+MTc0OS04MTk4PC9pc2JuPjx0aXRsZXM+PHRpdGxlPk1ldGhvZG9sb2dpY2Fs
IEFwcHJvYWNoZXMgZm9yIEludGVydmlld2luZyBFbGl0ZXM8L3RpdGxlPjxzZWNvbmRhcnktdGl0
bGU+R2VvZ3JhcGh5IENvbXBhc3M8L3NlY29uZGFyeS10aXRsZT48L3RpdGxlcz48cGFnZXM+MTkz
LTIwNTwvcGFnZXM+PG51bWJlcj4zPC9udW1iZXI+PGNvbnRyaWJ1dG9ycz48YXV0aG9ycz48YXV0
aG9yPkhhcnZleSwgV2lsbGlhbSBTLjwvYXV0aG9yPjwvYXV0aG9ycz48L2NvbnRyaWJ1dG9ycz48
YWRkZWQtZGF0ZSBmb3JtYXQ9InV0YyI+MTQ3NzY2NDk4MzwvYWRkZWQtZGF0ZT48cHViLWxvY2F0
aW9uPk94Zm9yZCwgVUs8L3B1Yi1sb2NhdGlvbj48cmVmLXR5cGUgbmFtZT0iSm91cm5hbCBBcnRp
Y2xlIj4xNzwvcmVmLXR5cGU+PGRhdGVzPjx5ZWFyPjIwMTA8L3llYXI+PC9kYXRlcz48cmVjLW51
bWJlcj42MDI4PC9yZWMtbnVtYmVyPjxsYXN0LXVwZGF0ZWQtZGF0ZSBmb3JtYXQ9InV0YyI+MTQ3
NzY2NTQ2ODwvbGFzdC11cGRhdGVkLWRhdGU+PGVsZWN0cm9uaWMtcmVzb3VyY2UtbnVtPjEwLjEx
MTEvai4xNzQ5LTgxOTguMjAwOS4wMDMxMy54PC9lbGVjdHJvbmljLXJlc291cmNlLW51bT48dm9s
dW1lPjQ8L3ZvbHVtZT48L3JlY29yZD48L0NpdGU+PENpdGU+PEF1dGhvcj5CdXJuaGFtPC9BdXRo
b3I+PFllYXI+MjAwODwvWWVhcj48SURUZXh0PlJlc2VhcmNoIG1ldGhvZHMgaW4gcG9saXRpY3M8
L0lEVGV4dD48cmVjb3JkPjxrZXl3b3Jkcz48a2V5d29yZD5Qb2xpdGljYWwgc2NpZW5jZSAtLSBS
ZXNlYXJjaCAtLSBNZXRob2RvbG9neTwva2V5d29yZD48a2V5d29yZD5BZG1pbmlzdHJhdGlvbjwv
a2V5d29yZD48a2V5d29yZD5DaXZpbCBnb3Zlcm5tZW50PC9rZXl3b3JkPjxrZXl3b3JkPkNvbW1v
bndlYWx0aCwgVGhlPC9rZXl3b3JkPjxrZXl3b3JkPkdvdmVybm1lbnQ8L2tleXdvcmQ+PGtleXdv
cmQ+UG9saXRpY2FsIHRoZW9yeTwva2V5d29yZD48a2V5d29yZD5Qb2xpdGljYWwgdGhvdWdodDwv
a2V5d29yZD48a2V5d29yZD5Qb2xpdGljczwva2V5d29yZD48a2V5d29yZD5TY2llbmNlLCBQb2xp
dGljYWw8L2tleXdvcmQ+PGtleXdvcmQ+U29jaWFsIHNjaWVuY2VzPC9rZXl3b3JkPjxrZXl3b3Jk
PlN0YXRlLCBUaGU8L2tleXdvcmQ+PC9rZXl3b3Jkcz48dGl0bGVzPjx0aXRsZT5SZXNlYXJjaCBt
ZXRob2RzIGluIHBvbGl0aWNzPC90aXRsZT48L3RpdGxlcz48Y29udHJpYnV0b3JzPjxhdXRob3Jz
PjxhdXRob3I+QnVybmhhbSwgUGV0ZXI8L2F1dGhvcj48YXV0aG9yPkx1dHosIEthcmluIEdpbGxh
bmQ8L2F1dGhvcj48YXV0aG9yPkdyYW50LCBXeW48L2F1dGhvcj48YXV0aG9yPkxheXRvbi1IZW5y
eSwgWmlnPC9hdXRob3I+PC9hdXRob3JzPjwvY29udHJpYnV0b3JzPjxlZGl0aW9uPjJuZDwvZWRp
dGlvbj48YWRkZWQtZGF0ZSBmb3JtYXQ9InV0YyI+MTQ2ODM1Njk0NzwvYWRkZWQtZGF0ZT48cHVi
LWxvY2F0aW9uPkJhc2luZ3N0b2tlPC9wdWItbG9jYXRpb24+PHJlZi10eXBlIG5hbWU9IkJvb2si
PjY8L3JlZi10eXBlPjxkYXRlcz48eWVhcj4yMDA4PC95ZWFyPjwvZGF0ZXM+PHJlYy1udW1iZXI+
NDM2PC9yZWMtbnVtYmVyPjxwdWJsaXNoZXI+UGFsZ3JhdmUgTWFjbWlsbGFuPC9wdWJsaXNoZXI+
PGxhc3QtdXBkYXRlZC1kYXRlIGZvcm1hdD0idXRjIj4xNDc3Njc0NzQwPC9sYXN0LXVwZGF0ZWQt
ZGF0ZT48L3JlY29yZD48L0NpdGU+PENpdGU+PEF1dGhvcj5TdGVwaGVuczwvQXV0aG9yPjxZZWFy
PjIwMTA8L1llYXI+PElEVGV4dD5Db2xsZWN0aW5nIERhdGEgZnJvbSBFbGl0ZXMgYW5kIFVsdHJh
IEVsaXRlczogVGVsZXBob25lIGFuZCBGYWNlLXRvLUZhY2UgSW50ZXJ2aWV3cyB3aXRoIE1hY3Jv
ZWNvbm9taXN0czwvSURUZXh0PjxyZWNvcmQ+PGtleXdvcmRzPjxrZXl3b3JkPlNvY2lhbCBzY2ll
bmNlcyAtLSBSZXNlYXJjaCAtLSBNZXRob2RvbG9neTwva2V5d29yZD48a2V5d29yZD5RdWFsaXRh
dGl2ZSByZXNlYXJjaCAtLSBNZXRob2RvbG9neTwva2V5d29yZD48a2V5d29yZD5FbGVjdHJvbmlj
IGJvb2tzPC9rZXl3b3JkPjwva2V5d29yZHM+PHRpdGxlcz48dGl0bGU+Q29sbGVjdGluZyBEYXRh
IGZyb20gRWxpdGVzIGFuZCBVbHRyYSBFbGl0ZXM6IFRlbGVwaG9uZSBhbmQgRmFjZS10by1GYWNl
IEludGVydmlld3Mgd2l0aCBNYWNyb2Vjb25vbWlzdHM8L3RpdGxlPjxzZWNvbmRhcnktdGl0bGU+
U0FHRSBRdWFsaXRhdGl2ZSBSZXNlYXJjaCBNZXRob2RzPC9zZWNvbmRhcnktdGl0bGU+PC90aXRs
ZXM+PGNvbnRyaWJ1dG9ycz48YXV0aG9ycz48YXV0aG9yPlN0ZXBoZW5zLCBOZWlsPC9hdXRob3I+
PC9hdXRob3JzPjwvY29udHJpYnV0b3JzPjxhZGRlZC1kYXRlIGZvcm1hdD0idXRjIj4xNTMwNzEx
MjQxPC9hZGRlZC1kYXRlPjxwdWItbG9jYXRpb24+TG9uZG9uPC9wdWItbG9jYXRpb24+PHJlZi10
eXBlIG5hbWU9IkJvb2sgU2VjdGlvbiI+NTwvcmVmLXR5cGU+PGRhdGVzPjx5ZWFyPjIwMTA8L3ll
YXI+PC9kYXRlcz48cmVjLW51bWJlcj43NTg2PC9yZWMtbnVtYmVyPjxwdWJsaXNoZXI+U0FHRTwv
cHVibGlzaGVyPjxsYXN0LXVwZGF0ZWQtZGF0ZSBmb3JtYXQ9InV0YyI+MTUzMDcxMTM2NDwvbGFz
dC11cGRhdGVkLWRhdGU+PGNvbnRyaWJ1dG9ycz48c2Vjb25kYXJ5LWF1dGhvcnM+PGF1dGhvcj5B
dGtpbnNvbiwgUGF1bDwvYXV0aG9yPjxhdXRob3I+RGVsYW1vbnQsIFNhcmE8L2F1dGhvcj48YXV0
aG9yPkRlbGFtb250LCBLYXRoZXJpbmUgU2FyYTwvYXV0aG9yPjxhdXRob3I+RGVsYW1vbnQsIFMu
PC9hdXRob3I+PC9zZWNvbmRhcnktYXV0aG9ycz48L2NvbnRyaWJ1dG9ycz48L3JlY29yZD48L0Np
dGU+PC9FbmROb3RlPgB=
</w:fldData>
        </w:fldChar>
      </w:r>
      <w:r>
        <w:rPr>
          <w:sz w:val="24"/>
          <w:szCs w:val="24"/>
        </w:rPr>
        <w:instrText xml:space="preserve"> ADDIN EN.CITE.DATA </w:instrText>
      </w:r>
      <w:r w:rsidR="00233012">
        <w:rPr>
          <w:sz w:val="24"/>
          <w:szCs w:val="24"/>
        </w:rPr>
      </w:r>
      <w:r w:rsidR="00233012">
        <w:rPr>
          <w:sz w:val="24"/>
          <w:szCs w:val="24"/>
        </w:rPr>
        <w:fldChar w:fldCharType="end"/>
      </w:r>
      <w:r w:rsidR="00233012">
        <w:rPr>
          <w:sz w:val="24"/>
          <w:szCs w:val="24"/>
        </w:rPr>
      </w:r>
      <w:r w:rsidR="00233012">
        <w:rPr>
          <w:sz w:val="24"/>
          <w:szCs w:val="24"/>
        </w:rPr>
        <w:fldChar w:fldCharType="separate"/>
      </w:r>
      <w:r>
        <w:rPr>
          <w:noProof/>
          <w:sz w:val="24"/>
          <w:szCs w:val="24"/>
        </w:rPr>
        <w:t>(Burnham, Lutz, Grant, &amp; Layton-Henry, 2008; Harvey, 2010; Stephens, 2010)</w:t>
      </w:r>
      <w:r w:rsidR="00233012">
        <w:rPr>
          <w:sz w:val="24"/>
          <w:szCs w:val="24"/>
        </w:rPr>
        <w:fldChar w:fldCharType="end"/>
      </w:r>
      <w:r w:rsidRPr="00AE061A">
        <w:rPr>
          <w:sz w:val="24"/>
          <w:szCs w:val="24"/>
        </w:rPr>
        <w:t>.</w:t>
      </w:r>
      <w:r>
        <w:rPr>
          <w:sz w:val="24"/>
          <w:szCs w:val="24"/>
        </w:rPr>
        <w:t xml:space="preserve"> This does not absolve me from ethical considerations, however. Maxwell (2013) suggests that a “good first step ... is to put yourself in their [the participant’s] position, and ask how you would feel if someone did to you what you are thinking of doing. ...[W]hat is a “research project” for you is always, to some degree, an intrusion into the lives of the participants in your study” (p. 92). I always bore this in mind and held my participants, their time, and their generosity with the highest respect. This started from my initial contact with the participants. </w:t>
      </w:r>
    </w:p>
    <w:p w14:paraId="56B99815" w14:textId="26C4A150" w:rsidR="00082217" w:rsidRDefault="00082217" w:rsidP="00082217">
      <w:pPr>
        <w:spacing w:after="120" w:line="360" w:lineRule="auto"/>
        <w:rPr>
          <w:rFonts w:eastAsia="Times New Roman"/>
          <w:sz w:val="24"/>
          <w:szCs w:val="24"/>
        </w:rPr>
      </w:pPr>
      <w:r>
        <w:rPr>
          <w:rFonts w:eastAsia="Times New Roman"/>
          <w:sz w:val="24"/>
          <w:szCs w:val="24"/>
        </w:rPr>
        <w:t xml:space="preserve">My first contact with participants was via letter posted to their institutional address, as found on institutional web profiles of the researcher, and I also enclosed the Information Sheet along with the letter (see Information Sheet and an example letter reproduced in Appendix </w:t>
      </w:r>
      <w:r w:rsidR="004D3BA5">
        <w:rPr>
          <w:rFonts w:eastAsia="Times New Roman"/>
          <w:sz w:val="24"/>
          <w:szCs w:val="24"/>
        </w:rPr>
        <w:t>B</w:t>
      </w:r>
      <w:r>
        <w:rPr>
          <w:rFonts w:eastAsia="Times New Roman"/>
          <w:sz w:val="24"/>
          <w:szCs w:val="24"/>
        </w:rPr>
        <w:t xml:space="preserve">). This initial letter, as well as including generic information about my research and the interview, also explained to the participant that they had not been selected at random, but that I had contacted them as their specific BoR was being included in my study and that I had already read quite widely around their research related to the Impact Case Study to which it contributed. This letter explained that I would send a follow-up e-mail in order to make responding to my invitation easier for the participant. I also included my institutional postal address and e-mail address so that they could respond immediately if they preferred not to await my follow-up e-mail. The Information Sheet explained details such as what the interviews would cover, my strategy for protecting anonymity (see below), how their responses will be used, etc, as well as all other relevant information about the research and the ethics procedure that had been followed. </w:t>
      </w:r>
    </w:p>
    <w:p w14:paraId="290C4E8C" w14:textId="06AB1FF7" w:rsidR="00082217" w:rsidRPr="000809DD" w:rsidRDefault="00082217" w:rsidP="00082217">
      <w:pPr>
        <w:spacing w:after="120" w:line="360" w:lineRule="auto"/>
        <w:rPr>
          <w:rFonts w:eastAsia="Times New Roman"/>
          <w:sz w:val="24"/>
          <w:szCs w:val="24"/>
          <w:highlight w:val="yellow"/>
        </w:rPr>
      </w:pPr>
      <w:r w:rsidRPr="006F1E05">
        <w:rPr>
          <w:rFonts w:eastAsia="Times New Roman"/>
          <w:sz w:val="24"/>
          <w:szCs w:val="24"/>
        </w:rPr>
        <w:t xml:space="preserve">After a respondent agreed to be interviewed, we arranged a time that would be mutually convenient to meet. I asked for participants to make time for at least a one-hour interview if possible, although stressed that any time they could provide would be appreciated. In the event, the average interview length was just over one hour, </w:t>
      </w:r>
      <w:r w:rsidRPr="006F1E05">
        <w:rPr>
          <w:sz w:val="24"/>
          <w:szCs w:val="24"/>
        </w:rPr>
        <w:t>most lasting between 55 to 85 minutes, the longest lasting 117 minutes, and the shortest only 25 minutes due to the very tight schedule of the participant.</w:t>
      </w:r>
      <w:r w:rsidRPr="006F1E05">
        <w:rPr>
          <w:rFonts w:eastAsia="Times New Roman"/>
          <w:sz w:val="24"/>
          <w:szCs w:val="24"/>
        </w:rPr>
        <w:t xml:space="preserve"> I gave participants the option of a phone call or an in-person meeting</w:t>
      </w:r>
      <w:r w:rsidR="009822CF" w:rsidRPr="006F1E05">
        <w:rPr>
          <w:rFonts w:eastAsia="Times New Roman"/>
          <w:sz w:val="24"/>
          <w:szCs w:val="24"/>
        </w:rPr>
        <w:t xml:space="preserve"> (always making it clear that I would be very willing to travel to their location, but without pushing either way in terms of a preferred mode of interview)</w:t>
      </w:r>
      <w:r w:rsidRPr="006F1E05">
        <w:rPr>
          <w:rFonts w:eastAsia="Times New Roman"/>
          <w:sz w:val="24"/>
          <w:szCs w:val="24"/>
        </w:rPr>
        <w:t>. Six interviews were arranged to be in-person and four via telephone</w:t>
      </w:r>
      <w:r w:rsidR="009822CF" w:rsidRPr="006F1E05">
        <w:rPr>
          <w:rFonts w:eastAsia="Times New Roman"/>
          <w:sz w:val="24"/>
          <w:szCs w:val="24"/>
        </w:rPr>
        <w:t>, based on participant preferences</w:t>
      </w:r>
      <w:r w:rsidRPr="006F1E05">
        <w:rPr>
          <w:rFonts w:eastAsia="Times New Roman"/>
          <w:sz w:val="24"/>
          <w:szCs w:val="24"/>
        </w:rPr>
        <w:t xml:space="preserve">. For the six in-person interviews, I travelled to the interviewees’ institution where we had an interview in a private office or meeting room booked by the participant. At the beginning of each interview I provided participants with the Information Sheet again and also a Consent Form (reproduced in Appendix </w:t>
      </w:r>
      <w:r w:rsidR="004D3BA5" w:rsidRPr="006F1E05">
        <w:rPr>
          <w:rFonts w:eastAsia="Times New Roman"/>
          <w:sz w:val="24"/>
          <w:szCs w:val="24"/>
        </w:rPr>
        <w:t>B</w:t>
      </w:r>
      <w:r w:rsidRPr="006F1E05">
        <w:rPr>
          <w:rFonts w:eastAsia="Times New Roman"/>
          <w:sz w:val="24"/>
          <w:szCs w:val="24"/>
        </w:rPr>
        <w:t>) which I asked them to read and sign, before signing it myself in their presence. For phone interviews, I called the participant from my home office to ensure privacy. Rather than provide phone interviewees with a physical Consent Form to sign, I read it out to them prior to starting the interview so that they could agree to each point. All signed consent forms were stored securely in my home study. All interviews were audio-recorded on a voice recording device following explicit signed and verbal consent. I conducted phone interviews with the loudspeaker function enabled so that the voice recorder could capture the participant’s end of the conversation without disturbance.</w:t>
      </w:r>
      <w:r w:rsidR="009822CF" w:rsidRPr="006F1E05">
        <w:rPr>
          <w:rFonts w:eastAsia="Times New Roman"/>
          <w:sz w:val="24"/>
          <w:szCs w:val="24"/>
        </w:rPr>
        <w:t xml:space="preserve"> </w:t>
      </w:r>
      <w:r w:rsidR="00AF2721" w:rsidRPr="006F1E05">
        <w:rPr>
          <w:rFonts w:eastAsia="Times New Roman"/>
          <w:sz w:val="24"/>
          <w:szCs w:val="24"/>
        </w:rPr>
        <w:t xml:space="preserve">Novick </w:t>
      </w:r>
      <w:r w:rsidR="00AF2721" w:rsidRPr="006F1E05">
        <w:rPr>
          <w:rFonts w:eastAsia="Times New Roman"/>
          <w:sz w:val="24"/>
          <w:szCs w:val="24"/>
        </w:rPr>
        <w:fldChar w:fldCharType="begin"/>
      </w:r>
      <w:r w:rsidR="00AF2721" w:rsidRPr="006F1E05">
        <w:rPr>
          <w:rFonts w:eastAsia="Times New Roman"/>
          <w:sz w:val="24"/>
          <w:szCs w:val="24"/>
        </w:rPr>
        <w:instrText xml:space="preserve"> ADDIN EN.CITE &lt;EndNote&gt;&lt;Cite ExcludeAuth="1"&gt;&lt;Author&gt;Novick&lt;/Author&gt;&lt;Year&gt;2008&lt;/Year&gt;&lt;IDText&gt;Is there a bias against telephone interviews in qualitative research?&lt;/IDText&gt;&lt;DisplayText&gt;(2008)&lt;/DisplayText&gt;&lt;record&gt;&lt;keywords&gt;&lt;keyword&gt;Design Development&lt;/keyword&gt;&lt;keyword&gt;Qualitative&lt;/keyword&gt;&lt;keyword&gt;Telephone&lt;/keyword&gt;&lt;keyword&gt;Interview&lt;/keyword&gt;&lt;/keywords&gt;&lt;isbn&gt;0160-6891&lt;/isbn&gt;&lt;titles&gt;&lt;title&gt;Is there a bias against telephone interviews in qualitative research?&lt;/title&gt;&lt;secondary-title&gt;Research in Nursing &amp;amp; Health&lt;/secondary-title&gt;&lt;/titles&gt;&lt;pages&gt;391-398&lt;/pages&gt;&lt;number&gt;4&lt;/number&gt;&lt;contributors&gt;&lt;authors&gt;&lt;author&gt;Novick, Gina&lt;/author&gt;&lt;/authors&gt;&lt;/contributors&gt;&lt;added-date format="utc"&gt;1576535614&lt;/added-date&gt;&lt;pub-location&gt;Hoboken&lt;/pub-location&gt;&lt;ref-type name="Journal Article"&gt;17&lt;/ref-type&gt;&lt;dates&gt;&lt;year&gt;2008&lt;/year&gt;&lt;/dates&gt;&lt;rec-number&gt;8399&lt;/rec-number&gt;&lt;last-updated-date format="utc"&gt;1576535614&lt;/last-updated-date&gt;&lt;electronic-resource-num&gt;10.1002/nur.20259&lt;/electronic-resource-num&gt;&lt;volume&gt;31&lt;/volume&gt;&lt;/record&gt;&lt;/Cite&gt;&lt;/EndNote&gt;</w:instrText>
      </w:r>
      <w:r w:rsidR="00AF2721" w:rsidRPr="006F1E05">
        <w:rPr>
          <w:rFonts w:eastAsia="Times New Roman"/>
          <w:sz w:val="24"/>
          <w:szCs w:val="24"/>
        </w:rPr>
        <w:fldChar w:fldCharType="separate"/>
      </w:r>
      <w:r w:rsidR="00AF2721" w:rsidRPr="006F1E05">
        <w:rPr>
          <w:rFonts w:eastAsia="Times New Roman"/>
          <w:noProof/>
          <w:sz w:val="24"/>
          <w:szCs w:val="24"/>
        </w:rPr>
        <w:t>(2008)</w:t>
      </w:r>
      <w:r w:rsidR="00AF2721" w:rsidRPr="006F1E05">
        <w:rPr>
          <w:rFonts w:eastAsia="Times New Roman"/>
          <w:sz w:val="24"/>
          <w:szCs w:val="24"/>
        </w:rPr>
        <w:fldChar w:fldCharType="end"/>
      </w:r>
      <w:r w:rsidR="00AF2721" w:rsidRPr="006F1E05">
        <w:rPr>
          <w:rFonts w:eastAsia="Times New Roman"/>
          <w:sz w:val="24"/>
          <w:szCs w:val="24"/>
        </w:rPr>
        <w:t xml:space="preserve"> has noted that al</w:t>
      </w:r>
      <w:r w:rsidR="00ED20F3" w:rsidRPr="006F1E05">
        <w:rPr>
          <w:rFonts w:eastAsia="Times New Roman"/>
          <w:sz w:val="24"/>
          <w:szCs w:val="24"/>
        </w:rPr>
        <w:t>though</w:t>
      </w:r>
      <w:r w:rsidR="004E2421" w:rsidRPr="006F1E05">
        <w:rPr>
          <w:rFonts w:eastAsia="Times New Roman"/>
          <w:sz w:val="24"/>
          <w:szCs w:val="24"/>
        </w:rPr>
        <w:t xml:space="preserve"> there is</w:t>
      </w:r>
      <w:r w:rsidR="00AF2721" w:rsidRPr="006F1E05">
        <w:rPr>
          <w:rFonts w:eastAsia="Times New Roman"/>
          <w:sz w:val="24"/>
          <w:szCs w:val="24"/>
        </w:rPr>
        <w:t xml:space="preserve"> some</w:t>
      </w:r>
      <w:r w:rsidR="004E2421" w:rsidRPr="006F1E05">
        <w:rPr>
          <w:rFonts w:eastAsia="Times New Roman"/>
          <w:sz w:val="24"/>
          <w:szCs w:val="24"/>
        </w:rPr>
        <w:t xml:space="preserve"> concern about the quality of telephone interviews, there is little evidence that they are of lower quality</w:t>
      </w:r>
      <w:r w:rsidR="00ED20F3" w:rsidRPr="006F1E05">
        <w:rPr>
          <w:rFonts w:eastAsia="Times New Roman"/>
          <w:sz w:val="24"/>
          <w:szCs w:val="24"/>
        </w:rPr>
        <w:t>.</w:t>
      </w:r>
      <w:r w:rsidR="00AF2721" w:rsidRPr="006F1E05">
        <w:rPr>
          <w:rFonts w:eastAsia="Times New Roman"/>
          <w:sz w:val="24"/>
          <w:szCs w:val="24"/>
        </w:rPr>
        <w:t xml:space="preserve"> My experience was that the telephone interviews were no less rich.</w:t>
      </w:r>
      <w:r w:rsidR="002962FC" w:rsidRPr="006F1E05">
        <w:rPr>
          <w:rFonts w:eastAsia="Times New Roman"/>
          <w:sz w:val="24"/>
          <w:szCs w:val="24"/>
        </w:rPr>
        <w:t xml:space="preserve"> </w:t>
      </w:r>
      <w:r w:rsidR="000B6729" w:rsidRPr="006F1E05">
        <w:rPr>
          <w:rFonts w:eastAsia="Times New Roman"/>
          <w:sz w:val="24"/>
          <w:szCs w:val="24"/>
        </w:rPr>
        <w:t xml:space="preserve">Nor does my experience reflect the finding that telephone interviews tend to be shorter </w:t>
      </w:r>
      <w:r w:rsidR="000B6729" w:rsidRPr="006F1E05">
        <w:rPr>
          <w:rFonts w:eastAsia="Times New Roman"/>
          <w:sz w:val="24"/>
          <w:szCs w:val="24"/>
        </w:rPr>
        <w:fldChar w:fldCharType="begin"/>
      </w:r>
      <w:r w:rsidR="000B6729" w:rsidRPr="006F1E05">
        <w:rPr>
          <w:rFonts w:eastAsia="Times New Roman"/>
          <w:sz w:val="24"/>
          <w:szCs w:val="24"/>
        </w:rPr>
        <w:instrText xml:space="preserve"> ADDIN EN.CITE &lt;EndNote&gt;&lt;Cite&gt;&lt;Author&gt;Irvine&lt;/Author&gt;&lt;Year&gt;2013&lt;/Year&gt;&lt;IDText&gt;&amp;apos;Am I not answering your questions properly?&amp;apos; : Clarification, adequacy and responsiveness in semi-structured telephone and face-to-face interviews&lt;/IDText&gt;&lt;DisplayText&gt;(Irvine, Drew, &amp;amp; Sainsbury, 2013)&lt;/DisplayText&gt;&lt;record&gt;&lt;titles&gt;&lt;title&gt;&amp;apos;Am I not answering your questions properly?&amp;apos; : Clarification, adequacy and responsiveness in semi-structured telephone and face-to-face interviews&lt;/title&gt;&lt;/titles&gt;&lt;contributors&gt;&lt;authors&gt;&lt;author&gt;Irvine, A.&lt;/author&gt;&lt;author&gt;Drew, Paul&lt;/author&gt;&lt;author&gt;Sainsbury, Roy Derek&lt;/author&gt;&lt;/authors&gt;&lt;/contributors&gt;&lt;added-date format="utc"&gt;1576535631&lt;/added-date&gt;&lt;ref-type name="Journal Article"&gt;17&lt;/ref-type&gt;&lt;dates&gt;&lt;year&gt;2013&lt;/year&gt;&lt;/dates&gt;&lt;rec-number&gt;8400&lt;/rec-number&gt;&lt;last-updated-date format="utc"&gt;1576535631&lt;/last-updated-date&gt;&lt;/record&gt;&lt;/Cite&gt;&lt;/EndNote&gt;</w:instrText>
      </w:r>
      <w:r w:rsidR="000B6729" w:rsidRPr="006F1E05">
        <w:rPr>
          <w:rFonts w:eastAsia="Times New Roman"/>
          <w:sz w:val="24"/>
          <w:szCs w:val="24"/>
        </w:rPr>
        <w:fldChar w:fldCharType="separate"/>
      </w:r>
      <w:r w:rsidR="000B6729" w:rsidRPr="006F1E05">
        <w:rPr>
          <w:rFonts w:eastAsia="Times New Roman"/>
          <w:noProof/>
          <w:sz w:val="24"/>
          <w:szCs w:val="24"/>
        </w:rPr>
        <w:t>(Irvine, Drew, &amp; Sainsbury, 2013)</w:t>
      </w:r>
      <w:r w:rsidR="000B6729" w:rsidRPr="006F1E05">
        <w:rPr>
          <w:rFonts w:eastAsia="Times New Roman"/>
          <w:sz w:val="24"/>
          <w:szCs w:val="24"/>
        </w:rPr>
        <w:fldChar w:fldCharType="end"/>
      </w:r>
      <w:r w:rsidR="000B6729" w:rsidRPr="006F1E05">
        <w:rPr>
          <w:rFonts w:eastAsia="Times New Roman"/>
          <w:sz w:val="24"/>
          <w:szCs w:val="24"/>
        </w:rPr>
        <w:t xml:space="preserve">. </w:t>
      </w:r>
      <w:r w:rsidR="00AF2721" w:rsidRPr="006F1E05">
        <w:rPr>
          <w:rFonts w:eastAsia="Times New Roman"/>
          <w:sz w:val="24"/>
          <w:szCs w:val="24"/>
        </w:rPr>
        <w:t xml:space="preserve">There was one exception to this, in </w:t>
      </w:r>
      <w:r w:rsidR="000B6729" w:rsidRPr="006F1E05">
        <w:rPr>
          <w:rFonts w:eastAsia="Times New Roman"/>
          <w:sz w:val="24"/>
          <w:szCs w:val="24"/>
        </w:rPr>
        <w:t xml:space="preserve">which the participant had said in advance </w:t>
      </w:r>
      <w:r w:rsidR="00AF2721" w:rsidRPr="006F1E05">
        <w:rPr>
          <w:rFonts w:eastAsia="Times New Roman"/>
          <w:sz w:val="24"/>
          <w:szCs w:val="24"/>
        </w:rPr>
        <w:t>that he could only offer me a</w:t>
      </w:r>
      <w:r w:rsidR="000B6729" w:rsidRPr="006F1E05">
        <w:rPr>
          <w:rFonts w:eastAsia="Times New Roman"/>
          <w:sz w:val="24"/>
          <w:szCs w:val="24"/>
        </w:rPr>
        <w:t xml:space="preserve"> </w:t>
      </w:r>
      <w:r w:rsidR="002962FC" w:rsidRPr="006F1E05">
        <w:rPr>
          <w:rFonts w:eastAsia="Times New Roman"/>
          <w:sz w:val="24"/>
          <w:szCs w:val="24"/>
        </w:rPr>
        <w:t xml:space="preserve">25-minute interview </w:t>
      </w:r>
      <w:r w:rsidR="00AF2721" w:rsidRPr="006F1E05">
        <w:rPr>
          <w:rFonts w:eastAsia="Times New Roman"/>
          <w:sz w:val="24"/>
          <w:szCs w:val="24"/>
        </w:rPr>
        <w:t>due to time constraints</w:t>
      </w:r>
      <w:r w:rsidR="00F1150E" w:rsidRPr="006F1E05">
        <w:rPr>
          <w:rFonts w:eastAsia="Times New Roman"/>
          <w:sz w:val="24"/>
          <w:szCs w:val="24"/>
        </w:rPr>
        <w:t>, but the other three interviews averaged at around one hour, in line with the overall average.</w:t>
      </w:r>
      <w:r w:rsidR="0080035E" w:rsidRPr="006F1E05">
        <w:rPr>
          <w:rFonts w:eastAsia="Times New Roman"/>
          <w:sz w:val="24"/>
          <w:szCs w:val="24"/>
        </w:rPr>
        <w:t xml:space="preserve"> In terms of why participants opted for telephone interviews, one participant arranged the interview for a day they were working from home, and we conducted this interview as a video call, and the participant involved in the 25-minute interview presumably thought that such a short interaction was more appropriate over the phone (I did offer to travel to their institution). I am not sure why the other two participants opted for a telephone interview.</w:t>
      </w:r>
      <w:r w:rsidR="00AF2721" w:rsidRPr="006F1E05">
        <w:rPr>
          <w:rFonts w:eastAsia="Times New Roman"/>
          <w:sz w:val="24"/>
          <w:szCs w:val="24"/>
        </w:rPr>
        <w:t xml:space="preserve"> </w:t>
      </w:r>
      <w:r w:rsidRPr="006F1E05">
        <w:rPr>
          <w:rFonts w:eastAsia="Times New Roman"/>
          <w:sz w:val="24"/>
          <w:szCs w:val="24"/>
        </w:rPr>
        <w:t>I transcribed all interviews. All voice recordings</w:t>
      </w:r>
      <w:r>
        <w:rPr>
          <w:rFonts w:eastAsia="Times New Roman"/>
          <w:sz w:val="24"/>
          <w:szCs w:val="24"/>
        </w:rPr>
        <w:t xml:space="preserve"> and transcripts are saved as password-protected files on two home computers that only I have password access to. All recordings were deleted from the voice recorder after being transferred to the home computer.    </w:t>
      </w:r>
    </w:p>
    <w:p w14:paraId="582E206F" w14:textId="49022EBF" w:rsidR="00082217" w:rsidRDefault="00082217" w:rsidP="00082217">
      <w:pPr>
        <w:spacing w:after="120" w:line="360" w:lineRule="auto"/>
        <w:rPr>
          <w:sz w:val="24"/>
          <w:szCs w:val="24"/>
        </w:rPr>
      </w:pPr>
      <w:r>
        <w:rPr>
          <w:sz w:val="24"/>
          <w:szCs w:val="24"/>
        </w:rPr>
        <w:t xml:space="preserve">My research presented particular challenges around protecting participant anonymity. Because of my significant research interest in the details of the conditions and collaborations associated with my sampled BoRs it was not feasible to omit these details entirely from the report. I therefore </w:t>
      </w:r>
      <w:r w:rsidR="007910EC">
        <w:rPr>
          <w:sz w:val="24"/>
          <w:szCs w:val="24"/>
        </w:rPr>
        <w:t>applied for and received ethical clearance</w:t>
      </w:r>
      <w:r>
        <w:rPr>
          <w:sz w:val="24"/>
          <w:szCs w:val="24"/>
        </w:rPr>
        <w:t xml:space="preserve"> not to anonymise my sampled institutions, departments and REF submissions. This means that anybody reading my report of the research could look up the sampled BoRs and quite easily find the public pages of the main researchers involved. To minimise the possibility of any of these individuals being identifiable from my report, I abstracted all quotations from their context. Therefore, when drawing on quotations to present my analytical findings, I do not state precisely which BoR the respondent relates to, but rather I only provide that contextual information which is pertinent to the point being made. For example, if exploring variations in responses from Basic and Applied research settings, I would cite any quotation as belonging to an ‘Applied researcher’ or ‘Basic researcher’. In addition, I also take care to edit out any details that would identify a given quote with a given BoR. For example, although a quote may refer to a specific research context, say, related to health, this would not reveal which BoR the respondent was from, since several BoRs take place within a health setting. This strategy was decided before contacting any potential participants and was explained to all participants in the Information Sheet and verbally as part of my procedure of obtaining informed consent. </w:t>
      </w:r>
    </w:p>
    <w:p w14:paraId="73C8354B" w14:textId="2B0C2E5E" w:rsidR="0036371E" w:rsidRDefault="0036371E" w:rsidP="0036371E">
      <w:pPr>
        <w:pStyle w:val="Heading3"/>
      </w:pPr>
      <w:bookmarkStart w:id="102" w:name="_Toc31701974"/>
      <w:r w:rsidRPr="001972DE">
        <w:t xml:space="preserve">Demographic </w:t>
      </w:r>
      <w:r w:rsidR="00500ABA" w:rsidRPr="001972DE">
        <w:t>issues</w:t>
      </w:r>
      <w:r w:rsidR="00AB5823" w:rsidRPr="001972DE">
        <w:t xml:space="preserve"> and ethics</w:t>
      </w:r>
      <w:bookmarkEnd w:id="102"/>
    </w:p>
    <w:p w14:paraId="7C9F186A" w14:textId="53A5BC2E" w:rsidR="00082217" w:rsidRDefault="00082217" w:rsidP="00082217">
      <w:pPr>
        <w:spacing w:after="120" w:line="360" w:lineRule="auto"/>
        <w:rPr>
          <w:sz w:val="24"/>
          <w:szCs w:val="24"/>
        </w:rPr>
      </w:pPr>
      <w:r>
        <w:rPr>
          <w:sz w:val="24"/>
          <w:szCs w:val="24"/>
        </w:rPr>
        <w:t>I believe there is also a broader ethical issue affecting my study regarding recruitment demographics. My attempt to con</w:t>
      </w:r>
      <w:r w:rsidR="00D250FD">
        <w:rPr>
          <w:sz w:val="24"/>
          <w:szCs w:val="24"/>
        </w:rPr>
        <w:t>tact key researchers whose work</w:t>
      </w:r>
      <w:r>
        <w:rPr>
          <w:sz w:val="24"/>
          <w:szCs w:val="24"/>
        </w:rPr>
        <w:t xml:space="preserve"> had underpinned research recognised for its impact inevitably led me to contacting primarily senior researchers, mostly professors, and this in turn, meant I was more likely to be directed to male than female researchers. As </w:t>
      </w:r>
      <w:r w:rsidR="00F948BF">
        <w:fldChar w:fldCharType="begin"/>
      </w:r>
      <w:r w:rsidR="00F948BF">
        <w:instrText xml:space="preserve"> REF _Ref531382471 \h  \* MERGEFORMAT </w:instrText>
      </w:r>
      <w:r w:rsidR="00F948BF">
        <w:fldChar w:fldCharType="separate"/>
      </w:r>
      <w:r w:rsidR="0011424E" w:rsidRPr="0011424E">
        <w:rPr>
          <w:sz w:val="24"/>
          <w:szCs w:val="24"/>
        </w:rPr>
        <w:t xml:space="preserve">Figure </w:t>
      </w:r>
      <w:r w:rsidR="0011424E" w:rsidRPr="0011424E">
        <w:rPr>
          <w:noProof/>
          <w:sz w:val="24"/>
          <w:szCs w:val="24"/>
        </w:rPr>
        <w:t>7</w:t>
      </w:r>
      <w:r w:rsidR="00F948BF">
        <w:fldChar w:fldCharType="end"/>
      </w:r>
      <w:r>
        <w:rPr>
          <w:sz w:val="24"/>
          <w:szCs w:val="24"/>
        </w:rPr>
        <w:t xml:space="preserve"> shows, thirty-three of my thirty-nine invitations were sent to males, and twenty-five sent to professors. Moreover, the participation rate was higher amongst both males (27%) and professors (32%) than amongst females (17%) and non-professors (14%). In other words, males were 1.5 times more likely to respond positively than females, and professors more than twice as likely to respond positively as non-professors. The combined category of ‘male AND professor’ has an even higher response rate</w:t>
      </w:r>
      <w:r w:rsidR="005E3AEB">
        <w:rPr>
          <w:sz w:val="24"/>
          <w:szCs w:val="24"/>
        </w:rPr>
        <w:t xml:space="preserve"> of</w:t>
      </w:r>
      <w:r>
        <w:rPr>
          <w:sz w:val="24"/>
          <w:szCs w:val="24"/>
        </w:rPr>
        <w:t xml:space="preserve"> 33%. By contrast the combinations of ‘male AND non-professor’ and of ‘female AND professor’ shows a response rate of only 1% and 0% respectively. My final sample of interviewees therefore included only two non-professors and only one female (who was one of the two non-professors). </w:t>
      </w:r>
    </w:p>
    <w:tbl>
      <w:tblPr>
        <w:tblW w:w="8997" w:type="dxa"/>
        <w:tblLook w:val="04A0" w:firstRow="1" w:lastRow="0" w:firstColumn="1" w:lastColumn="0" w:noHBand="0" w:noVBand="1"/>
      </w:tblPr>
      <w:tblGrid>
        <w:gridCol w:w="1555"/>
        <w:gridCol w:w="3076"/>
        <w:gridCol w:w="1545"/>
        <w:gridCol w:w="1377"/>
        <w:gridCol w:w="1444"/>
      </w:tblGrid>
      <w:tr w:rsidR="00082217" w:rsidRPr="00575357" w14:paraId="2E341854" w14:textId="77777777" w:rsidTr="003B52F3">
        <w:trPr>
          <w:trHeight w:val="250"/>
        </w:trPr>
        <w:tc>
          <w:tcPr>
            <w:tcW w:w="4631" w:type="dxa"/>
            <w:gridSpan w:val="2"/>
            <w:tcBorders>
              <w:top w:val="single" w:sz="4" w:space="0" w:color="auto"/>
              <w:left w:val="single" w:sz="4" w:space="0" w:color="auto"/>
              <w:bottom w:val="nil"/>
              <w:right w:val="single" w:sz="4" w:space="0" w:color="auto"/>
            </w:tcBorders>
            <w:shd w:val="clear" w:color="auto" w:fill="auto"/>
            <w:noWrap/>
            <w:vAlign w:val="center"/>
            <w:hideMark/>
          </w:tcPr>
          <w:p w14:paraId="7E788F64"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Demographic information</w:t>
            </w:r>
          </w:p>
        </w:tc>
        <w:tc>
          <w:tcPr>
            <w:tcW w:w="1545" w:type="dxa"/>
            <w:tcBorders>
              <w:top w:val="single" w:sz="4" w:space="0" w:color="auto"/>
              <w:left w:val="nil"/>
              <w:bottom w:val="nil"/>
              <w:right w:val="single" w:sz="4" w:space="0" w:color="auto"/>
            </w:tcBorders>
            <w:shd w:val="clear" w:color="auto" w:fill="auto"/>
            <w:noWrap/>
            <w:vAlign w:val="center"/>
            <w:hideMark/>
          </w:tcPr>
          <w:p w14:paraId="7221FD51"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Invitations to participate</w:t>
            </w:r>
          </w:p>
        </w:tc>
        <w:tc>
          <w:tcPr>
            <w:tcW w:w="1377" w:type="dxa"/>
            <w:tcBorders>
              <w:top w:val="single" w:sz="4" w:space="0" w:color="auto"/>
              <w:left w:val="nil"/>
              <w:bottom w:val="nil"/>
              <w:right w:val="single" w:sz="4" w:space="0" w:color="auto"/>
            </w:tcBorders>
            <w:shd w:val="clear" w:color="auto" w:fill="auto"/>
            <w:noWrap/>
            <w:vAlign w:val="center"/>
            <w:hideMark/>
          </w:tcPr>
          <w:p w14:paraId="1CFFEE5C"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Acceptances</w:t>
            </w:r>
          </w:p>
        </w:tc>
        <w:tc>
          <w:tcPr>
            <w:tcW w:w="1444" w:type="dxa"/>
            <w:tcBorders>
              <w:top w:val="single" w:sz="4" w:space="0" w:color="auto"/>
              <w:left w:val="nil"/>
              <w:bottom w:val="nil"/>
              <w:right w:val="single" w:sz="4" w:space="0" w:color="auto"/>
            </w:tcBorders>
            <w:shd w:val="clear" w:color="auto" w:fill="auto"/>
            <w:noWrap/>
            <w:vAlign w:val="center"/>
            <w:hideMark/>
          </w:tcPr>
          <w:p w14:paraId="2168027C"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Participation Rate</w:t>
            </w:r>
          </w:p>
        </w:tc>
      </w:tr>
      <w:tr w:rsidR="00082217" w:rsidRPr="00575357" w14:paraId="712E5418" w14:textId="77777777" w:rsidTr="003B52F3">
        <w:trPr>
          <w:trHeight w:val="165"/>
        </w:trPr>
        <w:tc>
          <w:tcPr>
            <w:tcW w:w="1555" w:type="dxa"/>
            <w:vMerge w:val="restar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1F961AB8"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Gender</w:t>
            </w:r>
          </w:p>
        </w:tc>
        <w:tc>
          <w:tcPr>
            <w:tcW w:w="3076"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C8BD444" w14:textId="77777777" w:rsidR="00082217" w:rsidRPr="00234771" w:rsidRDefault="00082217" w:rsidP="003B52F3">
            <w:pPr>
              <w:spacing w:after="0" w:line="240" w:lineRule="auto"/>
              <w:rPr>
                <w:rFonts w:eastAsia="Times New Roman"/>
                <w:color w:val="000000"/>
                <w:sz w:val="20"/>
                <w:szCs w:val="20"/>
                <w:lang w:eastAsia="ko-KR"/>
              </w:rPr>
            </w:pPr>
            <w:r w:rsidRPr="00234771">
              <w:rPr>
                <w:rFonts w:eastAsia="Times New Roman"/>
                <w:color w:val="000000"/>
                <w:sz w:val="20"/>
                <w:szCs w:val="20"/>
                <w:lang w:eastAsia="ko-KR"/>
              </w:rPr>
              <w:t>Male</w:t>
            </w:r>
          </w:p>
        </w:tc>
        <w:tc>
          <w:tcPr>
            <w:tcW w:w="1545"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B5B2338"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33</w:t>
            </w:r>
          </w:p>
        </w:tc>
        <w:tc>
          <w:tcPr>
            <w:tcW w:w="1377"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2631879"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9</w:t>
            </w:r>
          </w:p>
        </w:tc>
        <w:tc>
          <w:tcPr>
            <w:tcW w:w="1444" w:type="dxa"/>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5EAEC0FB"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27%</w:t>
            </w:r>
          </w:p>
        </w:tc>
      </w:tr>
      <w:tr w:rsidR="00082217" w:rsidRPr="00575357" w14:paraId="3CDE3280" w14:textId="77777777" w:rsidTr="003B52F3">
        <w:trPr>
          <w:trHeight w:val="59"/>
        </w:trPr>
        <w:tc>
          <w:tcPr>
            <w:tcW w:w="1555" w:type="dxa"/>
            <w:vMerge/>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195D00AD" w14:textId="77777777" w:rsidR="00082217" w:rsidRPr="00234771" w:rsidRDefault="00082217" w:rsidP="003B52F3">
            <w:pPr>
              <w:spacing w:after="0" w:line="240" w:lineRule="auto"/>
              <w:rPr>
                <w:rFonts w:eastAsia="Times New Roman"/>
                <w:b/>
                <w:bCs/>
                <w:color w:val="000000"/>
                <w:sz w:val="20"/>
                <w:szCs w:val="20"/>
                <w:lang w:eastAsia="ko-KR"/>
              </w:rPr>
            </w:pPr>
          </w:p>
        </w:tc>
        <w:tc>
          <w:tcPr>
            <w:tcW w:w="3076" w:type="dxa"/>
            <w:tcBorders>
              <w:top w:val="nil"/>
              <w:left w:val="nil"/>
              <w:bottom w:val="single" w:sz="4" w:space="0" w:color="auto"/>
              <w:right w:val="single" w:sz="4" w:space="0" w:color="auto"/>
            </w:tcBorders>
            <w:shd w:val="clear" w:color="auto" w:fill="F2F2F2" w:themeFill="background1" w:themeFillShade="F2"/>
            <w:noWrap/>
            <w:vAlign w:val="center"/>
            <w:hideMark/>
          </w:tcPr>
          <w:p w14:paraId="1FEFAC50" w14:textId="77777777" w:rsidR="00082217" w:rsidRPr="00234771" w:rsidRDefault="00082217" w:rsidP="003B52F3">
            <w:pPr>
              <w:spacing w:after="0" w:line="240" w:lineRule="auto"/>
              <w:rPr>
                <w:rFonts w:eastAsia="Times New Roman"/>
                <w:color w:val="000000"/>
                <w:sz w:val="20"/>
                <w:szCs w:val="20"/>
                <w:lang w:eastAsia="ko-KR"/>
              </w:rPr>
            </w:pPr>
            <w:r w:rsidRPr="00234771">
              <w:rPr>
                <w:rFonts w:eastAsia="Times New Roman"/>
                <w:color w:val="000000"/>
                <w:sz w:val="20"/>
                <w:szCs w:val="20"/>
                <w:lang w:eastAsia="ko-KR"/>
              </w:rPr>
              <w:t>Female</w:t>
            </w:r>
          </w:p>
        </w:tc>
        <w:tc>
          <w:tcPr>
            <w:tcW w:w="1545" w:type="dxa"/>
            <w:tcBorders>
              <w:top w:val="nil"/>
              <w:left w:val="nil"/>
              <w:bottom w:val="single" w:sz="4" w:space="0" w:color="auto"/>
              <w:right w:val="single" w:sz="4" w:space="0" w:color="auto"/>
            </w:tcBorders>
            <w:shd w:val="clear" w:color="auto" w:fill="F2F2F2" w:themeFill="background1" w:themeFillShade="F2"/>
            <w:noWrap/>
            <w:vAlign w:val="center"/>
            <w:hideMark/>
          </w:tcPr>
          <w:p w14:paraId="48B24D22"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6</w:t>
            </w:r>
          </w:p>
        </w:tc>
        <w:tc>
          <w:tcPr>
            <w:tcW w:w="1377" w:type="dxa"/>
            <w:tcBorders>
              <w:top w:val="nil"/>
              <w:left w:val="nil"/>
              <w:bottom w:val="single" w:sz="4" w:space="0" w:color="auto"/>
              <w:right w:val="single" w:sz="4" w:space="0" w:color="auto"/>
            </w:tcBorders>
            <w:shd w:val="clear" w:color="auto" w:fill="F2F2F2" w:themeFill="background1" w:themeFillShade="F2"/>
            <w:noWrap/>
            <w:vAlign w:val="center"/>
            <w:hideMark/>
          </w:tcPr>
          <w:p w14:paraId="7B45E38B"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1</w:t>
            </w:r>
          </w:p>
        </w:tc>
        <w:tc>
          <w:tcPr>
            <w:tcW w:w="1444" w:type="dxa"/>
            <w:tcBorders>
              <w:top w:val="nil"/>
              <w:left w:val="nil"/>
              <w:bottom w:val="single" w:sz="4" w:space="0" w:color="auto"/>
              <w:right w:val="single" w:sz="8" w:space="0" w:color="auto"/>
            </w:tcBorders>
            <w:shd w:val="clear" w:color="auto" w:fill="F2F2F2" w:themeFill="background1" w:themeFillShade="F2"/>
            <w:noWrap/>
            <w:vAlign w:val="center"/>
            <w:hideMark/>
          </w:tcPr>
          <w:p w14:paraId="433755AA"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17%</w:t>
            </w:r>
          </w:p>
        </w:tc>
      </w:tr>
      <w:tr w:rsidR="00082217" w:rsidRPr="00575357" w14:paraId="717A76DC" w14:textId="77777777" w:rsidTr="003B52F3">
        <w:trPr>
          <w:trHeight w:val="239"/>
        </w:trPr>
        <w:tc>
          <w:tcPr>
            <w:tcW w:w="1555" w:type="dxa"/>
            <w:vMerge w:val="restart"/>
            <w:tcBorders>
              <w:top w:val="nil"/>
              <w:left w:val="single" w:sz="8" w:space="0" w:color="auto"/>
              <w:bottom w:val="single" w:sz="8" w:space="0" w:color="000000"/>
              <w:right w:val="single" w:sz="4" w:space="0" w:color="auto"/>
            </w:tcBorders>
            <w:shd w:val="clear" w:color="auto" w:fill="D0CECE" w:themeFill="background2" w:themeFillShade="E6"/>
            <w:noWrap/>
            <w:vAlign w:val="center"/>
            <w:hideMark/>
          </w:tcPr>
          <w:p w14:paraId="334426E0"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Seniority</w:t>
            </w:r>
          </w:p>
        </w:tc>
        <w:tc>
          <w:tcPr>
            <w:tcW w:w="3076" w:type="dxa"/>
            <w:tcBorders>
              <w:top w:val="nil"/>
              <w:left w:val="nil"/>
              <w:bottom w:val="single" w:sz="4" w:space="0" w:color="auto"/>
              <w:right w:val="single" w:sz="4" w:space="0" w:color="auto"/>
            </w:tcBorders>
            <w:shd w:val="clear" w:color="auto" w:fill="D0CECE" w:themeFill="background2" w:themeFillShade="E6"/>
            <w:noWrap/>
            <w:vAlign w:val="center"/>
            <w:hideMark/>
          </w:tcPr>
          <w:p w14:paraId="58943910" w14:textId="77777777" w:rsidR="00082217" w:rsidRPr="00234771" w:rsidRDefault="00082217" w:rsidP="003B52F3">
            <w:pPr>
              <w:spacing w:after="0" w:line="240" w:lineRule="auto"/>
              <w:rPr>
                <w:rFonts w:eastAsia="Times New Roman"/>
                <w:color w:val="000000"/>
                <w:sz w:val="20"/>
                <w:szCs w:val="20"/>
                <w:lang w:eastAsia="ko-KR"/>
              </w:rPr>
            </w:pPr>
            <w:r w:rsidRPr="00234771">
              <w:rPr>
                <w:rFonts w:eastAsia="Times New Roman"/>
                <w:color w:val="000000"/>
                <w:sz w:val="20"/>
                <w:szCs w:val="20"/>
                <w:lang w:eastAsia="ko-KR"/>
              </w:rPr>
              <w:t>Professor</w:t>
            </w:r>
          </w:p>
        </w:tc>
        <w:tc>
          <w:tcPr>
            <w:tcW w:w="1545" w:type="dxa"/>
            <w:tcBorders>
              <w:top w:val="nil"/>
              <w:left w:val="nil"/>
              <w:bottom w:val="single" w:sz="4" w:space="0" w:color="auto"/>
              <w:right w:val="single" w:sz="4" w:space="0" w:color="auto"/>
            </w:tcBorders>
            <w:shd w:val="clear" w:color="auto" w:fill="D0CECE" w:themeFill="background2" w:themeFillShade="E6"/>
            <w:noWrap/>
            <w:vAlign w:val="center"/>
            <w:hideMark/>
          </w:tcPr>
          <w:p w14:paraId="495E04E9"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25</w:t>
            </w:r>
          </w:p>
        </w:tc>
        <w:tc>
          <w:tcPr>
            <w:tcW w:w="1377" w:type="dxa"/>
            <w:tcBorders>
              <w:top w:val="nil"/>
              <w:left w:val="nil"/>
              <w:bottom w:val="single" w:sz="4" w:space="0" w:color="auto"/>
              <w:right w:val="single" w:sz="4" w:space="0" w:color="auto"/>
            </w:tcBorders>
            <w:shd w:val="clear" w:color="auto" w:fill="D0CECE" w:themeFill="background2" w:themeFillShade="E6"/>
            <w:noWrap/>
            <w:vAlign w:val="center"/>
            <w:hideMark/>
          </w:tcPr>
          <w:p w14:paraId="36EF4047"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8</w:t>
            </w:r>
          </w:p>
        </w:tc>
        <w:tc>
          <w:tcPr>
            <w:tcW w:w="1444" w:type="dxa"/>
            <w:tcBorders>
              <w:top w:val="nil"/>
              <w:left w:val="nil"/>
              <w:bottom w:val="single" w:sz="4" w:space="0" w:color="auto"/>
              <w:right w:val="single" w:sz="8" w:space="0" w:color="auto"/>
            </w:tcBorders>
            <w:shd w:val="clear" w:color="auto" w:fill="D0CECE" w:themeFill="background2" w:themeFillShade="E6"/>
            <w:noWrap/>
            <w:vAlign w:val="center"/>
            <w:hideMark/>
          </w:tcPr>
          <w:p w14:paraId="1381B146"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32%</w:t>
            </w:r>
          </w:p>
        </w:tc>
      </w:tr>
      <w:tr w:rsidR="00082217" w:rsidRPr="00575357" w14:paraId="1D7041D2" w14:textId="77777777" w:rsidTr="003B52F3">
        <w:trPr>
          <w:trHeight w:val="250"/>
        </w:trPr>
        <w:tc>
          <w:tcPr>
            <w:tcW w:w="1555" w:type="dxa"/>
            <w:vMerge/>
            <w:tcBorders>
              <w:top w:val="nil"/>
              <w:left w:val="single" w:sz="8" w:space="0" w:color="auto"/>
              <w:bottom w:val="single" w:sz="8" w:space="0" w:color="000000"/>
              <w:right w:val="single" w:sz="4" w:space="0" w:color="auto"/>
            </w:tcBorders>
            <w:shd w:val="clear" w:color="auto" w:fill="D0CECE" w:themeFill="background2" w:themeFillShade="E6"/>
            <w:vAlign w:val="center"/>
            <w:hideMark/>
          </w:tcPr>
          <w:p w14:paraId="022ECB1D" w14:textId="77777777" w:rsidR="00082217" w:rsidRPr="00234771" w:rsidRDefault="00082217" w:rsidP="003B52F3">
            <w:pPr>
              <w:spacing w:after="0" w:line="240" w:lineRule="auto"/>
              <w:rPr>
                <w:rFonts w:eastAsia="Times New Roman"/>
                <w:b/>
                <w:bCs/>
                <w:color w:val="000000"/>
                <w:sz w:val="20"/>
                <w:szCs w:val="20"/>
                <w:lang w:eastAsia="ko-KR"/>
              </w:rPr>
            </w:pPr>
          </w:p>
        </w:tc>
        <w:tc>
          <w:tcPr>
            <w:tcW w:w="3076" w:type="dxa"/>
            <w:tcBorders>
              <w:top w:val="nil"/>
              <w:left w:val="nil"/>
              <w:bottom w:val="single" w:sz="8" w:space="0" w:color="auto"/>
              <w:right w:val="single" w:sz="4" w:space="0" w:color="auto"/>
            </w:tcBorders>
            <w:shd w:val="clear" w:color="auto" w:fill="D0CECE" w:themeFill="background2" w:themeFillShade="E6"/>
            <w:noWrap/>
            <w:vAlign w:val="center"/>
            <w:hideMark/>
          </w:tcPr>
          <w:p w14:paraId="5832CE4E" w14:textId="77777777" w:rsidR="00082217" w:rsidRPr="00234771" w:rsidRDefault="00082217" w:rsidP="003B52F3">
            <w:pPr>
              <w:spacing w:after="0" w:line="240" w:lineRule="auto"/>
              <w:rPr>
                <w:rFonts w:eastAsia="Times New Roman"/>
                <w:color w:val="000000"/>
                <w:sz w:val="20"/>
                <w:szCs w:val="20"/>
                <w:lang w:eastAsia="ko-KR"/>
              </w:rPr>
            </w:pPr>
            <w:r w:rsidRPr="00234771">
              <w:rPr>
                <w:rFonts w:eastAsia="Times New Roman"/>
                <w:color w:val="000000"/>
                <w:sz w:val="20"/>
                <w:szCs w:val="20"/>
                <w:lang w:eastAsia="ko-KR"/>
              </w:rPr>
              <w:t>Non-professor</w:t>
            </w:r>
          </w:p>
        </w:tc>
        <w:tc>
          <w:tcPr>
            <w:tcW w:w="1545" w:type="dxa"/>
            <w:tcBorders>
              <w:top w:val="nil"/>
              <w:left w:val="nil"/>
              <w:bottom w:val="single" w:sz="8" w:space="0" w:color="auto"/>
              <w:right w:val="single" w:sz="4" w:space="0" w:color="auto"/>
            </w:tcBorders>
            <w:shd w:val="clear" w:color="auto" w:fill="D0CECE" w:themeFill="background2" w:themeFillShade="E6"/>
            <w:noWrap/>
            <w:vAlign w:val="center"/>
            <w:hideMark/>
          </w:tcPr>
          <w:p w14:paraId="30217E13"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14</w:t>
            </w:r>
          </w:p>
        </w:tc>
        <w:tc>
          <w:tcPr>
            <w:tcW w:w="1377" w:type="dxa"/>
            <w:tcBorders>
              <w:top w:val="nil"/>
              <w:left w:val="nil"/>
              <w:bottom w:val="single" w:sz="8" w:space="0" w:color="auto"/>
              <w:right w:val="single" w:sz="4" w:space="0" w:color="auto"/>
            </w:tcBorders>
            <w:shd w:val="clear" w:color="auto" w:fill="D0CECE" w:themeFill="background2" w:themeFillShade="E6"/>
            <w:noWrap/>
            <w:vAlign w:val="center"/>
            <w:hideMark/>
          </w:tcPr>
          <w:p w14:paraId="0FEE736D"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2</w:t>
            </w:r>
          </w:p>
        </w:tc>
        <w:tc>
          <w:tcPr>
            <w:tcW w:w="1444" w:type="dxa"/>
            <w:tcBorders>
              <w:top w:val="nil"/>
              <w:left w:val="nil"/>
              <w:bottom w:val="single" w:sz="8" w:space="0" w:color="auto"/>
              <w:right w:val="single" w:sz="8" w:space="0" w:color="auto"/>
            </w:tcBorders>
            <w:shd w:val="clear" w:color="auto" w:fill="D0CECE" w:themeFill="background2" w:themeFillShade="E6"/>
            <w:noWrap/>
            <w:vAlign w:val="center"/>
            <w:hideMark/>
          </w:tcPr>
          <w:p w14:paraId="49CECBE1"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14%</w:t>
            </w:r>
          </w:p>
        </w:tc>
      </w:tr>
      <w:tr w:rsidR="00082217" w:rsidRPr="00575357" w14:paraId="63350816" w14:textId="77777777" w:rsidTr="003B52F3">
        <w:trPr>
          <w:trHeight w:val="239"/>
        </w:trPr>
        <w:tc>
          <w:tcPr>
            <w:tcW w:w="1555" w:type="dxa"/>
            <w:vMerge w:val="restart"/>
            <w:tcBorders>
              <w:top w:val="nil"/>
              <w:left w:val="single" w:sz="8" w:space="0" w:color="auto"/>
              <w:bottom w:val="single" w:sz="8" w:space="0" w:color="000000"/>
              <w:right w:val="single" w:sz="4" w:space="0" w:color="auto"/>
            </w:tcBorders>
            <w:shd w:val="clear" w:color="auto" w:fill="AEAAAA" w:themeFill="background2" w:themeFillShade="BF"/>
            <w:vAlign w:val="center"/>
            <w:hideMark/>
          </w:tcPr>
          <w:p w14:paraId="7699C8E9"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Gender &amp; Seniority combined</w:t>
            </w:r>
          </w:p>
        </w:tc>
        <w:tc>
          <w:tcPr>
            <w:tcW w:w="3076" w:type="dxa"/>
            <w:tcBorders>
              <w:top w:val="nil"/>
              <w:left w:val="nil"/>
              <w:bottom w:val="single" w:sz="4" w:space="0" w:color="auto"/>
              <w:right w:val="single" w:sz="4" w:space="0" w:color="auto"/>
            </w:tcBorders>
            <w:shd w:val="clear" w:color="auto" w:fill="AEAAAA" w:themeFill="background2" w:themeFillShade="BF"/>
            <w:noWrap/>
            <w:vAlign w:val="center"/>
            <w:hideMark/>
          </w:tcPr>
          <w:p w14:paraId="04BD989F" w14:textId="77777777" w:rsidR="00082217" w:rsidRPr="00234771" w:rsidRDefault="00082217" w:rsidP="003B52F3">
            <w:pPr>
              <w:spacing w:after="0" w:line="240" w:lineRule="auto"/>
              <w:rPr>
                <w:rFonts w:eastAsia="Times New Roman"/>
                <w:color w:val="000000"/>
                <w:sz w:val="20"/>
                <w:szCs w:val="20"/>
                <w:lang w:eastAsia="ko-KR"/>
              </w:rPr>
            </w:pPr>
            <w:r w:rsidRPr="00234771">
              <w:rPr>
                <w:rFonts w:eastAsia="Times New Roman"/>
                <w:color w:val="000000"/>
                <w:sz w:val="20"/>
                <w:szCs w:val="20"/>
                <w:lang w:eastAsia="ko-KR"/>
              </w:rPr>
              <w:t>Male AND Professor</w:t>
            </w:r>
          </w:p>
        </w:tc>
        <w:tc>
          <w:tcPr>
            <w:tcW w:w="1545" w:type="dxa"/>
            <w:tcBorders>
              <w:top w:val="nil"/>
              <w:left w:val="nil"/>
              <w:bottom w:val="single" w:sz="4" w:space="0" w:color="auto"/>
              <w:right w:val="single" w:sz="4" w:space="0" w:color="auto"/>
            </w:tcBorders>
            <w:shd w:val="clear" w:color="auto" w:fill="AEAAAA" w:themeFill="background2" w:themeFillShade="BF"/>
            <w:noWrap/>
            <w:vAlign w:val="center"/>
            <w:hideMark/>
          </w:tcPr>
          <w:p w14:paraId="7894B68B"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24</w:t>
            </w:r>
          </w:p>
        </w:tc>
        <w:tc>
          <w:tcPr>
            <w:tcW w:w="1377" w:type="dxa"/>
            <w:tcBorders>
              <w:top w:val="nil"/>
              <w:left w:val="nil"/>
              <w:bottom w:val="single" w:sz="4" w:space="0" w:color="auto"/>
              <w:right w:val="single" w:sz="4" w:space="0" w:color="auto"/>
            </w:tcBorders>
            <w:shd w:val="clear" w:color="auto" w:fill="AEAAAA" w:themeFill="background2" w:themeFillShade="BF"/>
            <w:noWrap/>
            <w:vAlign w:val="center"/>
            <w:hideMark/>
          </w:tcPr>
          <w:p w14:paraId="7C2BE7D5"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8</w:t>
            </w:r>
          </w:p>
        </w:tc>
        <w:tc>
          <w:tcPr>
            <w:tcW w:w="1444" w:type="dxa"/>
            <w:tcBorders>
              <w:top w:val="nil"/>
              <w:left w:val="nil"/>
              <w:bottom w:val="single" w:sz="4" w:space="0" w:color="auto"/>
              <w:right w:val="single" w:sz="8" w:space="0" w:color="auto"/>
            </w:tcBorders>
            <w:shd w:val="clear" w:color="auto" w:fill="AEAAAA" w:themeFill="background2" w:themeFillShade="BF"/>
            <w:noWrap/>
            <w:vAlign w:val="center"/>
            <w:hideMark/>
          </w:tcPr>
          <w:p w14:paraId="3B69C19A"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33%</w:t>
            </w:r>
          </w:p>
        </w:tc>
      </w:tr>
      <w:tr w:rsidR="00082217" w:rsidRPr="00575357" w14:paraId="6C466050" w14:textId="77777777" w:rsidTr="003B52F3">
        <w:trPr>
          <w:trHeight w:val="239"/>
        </w:trPr>
        <w:tc>
          <w:tcPr>
            <w:tcW w:w="1555" w:type="dxa"/>
            <w:vMerge/>
            <w:tcBorders>
              <w:top w:val="nil"/>
              <w:left w:val="single" w:sz="8" w:space="0" w:color="auto"/>
              <w:bottom w:val="single" w:sz="8" w:space="0" w:color="000000"/>
              <w:right w:val="single" w:sz="4" w:space="0" w:color="auto"/>
            </w:tcBorders>
            <w:shd w:val="clear" w:color="auto" w:fill="AEAAAA" w:themeFill="background2" w:themeFillShade="BF"/>
            <w:vAlign w:val="center"/>
            <w:hideMark/>
          </w:tcPr>
          <w:p w14:paraId="0484175A" w14:textId="77777777" w:rsidR="00082217" w:rsidRPr="00234771" w:rsidRDefault="00082217" w:rsidP="003B52F3">
            <w:pPr>
              <w:spacing w:after="0" w:line="240" w:lineRule="auto"/>
              <w:rPr>
                <w:rFonts w:eastAsia="Times New Roman"/>
                <w:b/>
                <w:bCs/>
                <w:color w:val="000000"/>
                <w:sz w:val="20"/>
                <w:szCs w:val="20"/>
                <w:lang w:eastAsia="ko-KR"/>
              </w:rPr>
            </w:pPr>
          </w:p>
        </w:tc>
        <w:tc>
          <w:tcPr>
            <w:tcW w:w="3076" w:type="dxa"/>
            <w:tcBorders>
              <w:top w:val="nil"/>
              <w:left w:val="nil"/>
              <w:bottom w:val="single" w:sz="4" w:space="0" w:color="auto"/>
              <w:right w:val="single" w:sz="4" w:space="0" w:color="auto"/>
            </w:tcBorders>
            <w:shd w:val="clear" w:color="auto" w:fill="AEAAAA" w:themeFill="background2" w:themeFillShade="BF"/>
            <w:noWrap/>
            <w:vAlign w:val="center"/>
            <w:hideMark/>
          </w:tcPr>
          <w:p w14:paraId="5A8085A0" w14:textId="77777777" w:rsidR="00082217" w:rsidRPr="00234771" w:rsidRDefault="00082217" w:rsidP="003B52F3">
            <w:pPr>
              <w:spacing w:after="0" w:line="240" w:lineRule="auto"/>
              <w:rPr>
                <w:rFonts w:eastAsia="Times New Roman"/>
                <w:color w:val="000000"/>
                <w:sz w:val="20"/>
                <w:szCs w:val="20"/>
                <w:lang w:eastAsia="ko-KR"/>
              </w:rPr>
            </w:pPr>
            <w:r w:rsidRPr="00234771">
              <w:rPr>
                <w:rFonts w:eastAsia="Times New Roman"/>
                <w:color w:val="000000"/>
                <w:sz w:val="20"/>
                <w:szCs w:val="20"/>
                <w:lang w:eastAsia="ko-KR"/>
              </w:rPr>
              <w:t>Male AND NOT Professor</w:t>
            </w:r>
          </w:p>
        </w:tc>
        <w:tc>
          <w:tcPr>
            <w:tcW w:w="1545" w:type="dxa"/>
            <w:tcBorders>
              <w:top w:val="nil"/>
              <w:left w:val="nil"/>
              <w:bottom w:val="single" w:sz="4" w:space="0" w:color="auto"/>
              <w:right w:val="single" w:sz="4" w:space="0" w:color="auto"/>
            </w:tcBorders>
            <w:shd w:val="clear" w:color="auto" w:fill="AEAAAA" w:themeFill="background2" w:themeFillShade="BF"/>
            <w:noWrap/>
            <w:vAlign w:val="center"/>
            <w:hideMark/>
          </w:tcPr>
          <w:p w14:paraId="0F93323B"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9</w:t>
            </w:r>
          </w:p>
        </w:tc>
        <w:tc>
          <w:tcPr>
            <w:tcW w:w="1377" w:type="dxa"/>
            <w:tcBorders>
              <w:top w:val="nil"/>
              <w:left w:val="nil"/>
              <w:bottom w:val="single" w:sz="4" w:space="0" w:color="auto"/>
              <w:right w:val="single" w:sz="4" w:space="0" w:color="auto"/>
            </w:tcBorders>
            <w:shd w:val="clear" w:color="auto" w:fill="AEAAAA" w:themeFill="background2" w:themeFillShade="BF"/>
            <w:noWrap/>
            <w:vAlign w:val="center"/>
            <w:hideMark/>
          </w:tcPr>
          <w:p w14:paraId="1CFAB284"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1</w:t>
            </w:r>
          </w:p>
        </w:tc>
        <w:tc>
          <w:tcPr>
            <w:tcW w:w="1444" w:type="dxa"/>
            <w:tcBorders>
              <w:top w:val="nil"/>
              <w:left w:val="nil"/>
              <w:bottom w:val="single" w:sz="4" w:space="0" w:color="auto"/>
              <w:right w:val="single" w:sz="8" w:space="0" w:color="auto"/>
            </w:tcBorders>
            <w:shd w:val="clear" w:color="auto" w:fill="AEAAAA" w:themeFill="background2" w:themeFillShade="BF"/>
            <w:noWrap/>
            <w:vAlign w:val="center"/>
            <w:hideMark/>
          </w:tcPr>
          <w:p w14:paraId="589F2474"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1%</w:t>
            </w:r>
          </w:p>
        </w:tc>
      </w:tr>
      <w:tr w:rsidR="00082217" w:rsidRPr="00575357" w14:paraId="40BF696E" w14:textId="77777777" w:rsidTr="003B52F3">
        <w:trPr>
          <w:trHeight w:val="239"/>
        </w:trPr>
        <w:tc>
          <w:tcPr>
            <w:tcW w:w="1555" w:type="dxa"/>
            <w:vMerge/>
            <w:tcBorders>
              <w:top w:val="nil"/>
              <w:left w:val="single" w:sz="8" w:space="0" w:color="auto"/>
              <w:bottom w:val="single" w:sz="8" w:space="0" w:color="000000"/>
              <w:right w:val="single" w:sz="4" w:space="0" w:color="auto"/>
            </w:tcBorders>
            <w:shd w:val="clear" w:color="auto" w:fill="AEAAAA" w:themeFill="background2" w:themeFillShade="BF"/>
            <w:vAlign w:val="center"/>
            <w:hideMark/>
          </w:tcPr>
          <w:p w14:paraId="62E9C5A9" w14:textId="77777777" w:rsidR="00082217" w:rsidRPr="00234771" w:rsidRDefault="00082217" w:rsidP="003B52F3">
            <w:pPr>
              <w:spacing w:after="0" w:line="240" w:lineRule="auto"/>
              <w:rPr>
                <w:rFonts w:eastAsia="Times New Roman"/>
                <w:b/>
                <w:bCs/>
                <w:color w:val="000000"/>
                <w:sz w:val="20"/>
                <w:szCs w:val="20"/>
                <w:lang w:eastAsia="ko-KR"/>
              </w:rPr>
            </w:pPr>
          </w:p>
        </w:tc>
        <w:tc>
          <w:tcPr>
            <w:tcW w:w="3076" w:type="dxa"/>
            <w:tcBorders>
              <w:top w:val="nil"/>
              <w:left w:val="nil"/>
              <w:bottom w:val="single" w:sz="4" w:space="0" w:color="auto"/>
              <w:right w:val="single" w:sz="4" w:space="0" w:color="auto"/>
            </w:tcBorders>
            <w:shd w:val="clear" w:color="auto" w:fill="AEAAAA" w:themeFill="background2" w:themeFillShade="BF"/>
            <w:noWrap/>
            <w:vAlign w:val="center"/>
            <w:hideMark/>
          </w:tcPr>
          <w:p w14:paraId="3D50D41D" w14:textId="77777777" w:rsidR="00082217" w:rsidRPr="00234771" w:rsidRDefault="00082217" w:rsidP="003B52F3">
            <w:pPr>
              <w:spacing w:after="0" w:line="240" w:lineRule="auto"/>
              <w:rPr>
                <w:rFonts w:eastAsia="Times New Roman"/>
                <w:color w:val="000000"/>
                <w:sz w:val="20"/>
                <w:szCs w:val="20"/>
                <w:lang w:eastAsia="ko-KR"/>
              </w:rPr>
            </w:pPr>
            <w:r w:rsidRPr="00234771">
              <w:rPr>
                <w:rFonts w:eastAsia="Times New Roman"/>
                <w:color w:val="000000"/>
                <w:sz w:val="20"/>
                <w:szCs w:val="20"/>
                <w:lang w:eastAsia="ko-KR"/>
              </w:rPr>
              <w:t>Female AND Professor</w:t>
            </w:r>
          </w:p>
        </w:tc>
        <w:tc>
          <w:tcPr>
            <w:tcW w:w="1545" w:type="dxa"/>
            <w:tcBorders>
              <w:top w:val="nil"/>
              <w:left w:val="nil"/>
              <w:bottom w:val="single" w:sz="4" w:space="0" w:color="auto"/>
              <w:right w:val="single" w:sz="4" w:space="0" w:color="auto"/>
            </w:tcBorders>
            <w:shd w:val="clear" w:color="auto" w:fill="AEAAAA" w:themeFill="background2" w:themeFillShade="BF"/>
            <w:noWrap/>
            <w:vAlign w:val="center"/>
            <w:hideMark/>
          </w:tcPr>
          <w:p w14:paraId="60E62FB4"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1</w:t>
            </w:r>
          </w:p>
        </w:tc>
        <w:tc>
          <w:tcPr>
            <w:tcW w:w="1377" w:type="dxa"/>
            <w:tcBorders>
              <w:top w:val="nil"/>
              <w:left w:val="nil"/>
              <w:bottom w:val="single" w:sz="4" w:space="0" w:color="auto"/>
              <w:right w:val="single" w:sz="4" w:space="0" w:color="auto"/>
            </w:tcBorders>
            <w:shd w:val="clear" w:color="auto" w:fill="AEAAAA" w:themeFill="background2" w:themeFillShade="BF"/>
            <w:noWrap/>
            <w:vAlign w:val="center"/>
            <w:hideMark/>
          </w:tcPr>
          <w:p w14:paraId="79C0FE0E"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0</w:t>
            </w:r>
          </w:p>
        </w:tc>
        <w:tc>
          <w:tcPr>
            <w:tcW w:w="1444" w:type="dxa"/>
            <w:tcBorders>
              <w:top w:val="nil"/>
              <w:left w:val="nil"/>
              <w:bottom w:val="single" w:sz="4" w:space="0" w:color="auto"/>
              <w:right w:val="single" w:sz="8" w:space="0" w:color="auto"/>
            </w:tcBorders>
            <w:shd w:val="clear" w:color="auto" w:fill="AEAAAA" w:themeFill="background2" w:themeFillShade="BF"/>
            <w:noWrap/>
            <w:vAlign w:val="center"/>
            <w:hideMark/>
          </w:tcPr>
          <w:p w14:paraId="7BDF4DFA"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0%</w:t>
            </w:r>
          </w:p>
        </w:tc>
      </w:tr>
      <w:tr w:rsidR="00082217" w:rsidRPr="00575357" w14:paraId="7DEC0E24" w14:textId="77777777" w:rsidTr="003B52F3">
        <w:trPr>
          <w:trHeight w:val="90"/>
        </w:trPr>
        <w:tc>
          <w:tcPr>
            <w:tcW w:w="1555" w:type="dxa"/>
            <w:vMerge/>
            <w:tcBorders>
              <w:top w:val="nil"/>
              <w:left w:val="single" w:sz="8" w:space="0" w:color="auto"/>
              <w:bottom w:val="single" w:sz="8" w:space="0" w:color="000000"/>
              <w:right w:val="single" w:sz="4" w:space="0" w:color="auto"/>
            </w:tcBorders>
            <w:shd w:val="clear" w:color="auto" w:fill="AEAAAA" w:themeFill="background2" w:themeFillShade="BF"/>
            <w:vAlign w:val="center"/>
            <w:hideMark/>
          </w:tcPr>
          <w:p w14:paraId="0A3C7350" w14:textId="77777777" w:rsidR="00082217" w:rsidRPr="00234771" w:rsidRDefault="00082217" w:rsidP="003B52F3">
            <w:pPr>
              <w:spacing w:after="0" w:line="240" w:lineRule="auto"/>
              <w:rPr>
                <w:rFonts w:eastAsia="Times New Roman"/>
                <w:b/>
                <w:bCs/>
                <w:color w:val="000000"/>
                <w:sz w:val="20"/>
                <w:szCs w:val="20"/>
                <w:lang w:eastAsia="ko-KR"/>
              </w:rPr>
            </w:pPr>
          </w:p>
        </w:tc>
        <w:tc>
          <w:tcPr>
            <w:tcW w:w="3076" w:type="dxa"/>
            <w:tcBorders>
              <w:top w:val="nil"/>
              <w:left w:val="nil"/>
              <w:bottom w:val="single" w:sz="8" w:space="0" w:color="auto"/>
              <w:right w:val="single" w:sz="4" w:space="0" w:color="auto"/>
            </w:tcBorders>
            <w:shd w:val="clear" w:color="auto" w:fill="AEAAAA" w:themeFill="background2" w:themeFillShade="BF"/>
            <w:noWrap/>
            <w:vAlign w:val="center"/>
            <w:hideMark/>
          </w:tcPr>
          <w:p w14:paraId="4C206914" w14:textId="77777777" w:rsidR="00082217" w:rsidRPr="00234771" w:rsidRDefault="00082217" w:rsidP="003B52F3">
            <w:pPr>
              <w:spacing w:after="0" w:line="240" w:lineRule="auto"/>
              <w:rPr>
                <w:rFonts w:eastAsia="Times New Roman"/>
                <w:color w:val="000000"/>
                <w:sz w:val="20"/>
                <w:szCs w:val="20"/>
                <w:lang w:eastAsia="ko-KR"/>
              </w:rPr>
            </w:pPr>
            <w:r w:rsidRPr="00234771">
              <w:rPr>
                <w:rFonts w:eastAsia="Times New Roman"/>
                <w:color w:val="000000"/>
                <w:sz w:val="20"/>
                <w:szCs w:val="20"/>
                <w:lang w:eastAsia="ko-KR"/>
              </w:rPr>
              <w:t>Female AND NOT Professor</w:t>
            </w:r>
          </w:p>
        </w:tc>
        <w:tc>
          <w:tcPr>
            <w:tcW w:w="1545" w:type="dxa"/>
            <w:tcBorders>
              <w:top w:val="nil"/>
              <w:left w:val="nil"/>
              <w:bottom w:val="single" w:sz="8" w:space="0" w:color="auto"/>
              <w:right w:val="single" w:sz="4" w:space="0" w:color="auto"/>
            </w:tcBorders>
            <w:shd w:val="clear" w:color="auto" w:fill="AEAAAA" w:themeFill="background2" w:themeFillShade="BF"/>
            <w:noWrap/>
            <w:vAlign w:val="center"/>
            <w:hideMark/>
          </w:tcPr>
          <w:p w14:paraId="126BF3C5"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5</w:t>
            </w:r>
          </w:p>
        </w:tc>
        <w:tc>
          <w:tcPr>
            <w:tcW w:w="1377" w:type="dxa"/>
            <w:tcBorders>
              <w:top w:val="nil"/>
              <w:left w:val="nil"/>
              <w:bottom w:val="single" w:sz="8" w:space="0" w:color="auto"/>
              <w:right w:val="single" w:sz="4" w:space="0" w:color="auto"/>
            </w:tcBorders>
            <w:shd w:val="clear" w:color="auto" w:fill="AEAAAA" w:themeFill="background2" w:themeFillShade="BF"/>
            <w:noWrap/>
            <w:vAlign w:val="center"/>
            <w:hideMark/>
          </w:tcPr>
          <w:p w14:paraId="52737554"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1</w:t>
            </w:r>
          </w:p>
        </w:tc>
        <w:tc>
          <w:tcPr>
            <w:tcW w:w="1444" w:type="dxa"/>
            <w:tcBorders>
              <w:top w:val="nil"/>
              <w:left w:val="nil"/>
              <w:bottom w:val="single" w:sz="8" w:space="0" w:color="auto"/>
              <w:right w:val="single" w:sz="8" w:space="0" w:color="auto"/>
            </w:tcBorders>
            <w:shd w:val="clear" w:color="auto" w:fill="AEAAAA" w:themeFill="background2" w:themeFillShade="BF"/>
            <w:noWrap/>
            <w:vAlign w:val="center"/>
            <w:hideMark/>
          </w:tcPr>
          <w:p w14:paraId="3268EA2A" w14:textId="77777777" w:rsidR="00082217" w:rsidRPr="00234771" w:rsidRDefault="00082217" w:rsidP="003B52F3">
            <w:pPr>
              <w:spacing w:after="0" w:line="240" w:lineRule="auto"/>
              <w:jc w:val="center"/>
              <w:rPr>
                <w:rFonts w:eastAsia="Times New Roman"/>
                <w:color w:val="000000"/>
                <w:sz w:val="20"/>
                <w:szCs w:val="20"/>
                <w:lang w:eastAsia="ko-KR"/>
              </w:rPr>
            </w:pPr>
            <w:r w:rsidRPr="00234771">
              <w:rPr>
                <w:rFonts w:eastAsia="Times New Roman"/>
                <w:color w:val="000000"/>
                <w:sz w:val="20"/>
                <w:szCs w:val="20"/>
                <w:lang w:eastAsia="ko-KR"/>
              </w:rPr>
              <w:t>20%</w:t>
            </w:r>
          </w:p>
        </w:tc>
      </w:tr>
      <w:tr w:rsidR="00082217" w:rsidRPr="00575357" w14:paraId="1FF7CB82" w14:textId="77777777" w:rsidTr="003B52F3">
        <w:trPr>
          <w:trHeight w:val="54"/>
        </w:trPr>
        <w:tc>
          <w:tcPr>
            <w:tcW w:w="46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E786D1"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Totals</w:t>
            </w:r>
          </w:p>
        </w:tc>
        <w:tc>
          <w:tcPr>
            <w:tcW w:w="1545" w:type="dxa"/>
            <w:tcBorders>
              <w:top w:val="nil"/>
              <w:left w:val="nil"/>
              <w:bottom w:val="single" w:sz="4" w:space="0" w:color="auto"/>
              <w:right w:val="single" w:sz="4" w:space="0" w:color="auto"/>
            </w:tcBorders>
            <w:shd w:val="clear" w:color="auto" w:fill="auto"/>
            <w:noWrap/>
            <w:vAlign w:val="center"/>
            <w:hideMark/>
          </w:tcPr>
          <w:p w14:paraId="442BF6FD"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39</w:t>
            </w:r>
          </w:p>
        </w:tc>
        <w:tc>
          <w:tcPr>
            <w:tcW w:w="1377" w:type="dxa"/>
            <w:tcBorders>
              <w:top w:val="nil"/>
              <w:left w:val="nil"/>
              <w:bottom w:val="single" w:sz="4" w:space="0" w:color="auto"/>
              <w:right w:val="single" w:sz="4" w:space="0" w:color="auto"/>
            </w:tcBorders>
            <w:shd w:val="clear" w:color="auto" w:fill="auto"/>
            <w:noWrap/>
            <w:vAlign w:val="center"/>
            <w:hideMark/>
          </w:tcPr>
          <w:p w14:paraId="65AF1370" w14:textId="77777777" w:rsidR="00082217" w:rsidRPr="00234771" w:rsidRDefault="00082217" w:rsidP="003B52F3">
            <w:pPr>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10</w:t>
            </w:r>
          </w:p>
        </w:tc>
        <w:tc>
          <w:tcPr>
            <w:tcW w:w="1444" w:type="dxa"/>
            <w:tcBorders>
              <w:top w:val="nil"/>
              <w:left w:val="nil"/>
              <w:bottom w:val="single" w:sz="4" w:space="0" w:color="auto"/>
              <w:right w:val="single" w:sz="4" w:space="0" w:color="auto"/>
            </w:tcBorders>
            <w:shd w:val="clear" w:color="auto" w:fill="auto"/>
            <w:noWrap/>
            <w:vAlign w:val="center"/>
            <w:hideMark/>
          </w:tcPr>
          <w:p w14:paraId="08898D20" w14:textId="77777777" w:rsidR="00082217" w:rsidRPr="00234771" w:rsidRDefault="00082217" w:rsidP="003B52F3">
            <w:pPr>
              <w:keepNext/>
              <w:spacing w:after="0" w:line="240" w:lineRule="auto"/>
              <w:jc w:val="center"/>
              <w:rPr>
                <w:rFonts w:eastAsia="Times New Roman"/>
                <w:b/>
                <w:bCs/>
                <w:color w:val="000000"/>
                <w:sz w:val="20"/>
                <w:szCs w:val="20"/>
                <w:lang w:eastAsia="ko-KR"/>
              </w:rPr>
            </w:pPr>
            <w:r w:rsidRPr="00234771">
              <w:rPr>
                <w:rFonts w:eastAsia="Times New Roman"/>
                <w:b/>
                <w:bCs/>
                <w:color w:val="000000"/>
                <w:sz w:val="20"/>
                <w:szCs w:val="20"/>
                <w:lang w:eastAsia="ko-KR"/>
              </w:rPr>
              <w:t>26%</w:t>
            </w:r>
          </w:p>
        </w:tc>
      </w:tr>
    </w:tbl>
    <w:p w14:paraId="00470DA0" w14:textId="202CDFA8" w:rsidR="00082217" w:rsidRDefault="00082217" w:rsidP="00082217">
      <w:pPr>
        <w:pStyle w:val="Caption"/>
      </w:pPr>
      <w:bookmarkStart w:id="103" w:name="_Ref531382471"/>
      <w:bookmarkStart w:id="104" w:name="_Toc536438885"/>
      <w:bookmarkStart w:id="105" w:name="_Toc31702076"/>
      <w:r>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7</w:t>
      </w:r>
      <w:r w:rsidR="00233012">
        <w:rPr>
          <w:noProof/>
        </w:rPr>
        <w:fldChar w:fldCharType="end"/>
      </w:r>
      <w:bookmarkEnd w:id="103"/>
      <w:r>
        <w:t xml:space="preserve">. </w:t>
      </w:r>
      <w:r w:rsidRPr="005F5606">
        <w:t>Interview participant response rate and demographic information</w:t>
      </w:r>
      <w:bookmarkEnd w:id="104"/>
      <w:bookmarkEnd w:id="105"/>
    </w:p>
    <w:p w14:paraId="40E26CF8" w14:textId="77777777" w:rsidR="00AD6761" w:rsidRDefault="00082217" w:rsidP="00082217">
      <w:pPr>
        <w:spacing w:after="120" w:line="360" w:lineRule="auto"/>
        <w:rPr>
          <w:sz w:val="24"/>
          <w:szCs w:val="24"/>
        </w:rPr>
      </w:pPr>
      <w:r>
        <w:rPr>
          <w:sz w:val="24"/>
          <w:szCs w:val="24"/>
        </w:rPr>
        <w:t>I share this recruitment experience as I believe that such information is often obscured in reports of research methodologies, but if my experience is indicative of a wider tendency for female and less senior researchers to decline participation in research on academic work and life, then their experiences will be relatively absent from our collective knowledge. The higher education research community has an ethical duty to be critically reflexive about our collective knowledge, including the demographics of the respondents upon whose experiences and perceptions our knowledge is based.</w:t>
      </w:r>
    </w:p>
    <w:p w14:paraId="5206C6C6" w14:textId="77777777" w:rsidR="005E0131" w:rsidRDefault="005E0131" w:rsidP="00072AF6">
      <w:pPr>
        <w:pStyle w:val="NormalWeb"/>
        <w:spacing w:before="0" w:beforeAutospacing="0" w:after="120" w:afterAutospacing="0" w:line="360" w:lineRule="auto"/>
      </w:pPr>
    </w:p>
    <w:p w14:paraId="497B48A0" w14:textId="39BCA881" w:rsidR="00AD6761" w:rsidRDefault="00AD6761" w:rsidP="00E778D0">
      <w:pPr>
        <w:pStyle w:val="Heading2"/>
      </w:pPr>
      <w:r>
        <w:br w:type="page"/>
      </w:r>
    </w:p>
    <w:p w14:paraId="5E2E1503" w14:textId="5CA96EEC" w:rsidR="009555C8" w:rsidRDefault="009555C8" w:rsidP="002D0CE8">
      <w:pPr>
        <w:pStyle w:val="Heading1"/>
        <w:spacing w:before="0"/>
      </w:pPr>
      <w:bookmarkStart w:id="106" w:name="_Toc536717947"/>
      <w:bookmarkStart w:id="107" w:name="_Toc31701975"/>
      <w:r>
        <w:t xml:space="preserve">Chapter </w:t>
      </w:r>
      <w:r w:rsidR="001B4926">
        <w:t>4</w:t>
      </w:r>
      <w:r>
        <w:t>.</w:t>
      </w:r>
      <w:r w:rsidR="00C22D18">
        <w:t xml:space="preserve"> Findings and</w:t>
      </w:r>
      <w:bookmarkEnd w:id="106"/>
      <w:r w:rsidR="00C22D18">
        <w:t xml:space="preserve"> </w:t>
      </w:r>
      <w:r w:rsidR="00444629">
        <w:t>A</w:t>
      </w:r>
      <w:r w:rsidR="00056A54">
        <w:t>nalysis</w:t>
      </w:r>
      <w:bookmarkEnd w:id="107"/>
    </w:p>
    <w:p w14:paraId="28E8F5CC" w14:textId="79EF1ABA" w:rsidR="009555C8" w:rsidRDefault="009555C8" w:rsidP="002D0CE8">
      <w:pPr>
        <w:pStyle w:val="Heading2"/>
        <w:spacing w:before="0"/>
      </w:pPr>
      <w:bookmarkStart w:id="108" w:name="_Toc536717948"/>
      <w:bookmarkStart w:id="109" w:name="_Toc31701976"/>
      <w:r>
        <w:t>Introduction</w:t>
      </w:r>
      <w:bookmarkEnd w:id="108"/>
      <w:bookmarkEnd w:id="109"/>
    </w:p>
    <w:p w14:paraId="00EF2374" w14:textId="7BC91937" w:rsidR="00134A14" w:rsidRDefault="00D1409E" w:rsidP="009555C8">
      <w:pPr>
        <w:spacing w:before="120" w:after="120" w:line="360" w:lineRule="auto"/>
        <w:rPr>
          <w:sz w:val="24"/>
          <w:szCs w:val="24"/>
        </w:rPr>
      </w:pPr>
      <w:r>
        <w:rPr>
          <w:sz w:val="24"/>
          <w:szCs w:val="24"/>
        </w:rPr>
        <w:t xml:space="preserve">This chapter presents an analysis of the data. To recap, I </w:t>
      </w:r>
      <w:r w:rsidR="001B01AE">
        <w:rPr>
          <w:sz w:val="24"/>
          <w:szCs w:val="24"/>
        </w:rPr>
        <w:t>purposefully</w:t>
      </w:r>
      <w:r>
        <w:rPr>
          <w:sz w:val="24"/>
          <w:szCs w:val="24"/>
        </w:rPr>
        <w:t xml:space="preserve"> sampled ten academic STEMM departments from across</w:t>
      </w:r>
      <w:r w:rsidR="00123078">
        <w:rPr>
          <w:sz w:val="24"/>
          <w:szCs w:val="24"/>
        </w:rPr>
        <w:t xml:space="preserve"> nine</w:t>
      </w:r>
      <w:r>
        <w:rPr>
          <w:sz w:val="24"/>
          <w:szCs w:val="24"/>
        </w:rPr>
        <w:t xml:space="preserve"> UK </w:t>
      </w:r>
      <w:r w:rsidR="001B01AE">
        <w:rPr>
          <w:sz w:val="24"/>
          <w:szCs w:val="24"/>
        </w:rPr>
        <w:t>universities</w:t>
      </w:r>
      <w:r>
        <w:rPr>
          <w:sz w:val="24"/>
          <w:szCs w:val="24"/>
        </w:rPr>
        <w:t xml:space="preserve"> to achieve variation</w:t>
      </w:r>
      <w:r w:rsidR="001B01AE">
        <w:rPr>
          <w:sz w:val="24"/>
          <w:szCs w:val="24"/>
        </w:rPr>
        <w:t xml:space="preserve"> by epistemic and institutional context. </w:t>
      </w:r>
      <w:r w:rsidR="00B7068F">
        <w:rPr>
          <w:sz w:val="24"/>
          <w:szCs w:val="24"/>
        </w:rPr>
        <w:t xml:space="preserve">Here, </w:t>
      </w:r>
      <w:r w:rsidR="00AE422D">
        <w:rPr>
          <w:sz w:val="24"/>
          <w:szCs w:val="24"/>
        </w:rPr>
        <w:t>‘</w:t>
      </w:r>
      <w:r w:rsidR="00B7068F">
        <w:rPr>
          <w:sz w:val="24"/>
          <w:szCs w:val="24"/>
        </w:rPr>
        <w:t>epistemic context</w:t>
      </w:r>
      <w:r w:rsidR="00AE422D">
        <w:rPr>
          <w:sz w:val="24"/>
          <w:szCs w:val="24"/>
        </w:rPr>
        <w:t>’</w:t>
      </w:r>
      <w:r w:rsidR="00B7068F">
        <w:rPr>
          <w:sz w:val="24"/>
          <w:szCs w:val="24"/>
        </w:rPr>
        <w:t xml:space="preserve"> refers to the</w:t>
      </w:r>
      <w:r w:rsidR="001B01AE">
        <w:rPr>
          <w:sz w:val="24"/>
          <w:szCs w:val="24"/>
        </w:rPr>
        <w:t xml:space="preserve"> </w:t>
      </w:r>
      <w:r>
        <w:rPr>
          <w:sz w:val="24"/>
          <w:szCs w:val="24"/>
        </w:rPr>
        <w:t>branch of science (life, natural, formal)</w:t>
      </w:r>
      <w:r w:rsidR="001B01AE">
        <w:rPr>
          <w:sz w:val="24"/>
          <w:szCs w:val="24"/>
        </w:rPr>
        <w:t xml:space="preserve"> and</w:t>
      </w:r>
      <w:r>
        <w:rPr>
          <w:sz w:val="24"/>
          <w:szCs w:val="24"/>
        </w:rPr>
        <w:t xml:space="preserve"> orientation of discipline (basic, applied)</w:t>
      </w:r>
      <w:r w:rsidR="001B01AE">
        <w:rPr>
          <w:sz w:val="24"/>
          <w:szCs w:val="24"/>
        </w:rPr>
        <w:t xml:space="preserve">, while </w:t>
      </w:r>
      <w:r w:rsidR="00AE422D">
        <w:rPr>
          <w:sz w:val="24"/>
          <w:szCs w:val="24"/>
        </w:rPr>
        <w:t>‘</w:t>
      </w:r>
      <w:r w:rsidR="001B01AE">
        <w:rPr>
          <w:sz w:val="24"/>
          <w:szCs w:val="24"/>
        </w:rPr>
        <w:t>institutional context</w:t>
      </w:r>
      <w:r w:rsidR="00AE422D">
        <w:rPr>
          <w:sz w:val="24"/>
          <w:szCs w:val="24"/>
        </w:rPr>
        <w:t>’</w:t>
      </w:r>
      <w:r w:rsidR="001B01AE">
        <w:rPr>
          <w:sz w:val="24"/>
          <w:szCs w:val="24"/>
        </w:rPr>
        <w:t xml:space="preserve"> </w:t>
      </w:r>
      <w:r w:rsidR="00B7068F">
        <w:rPr>
          <w:sz w:val="24"/>
          <w:szCs w:val="24"/>
        </w:rPr>
        <w:t>refers to</w:t>
      </w:r>
      <w:r>
        <w:rPr>
          <w:sz w:val="24"/>
          <w:szCs w:val="24"/>
        </w:rPr>
        <w:t xml:space="preserve"> </w:t>
      </w:r>
      <w:r w:rsidR="001B01AE">
        <w:rPr>
          <w:sz w:val="24"/>
          <w:szCs w:val="24"/>
        </w:rPr>
        <w:t>the</w:t>
      </w:r>
      <w:r w:rsidR="00B7068F">
        <w:rPr>
          <w:sz w:val="24"/>
          <w:szCs w:val="24"/>
        </w:rPr>
        <w:t xml:space="preserve"> type of </w:t>
      </w:r>
      <w:r w:rsidR="001B01AE">
        <w:rPr>
          <w:sz w:val="24"/>
          <w:szCs w:val="24"/>
        </w:rPr>
        <w:t>university</w:t>
      </w:r>
      <w:r w:rsidR="00772076">
        <w:rPr>
          <w:sz w:val="24"/>
          <w:szCs w:val="24"/>
        </w:rPr>
        <w:t xml:space="preserve"> (Boliver, 2015)</w:t>
      </w:r>
      <w:r w:rsidR="001B01AE">
        <w:rPr>
          <w:sz w:val="24"/>
          <w:szCs w:val="24"/>
        </w:rPr>
        <w:t xml:space="preserve"> and </w:t>
      </w:r>
      <w:r w:rsidR="00772076">
        <w:rPr>
          <w:sz w:val="24"/>
          <w:szCs w:val="24"/>
        </w:rPr>
        <w:t xml:space="preserve">departmental rating (in </w:t>
      </w:r>
      <w:r w:rsidR="00772076" w:rsidRPr="005D6641">
        <w:rPr>
          <w:sz w:val="24"/>
          <w:szCs w:val="24"/>
        </w:rPr>
        <w:t>REF2014</w:t>
      </w:r>
      <w:r w:rsidR="0026614F" w:rsidRPr="005D6641">
        <w:rPr>
          <w:sz w:val="24"/>
          <w:szCs w:val="24"/>
        </w:rPr>
        <w:t>)</w:t>
      </w:r>
      <w:r w:rsidRPr="005D6641">
        <w:rPr>
          <w:sz w:val="24"/>
          <w:szCs w:val="24"/>
        </w:rPr>
        <w:t xml:space="preserve">. </w:t>
      </w:r>
      <w:r w:rsidR="00F7151B" w:rsidRPr="005D6641">
        <w:rPr>
          <w:sz w:val="24"/>
          <w:szCs w:val="24"/>
        </w:rPr>
        <w:t>From these ten departments, I selected for analysis</w:t>
      </w:r>
      <w:r w:rsidR="00F57CD6" w:rsidRPr="005D6641">
        <w:rPr>
          <w:sz w:val="24"/>
          <w:szCs w:val="24"/>
        </w:rPr>
        <w:t xml:space="preserve"> </w:t>
      </w:r>
      <w:r w:rsidR="00FE55A3" w:rsidRPr="005D6641">
        <w:rPr>
          <w:sz w:val="24"/>
          <w:szCs w:val="24"/>
        </w:rPr>
        <w:t xml:space="preserve">nineteen </w:t>
      </w:r>
      <w:r w:rsidR="00F57CD6" w:rsidRPr="005D6641">
        <w:rPr>
          <w:sz w:val="24"/>
          <w:szCs w:val="24"/>
        </w:rPr>
        <w:t xml:space="preserve">bodies of research (BoRs) which contributed to significant impact, as recognised in the results of REF2014. </w:t>
      </w:r>
    </w:p>
    <w:p w14:paraId="6CD9526E" w14:textId="33DC5949" w:rsidR="00726D03" w:rsidRDefault="00726D03" w:rsidP="009555C8">
      <w:pPr>
        <w:spacing w:before="120" w:after="120" w:line="360" w:lineRule="auto"/>
        <w:rPr>
          <w:sz w:val="24"/>
          <w:szCs w:val="24"/>
        </w:rPr>
      </w:pPr>
      <w:r>
        <w:rPr>
          <w:sz w:val="24"/>
          <w:szCs w:val="24"/>
        </w:rPr>
        <w:t xml:space="preserve">The chapter is broken down into three significant sections. </w:t>
      </w:r>
      <w:r w:rsidR="0002125A">
        <w:rPr>
          <w:i/>
          <w:iCs/>
          <w:sz w:val="24"/>
          <w:szCs w:val="24"/>
        </w:rPr>
        <w:t xml:space="preserve">Section one </w:t>
      </w:r>
      <w:r w:rsidR="0002125A">
        <w:rPr>
          <w:sz w:val="24"/>
          <w:szCs w:val="24"/>
        </w:rPr>
        <w:t>(‘Boundaries and boundary transactions</w:t>
      </w:r>
      <w:r w:rsidR="000B131C">
        <w:rPr>
          <w:sz w:val="24"/>
          <w:szCs w:val="24"/>
        </w:rPr>
        <w:t xml:space="preserve"> in the sampled research</w:t>
      </w:r>
      <w:r w:rsidR="0002125A">
        <w:rPr>
          <w:sz w:val="24"/>
          <w:szCs w:val="24"/>
        </w:rPr>
        <w:t>’)</w:t>
      </w:r>
      <w:r>
        <w:rPr>
          <w:i/>
          <w:iCs/>
          <w:sz w:val="24"/>
          <w:szCs w:val="24"/>
        </w:rPr>
        <w:t xml:space="preserve"> </w:t>
      </w:r>
      <w:r>
        <w:rPr>
          <w:sz w:val="24"/>
          <w:szCs w:val="24"/>
        </w:rPr>
        <w:t xml:space="preserve">starts by presenting aggregate-level descriptive findings </w:t>
      </w:r>
      <w:r w:rsidR="00A934D1">
        <w:rPr>
          <w:sz w:val="24"/>
          <w:szCs w:val="24"/>
        </w:rPr>
        <w:t>addressing</w:t>
      </w:r>
      <w:r>
        <w:rPr>
          <w:sz w:val="24"/>
          <w:szCs w:val="24"/>
        </w:rPr>
        <w:t xml:space="preserve"> whether the sampled research was found, on the whole, to tend towards </w:t>
      </w:r>
      <w:r w:rsidR="005F0A0A">
        <w:rPr>
          <w:sz w:val="24"/>
          <w:szCs w:val="24"/>
        </w:rPr>
        <w:t xml:space="preserve">the reproduction of academic boundaries or to its potential weakening. </w:t>
      </w:r>
      <w:r w:rsidR="00A934D1">
        <w:rPr>
          <w:sz w:val="24"/>
          <w:szCs w:val="24"/>
        </w:rPr>
        <w:t xml:space="preserve">It also goes into more fine-grained detail by showing which kinds of research attributes/activities tend to be associated with reinforcing academic boundaries and which with crossing and potentially weakening them. It then breaks these results down by institutional and epistemic contexts such as prestige of department and branch of science. These sub-sections, then, highlight what can be </w:t>
      </w:r>
      <w:r w:rsidR="0002125A">
        <w:rPr>
          <w:sz w:val="24"/>
          <w:szCs w:val="24"/>
        </w:rPr>
        <w:t xml:space="preserve">gleaned from </w:t>
      </w:r>
      <w:r w:rsidR="00A934D1">
        <w:rPr>
          <w:sz w:val="24"/>
          <w:szCs w:val="24"/>
        </w:rPr>
        <w:t>descriptive statistical analysis of</w:t>
      </w:r>
      <w:r w:rsidR="0002125A">
        <w:rPr>
          <w:sz w:val="24"/>
          <w:szCs w:val="24"/>
        </w:rPr>
        <w:t xml:space="preserve"> the</w:t>
      </w:r>
      <w:r w:rsidR="00A934D1">
        <w:rPr>
          <w:sz w:val="24"/>
          <w:szCs w:val="24"/>
        </w:rPr>
        <w:t xml:space="preserve"> </w:t>
      </w:r>
      <w:r w:rsidR="0002125A">
        <w:rPr>
          <w:sz w:val="24"/>
          <w:szCs w:val="24"/>
        </w:rPr>
        <w:t xml:space="preserve">data generated from having plotted the n=19 bodies of research (BoRs) against the typology which, adapted from McNie et al. (2016), provided me with a tool for quantifying my interpretations of the ‘boundedness’ (see the </w:t>
      </w:r>
      <w:r w:rsidR="00252938">
        <w:rPr>
          <w:sz w:val="24"/>
          <w:szCs w:val="24"/>
        </w:rPr>
        <w:t>‘</w:t>
      </w:r>
      <w:r w:rsidR="0002125A">
        <w:rPr>
          <w:sz w:val="24"/>
          <w:szCs w:val="24"/>
        </w:rPr>
        <w:t>Analytical framework</w:t>
      </w:r>
      <w:r w:rsidR="00252938">
        <w:rPr>
          <w:sz w:val="24"/>
          <w:szCs w:val="24"/>
        </w:rPr>
        <w:t>’</w:t>
      </w:r>
      <w:r w:rsidR="0002125A">
        <w:rPr>
          <w:sz w:val="24"/>
          <w:szCs w:val="24"/>
        </w:rPr>
        <w:t xml:space="preserve"> </w:t>
      </w:r>
      <w:r w:rsidR="00252938">
        <w:rPr>
          <w:sz w:val="24"/>
          <w:szCs w:val="24"/>
        </w:rPr>
        <w:t>in</w:t>
      </w:r>
      <w:r w:rsidR="0002125A">
        <w:rPr>
          <w:sz w:val="24"/>
          <w:szCs w:val="24"/>
        </w:rPr>
        <w:t xml:space="preserve"> Chapter </w:t>
      </w:r>
      <w:r w:rsidR="00CC139D">
        <w:rPr>
          <w:sz w:val="24"/>
          <w:szCs w:val="24"/>
        </w:rPr>
        <w:t xml:space="preserve">2 and </w:t>
      </w:r>
      <w:r w:rsidR="00252938">
        <w:rPr>
          <w:sz w:val="24"/>
          <w:szCs w:val="24"/>
        </w:rPr>
        <w:t>‘Analytical procedures’ in</w:t>
      </w:r>
      <w:r w:rsidR="00DA21B5">
        <w:rPr>
          <w:sz w:val="24"/>
          <w:szCs w:val="24"/>
        </w:rPr>
        <w:t xml:space="preserve"> Chapter 2</w:t>
      </w:r>
      <w:r w:rsidR="0002125A">
        <w:rPr>
          <w:sz w:val="24"/>
          <w:szCs w:val="24"/>
        </w:rPr>
        <w:t xml:space="preserve"> for details)</w:t>
      </w:r>
      <w:r w:rsidR="000B131C">
        <w:rPr>
          <w:sz w:val="24"/>
          <w:szCs w:val="24"/>
        </w:rPr>
        <w:t xml:space="preserve"> of the BoRs, which I took to be an indicator of the extent to which the sampled research was reproducing or potentially weakening academic boundaries</w:t>
      </w:r>
      <w:r w:rsidR="0002125A">
        <w:rPr>
          <w:sz w:val="24"/>
          <w:szCs w:val="24"/>
        </w:rPr>
        <w:t>.</w:t>
      </w:r>
      <w:r w:rsidR="000B131C">
        <w:rPr>
          <w:sz w:val="24"/>
          <w:szCs w:val="24"/>
        </w:rPr>
        <w:t xml:space="preserve"> </w:t>
      </w:r>
      <w:r w:rsidR="000B131C">
        <w:rPr>
          <w:i/>
          <w:iCs/>
          <w:sz w:val="24"/>
          <w:szCs w:val="24"/>
        </w:rPr>
        <w:t>Section one</w:t>
      </w:r>
      <w:r w:rsidR="000B131C">
        <w:rPr>
          <w:sz w:val="24"/>
          <w:szCs w:val="24"/>
        </w:rPr>
        <w:t xml:space="preserve"> then develops</w:t>
      </w:r>
      <w:r w:rsidR="00A934D1">
        <w:rPr>
          <w:sz w:val="24"/>
          <w:szCs w:val="24"/>
        </w:rPr>
        <w:t xml:space="preserve"> this analysis by presenting </w:t>
      </w:r>
      <w:r w:rsidR="000B131C">
        <w:rPr>
          <w:sz w:val="24"/>
          <w:szCs w:val="24"/>
        </w:rPr>
        <w:t xml:space="preserve">quantitative data about the role of boundary transactions in the complex </w:t>
      </w:r>
      <w:r w:rsidR="00D02403">
        <w:rPr>
          <w:sz w:val="24"/>
          <w:szCs w:val="24"/>
        </w:rPr>
        <w:t xml:space="preserve">process of reinforcing and crossing academic boundaries. This shows that boundary transactions can act as mechanisms in both directions (reproduction and weakening), sometimes simultaneously, and highlights the theoretical point that boundary-crossing is at once a necessary part of the process of reproducing boundaries </w:t>
      </w:r>
      <w:r w:rsidR="00D02403">
        <w:rPr>
          <w:i/>
          <w:iCs/>
          <w:sz w:val="24"/>
          <w:szCs w:val="24"/>
        </w:rPr>
        <w:t xml:space="preserve">and </w:t>
      </w:r>
      <w:r w:rsidR="00D02403">
        <w:rPr>
          <w:sz w:val="24"/>
          <w:szCs w:val="24"/>
        </w:rPr>
        <w:t>is a major mechanism through which boundaries may be weakened.</w:t>
      </w:r>
    </w:p>
    <w:p w14:paraId="5F3EC509" w14:textId="2A0D8D7B" w:rsidR="002C1138" w:rsidRDefault="00D02403" w:rsidP="00D02403">
      <w:pPr>
        <w:spacing w:before="120" w:after="120" w:line="360" w:lineRule="auto"/>
        <w:rPr>
          <w:sz w:val="24"/>
          <w:szCs w:val="24"/>
        </w:rPr>
      </w:pPr>
      <w:r>
        <w:rPr>
          <w:i/>
          <w:iCs/>
          <w:sz w:val="24"/>
          <w:szCs w:val="24"/>
        </w:rPr>
        <w:t>Section two</w:t>
      </w:r>
      <w:r>
        <w:rPr>
          <w:sz w:val="24"/>
          <w:szCs w:val="24"/>
        </w:rPr>
        <w:t xml:space="preserve"> (‘In-depth illustrative analysis’) of this chapter provides </w:t>
      </w:r>
      <w:r w:rsidR="003658EE">
        <w:rPr>
          <w:sz w:val="24"/>
          <w:szCs w:val="24"/>
        </w:rPr>
        <w:t xml:space="preserve">an extended, in-depth analysis of </w:t>
      </w:r>
      <w:r w:rsidR="003658EE">
        <w:rPr>
          <w:i/>
          <w:sz w:val="24"/>
          <w:szCs w:val="24"/>
        </w:rPr>
        <w:t xml:space="preserve">three </w:t>
      </w:r>
      <w:r w:rsidR="003658EE">
        <w:rPr>
          <w:sz w:val="24"/>
          <w:szCs w:val="24"/>
        </w:rPr>
        <w:t xml:space="preserve">of the </w:t>
      </w:r>
      <w:r>
        <w:rPr>
          <w:sz w:val="24"/>
          <w:szCs w:val="24"/>
        </w:rPr>
        <w:t xml:space="preserve">n=19 </w:t>
      </w:r>
      <w:r w:rsidR="003658EE">
        <w:rPr>
          <w:sz w:val="24"/>
          <w:szCs w:val="24"/>
        </w:rPr>
        <w:t xml:space="preserve">BoRs on which I conducted the analysis. This serves a few purposes. </w:t>
      </w:r>
      <w:r w:rsidR="00733198">
        <w:rPr>
          <w:sz w:val="24"/>
          <w:szCs w:val="24"/>
        </w:rPr>
        <w:t>It</w:t>
      </w:r>
      <w:r w:rsidR="003658EE">
        <w:rPr>
          <w:sz w:val="24"/>
          <w:szCs w:val="24"/>
        </w:rPr>
        <w:t xml:space="preserve"> gives the reader an in-depth insight into the processes through </w:t>
      </w:r>
      <w:r w:rsidR="00FE113B">
        <w:rPr>
          <w:sz w:val="24"/>
          <w:szCs w:val="24"/>
        </w:rPr>
        <w:t xml:space="preserve">which I read, interpreted and analysed </w:t>
      </w:r>
      <w:r w:rsidR="008273E7">
        <w:rPr>
          <w:sz w:val="24"/>
          <w:szCs w:val="24"/>
        </w:rPr>
        <w:t xml:space="preserve">my data, which primarily consisted of </w:t>
      </w:r>
      <w:r w:rsidR="00016CFE">
        <w:rPr>
          <w:sz w:val="24"/>
          <w:szCs w:val="24"/>
        </w:rPr>
        <w:t>~</w:t>
      </w:r>
      <w:r w:rsidR="008273E7">
        <w:rPr>
          <w:sz w:val="24"/>
          <w:szCs w:val="24"/>
        </w:rPr>
        <w:t xml:space="preserve">350 documentary materials and webpages and was supplemented by ten in-depth interviews with STEMM academics. </w:t>
      </w:r>
      <w:r w:rsidR="00733198">
        <w:rPr>
          <w:sz w:val="24"/>
          <w:szCs w:val="24"/>
        </w:rPr>
        <w:t xml:space="preserve">More specifically, it explains and justifies my decisions </w:t>
      </w:r>
      <w:r w:rsidR="00071E87">
        <w:rPr>
          <w:sz w:val="24"/>
          <w:szCs w:val="24"/>
        </w:rPr>
        <w:t xml:space="preserve">associated with coding/plotting these BoRs against the typology. This is important, since, when I go into detail about how the typological data varied by institutional and epistemic context, this analysis will mainly only be able to focus on </w:t>
      </w:r>
      <w:r w:rsidR="00071E87">
        <w:rPr>
          <w:i/>
          <w:sz w:val="24"/>
          <w:szCs w:val="24"/>
        </w:rPr>
        <w:t xml:space="preserve">what </w:t>
      </w:r>
      <w:r w:rsidR="00071E87">
        <w:rPr>
          <w:sz w:val="24"/>
          <w:szCs w:val="24"/>
        </w:rPr>
        <w:t xml:space="preserve">was found, rather than </w:t>
      </w:r>
      <w:r w:rsidR="00071E87">
        <w:rPr>
          <w:i/>
          <w:sz w:val="24"/>
          <w:szCs w:val="24"/>
        </w:rPr>
        <w:t xml:space="preserve">how </w:t>
      </w:r>
      <w:r w:rsidR="00071E87">
        <w:rPr>
          <w:sz w:val="24"/>
          <w:szCs w:val="24"/>
        </w:rPr>
        <w:t>it was found. The three illustrations therefore serve to make transparent what would otherwise be obscured. T</w:t>
      </w:r>
      <w:r w:rsidR="002C1138">
        <w:rPr>
          <w:sz w:val="24"/>
          <w:szCs w:val="24"/>
        </w:rPr>
        <w:t xml:space="preserve">hey also allow me to start to draw out broader interpretations and arguments about the questions of how boundary-crossing interactions impact the reproduction of academic boundaries, and the role that different aspects of the research process have in the shaping and reshaping of academic boundaries. </w:t>
      </w:r>
      <w:r w:rsidR="00071E87">
        <w:rPr>
          <w:sz w:val="24"/>
          <w:szCs w:val="24"/>
        </w:rPr>
        <w:t xml:space="preserve">For example, they allow me to show </w:t>
      </w:r>
      <w:r w:rsidR="004D7A1A">
        <w:rPr>
          <w:sz w:val="24"/>
          <w:szCs w:val="24"/>
        </w:rPr>
        <w:t xml:space="preserve">in qualitative detail </w:t>
      </w:r>
      <w:r w:rsidR="00071E87">
        <w:rPr>
          <w:sz w:val="24"/>
          <w:szCs w:val="24"/>
        </w:rPr>
        <w:t>how the five forms of ‘boundary-transaction’ can potentially operate to weaken or to reproduce academic boundarie</w:t>
      </w:r>
      <w:r w:rsidR="00674B03">
        <w:rPr>
          <w:sz w:val="24"/>
          <w:szCs w:val="24"/>
        </w:rPr>
        <w:t>s</w:t>
      </w:r>
      <w:r w:rsidR="006A622F">
        <w:rPr>
          <w:sz w:val="24"/>
          <w:szCs w:val="24"/>
        </w:rPr>
        <w:t xml:space="preserve">. </w:t>
      </w:r>
    </w:p>
    <w:p w14:paraId="6F2C0911" w14:textId="77777777" w:rsidR="009C0E30" w:rsidRDefault="00512B59" w:rsidP="004C263B">
      <w:pPr>
        <w:spacing w:before="120" w:after="120" w:line="360" w:lineRule="auto"/>
        <w:rPr>
          <w:sz w:val="24"/>
          <w:szCs w:val="24"/>
        </w:rPr>
      </w:pPr>
      <w:r>
        <w:rPr>
          <w:sz w:val="24"/>
          <w:szCs w:val="24"/>
        </w:rPr>
        <w:t xml:space="preserve">In </w:t>
      </w:r>
      <w:r w:rsidR="00DE648C">
        <w:rPr>
          <w:i/>
          <w:iCs/>
          <w:sz w:val="24"/>
          <w:szCs w:val="24"/>
        </w:rPr>
        <w:t xml:space="preserve">section three </w:t>
      </w:r>
      <w:r w:rsidR="00DE648C">
        <w:rPr>
          <w:sz w:val="24"/>
          <w:szCs w:val="24"/>
        </w:rPr>
        <w:t>(‘Towards an explanatory analysis’)</w:t>
      </w:r>
      <w:r>
        <w:rPr>
          <w:sz w:val="24"/>
          <w:szCs w:val="24"/>
        </w:rPr>
        <w:t>, I go into further detail about each of the key</w:t>
      </w:r>
      <w:r w:rsidR="00912F9F">
        <w:rPr>
          <w:sz w:val="24"/>
          <w:szCs w:val="24"/>
        </w:rPr>
        <w:t xml:space="preserve"> contextual</w:t>
      </w:r>
      <w:r>
        <w:rPr>
          <w:sz w:val="24"/>
          <w:szCs w:val="24"/>
        </w:rPr>
        <w:t xml:space="preserve"> dimensions </w:t>
      </w:r>
      <w:r w:rsidR="00912F9F">
        <w:rPr>
          <w:sz w:val="24"/>
          <w:szCs w:val="24"/>
        </w:rPr>
        <w:t xml:space="preserve">of interest – ‘departmental </w:t>
      </w:r>
      <w:r w:rsidR="00953E30">
        <w:rPr>
          <w:sz w:val="24"/>
          <w:szCs w:val="24"/>
        </w:rPr>
        <w:t>status</w:t>
      </w:r>
      <w:r w:rsidR="00912F9F">
        <w:rPr>
          <w:sz w:val="24"/>
          <w:szCs w:val="24"/>
        </w:rPr>
        <w:t>’, ‘branch of science’ and ‘orientation of the discipline’</w:t>
      </w:r>
      <w:r>
        <w:rPr>
          <w:sz w:val="24"/>
          <w:szCs w:val="24"/>
        </w:rPr>
        <w:t xml:space="preserve">. </w:t>
      </w:r>
      <w:r w:rsidR="00C01C83">
        <w:rPr>
          <w:sz w:val="24"/>
          <w:szCs w:val="24"/>
        </w:rPr>
        <w:t xml:space="preserve">I draw out variations in the boundary transactions and overall manner and extent of boundary crossing </w:t>
      </w:r>
      <w:r w:rsidR="002C5D66">
        <w:rPr>
          <w:sz w:val="24"/>
          <w:szCs w:val="24"/>
        </w:rPr>
        <w:t>amongst</w:t>
      </w:r>
      <w:r w:rsidR="00C01C83">
        <w:rPr>
          <w:sz w:val="24"/>
          <w:szCs w:val="24"/>
        </w:rPr>
        <w:t xml:space="preserve"> these dimensions</w:t>
      </w:r>
      <w:r w:rsidR="000A14FB">
        <w:rPr>
          <w:sz w:val="24"/>
          <w:szCs w:val="24"/>
        </w:rPr>
        <w:t>. This involves analysis of the frequency of boundary transactions and, in particular, analysis of the variation across these dimensions in the quantitative data generated by the typolo</w:t>
      </w:r>
      <w:r w:rsidR="003C1AF3">
        <w:rPr>
          <w:sz w:val="24"/>
          <w:szCs w:val="24"/>
        </w:rPr>
        <w:t xml:space="preserve">gy analysis. </w:t>
      </w:r>
      <w:r w:rsidR="00F535F7">
        <w:rPr>
          <w:sz w:val="24"/>
          <w:szCs w:val="24"/>
        </w:rPr>
        <w:t>I also draw heavily</w:t>
      </w:r>
      <w:r w:rsidR="00820380">
        <w:rPr>
          <w:sz w:val="24"/>
          <w:szCs w:val="24"/>
        </w:rPr>
        <w:t xml:space="preserve"> from</w:t>
      </w:r>
      <w:r w:rsidR="009A796D">
        <w:rPr>
          <w:sz w:val="24"/>
          <w:szCs w:val="24"/>
        </w:rPr>
        <w:t xml:space="preserve"> the qualitative interview data to provide further insight into the underpinning causes of </w:t>
      </w:r>
      <w:r w:rsidR="004E3D46">
        <w:rPr>
          <w:sz w:val="24"/>
          <w:szCs w:val="24"/>
        </w:rPr>
        <w:t xml:space="preserve">the observed variations. </w:t>
      </w:r>
      <w:r w:rsidR="00635D9C">
        <w:rPr>
          <w:sz w:val="24"/>
          <w:szCs w:val="24"/>
        </w:rPr>
        <w:t xml:space="preserve">The analysis is geared towards positing explanations for the observed variations. </w:t>
      </w:r>
      <w:r w:rsidR="007A02D1">
        <w:rPr>
          <w:i/>
          <w:iCs/>
          <w:sz w:val="24"/>
          <w:szCs w:val="24"/>
        </w:rPr>
        <w:t>Section three</w:t>
      </w:r>
      <w:r w:rsidR="007A02D1">
        <w:rPr>
          <w:sz w:val="24"/>
          <w:szCs w:val="24"/>
        </w:rPr>
        <w:t xml:space="preserve"> posits</w:t>
      </w:r>
      <w:r w:rsidR="00635D9C">
        <w:rPr>
          <w:sz w:val="24"/>
          <w:szCs w:val="24"/>
        </w:rPr>
        <w:t xml:space="preserve"> the following three broad </w:t>
      </w:r>
      <w:r w:rsidR="008022F9">
        <w:rPr>
          <w:sz w:val="24"/>
          <w:szCs w:val="24"/>
        </w:rPr>
        <w:t>elements that explain both the overall experience of academic boundaries and boundary transactions of the researchers in my sample, as well as variations within them</w:t>
      </w:r>
      <w:r w:rsidR="0018330E">
        <w:rPr>
          <w:sz w:val="24"/>
          <w:szCs w:val="24"/>
        </w:rPr>
        <w:t>.</w:t>
      </w:r>
      <w:r w:rsidR="007A02D1">
        <w:rPr>
          <w:sz w:val="24"/>
          <w:szCs w:val="24"/>
        </w:rPr>
        <w:t xml:space="preserve"> </w:t>
      </w:r>
      <w:r w:rsidR="008022F9" w:rsidRPr="007A02D1">
        <w:rPr>
          <w:i/>
          <w:iCs/>
          <w:sz w:val="24"/>
          <w:szCs w:val="24"/>
        </w:rPr>
        <w:t>First</w:t>
      </w:r>
      <w:r w:rsidR="008022F9">
        <w:rPr>
          <w:sz w:val="24"/>
          <w:szCs w:val="24"/>
        </w:rPr>
        <w:t xml:space="preserve">, a key factor in influencing whether the boundary transactions associated with ‘impactful’ academic research </w:t>
      </w:r>
      <w:r w:rsidR="003C1C70">
        <w:rPr>
          <w:sz w:val="24"/>
          <w:szCs w:val="24"/>
        </w:rPr>
        <w:t>is the prior power held by the academic unit (i.e.</w:t>
      </w:r>
      <w:r w:rsidR="000435C0">
        <w:rPr>
          <w:sz w:val="24"/>
          <w:szCs w:val="24"/>
        </w:rPr>
        <w:t xml:space="preserve"> the</w:t>
      </w:r>
      <w:r w:rsidR="003C1C70">
        <w:rPr>
          <w:sz w:val="24"/>
          <w:szCs w:val="24"/>
        </w:rPr>
        <w:t xml:space="preserve"> individual, research centre, department, institution). </w:t>
      </w:r>
      <w:r w:rsidR="00523BA8">
        <w:rPr>
          <w:sz w:val="24"/>
          <w:szCs w:val="24"/>
        </w:rPr>
        <w:t xml:space="preserve">This manifests most clearly when comparing the results in departments with differing ‘statuses’ or ‘reputations’, but I argue that it has more general implications. </w:t>
      </w:r>
    </w:p>
    <w:p w14:paraId="43740023" w14:textId="3C6C8CFB" w:rsidR="004B3FE1" w:rsidRDefault="00523BA8" w:rsidP="004C263B">
      <w:pPr>
        <w:spacing w:before="120" w:after="120" w:line="360" w:lineRule="auto"/>
        <w:rPr>
          <w:sz w:val="24"/>
          <w:szCs w:val="24"/>
        </w:rPr>
      </w:pPr>
      <w:r w:rsidRPr="007A02D1">
        <w:rPr>
          <w:i/>
          <w:iCs/>
          <w:sz w:val="24"/>
          <w:szCs w:val="24"/>
        </w:rPr>
        <w:t>A second</w:t>
      </w:r>
      <w:r>
        <w:rPr>
          <w:sz w:val="24"/>
          <w:szCs w:val="24"/>
        </w:rPr>
        <w:t xml:space="preserve"> key factor </w:t>
      </w:r>
      <w:r w:rsidR="007A02D1">
        <w:rPr>
          <w:sz w:val="24"/>
          <w:szCs w:val="24"/>
        </w:rPr>
        <w:t xml:space="preserve">revealed </w:t>
      </w:r>
      <w:r>
        <w:rPr>
          <w:sz w:val="24"/>
          <w:szCs w:val="24"/>
        </w:rPr>
        <w:t>relates to wh</w:t>
      </w:r>
      <w:r w:rsidR="00027EB2">
        <w:rPr>
          <w:sz w:val="24"/>
          <w:szCs w:val="24"/>
        </w:rPr>
        <w:t xml:space="preserve">at kinds of actors are interacted with in the process of ‘transacting’ across boundaries. In some cases, boundary transactions can be focused on non-academics who themselves have a relatively strong academic identity – for example, they have PhDs and have maintained strong links to academia, and their job is aided by staying in touch with, applying and occasionally collaborating on academic research. </w:t>
      </w:r>
      <w:r w:rsidR="004B3FE1">
        <w:rPr>
          <w:sz w:val="24"/>
          <w:szCs w:val="24"/>
        </w:rPr>
        <w:t>Such transactions pose far fewer challenges to boundaries and transaction</w:t>
      </w:r>
      <w:r w:rsidR="00AE462F">
        <w:rPr>
          <w:sz w:val="24"/>
          <w:szCs w:val="24"/>
        </w:rPr>
        <w:t>s</w:t>
      </w:r>
      <w:r w:rsidR="004B3FE1">
        <w:rPr>
          <w:sz w:val="24"/>
          <w:szCs w:val="24"/>
        </w:rPr>
        <w:t xml:space="preserve"> across them than cases where academics have to interact with non-experts. </w:t>
      </w:r>
      <w:r w:rsidR="00BA0417">
        <w:rPr>
          <w:sz w:val="24"/>
          <w:szCs w:val="24"/>
        </w:rPr>
        <w:t>Typically,</w:t>
      </w:r>
      <w:r w:rsidR="004B3FE1">
        <w:rPr>
          <w:sz w:val="24"/>
          <w:szCs w:val="24"/>
        </w:rPr>
        <w:t xml:space="preserve"> this involves interacting with policy actors and often others, since in most cases, issues of policy are also issues of contention between different groups, all of whom have a stake in the academic research and its interpretation. Such transactions encourage academics to develop a strong sense of academic identity, as this is crucial to maintain objectivity and legitimacy in such contested spaces. This factor plays out most strongly in the dimension of ‘branch of science’, where Formal scientists typically experience the former, more simple boundary transactions, and Life scientists the more complex transactions, and Natural scientists falling somewhere in the middle of these two extremes. </w:t>
      </w:r>
    </w:p>
    <w:p w14:paraId="2A458349" w14:textId="096BF99D" w:rsidR="00063361" w:rsidRPr="00E80847" w:rsidRDefault="004B3FE1" w:rsidP="00487E3D">
      <w:pPr>
        <w:spacing w:after="120" w:line="360" w:lineRule="auto"/>
        <w:rPr>
          <w:sz w:val="24"/>
          <w:szCs w:val="24"/>
        </w:rPr>
      </w:pPr>
      <w:r w:rsidRPr="009C0E30">
        <w:rPr>
          <w:i/>
          <w:iCs/>
          <w:sz w:val="24"/>
          <w:szCs w:val="24"/>
        </w:rPr>
        <w:t>The third</w:t>
      </w:r>
      <w:r>
        <w:rPr>
          <w:sz w:val="24"/>
          <w:szCs w:val="24"/>
        </w:rPr>
        <w:t xml:space="preserve"> main </w:t>
      </w:r>
      <w:r w:rsidR="009C0E30">
        <w:rPr>
          <w:sz w:val="24"/>
          <w:szCs w:val="24"/>
        </w:rPr>
        <w:t xml:space="preserve">factor </w:t>
      </w:r>
      <w:r>
        <w:rPr>
          <w:sz w:val="24"/>
          <w:szCs w:val="24"/>
        </w:rPr>
        <w:t>revealed relates to the way in which academic research intersects with broad systems of knowledge. I have identified three main systems of knowledg</w:t>
      </w:r>
      <w:r w:rsidR="008D41FA">
        <w:rPr>
          <w:sz w:val="24"/>
          <w:szCs w:val="24"/>
        </w:rPr>
        <w:t>e acting upon and influencing my sampled research</w:t>
      </w:r>
      <w:r>
        <w:rPr>
          <w:sz w:val="24"/>
          <w:szCs w:val="24"/>
        </w:rPr>
        <w:t xml:space="preserve">. </w:t>
      </w:r>
      <w:r w:rsidR="008D41FA" w:rsidRPr="00E80847">
        <w:rPr>
          <w:i/>
          <w:sz w:val="24"/>
          <w:szCs w:val="24"/>
        </w:rPr>
        <w:t>The first</w:t>
      </w:r>
      <w:r w:rsidRPr="00E80847">
        <w:rPr>
          <w:sz w:val="24"/>
          <w:szCs w:val="24"/>
        </w:rPr>
        <w:t xml:space="preserve"> is internal and relates to the drive within academia to bring all aspects of the natural world into the academic domain. </w:t>
      </w:r>
      <w:r w:rsidR="006232CD" w:rsidRPr="00E80847">
        <w:rPr>
          <w:sz w:val="24"/>
          <w:szCs w:val="24"/>
        </w:rPr>
        <w:t xml:space="preserve">This </w:t>
      </w:r>
      <w:r w:rsidR="00487E3D">
        <w:rPr>
          <w:sz w:val="24"/>
          <w:szCs w:val="24"/>
        </w:rPr>
        <w:t>promote</w:t>
      </w:r>
      <w:r w:rsidR="00487E3D" w:rsidRPr="00E80847">
        <w:rPr>
          <w:sz w:val="24"/>
          <w:szCs w:val="24"/>
        </w:rPr>
        <w:t xml:space="preserve">s </w:t>
      </w:r>
      <w:r w:rsidR="006232CD" w:rsidRPr="00E80847">
        <w:rPr>
          <w:sz w:val="24"/>
          <w:szCs w:val="24"/>
        </w:rPr>
        <w:t xml:space="preserve">a very ‘bounded’ mode of </w:t>
      </w:r>
      <w:r w:rsidR="00487E3D">
        <w:rPr>
          <w:sz w:val="24"/>
          <w:szCs w:val="24"/>
        </w:rPr>
        <w:t>researc</w:t>
      </w:r>
      <w:r w:rsidR="001169D6">
        <w:rPr>
          <w:sz w:val="24"/>
          <w:szCs w:val="24"/>
        </w:rPr>
        <w:t>h</w:t>
      </w:r>
      <w:r w:rsidR="006232CD" w:rsidRPr="00E80847">
        <w:rPr>
          <w:sz w:val="24"/>
          <w:szCs w:val="24"/>
        </w:rPr>
        <w:t xml:space="preserve">, and the norm is that boundary transactions take the form of traditional academic outputs such as journal articles. </w:t>
      </w:r>
      <w:r w:rsidR="00E80847" w:rsidRPr="00E80847">
        <w:rPr>
          <w:sz w:val="24"/>
          <w:szCs w:val="24"/>
        </w:rPr>
        <w:t>This first system of knowledge is mostly exemplified by the research from Basic/Applied disciplines</w:t>
      </w:r>
      <w:r w:rsidR="007311BD">
        <w:rPr>
          <w:sz w:val="24"/>
          <w:szCs w:val="24"/>
        </w:rPr>
        <w:t>, in my sample</w:t>
      </w:r>
      <w:r w:rsidR="00E80847" w:rsidRPr="00E80847">
        <w:rPr>
          <w:sz w:val="24"/>
          <w:szCs w:val="24"/>
        </w:rPr>
        <w:t>.</w:t>
      </w:r>
      <w:r w:rsidR="006232CD" w:rsidRPr="00E80847">
        <w:rPr>
          <w:sz w:val="24"/>
          <w:szCs w:val="24"/>
        </w:rPr>
        <w:t xml:space="preserve"> </w:t>
      </w:r>
      <w:r w:rsidR="008D41FA" w:rsidRPr="00E80847">
        <w:rPr>
          <w:i/>
          <w:sz w:val="24"/>
          <w:szCs w:val="24"/>
        </w:rPr>
        <w:t>The second</w:t>
      </w:r>
      <w:r w:rsidR="008D41FA" w:rsidRPr="00E80847">
        <w:rPr>
          <w:sz w:val="24"/>
          <w:szCs w:val="24"/>
        </w:rPr>
        <w:t xml:space="preserve"> is well-characterised by the ‘mode 2’ system of knowledge production.</w:t>
      </w:r>
      <w:r w:rsidR="00C80E8F" w:rsidRPr="00E80847">
        <w:rPr>
          <w:sz w:val="24"/>
          <w:szCs w:val="24"/>
        </w:rPr>
        <w:t xml:space="preserve"> This is </w:t>
      </w:r>
      <w:r w:rsidR="002F65A4">
        <w:rPr>
          <w:sz w:val="24"/>
          <w:szCs w:val="24"/>
        </w:rPr>
        <w:t xml:space="preserve">a </w:t>
      </w:r>
      <w:r w:rsidR="00C80E8F" w:rsidRPr="00E80847">
        <w:rPr>
          <w:sz w:val="24"/>
          <w:szCs w:val="24"/>
        </w:rPr>
        <w:t xml:space="preserve">very </w:t>
      </w:r>
      <w:r w:rsidR="00E80847" w:rsidRPr="00E80847">
        <w:rPr>
          <w:sz w:val="24"/>
          <w:szCs w:val="24"/>
        </w:rPr>
        <w:t>‘</w:t>
      </w:r>
      <w:r w:rsidR="00C80E8F" w:rsidRPr="00E80847">
        <w:rPr>
          <w:sz w:val="24"/>
          <w:szCs w:val="24"/>
        </w:rPr>
        <w:t>unbounded</w:t>
      </w:r>
      <w:r w:rsidR="00E80847" w:rsidRPr="00E80847">
        <w:rPr>
          <w:sz w:val="24"/>
          <w:szCs w:val="24"/>
        </w:rPr>
        <w:t>’</w:t>
      </w:r>
      <w:r w:rsidR="00C80E8F" w:rsidRPr="00E80847">
        <w:rPr>
          <w:sz w:val="24"/>
          <w:szCs w:val="24"/>
        </w:rPr>
        <w:t xml:space="preserve"> mode of research and arguably tends towards a ‘post-academic’ science. </w:t>
      </w:r>
      <w:r w:rsidR="00E80847">
        <w:rPr>
          <w:sz w:val="24"/>
          <w:szCs w:val="24"/>
        </w:rPr>
        <w:t xml:space="preserve">It is typical of the research in my sample from Applied disciplines. </w:t>
      </w:r>
      <w:r w:rsidR="00E80847">
        <w:rPr>
          <w:i/>
          <w:sz w:val="24"/>
          <w:szCs w:val="24"/>
        </w:rPr>
        <w:t xml:space="preserve">The third </w:t>
      </w:r>
      <w:r w:rsidR="00E80847">
        <w:rPr>
          <w:sz w:val="24"/>
          <w:szCs w:val="24"/>
        </w:rPr>
        <w:t>and last main system is probably best well-described by the concept of a ‘technoscientific’ system. Here, powerful</w:t>
      </w:r>
      <w:r w:rsidR="002130A8">
        <w:rPr>
          <w:sz w:val="24"/>
          <w:szCs w:val="24"/>
        </w:rPr>
        <w:t xml:space="preserve"> political, commercial and military</w:t>
      </w:r>
      <w:r w:rsidR="00E80847">
        <w:rPr>
          <w:sz w:val="24"/>
          <w:szCs w:val="24"/>
        </w:rPr>
        <w:t xml:space="preserve"> institutions use their resources to mobilise the knowledge system, and this inevitably brings universities into this system. This most commonly impacts upon research sampled from the Basic disciplines, </w:t>
      </w:r>
      <w:r w:rsidR="002130A8">
        <w:rPr>
          <w:sz w:val="24"/>
          <w:szCs w:val="24"/>
        </w:rPr>
        <w:t xml:space="preserve">due to </w:t>
      </w:r>
      <w:r w:rsidR="00E80847">
        <w:rPr>
          <w:sz w:val="24"/>
          <w:szCs w:val="24"/>
        </w:rPr>
        <w:t xml:space="preserve">a synergy </w:t>
      </w:r>
      <w:r w:rsidR="002130A8">
        <w:rPr>
          <w:sz w:val="24"/>
          <w:szCs w:val="24"/>
        </w:rPr>
        <w:t>between</w:t>
      </w:r>
      <w:r w:rsidR="00E80847">
        <w:rPr>
          <w:sz w:val="24"/>
          <w:szCs w:val="24"/>
        </w:rPr>
        <w:t xml:space="preserve"> the technologies which satisfy both the interests of these powerful actors and the scientific curiosity of Basic scientists. </w:t>
      </w:r>
    </w:p>
    <w:p w14:paraId="53FB96DF" w14:textId="54F0559D" w:rsidR="00770C0D" w:rsidRDefault="00C56A09" w:rsidP="002B1B88">
      <w:pPr>
        <w:pStyle w:val="Heading2"/>
      </w:pPr>
      <w:bookmarkStart w:id="110" w:name="_Toc31701977"/>
      <w:r>
        <w:t>Boundaries and boundary transactions</w:t>
      </w:r>
      <w:r w:rsidR="000B131C">
        <w:t xml:space="preserve"> in the sampled research</w:t>
      </w:r>
      <w:bookmarkEnd w:id="110"/>
    </w:p>
    <w:p w14:paraId="475E0700" w14:textId="2DA93F3C" w:rsidR="00E4152E" w:rsidRDefault="004A1E1C" w:rsidP="00DD178E">
      <w:pPr>
        <w:pStyle w:val="Heading3"/>
      </w:pPr>
      <w:bookmarkStart w:id="111" w:name="_Toc31701978"/>
      <w:r>
        <w:t>Analysis of the typology data</w:t>
      </w:r>
      <w:bookmarkEnd w:id="111"/>
    </w:p>
    <w:p w14:paraId="7E03CF47" w14:textId="6478EC25" w:rsidR="005E73EE" w:rsidRPr="005E73EE" w:rsidRDefault="005E73EE" w:rsidP="00C22456">
      <w:pPr>
        <w:pStyle w:val="Heading4"/>
      </w:pPr>
      <w:r>
        <w:t>Evidence-based classification of the multi-dimensional activities/attributes of research into three ‘research dimensions’</w:t>
      </w:r>
    </w:p>
    <w:p w14:paraId="36423FFD" w14:textId="036E0DEF" w:rsidR="00062124" w:rsidRPr="007E5692" w:rsidRDefault="00F656AB" w:rsidP="00062124">
      <w:pPr>
        <w:spacing w:before="120" w:after="120" w:line="360" w:lineRule="auto"/>
        <w:rPr>
          <w:sz w:val="24"/>
          <w:szCs w:val="24"/>
        </w:rPr>
      </w:pPr>
      <w:r>
        <w:rPr>
          <w:sz w:val="24"/>
          <w:szCs w:val="24"/>
        </w:rPr>
        <w:t xml:space="preserve">I plotted </w:t>
      </w:r>
      <w:r w:rsidR="00297005">
        <w:rPr>
          <w:sz w:val="24"/>
          <w:szCs w:val="24"/>
        </w:rPr>
        <w:t xml:space="preserve">the </w:t>
      </w:r>
      <w:r>
        <w:rPr>
          <w:sz w:val="24"/>
          <w:szCs w:val="24"/>
        </w:rPr>
        <w:t>n=19</w:t>
      </w:r>
      <w:r w:rsidR="002A732F">
        <w:rPr>
          <w:sz w:val="24"/>
          <w:szCs w:val="24"/>
        </w:rPr>
        <w:t xml:space="preserve"> </w:t>
      </w:r>
      <w:r w:rsidR="00B562D0">
        <w:rPr>
          <w:sz w:val="24"/>
          <w:szCs w:val="24"/>
        </w:rPr>
        <w:t xml:space="preserve">BoRs against a </w:t>
      </w:r>
      <w:r w:rsidR="00E4152E">
        <w:rPr>
          <w:sz w:val="24"/>
          <w:szCs w:val="24"/>
        </w:rPr>
        <w:t>multi-dimensional typology</w:t>
      </w:r>
      <w:r w:rsidR="00B562D0">
        <w:rPr>
          <w:sz w:val="24"/>
          <w:szCs w:val="24"/>
        </w:rPr>
        <w:t xml:space="preserve"> adapted from McNie et al. (2016).</w:t>
      </w:r>
      <w:r w:rsidR="0086389E">
        <w:rPr>
          <w:sz w:val="24"/>
          <w:szCs w:val="24"/>
        </w:rPr>
        <w:t xml:space="preserve"> The typology comprises a</w:t>
      </w:r>
      <w:r w:rsidR="00587A80">
        <w:rPr>
          <w:sz w:val="24"/>
          <w:szCs w:val="24"/>
        </w:rPr>
        <w:t xml:space="preserve"> 1-5 scale of the ‘boundedness’ (from ‘very bounded’ to ‘very unbounded’) of a given BoR on fifteen attributes/activities associated with research</w:t>
      </w:r>
      <w:r w:rsidR="0026329E">
        <w:rPr>
          <w:sz w:val="24"/>
          <w:szCs w:val="24"/>
        </w:rPr>
        <w:t>. Plotting each BoR against the typology</w:t>
      </w:r>
      <w:r w:rsidR="00012878">
        <w:rPr>
          <w:sz w:val="24"/>
          <w:szCs w:val="24"/>
        </w:rPr>
        <w:t xml:space="preserve"> therefore</w:t>
      </w:r>
      <w:r w:rsidR="00E4152E">
        <w:rPr>
          <w:sz w:val="24"/>
          <w:szCs w:val="24"/>
        </w:rPr>
        <w:t xml:space="preserve"> provided me with a way of organising and quantifying my </w:t>
      </w:r>
      <w:r w:rsidR="00587A80">
        <w:rPr>
          <w:sz w:val="24"/>
          <w:szCs w:val="24"/>
        </w:rPr>
        <w:t>interpretation</w:t>
      </w:r>
      <w:r w:rsidR="00E4152E">
        <w:rPr>
          <w:sz w:val="24"/>
          <w:szCs w:val="24"/>
        </w:rPr>
        <w:t xml:space="preserve"> of the extent to which </w:t>
      </w:r>
      <w:r w:rsidR="00587A80">
        <w:rPr>
          <w:sz w:val="24"/>
          <w:szCs w:val="24"/>
        </w:rPr>
        <w:t xml:space="preserve">sampled research and its related boundary transactions tended towards the reproduction of academic boundaries </w:t>
      </w:r>
      <w:r w:rsidR="00E4152E">
        <w:rPr>
          <w:sz w:val="24"/>
          <w:szCs w:val="24"/>
        </w:rPr>
        <w:t xml:space="preserve">(see the </w:t>
      </w:r>
      <w:r w:rsidR="00D17322">
        <w:rPr>
          <w:sz w:val="24"/>
          <w:szCs w:val="24"/>
        </w:rPr>
        <w:t>‘Methodology,</w:t>
      </w:r>
      <w:r w:rsidR="00E4152E">
        <w:rPr>
          <w:sz w:val="24"/>
          <w:szCs w:val="24"/>
        </w:rPr>
        <w:t xml:space="preserve"> Chapter 3 for more details). </w:t>
      </w:r>
      <w:r w:rsidR="00E4152E" w:rsidRPr="008E738A">
        <w:rPr>
          <w:sz w:val="24"/>
          <w:szCs w:val="24"/>
        </w:rPr>
        <w:fldChar w:fldCharType="begin"/>
      </w:r>
      <w:r w:rsidR="00E4152E" w:rsidRPr="008E738A">
        <w:rPr>
          <w:sz w:val="24"/>
          <w:szCs w:val="24"/>
        </w:rPr>
        <w:instrText xml:space="preserve"> REF _Ref7261576 \h </w:instrText>
      </w:r>
      <w:r w:rsidR="00E4152E">
        <w:rPr>
          <w:sz w:val="24"/>
          <w:szCs w:val="24"/>
        </w:rPr>
        <w:instrText xml:space="preserve"> \* MERGEFORMAT </w:instrText>
      </w:r>
      <w:r w:rsidR="00E4152E" w:rsidRPr="008E738A">
        <w:rPr>
          <w:sz w:val="24"/>
          <w:szCs w:val="24"/>
        </w:rPr>
      </w:r>
      <w:r w:rsidR="00E4152E" w:rsidRPr="008E738A">
        <w:rPr>
          <w:sz w:val="24"/>
          <w:szCs w:val="24"/>
        </w:rPr>
        <w:fldChar w:fldCharType="separate"/>
      </w:r>
      <w:r w:rsidR="0011424E" w:rsidRPr="0011424E">
        <w:rPr>
          <w:sz w:val="24"/>
          <w:szCs w:val="24"/>
        </w:rPr>
        <w:t xml:space="preserve">Table </w:t>
      </w:r>
      <w:r w:rsidR="0011424E" w:rsidRPr="0011424E">
        <w:rPr>
          <w:noProof/>
          <w:sz w:val="24"/>
          <w:szCs w:val="24"/>
        </w:rPr>
        <w:t>5</w:t>
      </w:r>
      <w:r w:rsidR="00E4152E" w:rsidRPr="008E738A">
        <w:rPr>
          <w:sz w:val="24"/>
          <w:szCs w:val="24"/>
        </w:rPr>
        <w:fldChar w:fldCharType="end"/>
      </w:r>
      <w:r w:rsidR="00E4152E">
        <w:rPr>
          <w:sz w:val="24"/>
          <w:szCs w:val="24"/>
        </w:rPr>
        <w:t xml:space="preserve"> shows the total values for the </w:t>
      </w:r>
      <w:r w:rsidR="00CE0C9C">
        <w:rPr>
          <w:sz w:val="24"/>
          <w:szCs w:val="24"/>
        </w:rPr>
        <w:t xml:space="preserve">fifteen </w:t>
      </w:r>
      <w:r w:rsidR="00E4152E">
        <w:rPr>
          <w:sz w:val="24"/>
          <w:szCs w:val="24"/>
        </w:rPr>
        <w:t xml:space="preserve">attributes/activities </w:t>
      </w:r>
      <w:r w:rsidR="00CE0C9C">
        <w:rPr>
          <w:sz w:val="24"/>
          <w:szCs w:val="24"/>
        </w:rPr>
        <w:t>from the typology</w:t>
      </w:r>
      <w:r w:rsidR="00E4152E">
        <w:rPr>
          <w:sz w:val="24"/>
          <w:szCs w:val="24"/>
        </w:rPr>
        <w:t xml:space="preserve">. </w:t>
      </w:r>
      <w:r w:rsidR="00CE0C9C">
        <w:rPr>
          <w:sz w:val="24"/>
          <w:szCs w:val="24"/>
        </w:rPr>
        <w:t>These</w:t>
      </w:r>
      <w:r w:rsidR="00E4152E">
        <w:rPr>
          <w:sz w:val="24"/>
          <w:szCs w:val="24"/>
        </w:rPr>
        <w:t xml:space="preserve"> are the average values for all attributes/activities as coded against each of the </w:t>
      </w:r>
      <w:r w:rsidR="00CE0C9C">
        <w:rPr>
          <w:sz w:val="24"/>
          <w:szCs w:val="24"/>
        </w:rPr>
        <w:t xml:space="preserve">n=19 </w:t>
      </w:r>
      <w:r w:rsidR="00E4152E">
        <w:rPr>
          <w:sz w:val="24"/>
          <w:szCs w:val="24"/>
        </w:rPr>
        <w:t xml:space="preserve">BoRs. It shows that the activities/attributes can be divided into three distinct sub-sets or groupings. One grouping receives consistently </w:t>
      </w:r>
      <w:r w:rsidR="00E4152E" w:rsidRPr="0070428B">
        <w:rPr>
          <w:i/>
          <w:sz w:val="24"/>
          <w:szCs w:val="24"/>
        </w:rPr>
        <w:t xml:space="preserve">high </w:t>
      </w:r>
      <w:r w:rsidR="00E4152E">
        <w:rPr>
          <w:sz w:val="24"/>
          <w:szCs w:val="24"/>
        </w:rPr>
        <w:t xml:space="preserve">values on the typology and has an average value above 3 (which is the mid-point on the 1-5 spectrum). Another grouping has consistently </w:t>
      </w:r>
      <w:r w:rsidR="00E4152E" w:rsidRPr="0070428B">
        <w:rPr>
          <w:i/>
          <w:sz w:val="24"/>
          <w:szCs w:val="24"/>
        </w:rPr>
        <w:t xml:space="preserve">low </w:t>
      </w:r>
      <w:r w:rsidR="00E4152E">
        <w:rPr>
          <w:sz w:val="24"/>
          <w:szCs w:val="24"/>
        </w:rPr>
        <w:t xml:space="preserve">values, averaging below 2. The third group is the largest and includes those attributes/activities which fall between 2 and 3. </w:t>
      </w:r>
      <w:r w:rsidR="00062124">
        <w:rPr>
          <w:sz w:val="24"/>
          <w:szCs w:val="24"/>
        </w:rPr>
        <w:t xml:space="preserve">I argue that these three </w:t>
      </w:r>
      <w:r w:rsidR="00C527C7">
        <w:rPr>
          <w:sz w:val="24"/>
          <w:szCs w:val="24"/>
        </w:rPr>
        <w:t>classifications of research dimension</w:t>
      </w:r>
      <w:r w:rsidR="00062124">
        <w:rPr>
          <w:sz w:val="24"/>
          <w:szCs w:val="24"/>
        </w:rPr>
        <w:t xml:space="preserve">, which I call the ‘social context’ attributes, the ‘intermediate(ry)’ attributes and the ‘knowledge content’ attributes, reflect a reality about the nature of the different activities/attributes of research (or, at least, the research in my sample). I briefly summarise this interpretation below and elaborate upon it further in </w:t>
      </w:r>
      <w:r w:rsidR="00062124">
        <w:rPr>
          <w:i/>
          <w:iCs/>
          <w:sz w:val="24"/>
          <w:szCs w:val="24"/>
        </w:rPr>
        <w:t xml:space="preserve">section two </w:t>
      </w:r>
      <w:r w:rsidR="00062124">
        <w:rPr>
          <w:sz w:val="24"/>
          <w:szCs w:val="24"/>
        </w:rPr>
        <w:t>(‘In-depth illustrative analysis’</w:t>
      </w:r>
      <w:r w:rsidR="00D704A5">
        <w:rPr>
          <w:sz w:val="24"/>
          <w:szCs w:val="24"/>
        </w:rPr>
        <w:t>)</w:t>
      </w:r>
      <w:r w:rsidR="00062124">
        <w:rPr>
          <w:sz w:val="24"/>
          <w:szCs w:val="24"/>
        </w:rPr>
        <w:t xml:space="preserve"> of this chapter. </w:t>
      </w: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963"/>
        <w:gridCol w:w="2051"/>
      </w:tblGrid>
      <w:tr w:rsidR="002965A2" w14:paraId="523019BB" w14:textId="3D9C15F5" w:rsidTr="00C070BC">
        <w:trPr>
          <w:trHeight w:val="480"/>
        </w:trPr>
        <w:tc>
          <w:tcPr>
            <w:tcW w:w="2793" w:type="dxa"/>
            <w:tcBorders>
              <w:top w:val="single" w:sz="4" w:space="0" w:color="auto"/>
              <w:left w:val="single" w:sz="4" w:space="0" w:color="auto"/>
              <w:bottom w:val="single" w:sz="4" w:space="0" w:color="auto"/>
              <w:right w:val="single" w:sz="4" w:space="0" w:color="auto"/>
            </w:tcBorders>
            <w:vAlign w:val="center"/>
          </w:tcPr>
          <w:p w14:paraId="3874D1F4"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963" w:type="dxa"/>
            <w:tcBorders>
              <w:top w:val="single" w:sz="4" w:space="0" w:color="auto"/>
              <w:left w:val="single" w:sz="4" w:space="0" w:color="auto"/>
              <w:bottom w:val="single" w:sz="4" w:space="0" w:color="auto"/>
              <w:right w:val="single" w:sz="4" w:space="0" w:color="auto"/>
            </w:tcBorders>
            <w:vAlign w:val="center"/>
          </w:tcPr>
          <w:p w14:paraId="74A75335" w14:textId="2F1C2427" w:rsidR="002965A2" w:rsidRPr="00FF5CE5" w:rsidRDefault="002965A2" w:rsidP="00933C33">
            <w:pPr>
              <w:spacing w:after="0" w:line="240" w:lineRule="auto"/>
              <w:jc w:val="center"/>
              <w:rPr>
                <w:rFonts w:asciiTheme="majorBidi" w:hAnsiTheme="majorBidi" w:cstheme="majorBidi"/>
                <w:b/>
              </w:rPr>
            </w:pPr>
            <w:r>
              <w:rPr>
                <w:rFonts w:asciiTheme="majorBidi" w:hAnsiTheme="majorBidi" w:cstheme="majorBidi"/>
                <w:b/>
              </w:rPr>
              <w:t>Total</w:t>
            </w:r>
          </w:p>
        </w:tc>
        <w:tc>
          <w:tcPr>
            <w:tcW w:w="2051" w:type="dxa"/>
            <w:tcBorders>
              <w:top w:val="single" w:sz="4" w:space="0" w:color="auto"/>
              <w:left w:val="single" w:sz="4" w:space="0" w:color="auto"/>
              <w:bottom w:val="single" w:sz="4" w:space="0" w:color="auto"/>
              <w:right w:val="single" w:sz="4" w:space="0" w:color="auto"/>
            </w:tcBorders>
          </w:tcPr>
          <w:p w14:paraId="280325DB" w14:textId="7AF6AF4B" w:rsidR="002965A2" w:rsidRDefault="00B7545E" w:rsidP="00933C33">
            <w:pPr>
              <w:spacing w:after="0" w:line="240" w:lineRule="auto"/>
              <w:jc w:val="center"/>
              <w:rPr>
                <w:rFonts w:asciiTheme="majorBidi" w:hAnsiTheme="majorBidi" w:cstheme="majorBidi"/>
                <w:b/>
              </w:rPr>
            </w:pPr>
            <w:r>
              <w:rPr>
                <w:rFonts w:asciiTheme="majorBidi" w:hAnsiTheme="majorBidi" w:cstheme="majorBidi"/>
                <w:b/>
              </w:rPr>
              <w:t>Classification (research dimension)</w:t>
            </w:r>
          </w:p>
        </w:tc>
      </w:tr>
      <w:tr w:rsidR="002965A2" w14:paraId="60B97155" w14:textId="1BD011D6" w:rsidTr="00C070BC">
        <w:trPr>
          <w:trHeight w:val="247"/>
        </w:trPr>
        <w:tc>
          <w:tcPr>
            <w:tcW w:w="2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57EFFB" w14:textId="25F548CC"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9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A9E29E1"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3.86</w:t>
            </w:r>
          </w:p>
        </w:tc>
        <w:tc>
          <w:tcPr>
            <w:tcW w:w="20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848F8F7" w14:textId="3855768F" w:rsidR="002965A2" w:rsidRPr="008707A9" w:rsidRDefault="002965A2" w:rsidP="00933C33">
            <w:pPr>
              <w:spacing w:after="0" w:line="240" w:lineRule="auto"/>
              <w:jc w:val="center"/>
              <w:rPr>
                <w:rFonts w:asciiTheme="majorBidi" w:hAnsiTheme="majorBidi" w:cstheme="majorBidi"/>
                <w:b/>
                <w:color w:val="000000"/>
              </w:rPr>
            </w:pPr>
            <w:r>
              <w:rPr>
                <w:rFonts w:asciiTheme="majorBidi" w:hAnsiTheme="majorBidi" w:cstheme="majorBidi"/>
                <w:b/>
                <w:color w:val="000000"/>
              </w:rPr>
              <w:t>‘Social context’</w:t>
            </w:r>
          </w:p>
        </w:tc>
      </w:tr>
      <w:tr w:rsidR="002965A2" w14:paraId="638E3E4C" w14:textId="4283D460" w:rsidTr="00C070BC">
        <w:trPr>
          <w:trHeight w:val="247"/>
        </w:trPr>
        <w:tc>
          <w:tcPr>
            <w:tcW w:w="2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3DA67E" w14:textId="61E83ABA"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9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928F6BA"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3.63</w:t>
            </w:r>
          </w:p>
        </w:tc>
        <w:tc>
          <w:tcPr>
            <w:tcW w:w="2051" w:type="dxa"/>
            <w:vMerge/>
            <w:tcBorders>
              <w:left w:val="single" w:sz="4" w:space="0" w:color="auto"/>
              <w:right w:val="single" w:sz="4" w:space="0" w:color="auto"/>
            </w:tcBorders>
            <w:shd w:val="clear" w:color="auto" w:fill="F2F2F2" w:themeFill="background1" w:themeFillShade="F2"/>
            <w:vAlign w:val="center"/>
          </w:tcPr>
          <w:p w14:paraId="56774D00"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317F51E3" w14:textId="39D1E8F2" w:rsidTr="00C070BC">
        <w:trPr>
          <w:trHeight w:val="262"/>
        </w:trPr>
        <w:tc>
          <w:tcPr>
            <w:tcW w:w="2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F8C5B2" w14:textId="7D4C3210"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9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CC52091"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3.4</w:t>
            </w:r>
          </w:p>
        </w:tc>
        <w:tc>
          <w:tcPr>
            <w:tcW w:w="2051" w:type="dxa"/>
            <w:vMerge/>
            <w:tcBorders>
              <w:left w:val="single" w:sz="4" w:space="0" w:color="auto"/>
              <w:right w:val="single" w:sz="4" w:space="0" w:color="auto"/>
            </w:tcBorders>
            <w:shd w:val="clear" w:color="auto" w:fill="F2F2F2" w:themeFill="background1" w:themeFillShade="F2"/>
            <w:vAlign w:val="center"/>
          </w:tcPr>
          <w:p w14:paraId="44E24DA0"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229D9BB5" w14:textId="38C8D86E" w:rsidTr="00C070BC">
        <w:trPr>
          <w:trHeight w:val="262"/>
        </w:trPr>
        <w:tc>
          <w:tcPr>
            <w:tcW w:w="2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754B00" w14:textId="77777777"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 xml:space="preserve">Outputs </w:t>
            </w:r>
            <w:r>
              <w:rPr>
                <w:rFonts w:asciiTheme="majorBidi" w:hAnsiTheme="majorBidi" w:cstheme="majorBidi"/>
                <w:color w:val="000000"/>
              </w:rPr>
              <w:t>&amp; outcomes</w:t>
            </w:r>
          </w:p>
        </w:tc>
        <w:tc>
          <w:tcPr>
            <w:tcW w:w="9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ACB4187"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3.28</w:t>
            </w:r>
          </w:p>
        </w:tc>
        <w:tc>
          <w:tcPr>
            <w:tcW w:w="205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C23BD9E"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1B4388FF" w14:textId="522E1F14" w:rsidTr="00C070BC">
        <w:trPr>
          <w:trHeight w:val="233"/>
        </w:trPr>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B230F" w14:textId="1F2238E0"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2CA1B0"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2.81</w:t>
            </w:r>
          </w:p>
        </w:tc>
        <w:tc>
          <w:tcPr>
            <w:tcW w:w="205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E6B2372" w14:textId="44A76EAC" w:rsidR="002965A2" w:rsidRPr="008707A9" w:rsidRDefault="002965A2" w:rsidP="00933C33">
            <w:pPr>
              <w:spacing w:after="0" w:line="240" w:lineRule="auto"/>
              <w:jc w:val="center"/>
              <w:rPr>
                <w:rFonts w:asciiTheme="majorBidi" w:hAnsiTheme="majorBidi" w:cstheme="majorBidi"/>
                <w:b/>
                <w:color w:val="000000"/>
              </w:rPr>
            </w:pPr>
            <w:r>
              <w:rPr>
                <w:rFonts w:asciiTheme="majorBidi" w:hAnsiTheme="majorBidi" w:cstheme="majorBidi"/>
                <w:b/>
                <w:color w:val="000000"/>
              </w:rPr>
              <w:t>‘Intermediate(ry</w:t>
            </w:r>
            <w:r w:rsidR="00EF33CC">
              <w:rPr>
                <w:rFonts w:asciiTheme="majorBidi" w:hAnsiTheme="majorBidi" w:cstheme="majorBidi"/>
                <w:b/>
                <w:color w:val="000000"/>
              </w:rPr>
              <w:t>)</w:t>
            </w:r>
            <w:r>
              <w:rPr>
                <w:rFonts w:asciiTheme="majorBidi" w:hAnsiTheme="majorBidi" w:cstheme="majorBidi"/>
                <w:b/>
                <w:color w:val="000000"/>
              </w:rPr>
              <w:t>’</w:t>
            </w:r>
          </w:p>
        </w:tc>
      </w:tr>
      <w:tr w:rsidR="002965A2" w14:paraId="602CD998" w14:textId="7F3BBCCE" w:rsidTr="00C070BC">
        <w:trPr>
          <w:trHeight w:val="262"/>
        </w:trPr>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B70FD" w14:textId="7EECB845"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Knowledge Exchang</w:t>
            </w:r>
            <w:r w:rsidR="003A6892">
              <w:rPr>
                <w:rFonts w:asciiTheme="majorBidi" w:hAnsiTheme="majorBidi" w:cstheme="majorBidi"/>
                <w:color w:val="000000"/>
              </w:rPr>
              <w:t>e</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5A3EED"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2.58</w:t>
            </w:r>
          </w:p>
        </w:tc>
        <w:tc>
          <w:tcPr>
            <w:tcW w:w="2051" w:type="dxa"/>
            <w:vMerge/>
            <w:tcBorders>
              <w:left w:val="single" w:sz="4" w:space="0" w:color="auto"/>
              <w:right w:val="single" w:sz="4" w:space="0" w:color="auto"/>
            </w:tcBorders>
            <w:shd w:val="clear" w:color="auto" w:fill="D9D9D9" w:themeFill="background1" w:themeFillShade="D9"/>
            <w:vAlign w:val="center"/>
          </w:tcPr>
          <w:p w14:paraId="31C7165C"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20CDF34F" w14:textId="3DB19413" w:rsidTr="00C070BC">
        <w:trPr>
          <w:trHeight w:val="247"/>
        </w:trPr>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A491B5" w14:textId="52EF83E3"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Accessibilit</w:t>
            </w:r>
            <w:r w:rsidR="003A6892">
              <w:rPr>
                <w:rFonts w:asciiTheme="majorBidi" w:hAnsiTheme="majorBidi" w:cstheme="majorBidi"/>
                <w:color w:val="000000"/>
              </w:rPr>
              <w:t>y</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769F66" w14:textId="77777777" w:rsidR="002965A2" w:rsidRPr="008707A9" w:rsidRDefault="002965A2" w:rsidP="00933C33">
            <w:pPr>
              <w:tabs>
                <w:tab w:val="left" w:pos="1227"/>
                <w:tab w:val="center" w:pos="2185"/>
                <w:tab w:val="left" w:pos="2595"/>
              </w:tabs>
              <w:spacing w:after="0" w:line="240" w:lineRule="auto"/>
              <w:jc w:val="center"/>
              <w:rPr>
                <w:rFonts w:asciiTheme="majorBidi" w:hAnsiTheme="majorBidi" w:cstheme="majorBidi"/>
                <w:b/>
              </w:rPr>
            </w:pPr>
            <w:r w:rsidRPr="008707A9">
              <w:rPr>
                <w:rFonts w:asciiTheme="majorBidi" w:hAnsiTheme="majorBidi" w:cstheme="majorBidi"/>
                <w:b/>
                <w:color w:val="000000"/>
              </w:rPr>
              <w:t>2.53</w:t>
            </w:r>
          </w:p>
        </w:tc>
        <w:tc>
          <w:tcPr>
            <w:tcW w:w="2051" w:type="dxa"/>
            <w:vMerge/>
            <w:tcBorders>
              <w:left w:val="single" w:sz="4" w:space="0" w:color="auto"/>
              <w:right w:val="single" w:sz="4" w:space="0" w:color="auto"/>
            </w:tcBorders>
            <w:shd w:val="clear" w:color="auto" w:fill="D9D9D9" w:themeFill="background1" w:themeFillShade="D9"/>
            <w:vAlign w:val="center"/>
          </w:tcPr>
          <w:p w14:paraId="608A6FC5" w14:textId="77777777" w:rsidR="002965A2" w:rsidRPr="008707A9" w:rsidRDefault="002965A2" w:rsidP="00933C33">
            <w:pPr>
              <w:tabs>
                <w:tab w:val="left" w:pos="1227"/>
                <w:tab w:val="center" w:pos="2185"/>
                <w:tab w:val="left" w:pos="2595"/>
              </w:tabs>
              <w:spacing w:after="0" w:line="240" w:lineRule="auto"/>
              <w:jc w:val="center"/>
              <w:rPr>
                <w:rFonts w:asciiTheme="majorBidi" w:hAnsiTheme="majorBidi" w:cstheme="majorBidi"/>
                <w:b/>
                <w:color w:val="000000"/>
              </w:rPr>
            </w:pPr>
          </w:p>
        </w:tc>
      </w:tr>
      <w:tr w:rsidR="002965A2" w14:paraId="5BE8B55E" w14:textId="39EED4B9" w:rsidTr="00C070BC">
        <w:trPr>
          <w:trHeight w:val="262"/>
        </w:trPr>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FBDCB7" w14:textId="49A38E41"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Boundary Managemen</w:t>
            </w:r>
            <w:r w:rsidR="003A6892">
              <w:rPr>
                <w:rFonts w:asciiTheme="majorBidi" w:hAnsiTheme="majorBidi" w:cstheme="majorBidi"/>
                <w:color w:val="000000"/>
              </w:rPr>
              <w:t>t</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4F291B"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2.42</w:t>
            </w:r>
          </w:p>
        </w:tc>
        <w:tc>
          <w:tcPr>
            <w:tcW w:w="2051" w:type="dxa"/>
            <w:vMerge/>
            <w:tcBorders>
              <w:left w:val="single" w:sz="4" w:space="0" w:color="auto"/>
              <w:right w:val="single" w:sz="4" w:space="0" w:color="auto"/>
            </w:tcBorders>
            <w:shd w:val="clear" w:color="auto" w:fill="D9D9D9" w:themeFill="background1" w:themeFillShade="D9"/>
            <w:vAlign w:val="center"/>
          </w:tcPr>
          <w:p w14:paraId="1A639639"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2633E742" w14:textId="7986DA73" w:rsidTr="00C070BC">
        <w:trPr>
          <w:trHeight w:val="247"/>
        </w:trPr>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82B8B5" w14:textId="60CAB9E7"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F4BE42"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2.33</w:t>
            </w:r>
          </w:p>
        </w:tc>
        <w:tc>
          <w:tcPr>
            <w:tcW w:w="2051" w:type="dxa"/>
            <w:vMerge/>
            <w:tcBorders>
              <w:left w:val="single" w:sz="4" w:space="0" w:color="auto"/>
              <w:right w:val="single" w:sz="4" w:space="0" w:color="auto"/>
            </w:tcBorders>
            <w:shd w:val="clear" w:color="auto" w:fill="D9D9D9" w:themeFill="background1" w:themeFillShade="D9"/>
            <w:vAlign w:val="center"/>
          </w:tcPr>
          <w:p w14:paraId="45777480"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4F6E8697" w14:textId="12BD1CC2" w:rsidTr="00C070BC">
        <w:trPr>
          <w:trHeight w:val="247"/>
        </w:trPr>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B9D6E" w14:textId="3912885D"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Flexibilit</w:t>
            </w:r>
            <w:r w:rsidR="003A6892">
              <w:rPr>
                <w:rFonts w:asciiTheme="majorBidi" w:hAnsiTheme="majorBidi" w:cstheme="majorBidi"/>
                <w:color w:val="000000"/>
              </w:rPr>
              <w:t>y</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133F40"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2.3</w:t>
            </w:r>
          </w:p>
        </w:tc>
        <w:tc>
          <w:tcPr>
            <w:tcW w:w="2051" w:type="dxa"/>
            <w:vMerge/>
            <w:tcBorders>
              <w:left w:val="single" w:sz="4" w:space="0" w:color="auto"/>
              <w:right w:val="single" w:sz="4" w:space="0" w:color="auto"/>
            </w:tcBorders>
            <w:shd w:val="clear" w:color="auto" w:fill="D9D9D9" w:themeFill="background1" w:themeFillShade="D9"/>
            <w:vAlign w:val="center"/>
          </w:tcPr>
          <w:p w14:paraId="7C04F22C"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152D6A9C" w14:textId="64CB8EEC" w:rsidTr="00C070BC">
        <w:trPr>
          <w:trHeight w:val="247"/>
        </w:trPr>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2E30EF" w14:textId="2C01DDC8" w:rsidR="002965A2" w:rsidRPr="008707A9" w:rsidRDefault="002965A2" w:rsidP="00933C33">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18381D" w14:textId="77777777" w:rsidR="002965A2" w:rsidRPr="008707A9" w:rsidRDefault="002965A2" w:rsidP="00933C33">
            <w:pPr>
              <w:spacing w:after="0" w:line="240" w:lineRule="auto"/>
              <w:jc w:val="center"/>
              <w:rPr>
                <w:rFonts w:asciiTheme="majorBidi" w:hAnsiTheme="majorBidi" w:cstheme="majorBidi"/>
                <w:b/>
                <w:color w:val="000000"/>
              </w:rPr>
            </w:pPr>
            <w:r w:rsidRPr="008707A9">
              <w:rPr>
                <w:rFonts w:asciiTheme="majorBidi" w:hAnsiTheme="majorBidi" w:cstheme="majorBidi"/>
                <w:b/>
                <w:color w:val="000000"/>
              </w:rPr>
              <w:t>2.3</w:t>
            </w:r>
          </w:p>
        </w:tc>
        <w:tc>
          <w:tcPr>
            <w:tcW w:w="2051" w:type="dxa"/>
            <w:vMerge/>
            <w:tcBorders>
              <w:left w:val="single" w:sz="4" w:space="0" w:color="auto"/>
              <w:right w:val="single" w:sz="4" w:space="0" w:color="auto"/>
            </w:tcBorders>
            <w:shd w:val="clear" w:color="auto" w:fill="D9D9D9" w:themeFill="background1" w:themeFillShade="D9"/>
            <w:vAlign w:val="center"/>
          </w:tcPr>
          <w:p w14:paraId="7036E732"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6AE71980" w14:textId="055065D9" w:rsidTr="00C070BC">
        <w:trPr>
          <w:trHeight w:val="262"/>
        </w:trPr>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5F8D62" w14:textId="4827F2BA"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EBFB09C"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2.18</w:t>
            </w:r>
          </w:p>
        </w:tc>
        <w:tc>
          <w:tcPr>
            <w:tcW w:w="205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85FF2E5"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47382A00" w14:textId="13F63CD2" w:rsidTr="00C070BC">
        <w:trPr>
          <w:trHeight w:val="233"/>
        </w:trPr>
        <w:tc>
          <w:tcPr>
            <w:tcW w:w="279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ECA329E" w14:textId="28E349E4"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Expertis</w:t>
            </w:r>
            <w:r w:rsidR="003A6892">
              <w:rPr>
                <w:rFonts w:asciiTheme="majorBidi" w:hAnsiTheme="majorBidi" w:cstheme="majorBidi"/>
                <w:color w:val="000000"/>
              </w:rPr>
              <w:t>e</w:t>
            </w:r>
          </w:p>
        </w:tc>
        <w:tc>
          <w:tcPr>
            <w:tcW w:w="96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tcPr>
          <w:p w14:paraId="6E04BF9F"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1.68</w:t>
            </w:r>
          </w:p>
        </w:tc>
        <w:tc>
          <w:tcPr>
            <w:tcW w:w="2051" w:type="dxa"/>
            <w:vMerge w:val="restart"/>
            <w:tcBorders>
              <w:top w:val="single" w:sz="4" w:space="0" w:color="auto"/>
              <w:left w:val="single" w:sz="4" w:space="0" w:color="auto"/>
              <w:right w:val="single" w:sz="4" w:space="0" w:color="auto"/>
            </w:tcBorders>
            <w:shd w:val="clear" w:color="auto" w:fill="AEAAAA" w:themeFill="background2" w:themeFillShade="BF"/>
            <w:vAlign w:val="center"/>
          </w:tcPr>
          <w:p w14:paraId="6888010E" w14:textId="11C53FEF" w:rsidR="002965A2" w:rsidRPr="008707A9" w:rsidRDefault="002965A2" w:rsidP="00933C33">
            <w:pPr>
              <w:spacing w:after="0" w:line="240" w:lineRule="auto"/>
              <w:jc w:val="center"/>
              <w:rPr>
                <w:rFonts w:asciiTheme="majorBidi" w:hAnsiTheme="majorBidi" w:cstheme="majorBidi"/>
                <w:b/>
                <w:color w:val="000000"/>
              </w:rPr>
            </w:pPr>
            <w:r>
              <w:rPr>
                <w:rFonts w:asciiTheme="majorBidi" w:hAnsiTheme="majorBidi" w:cstheme="majorBidi"/>
                <w:b/>
                <w:color w:val="000000"/>
              </w:rPr>
              <w:t>‘Knowledge content’</w:t>
            </w:r>
          </w:p>
        </w:tc>
      </w:tr>
      <w:tr w:rsidR="002965A2" w14:paraId="28C6E721" w14:textId="449D5BD7" w:rsidTr="00C070BC">
        <w:trPr>
          <w:trHeight w:val="262"/>
        </w:trPr>
        <w:tc>
          <w:tcPr>
            <w:tcW w:w="279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0B029ED" w14:textId="71BADDFE"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Learning</w:t>
            </w:r>
          </w:p>
        </w:tc>
        <w:tc>
          <w:tcPr>
            <w:tcW w:w="96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tcPr>
          <w:p w14:paraId="11454078"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color w:val="000000"/>
              </w:rPr>
              <w:t>1.56</w:t>
            </w:r>
          </w:p>
        </w:tc>
        <w:tc>
          <w:tcPr>
            <w:tcW w:w="2051" w:type="dxa"/>
            <w:vMerge/>
            <w:tcBorders>
              <w:left w:val="single" w:sz="4" w:space="0" w:color="auto"/>
              <w:right w:val="single" w:sz="4" w:space="0" w:color="auto"/>
            </w:tcBorders>
            <w:shd w:val="clear" w:color="auto" w:fill="AEAAAA" w:themeFill="background2" w:themeFillShade="BF"/>
          </w:tcPr>
          <w:p w14:paraId="63D91434" w14:textId="77777777" w:rsidR="002965A2" w:rsidRPr="008707A9" w:rsidRDefault="002965A2" w:rsidP="00933C33">
            <w:pPr>
              <w:spacing w:after="0" w:line="240" w:lineRule="auto"/>
              <w:jc w:val="center"/>
              <w:rPr>
                <w:rFonts w:asciiTheme="majorBidi" w:hAnsiTheme="majorBidi" w:cstheme="majorBidi"/>
                <w:b/>
                <w:color w:val="000000"/>
              </w:rPr>
            </w:pPr>
          </w:p>
        </w:tc>
      </w:tr>
      <w:tr w:rsidR="002965A2" w14:paraId="1312C189" w14:textId="19E90B93" w:rsidTr="00C070BC">
        <w:trPr>
          <w:trHeight w:val="247"/>
        </w:trPr>
        <w:tc>
          <w:tcPr>
            <w:tcW w:w="279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19DA4EB" w14:textId="5437B646" w:rsidR="002965A2" w:rsidRPr="008707A9" w:rsidRDefault="002965A2" w:rsidP="00933C33">
            <w:pPr>
              <w:spacing w:after="0" w:line="240" w:lineRule="auto"/>
              <w:rPr>
                <w:rFonts w:asciiTheme="majorBidi" w:hAnsiTheme="majorBidi" w:cstheme="majorBidi"/>
              </w:rPr>
            </w:pPr>
            <w:r w:rsidRPr="008707A9">
              <w:rPr>
                <w:rFonts w:asciiTheme="majorBidi" w:hAnsiTheme="majorBidi" w:cstheme="majorBidi"/>
                <w:color w:val="000000"/>
              </w:rPr>
              <w:t>Human Capital</w:t>
            </w:r>
          </w:p>
        </w:tc>
        <w:tc>
          <w:tcPr>
            <w:tcW w:w="96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tcPr>
          <w:p w14:paraId="47CCB399" w14:textId="77777777" w:rsidR="002965A2" w:rsidRPr="008707A9" w:rsidRDefault="002965A2" w:rsidP="00933C33">
            <w:pPr>
              <w:keepNext/>
              <w:spacing w:after="0" w:line="240" w:lineRule="auto"/>
              <w:jc w:val="center"/>
              <w:rPr>
                <w:rFonts w:asciiTheme="majorBidi" w:hAnsiTheme="majorBidi" w:cstheme="majorBidi"/>
                <w:b/>
              </w:rPr>
            </w:pPr>
            <w:r w:rsidRPr="008707A9">
              <w:rPr>
                <w:rFonts w:asciiTheme="majorBidi" w:hAnsiTheme="majorBidi" w:cstheme="majorBidi"/>
                <w:b/>
                <w:color w:val="000000"/>
              </w:rPr>
              <w:t>1.49</w:t>
            </w:r>
          </w:p>
        </w:tc>
        <w:tc>
          <w:tcPr>
            <w:tcW w:w="2051" w:type="dxa"/>
            <w:vMerge/>
            <w:tcBorders>
              <w:left w:val="single" w:sz="4" w:space="0" w:color="auto"/>
              <w:bottom w:val="single" w:sz="4" w:space="0" w:color="auto"/>
              <w:right w:val="single" w:sz="4" w:space="0" w:color="auto"/>
            </w:tcBorders>
            <w:shd w:val="clear" w:color="auto" w:fill="AEAAAA" w:themeFill="background2" w:themeFillShade="BF"/>
          </w:tcPr>
          <w:p w14:paraId="1C6DC379" w14:textId="77777777" w:rsidR="002965A2" w:rsidRPr="008707A9" w:rsidRDefault="002965A2" w:rsidP="00933C33">
            <w:pPr>
              <w:keepNext/>
              <w:spacing w:after="0" w:line="240" w:lineRule="auto"/>
              <w:jc w:val="center"/>
              <w:rPr>
                <w:rFonts w:asciiTheme="majorBidi" w:hAnsiTheme="majorBidi" w:cstheme="majorBidi"/>
                <w:b/>
                <w:color w:val="000000"/>
              </w:rPr>
            </w:pPr>
          </w:p>
        </w:tc>
      </w:tr>
      <w:tr w:rsidR="002965A2" w14:paraId="628DC0D5" w14:textId="39F0ADDB" w:rsidTr="00C070BC">
        <w:trPr>
          <w:trHeight w:val="247"/>
        </w:trPr>
        <w:tc>
          <w:tcPr>
            <w:tcW w:w="2793" w:type="dxa"/>
            <w:tcBorders>
              <w:top w:val="single" w:sz="4" w:space="0" w:color="auto"/>
              <w:left w:val="single" w:sz="4" w:space="0" w:color="auto"/>
              <w:bottom w:val="single" w:sz="4" w:space="0" w:color="auto"/>
              <w:right w:val="single" w:sz="4" w:space="0" w:color="auto"/>
            </w:tcBorders>
          </w:tcPr>
          <w:p w14:paraId="51976D26" w14:textId="77777777" w:rsidR="002965A2" w:rsidRPr="008707A9" w:rsidRDefault="002965A2" w:rsidP="00933C33">
            <w:pPr>
              <w:spacing w:after="0" w:line="240" w:lineRule="auto"/>
              <w:jc w:val="center"/>
              <w:rPr>
                <w:rFonts w:asciiTheme="majorBidi" w:hAnsiTheme="majorBidi" w:cstheme="majorBidi"/>
                <w:b/>
              </w:rPr>
            </w:pPr>
            <w:r w:rsidRPr="008707A9">
              <w:rPr>
                <w:rFonts w:asciiTheme="majorBidi" w:hAnsiTheme="majorBidi" w:cstheme="majorBidi"/>
                <w:b/>
              </w:rPr>
              <w:t>Overall average</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943367A" w14:textId="77777777" w:rsidR="002965A2" w:rsidRPr="008707A9" w:rsidRDefault="002965A2" w:rsidP="00933C33">
            <w:pPr>
              <w:keepNext/>
              <w:spacing w:after="0" w:line="240" w:lineRule="auto"/>
              <w:jc w:val="center"/>
              <w:rPr>
                <w:rFonts w:asciiTheme="majorBidi" w:hAnsiTheme="majorBidi" w:cstheme="majorBidi"/>
                <w:b/>
              </w:rPr>
            </w:pPr>
            <w:r w:rsidRPr="008707A9">
              <w:rPr>
                <w:rFonts w:asciiTheme="majorBidi" w:hAnsiTheme="majorBidi" w:cstheme="majorBidi"/>
                <w:b/>
              </w:rPr>
              <w:t>2.56</w:t>
            </w:r>
          </w:p>
        </w:tc>
        <w:tc>
          <w:tcPr>
            <w:tcW w:w="2051" w:type="dxa"/>
            <w:tcBorders>
              <w:top w:val="single" w:sz="4" w:space="0" w:color="auto"/>
              <w:left w:val="single" w:sz="4" w:space="0" w:color="auto"/>
              <w:bottom w:val="single" w:sz="4" w:space="0" w:color="auto"/>
              <w:right w:val="single" w:sz="4" w:space="0" w:color="auto"/>
            </w:tcBorders>
          </w:tcPr>
          <w:p w14:paraId="614A8D8A" w14:textId="77777777" w:rsidR="002965A2" w:rsidRPr="008707A9" w:rsidRDefault="002965A2" w:rsidP="00933C33">
            <w:pPr>
              <w:keepNext/>
              <w:spacing w:after="0" w:line="240" w:lineRule="auto"/>
              <w:jc w:val="center"/>
              <w:rPr>
                <w:rFonts w:asciiTheme="majorBidi" w:hAnsiTheme="majorBidi" w:cstheme="majorBidi"/>
                <w:b/>
              </w:rPr>
            </w:pPr>
          </w:p>
        </w:tc>
      </w:tr>
    </w:tbl>
    <w:p w14:paraId="732B9566" w14:textId="71842076" w:rsidR="00E4152E" w:rsidRDefault="00E4152E" w:rsidP="00E4152E">
      <w:pPr>
        <w:pStyle w:val="Caption"/>
        <w:rPr>
          <w:sz w:val="24"/>
          <w:szCs w:val="24"/>
        </w:rPr>
      </w:pPr>
      <w:bookmarkStart w:id="112" w:name="_Ref7261576"/>
      <w:bookmarkStart w:id="113" w:name="_Ref10649321"/>
      <w:bookmarkStart w:id="114" w:name="_Toc31702034"/>
      <w:r>
        <w:t xml:space="preserve">Table </w:t>
      </w:r>
      <w:r w:rsidR="00A56355">
        <w:fldChar w:fldCharType="begin"/>
      </w:r>
      <w:r w:rsidR="00A56355">
        <w:instrText xml:space="preserve"> SEQ Table \* ARABIC </w:instrText>
      </w:r>
      <w:r w:rsidR="00A56355">
        <w:fldChar w:fldCharType="separate"/>
      </w:r>
      <w:r w:rsidR="0011424E">
        <w:rPr>
          <w:noProof/>
        </w:rPr>
        <w:t>5</w:t>
      </w:r>
      <w:r w:rsidR="00A56355">
        <w:rPr>
          <w:noProof/>
        </w:rPr>
        <w:fldChar w:fldCharType="end"/>
      </w:r>
      <w:bookmarkEnd w:id="112"/>
      <w:r w:rsidRPr="00BF5D48">
        <w:t>. Average values for the fifteen attributes</w:t>
      </w:r>
      <w:bookmarkEnd w:id="113"/>
      <w:bookmarkEnd w:id="114"/>
    </w:p>
    <w:p w14:paraId="6C8BD660" w14:textId="77777777" w:rsidR="00E4152E" w:rsidRPr="007B523E" w:rsidRDefault="00E4152E" w:rsidP="00E4152E">
      <w:pPr>
        <w:spacing w:before="120" w:after="120" w:line="360" w:lineRule="auto"/>
        <w:rPr>
          <w:sz w:val="24"/>
          <w:szCs w:val="24"/>
          <w:u w:val="single"/>
        </w:rPr>
      </w:pPr>
      <w:r>
        <w:rPr>
          <w:sz w:val="24"/>
          <w:szCs w:val="24"/>
          <w:u w:val="single"/>
        </w:rPr>
        <w:t>Social context</w:t>
      </w:r>
    </w:p>
    <w:p w14:paraId="4BAC013B" w14:textId="09DDB8FF" w:rsidR="00E4152E" w:rsidRDefault="00E4152E" w:rsidP="00E4152E">
      <w:pPr>
        <w:spacing w:before="120" w:after="120" w:line="360" w:lineRule="auto"/>
        <w:rPr>
          <w:sz w:val="24"/>
          <w:szCs w:val="24"/>
        </w:rPr>
      </w:pPr>
      <w:r>
        <w:rPr>
          <w:sz w:val="24"/>
          <w:szCs w:val="24"/>
        </w:rPr>
        <w:t>First, the attributes in the highest (3&lt;</w:t>
      </w:r>
      <w:r>
        <w:rPr>
          <w:i/>
          <w:sz w:val="24"/>
          <w:szCs w:val="24"/>
        </w:rPr>
        <w:t>value</w:t>
      </w:r>
      <w:r>
        <w:rPr>
          <w:sz w:val="24"/>
          <w:szCs w:val="24"/>
        </w:rPr>
        <w:t xml:space="preserve">) range (goals, relevance, evaluation and outputs &amp; outcomes) includes those attributes which, in my sampled research, tended to involve significant engagement with or influence from the </w:t>
      </w:r>
      <w:r>
        <w:rPr>
          <w:i/>
          <w:sz w:val="24"/>
          <w:szCs w:val="24"/>
        </w:rPr>
        <w:t xml:space="preserve">social context </w:t>
      </w:r>
      <w:r>
        <w:rPr>
          <w:sz w:val="24"/>
          <w:szCs w:val="24"/>
        </w:rPr>
        <w:t xml:space="preserve">beyond academic boundaries. It is primarily through them that the social context influenced the academic research in my sample. For example, the goals of my sampled research are often informed </w:t>
      </w:r>
      <w:r w:rsidR="00BA0417">
        <w:rPr>
          <w:sz w:val="24"/>
          <w:szCs w:val="24"/>
        </w:rPr>
        <w:t>and, in some cases,</w:t>
      </w:r>
      <w:r>
        <w:rPr>
          <w:sz w:val="24"/>
          <w:szCs w:val="24"/>
        </w:rPr>
        <w:t xml:space="preserve"> directly guided by issues arising in the social context beyond academia. Accordingly, the research aims at yielding outputs and outcomes of relevance to these contexts, and to a large extent the research is considered a success to the extent that it achieves this relevance and ‘impact’. I refer to these as the ‘social context’ attributes. </w:t>
      </w:r>
    </w:p>
    <w:p w14:paraId="20B8250E" w14:textId="77777777" w:rsidR="00E4152E" w:rsidRPr="007B523E" w:rsidRDefault="00E4152E" w:rsidP="00E4152E">
      <w:pPr>
        <w:spacing w:before="120" w:after="120" w:line="360" w:lineRule="auto"/>
        <w:rPr>
          <w:sz w:val="24"/>
          <w:szCs w:val="24"/>
          <w:u w:val="single"/>
        </w:rPr>
      </w:pPr>
      <w:r>
        <w:rPr>
          <w:sz w:val="24"/>
          <w:szCs w:val="24"/>
          <w:u w:val="single"/>
        </w:rPr>
        <w:t>Knowledge content</w:t>
      </w:r>
    </w:p>
    <w:p w14:paraId="53723DC9" w14:textId="1162D652" w:rsidR="00E4152E" w:rsidRDefault="00E4152E" w:rsidP="00E4152E">
      <w:pPr>
        <w:spacing w:before="120" w:after="120" w:line="360" w:lineRule="auto"/>
        <w:rPr>
          <w:sz w:val="24"/>
          <w:szCs w:val="24"/>
        </w:rPr>
      </w:pPr>
      <w:r>
        <w:rPr>
          <w:sz w:val="24"/>
          <w:szCs w:val="24"/>
        </w:rPr>
        <w:t>By contrast, the low value range (</w:t>
      </w:r>
      <w:r w:rsidR="00784B85">
        <w:rPr>
          <w:sz w:val="24"/>
          <w:szCs w:val="24"/>
        </w:rPr>
        <w:t>1&lt;</w:t>
      </w:r>
      <w:r>
        <w:rPr>
          <w:i/>
          <w:sz w:val="24"/>
          <w:szCs w:val="24"/>
        </w:rPr>
        <w:t>value</w:t>
      </w:r>
      <w:r>
        <w:rPr>
          <w:sz w:val="24"/>
          <w:szCs w:val="24"/>
        </w:rPr>
        <w:t xml:space="preserve">&lt;2) includes attributes/activities which, in my sampled research, tended to remain strongly within academic boundaries (expertise, learning and human capital). I argue that they played a significant role in reproducing academic boundaries largely by maintaining academic authority over the </w:t>
      </w:r>
      <w:r w:rsidRPr="002B3496">
        <w:rPr>
          <w:i/>
          <w:sz w:val="24"/>
          <w:szCs w:val="24"/>
        </w:rPr>
        <w:t>knowledge content</w:t>
      </w:r>
      <w:r>
        <w:rPr>
          <w:sz w:val="24"/>
          <w:szCs w:val="24"/>
        </w:rPr>
        <w:t xml:space="preserve"> of academic research. This is because it remains the case that what can be learned from academic research is highly technical, and typically requires significant levels of scientific expertise and academic qualifications in order to fully understand it and to be able to produce it, albeit that my sample also includes several instances where other types of expertise and human capital were drawn upon in the research process (some examples of which will be discussed below). I classify these as the ‘knowledge content’ attributes/activities. </w:t>
      </w:r>
    </w:p>
    <w:p w14:paraId="60B92E98" w14:textId="77777777" w:rsidR="00E4152E" w:rsidRPr="007B523E" w:rsidRDefault="00E4152E" w:rsidP="00E4152E">
      <w:pPr>
        <w:spacing w:before="120" w:after="120" w:line="360" w:lineRule="auto"/>
        <w:rPr>
          <w:sz w:val="24"/>
          <w:szCs w:val="24"/>
          <w:u w:val="single"/>
        </w:rPr>
      </w:pPr>
      <w:r>
        <w:rPr>
          <w:sz w:val="24"/>
          <w:szCs w:val="24"/>
          <w:u w:val="single"/>
        </w:rPr>
        <w:t>Intermediate(ry)</w:t>
      </w:r>
    </w:p>
    <w:p w14:paraId="3B3D709C" w14:textId="51EAF9F2" w:rsidR="00E4152E" w:rsidRDefault="00E4152E" w:rsidP="00E4152E">
      <w:pPr>
        <w:spacing w:before="120" w:after="120" w:line="360" w:lineRule="auto"/>
        <w:rPr>
          <w:sz w:val="24"/>
          <w:szCs w:val="24"/>
        </w:rPr>
      </w:pPr>
      <w:r>
        <w:rPr>
          <w:sz w:val="24"/>
          <w:szCs w:val="24"/>
        </w:rPr>
        <w:t>In between these is the mid-range value grouping (2&lt;</w:t>
      </w:r>
      <w:r>
        <w:rPr>
          <w:i/>
          <w:sz w:val="24"/>
          <w:szCs w:val="24"/>
        </w:rPr>
        <w:t>value</w:t>
      </w:r>
      <w:r>
        <w:rPr>
          <w:sz w:val="24"/>
          <w:szCs w:val="24"/>
        </w:rPr>
        <w:t xml:space="preserve">&lt;3). This is the largest group of attributes and activities (uncertainty, knowledge exchange, accessibility, boundary management, network participation, flexibility, disciplinary focus and social capital). I will argue that in the sampled research, the attributes and activities in this range </w:t>
      </w:r>
      <w:r w:rsidRPr="00525CC2">
        <w:rPr>
          <w:sz w:val="24"/>
          <w:szCs w:val="24"/>
        </w:rPr>
        <w:t>mediate</w:t>
      </w:r>
      <w:r>
        <w:rPr>
          <w:sz w:val="24"/>
          <w:szCs w:val="24"/>
        </w:rPr>
        <w:t xml:space="preserve"> between the social context, which has significant influence over the goals and evaluative criteria of academic research, and the </w:t>
      </w:r>
      <w:r w:rsidR="00862B6C">
        <w:rPr>
          <w:sz w:val="24"/>
          <w:szCs w:val="24"/>
        </w:rPr>
        <w:t>knowledge</w:t>
      </w:r>
      <w:r>
        <w:rPr>
          <w:sz w:val="24"/>
          <w:szCs w:val="24"/>
        </w:rPr>
        <w:t xml:space="preserve"> content, authority over which lies within academia. In doing so, these attributes and activities mediate the interaction between academia and wider society. This means that, while they are important ways in which academia contributes and responds to wider society, they are also key sites for struggle over the direction of academic research. For example, although some level of knowledge exchange, flexibility and accessibility is essential for any </w:t>
      </w:r>
      <w:r w:rsidR="00031096">
        <w:rPr>
          <w:sz w:val="24"/>
          <w:szCs w:val="24"/>
        </w:rPr>
        <w:t>university wishing to be seen as relevant</w:t>
      </w:r>
      <w:r>
        <w:rPr>
          <w:sz w:val="24"/>
          <w:szCs w:val="24"/>
        </w:rPr>
        <w:t xml:space="preserve"> to society, the interesting issue is how much, on what terms, and with what</w:t>
      </w:r>
      <w:r w:rsidR="00A12ACB">
        <w:rPr>
          <w:sz w:val="24"/>
          <w:szCs w:val="24"/>
        </w:rPr>
        <w:t xml:space="preserve"> kinds of</w:t>
      </w:r>
      <w:r>
        <w:rPr>
          <w:sz w:val="24"/>
          <w:szCs w:val="24"/>
        </w:rPr>
        <w:t xml:space="preserve"> external actors is knowledge exchanged, and flexibility and accessibility offered? I refer to the attributes and activities in this mid-value range as ‘intermediate(ary)’ or ‘mediating’ attributes/activities. </w:t>
      </w:r>
    </w:p>
    <w:p w14:paraId="5DF77B44" w14:textId="44D8E081" w:rsidR="00F52146" w:rsidRPr="00FE3C12" w:rsidRDefault="00DE4E82" w:rsidP="00E4152E">
      <w:pPr>
        <w:spacing w:before="120" w:after="120" w:line="360" w:lineRule="auto"/>
        <w:rPr>
          <w:sz w:val="24"/>
          <w:szCs w:val="24"/>
        </w:rPr>
      </w:pPr>
      <w:r w:rsidRPr="00A85BFB">
        <w:rPr>
          <w:sz w:val="24"/>
          <w:szCs w:val="24"/>
        </w:rPr>
        <w:fldChar w:fldCharType="begin"/>
      </w:r>
      <w:r w:rsidRPr="00A85BFB">
        <w:rPr>
          <w:sz w:val="24"/>
          <w:szCs w:val="24"/>
        </w:rPr>
        <w:instrText xml:space="preserve"> REF _Ref17466174 \h  \* MERGEFORMAT </w:instrText>
      </w:r>
      <w:r w:rsidRPr="00A85BFB">
        <w:rPr>
          <w:sz w:val="24"/>
          <w:szCs w:val="24"/>
        </w:rPr>
      </w:r>
      <w:r w:rsidRPr="00A85BFB">
        <w:rPr>
          <w:sz w:val="24"/>
          <w:szCs w:val="24"/>
        </w:rPr>
        <w:fldChar w:fldCharType="separate"/>
      </w:r>
      <w:r w:rsidR="0011424E" w:rsidRPr="0011424E">
        <w:rPr>
          <w:sz w:val="24"/>
          <w:szCs w:val="24"/>
        </w:rPr>
        <w:t xml:space="preserve">Figure </w:t>
      </w:r>
      <w:r w:rsidR="0011424E" w:rsidRPr="0011424E">
        <w:rPr>
          <w:noProof/>
          <w:sz w:val="24"/>
          <w:szCs w:val="24"/>
        </w:rPr>
        <w:t>8</w:t>
      </w:r>
      <w:r w:rsidRPr="00A85BFB">
        <w:rPr>
          <w:sz w:val="24"/>
          <w:szCs w:val="24"/>
        </w:rPr>
        <w:fldChar w:fldCharType="end"/>
      </w:r>
      <w:r w:rsidRPr="00A85BFB">
        <w:rPr>
          <w:sz w:val="24"/>
          <w:szCs w:val="24"/>
        </w:rPr>
        <w:t xml:space="preserve"> </w:t>
      </w:r>
      <w:r w:rsidR="00F52146" w:rsidRPr="00A85BFB">
        <w:rPr>
          <w:sz w:val="24"/>
          <w:szCs w:val="24"/>
        </w:rPr>
        <w:t xml:space="preserve">presents a simplified model of </w:t>
      </w:r>
      <w:r w:rsidR="00335B95" w:rsidRPr="00A85BFB">
        <w:rPr>
          <w:sz w:val="24"/>
          <w:szCs w:val="24"/>
        </w:rPr>
        <w:t>the attributes and activities under the</w:t>
      </w:r>
      <w:r w:rsidR="00F52146" w:rsidRPr="00A85BFB">
        <w:rPr>
          <w:sz w:val="24"/>
          <w:szCs w:val="24"/>
        </w:rPr>
        <w:t xml:space="preserve"> ‘intermediate(ry)’ classification</w:t>
      </w:r>
      <w:r w:rsidR="00EA404B" w:rsidRPr="00A85BFB">
        <w:rPr>
          <w:sz w:val="24"/>
          <w:szCs w:val="24"/>
        </w:rPr>
        <w:t>/dimension</w:t>
      </w:r>
      <w:r w:rsidR="00F52146" w:rsidRPr="00A85BFB">
        <w:rPr>
          <w:sz w:val="24"/>
          <w:szCs w:val="24"/>
        </w:rPr>
        <w:t>.</w:t>
      </w:r>
      <w:r w:rsidRPr="00A85BFB">
        <w:rPr>
          <w:sz w:val="24"/>
          <w:szCs w:val="24"/>
        </w:rPr>
        <w:t xml:space="preserve"> </w:t>
      </w:r>
      <w:r w:rsidR="00F730B0" w:rsidRPr="00A85BFB">
        <w:rPr>
          <w:sz w:val="24"/>
          <w:szCs w:val="24"/>
        </w:rPr>
        <w:t>Later in this chapter I will</w:t>
      </w:r>
      <w:r w:rsidRPr="00A85BFB">
        <w:rPr>
          <w:sz w:val="24"/>
          <w:szCs w:val="24"/>
        </w:rPr>
        <w:t xml:space="preserve"> </w:t>
      </w:r>
      <w:r w:rsidR="00F023CE" w:rsidRPr="00A85BFB">
        <w:rPr>
          <w:sz w:val="24"/>
          <w:szCs w:val="24"/>
        </w:rPr>
        <w:t>discuss</w:t>
      </w:r>
      <w:r w:rsidR="00F730B0" w:rsidRPr="00A85BFB">
        <w:rPr>
          <w:sz w:val="24"/>
          <w:szCs w:val="24"/>
        </w:rPr>
        <w:t xml:space="preserve"> the </w:t>
      </w:r>
      <w:r w:rsidRPr="00A85BFB">
        <w:rPr>
          <w:sz w:val="24"/>
          <w:szCs w:val="24"/>
        </w:rPr>
        <w:t>operation of all fifteen activities</w:t>
      </w:r>
      <w:r w:rsidR="004E0087" w:rsidRPr="00A85BFB">
        <w:rPr>
          <w:sz w:val="24"/>
          <w:szCs w:val="24"/>
        </w:rPr>
        <w:t xml:space="preserve"> and </w:t>
      </w:r>
      <w:r w:rsidRPr="00A85BFB">
        <w:rPr>
          <w:sz w:val="24"/>
          <w:szCs w:val="24"/>
        </w:rPr>
        <w:t xml:space="preserve">attributes in </w:t>
      </w:r>
      <w:r w:rsidR="00F730B0" w:rsidRPr="00A85BFB">
        <w:rPr>
          <w:sz w:val="24"/>
          <w:szCs w:val="24"/>
        </w:rPr>
        <w:t xml:space="preserve">the </w:t>
      </w:r>
      <w:r w:rsidRPr="00A85BFB">
        <w:rPr>
          <w:sz w:val="24"/>
          <w:szCs w:val="24"/>
        </w:rPr>
        <w:t xml:space="preserve">context </w:t>
      </w:r>
      <w:r w:rsidR="00F730B0" w:rsidRPr="00A85BFB">
        <w:rPr>
          <w:sz w:val="24"/>
          <w:szCs w:val="24"/>
        </w:rPr>
        <w:t>of</w:t>
      </w:r>
      <w:r w:rsidR="00FE3C12" w:rsidRPr="00A85BFB">
        <w:rPr>
          <w:sz w:val="24"/>
          <w:szCs w:val="24"/>
        </w:rPr>
        <w:t xml:space="preserve"> th</w:t>
      </w:r>
      <w:r w:rsidR="00F730B0" w:rsidRPr="00A85BFB">
        <w:rPr>
          <w:sz w:val="24"/>
          <w:szCs w:val="24"/>
        </w:rPr>
        <w:t xml:space="preserve">ree </w:t>
      </w:r>
      <w:r w:rsidR="00C704ED">
        <w:rPr>
          <w:sz w:val="24"/>
          <w:szCs w:val="24"/>
        </w:rPr>
        <w:t>illustrative</w:t>
      </w:r>
      <w:r w:rsidR="00F730B0" w:rsidRPr="00A85BFB">
        <w:rPr>
          <w:sz w:val="24"/>
          <w:szCs w:val="24"/>
        </w:rPr>
        <w:t xml:space="preserve"> BoRs</w:t>
      </w:r>
      <w:r w:rsidR="00FE3C12" w:rsidRPr="00A85BFB">
        <w:rPr>
          <w:sz w:val="24"/>
          <w:szCs w:val="24"/>
        </w:rPr>
        <w:t>.</w:t>
      </w:r>
    </w:p>
    <w:p w14:paraId="281EDA3E" w14:textId="77777777" w:rsidR="006475B1" w:rsidRDefault="00336387" w:rsidP="006475B1">
      <w:pPr>
        <w:keepNext/>
        <w:spacing w:before="120" w:after="120" w:line="360" w:lineRule="auto"/>
      </w:pPr>
      <w:r w:rsidRPr="00336387">
        <w:rPr>
          <w:noProof/>
          <w:sz w:val="24"/>
          <w:szCs w:val="24"/>
        </w:rPr>
        <w:drawing>
          <wp:inline distT="0" distB="0" distL="0" distR="0" wp14:anchorId="540AFD0F" wp14:editId="58CCFAAD">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4C9889F4" w14:textId="209196DD" w:rsidR="00336387" w:rsidRDefault="006475B1" w:rsidP="006475B1">
      <w:pPr>
        <w:pStyle w:val="Caption"/>
      </w:pPr>
      <w:bookmarkStart w:id="115" w:name="_Ref17466174"/>
      <w:bookmarkStart w:id="116" w:name="_Toc31702077"/>
      <w:r>
        <w:t xml:space="preserve">Figure </w:t>
      </w:r>
      <w:r w:rsidR="00A56355">
        <w:fldChar w:fldCharType="begin"/>
      </w:r>
      <w:r w:rsidR="00A56355">
        <w:instrText xml:space="preserve"> SEQ Figure \* ARABIC </w:instrText>
      </w:r>
      <w:r w:rsidR="00A56355">
        <w:fldChar w:fldCharType="separate"/>
      </w:r>
      <w:r w:rsidR="0011424E">
        <w:rPr>
          <w:noProof/>
        </w:rPr>
        <w:t>8</w:t>
      </w:r>
      <w:r w:rsidR="00A56355">
        <w:rPr>
          <w:noProof/>
        </w:rPr>
        <w:fldChar w:fldCharType="end"/>
      </w:r>
      <w:bookmarkEnd w:id="115"/>
      <w:r>
        <w:t xml:space="preserve">. </w:t>
      </w:r>
      <w:r w:rsidR="00A43EBD">
        <w:t>Relationship</w:t>
      </w:r>
      <w:r w:rsidRPr="004C4F54">
        <w:t xml:space="preserve"> between the three classifications</w:t>
      </w:r>
      <w:r w:rsidR="00A43EBD">
        <w:t>/research dimensions: the role of ‘intermediary’ activities and attributes</w:t>
      </w:r>
      <w:bookmarkEnd w:id="116"/>
    </w:p>
    <w:p w14:paraId="3F15E005" w14:textId="7F14CA31" w:rsidR="00E4152E" w:rsidRDefault="00CC4042" w:rsidP="00E4152E">
      <w:pPr>
        <w:pStyle w:val="Heading4"/>
      </w:pPr>
      <w:r>
        <w:t>Analysis of</w:t>
      </w:r>
      <w:r w:rsidR="0018488F">
        <w:t xml:space="preserve"> the</w:t>
      </w:r>
      <w:r>
        <w:t xml:space="preserve"> ‘</w:t>
      </w:r>
      <w:r w:rsidR="00E4152E">
        <w:t>contextual dimensions</w:t>
      </w:r>
      <w:r>
        <w:t>’</w:t>
      </w:r>
      <w:r w:rsidR="00E4152E">
        <w:t xml:space="preserve"> (institutional and epistemic context)</w:t>
      </w:r>
    </w:p>
    <w:p w14:paraId="4540075E" w14:textId="1928A122" w:rsidR="00E4152E" w:rsidRDefault="00E4152E" w:rsidP="00E4152E">
      <w:pPr>
        <w:spacing w:after="120" w:line="360" w:lineRule="auto"/>
        <w:rPr>
          <w:sz w:val="24"/>
          <w:szCs w:val="24"/>
        </w:rPr>
      </w:pPr>
      <w:r>
        <w:rPr>
          <w:sz w:val="24"/>
          <w:szCs w:val="24"/>
        </w:rPr>
        <w:t xml:space="preserve">Following on from the above discussion, </w:t>
      </w:r>
      <w:r w:rsidRPr="00911FD7">
        <w:rPr>
          <w:sz w:val="24"/>
          <w:szCs w:val="24"/>
        </w:rPr>
        <w:fldChar w:fldCharType="begin"/>
      </w:r>
      <w:r w:rsidRPr="00911FD7">
        <w:rPr>
          <w:sz w:val="24"/>
          <w:szCs w:val="24"/>
        </w:rPr>
        <w:instrText xml:space="preserve"> REF _Ref8828951 \h </w:instrText>
      </w:r>
      <w:r>
        <w:rPr>
          <w:sz w:val="24"/>
          <w:szCs w:val="24"/>
        </w:rPr>
        <w:instrText xml:space="preserve"> \* MERGEFORMAT </w:instrText>
      </w:r>
      <w:r w:rsidRPr="00911FD7">
        <w:rPr>
          <w:sz w:val="24"/>
          <w:szCs w:val="24"/>
        </w:rPr>
      </w:r>
      <w:r w:rsidRPr="00911FD7">
        <w:rPr>
          <w:sz w:val="24"/>
          <w:szCs w:val="24"/>
        </w:rPr>
        <w:fldChar w:fldCharType="separate"/>
      </w:r>
      <w:r w:rsidR="0011424E" w:rsidRPr="0011424E">
        <w:rPr>
          <w:sz w:val="24"/>
          <w:szCs w:val="24"/>
        </w:rPr>
        <w:t xml:space="preserve">Table </w:t>
      </w:r>
      <w:r w:rsidR="0011424E" w:rsidRPr="0011424E">
        <w:rPr>
          <w:noProof/>
          <w:sz w:val="24"/>
          <w:szCs w:val="24"/>
        </w:rPr>
        <w:t>6</w:t>
      </w:r>
      <w:r w:rsidRPr="00911FD7">
        <w:rPr>
          <w:sz w:val="24"/>
          <w:szCs w:val="24"/>
        </w:rPr>
        <w:fldChar w:fldCharType="end"/>
      </w:r>
      <w:r>
        <w:rPr>
          <w:sz w:val="24"/>
          <w:szCs w:val="24"/>
        </w:rPr>
        <w:t xml:space="preserve"> shows the average typology values broken down by the different contextual dimensions, that is, different institutional and epistemic contexts, that I am interested in exploring. These contextual dimensions include different institutional contexts by prestige of department (‘elite’, ‘more prestigious’ and ‘less prestigious’), branch of science (Life, Natural and Basic sciences) and orientation of science (‘applied’, ‘basic’ and ‘basic/applied’, this latter denoting disciplines which are inherently ‘use-inspired’ </w:t>
      </w:r>
      <w:r>
        <w:rPr>
          <w:i/>
          <w:sz w:val="24"/>
          <w:szCs w:val="24"/>
        </w:rPr>
        <w:t xml:space="preserve">and </w:t>
      </w:r>
      <w:r>
        <w:rPr>
          <w:sz w:val="24"/>
          <w:szCs w:val="24"/>
        </w:rPr>
        <w:t xml:space="preserve">focused on producing basic knowledge). </w:t>
      </w:r>
      <w:r w:rsidRPr="00911FD7">
        <w:rPr>
          <w:sz w:val="24"/>
          <w:szCs w:val="24"/>
        </w:rPr>
        <w:fldChar w:fldCharType="begin"/>
      </w:r>
      <w:r w:rsidRPr="00911FD7">
        <w:rPr>
          <w:sz w:val="24"/>
          <w:szCs w:val="24"/>
        </w:rPr>
        <w:instrText xml:space="preserve"> REF _Ref8828951 \h </w:instrText>
      </w:r>
      <w:r>
        <w:rPr>
          <w:sz w:val="24"/>
          <w:szCs w:val="24"/>
        </w:rPr>
        <w:instrText xml:space="preserve"> \* MERGEFORMAT </w:instrText>
      </w:r>
      <w:r w:rsidRPr="00911FD7">
        <w:rPr>
          <w:sz w:val="24"/>
          <w:szCs w:val="24"/>
        </w:rPr>
      </w:r>
      <w:r w:rsidRPr="00911FD7">
        <w:rPr>
          <w:sz w:val="24"/>
          <w:szCs w:val="24"/>
        </w:rPr>
        <w:fldChar w:fldCharType="separate"/>
      </w:r>
      <w:r w:rsidR="0011424E" w:rsidRPr="0011424E">
        <w:rPr>
          <w:sz w:val="24"/>
          <w:szCs w:val="24"/>
        </w:rPr>
        <w:t xml:space="preserve">Table </w:t>
      </w:r>
      <w:r w:rsidR="0011424E" w:rsidRPr="0011424E">
        <w:rPr>
          <w:noProof/>
          <w:sz w:val="24"/>
          <w:szCs w:val="24"/>
        </w:rPr>
        <w:t>6</w:t>
      </w:r>
      <w:r w:rsidRPr="00911FD7">
        <w:rPr>
          <w:sz w:val="24"/>
          <w:szCs w:val="24"/>
        </w:rPr>
        <w:fldChar w:fldCharType="end"/>
      </w:r>
      <w:r>
        <w:rPr>
          <w:sz w:val="24"/>
          <w:szCs w:val="24"/>
        </w:rPr>
        <w:t xml:space="preserve"> uses shading to demarcate the data for the three dimensions, with departmental prestige at the top, branch of science presented in the middle, and orientation at the bottom. For each, it breaks the data down by the three dimensions of research discussed above (‘social context’, ‘intermediary’ and ‘knowledge content’) and presents the different categories in ascending order of </w:t>
      </w:r>
      <w:r w:rsidR="00B81FAC">
        <w:rPr>
          <w:i/>
          <w:sz w:val="24"/>
          <w:szCs w:val="24"/>
        </w:rPr>
        <w:t xml:space="preserve">average </w:t>
      </w:r>
      <w:r>
        <w:rPr>
          <w:sz w:val="24"/>
          <w:szCs w:val="24"/>
        </w:rPr>
        <w:t>typology value. So, in the dimension of departmental prestige, the ‘elite’ contexts have the lowest overall value (2.4), followed by ‘more prestigious’ contexts (2.53) and finally the highest value</w:t>
      </w:r>
      <w:r w:rsidR="00E05DFC">
        <w:rPr>
          <w:sz w:val="24"/>
          <w:szCs w:val="24"/>
        </w:rPr>
        <w:t xml:space="preserve"> (2.69)</w:t>
      </w:r>
      <w:r>
        <w:rPr>
          <w:sz w:val="24"/>
          <w:szCs w:val="24"/>
        </w:rPr>
        <w:t xml:space="preserve"> for ‘less prestigious’ contexts. </w:t>
      </w:r>
    </w:p>
    <w:p w14:paraId="6FD0C1F5" w14:textId="186CE97E" w:rsidR="00E65B29" w:rsidRDefault="00E65B29" w:rsidP="00E65B29">
      <w:pPr>
        <w:spacing w:after="120" w:line="360" w:lineRule="auto"/>
        <w:rPr>
          <w:sz w:val="24"/>
          <w:szCs w:val="24"/>
        </w:rPr>
      </w:pPr>
      <w:r w:rsidRPr="00911FD7">
        <w:rPr>
          <w:sz w:val="24"/>
          <w:szCs w:val="24"/>
        </w:rPr>
        <w:fldChar w:fldCharType="begin"/>
      </w:r>
      <w:r w:rsidRPr="00911FD7">
        <w:rPr>
          <w:sz w:val="24"/>
          <w:szCs w:val="24"/>
        </w:rPr>
        <w:instrText xml:space="preserve"> REF _Ref8828951 \h </w:instrText>
      </w:r>
      <w:r>
        <w:rPr>
          <w:sz w:val="24"/>
          <w:szCs w:val="24"/>
        </w:rPr>
        <w:instrText xml:space="preserve"> \* MERGEFORMAT </w:instrText>
      </w:r>
      <w:r w:rsidRPr="00911FD7">
        <w:rPr>
          <w:sz w:val="24"/>
          <w:szCs w:val="24"/>
        </w:rPr>
      </w:r>
      <w:r w:rsidRPr="00911FD7">
        <w:rPr>
          <w:sz w:val="24"/>
          <w:szCs w:val="24"/>
        </w:rPr>
        <w:fldChar w:fldCharType="separate"/>
      </w:r>
      <w:r w:rsidR="0011424E" w:rsidRPr="0011424E">
        <w:rPr>
          <w:sz w:val="24"/>
          <w:szCs w:val="24"/>
        </w:rPr>
        <w:t xml:space="preserve">Table </w:t>
      </w:r>
      <w:r w:rsidR="0011424E" w:rsidRPr="0011424E">
        <w:rPr>
          <w:noProof/>
          <w:sz w:val="24"/>
          <w:szCs w:val="24"/>
        </w:rPr>
        <w:t>6</w:t>
      </w:r>
      <w:r w:rsidRPr="00911FD7">
        <w:rPr>
          <w:sz w:val="24"/>
          <w:szCs w:val="24"/>
        </w:rPr>
        <w:fldChar w:fldCharType="end"/>
      </w:r>
      <w:r>
        <w:rPr>
          <w:sz w:val="24"/>
          <w:szCs w:val="24"/>
        </w:rPr>
        <w:t xml:space="preserve"> suggests, therefore, that research which is (i) based in ‘elite’ institutional contexts, and which is based in a (ii) Life science and (iii) basic/applied discipline, is likely to have a low overall typology value – that is, such research is typically ‘bounded’ and likely to promote the reproduction of academic boundaries. This is less true for other combinations of research contexts, particularly that which is based in (i) ‘less prestigious’ departments, (ii) a Formal science and (iii) applied disciplines. </w:t>
      </w:r>
    </w:p>
    <w:tbl>
      <w:tblPr>
        <w:tblStyle w:val="TableGrid"/>
        <w:tblW w:w="0" w:type="auto"/>
        <w:tblLook w:val="04A0" w:firstRow="1" w:lastRow="0" w:firstColumn="1" w:lastColumn="0" w:noHBand="0" w:noVBand="1"/>
      </w:tblPr>
      <w:tblGrid>
        <w:gridCol w:w="1811"/>
        <w:gridCol w:w="1475"/>
        <w:gridCol w:w="962"/>
        <w:gridCol w:w="1417"/>
        <w:gridCol w:w="1418"/>
        <w:gridCol w:w="1622"/>
      </w:tblGrid>
      <w:tr w:rsidR="00E4152E" w14:paraId="2A71FCFD" w14:textId="77777777" w:rsidTr="00933C33">
        <w:trPr>
          <w:trHeight w:val="504"/>
        </w:trPr>
        <w:tc>
          <w:tcPr>
            <w:tcW w:w="1811" w:type="dxa"/>
            <w:tcBorders>
              <w:bottom w:val="single" w:sz="12" w:space="0" w:color="auto"/>
            </w:tcBorders>
          </w:tcPr>
          <w:p w14:paraId="44677C09" w14:textId="77777777" w:rsidR="00E4152E" w:rsidRPr="006600EC" w:rsidRDefault="00E4152E" w:rsidP="00933C33">
            <w:pPr>
              <w:rPr>
                <w:sz w:val="22"/>
                <w:szCs w:val="22"/>
              </w:rPr>
            </w:pPr>
            <w:r>
              <w:rPr>
                <w:sz w:val="22"/>
                <w:szCs w:val="22"/>
              </w:rPr>
              <w:t>Context dimension</w:t>
            </w:r>
          </w:p>
        </w:tc>
        <w:tc>
          <w:tcPr>
            <w:tcW w:w="1475" w:type="dxa"/>
            <w:tcBorders>
              <w:bottom w:val="single" w:sz="12" w:space="0" w:color="auto"/>
            </w:tcBorders>
          </w:tcPr>
          <w:p w14:paraId="510E4BC5" w14:textId="77777777" w:rsidR="00E4152E" w:rsidRPr="006600EC" w:rsidRDefault="00E4152E" w:rsidP="00933C33">
            <w:pPr>
              <w:rPr>
                <w:sz w:val="22"/>
                <w:szCs w:val="22"/>
              </w:rPr>
            </w:pPr>
            <w:r>
              <w:rPr>
                <w:sz w:val="22"/>
                <w:szCs w:val="22"/>
              </w:rPr>
              <w:t>Category</w:t>
            </w:r>
          </w:p>
        </w:tc>
        <w:tc>
          <w:tcPr>
            <w:tcW w:w="962" w:type="dxa"/>
            <w:tcBorders>
              <w:bottom w:val="single" w:sz="12" w:space="0" w:color="auto"/>
            </w:tcBorders>
          </w:tcPr>
          <w:p w14:paraId="2C7DB0FD" w14:textId="77777777" w:rsidR="00E4152E" w:rsidRPr="006600EC" w:rsidRDefault="00E4152E" w:rsidP="00933C33">
            <w:pPr>
              <w:jc w:val="center"/>
              <w:rPr>
                <w:sz w:val="22"/>
                <w:szCs w:val="22"/>
              </w:rPr>
            </w:pPr>
            <w:r w:rsidRPr="006600EC">
              <w:rPr>
                <w:sz w:val="22"/>
                <w:szCs w:val="22"/>
              </w:rPr>
              <w:t>Social Context</w:t>
            </w:r>
          </w:p>
        </w:tc>
        <w:tc>
          <w:tcPr>
            <w:tcW w:w="1417" w:type="dxa"/>
            <w:tcBorders>
              <w:bottom w:val="single" w:sz="12" w:space="0" w:color="auto"/>
            </w:tcBorders>
          </w:tcPr>
          <w:p w14:paraId="6CFBAD61" w14:textId="77777777" w:rsidR="00E4152E" w:rsidRPr="006600EC" w:rsidRDefault="00E4152E" w:rsidP="00933C33">
            <w:pPr>
              <w:jc w:val="center"/>
              <w:rPr>
                <w:sz w:val="22"/>
                <w:szCs w:val="22"/>
              </w:rPr>
            </w:pPr>
            <w:r>
              <w:rPr>
                <w:sz w:val="22"/>
                <w:szCs w:val="22"/>
              </w:rPr>
              <w:t xml:space="preserve">Intermediary </w:t>
            </w:r>
          </w:p>
        </w:tc>
        <w:tc>
          <w:tcPr>
            <w:tcW w:w="1418" w:type="dxa"/>
            <w:tcBorders>
              <w:bottom w:val="single" w:sz="12" w:space="0" w:color="auto"/>
            </w:tcBorders>
          </w:tcPr>
          <w:p w14:paraId="0E37496B" w14:textId="77777777" w:rsidR="00E4152E" w:rsidRPr="006600EC" w:rsidRDefault="00E4152E" w:rsidP="00933C33">
            <w:pPr>
              <w:jc w:val="center"/>
              <w:rPr>
                <w:sz w:val="22"/>
                <w:szCs w:val="22"/>
              </w:rPr>
            </w:pPr>
            <w:r>
              <w:rPr>
                <w:sz w:val="22"/>
                <w:szCs w:val="22"/>
              </w:rPr>
              <w:t>Knowledge Content</w:t>
            </w:r>
          </w:p>
        </w:tc>
        <w:tc>
          <w:tcPr>
            <w:tcW w:w="1622" w:type="dxa"/>
            <w:tcBorders>
              <w:bottom w:val="single" w:sz="12" w:space="0" w:color="auto"/>
            </w:tcBorders>
          </w:tcPr>
          <w:p w14:paraId="7A0845FD" w14:textId="00A8109E" w:rsidR="00E4152E" w:rsidRPr="006600EC" w:rsidRDefault="00B81FAC" w:rsidP="00933C33">
            <w:pPr>
              <w:jc w:val="center"/>
              <w:rPr>
                <w:b/>
                <w:sz w:val="22"/>
                <w:szCs w:val="22"/>
              </w:rPr>
            </w:pPr>
            <w:r>
              <w:rPr>
                <w:b/>
                <w:sz w:val="22"/>
                <w:szCs w:val="22"/>
              </w:rPr>
              <w:t>Average</w:t>
            </w:r>
            <w:r w:rsidR="00241F2C">
              <w:rPr>
                <w:b/>
                <w:sz w:val="22"/>
                <w:szCs w:val="22"/>
              </w:rPr>
              <w:t xml:space="preserve"> </w:t>
            </w:r>
            <w:r w:rsidR="00641CA3">
              <w:rPr>
                <w:b/>
                <w:sz w:val="22"/>
                <w:szCs w:val="22"/>
              </w:rPr>
              <w:t>typology value</w:t>
            </w:r>
          </w:p>
        </w:tc>
      </w:tr>
      <w:tr w:rsidR="00E4152E" w14:paraId="4BE3967A" w14:textId="77777777" w:rsidTr="00933C33">
        <w:trPr>
          <w:trHeight w:val="264"/>
        </w:trPr>
        <w:tc>
          <w:tcPr>
            <w:tcW w:w="1811" w:type="dxa"/>
            <w:vMerge w:val="restart"/>
            <w:tcBorders>
              <w:top w:val="single" w:sz="12" w:space="0" w:color="auto"/>
              <w:left w:val="single" w:sz="12" w:space="0" w:color="auto"/>
              <w:right w:val="single" w:sz="6" w:space="0" w:color="auto"/>
            </w:tcBorders>
            <w:shd w:val="clear" w:color="auto" w:fill="F2F2F2" w:themeFill="background1" w:themeFillShade="F2"/>
          </w:tcPr>
          <w:p w14:paraId="720335F9" w14:textId="77777777" w:rsidR="00E4152E" w:rsidRDefault="00E4152E" w:rsidP="00933C33">
            <w:pPr>
              <w:rPr>
                <w:sz w:val="22"/>
                <w:szCs w:val="22"/>
              </w:rPr>
            </w:pPr>
            <w:r>
              <w:rPr>
                <w:sz w:val="22"/>
                <w:szCs w:val="22"/>
              </w:rPr>
              <w:t>Institutional context (departmental prestige)</w:t>
            </w:r>
          </w:p>
        </w:tc>
        <w:tc>
          <w:tcPr>
            <w:tcW w:w="1475" w:type="dxa"/>
            <w:tcBorders>
              <w:top w:val="single" w:sz="12" w:space="0" w:color="auto"/>
              <w:left w:val="single" w:sz="12" w:space="0" w:color="auto"/>
              <w:bottom w:val="single" w:sz="6" w:space="0" w:color="auto"/>
              <w:right w:val="single" w:sz="6" w:space="0" w:color="auto"/>
            </w:tcBorders>
            <w:shd w:val="clear" w:color="auto" w:fill="F2F2F2" w:themeFill="background1" w:themeFillShade="F2"/>
          </w:tcPr>
          <w:p w14:paraId="003A76EA" w14:textId="77777777" w:rsidR="00E4152E" w:rsidRPr="006600EC" w:rsidRDefault="00E4152E" w:rsidP="00933C33">
            <w:pPr>
              <w:rPr>
                <w:sz w:val="22"/>
                <w:szCs w:val="22"/>
              </w:rPr>
            </w:pPr>
            <w:r>
              <w:rPr>
                <w:sz w:val="22"/>
                <w:szCs w:val="22"/>
              </w:rPr>
              <w:t>Elite</w:t>
            </w:r>
          </w:p>
        </w:tc>
        <w:tc>
          <w:tcPr>
            <w:tcW w:w="962"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5DF0A062" w14:textId="77777777" w:rsidR="00E4152E" w:rsidRPr="006600EC" w:rsidRDefault="00E4152E" w:rsidP="00933C33">
            <w:pPr>
              <w:jc w:val="center"/>
              <w:rPr>
                <w:sz w:val="22"/>
                <w:szCs w:val="22"/>
              </w:rPr>
            </w:pPr>
            <w:r>
              <w:rPr>
                <w:sz w:val="22"/>
                <w:szCs w:val="22"/>
              </w:rPr>
              <w:t>3.61</w:t>
            </w:r>
          </w:p>
        </w:tc>
        <w:tc>
          <w:tcPr>
            <w:tcW w:w="1417"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7345C457" w14:textId="77777777" w:rsidR="00E4152E" w:rsidRPr="006600EC" w:rsidRDefault="00E4152E" w:rsidP="00933C33">
            <w:pPr>
              <w:jc w:val="center"/>
              <w:rPr>
                <w:sz w:val="22"/>
                <w:szCs w:val="22"/>
              </w:rPr>
            </w:pPr>
            <w:r>
              <w:rPr>
                <w:sz w:val="22"/>
                <w:szCs w:val="22"/>
              </w:rPr>
              <w:t>2.15</w:t>
            </w:r>
          </w:p>
        </w:tc>
        <w:tc>
          <w:tcPr>
            <w:tcW w:w="1418"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568A25AE" w14:textId="77777777" w:rsidR="00E4152E" w:rsidRPr="006600EC" w:rsidRDefault="00E4152E" w:rsidP="00933C33">
            <w:pPr>
              <w:jc w:val="center"/>
              <w:rPr>
                <w:sz w:val="22"/>
                <w:szCs w:val="22"/>
              </w:rPr>
            </w:pPr>
            <w:r>
              <w:rPr>
                <w:sz w:val="22"/>
                <w:szCs w:val="22"/>
              </w:rPr>
              <w:t>1.45</w:t>
            </w:r>
          </w:p>
        </w:tc>
        <w:tc>
          <w:tcPr>
            <w:tcW w:w="1622" w:type="dxa"/>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0CD46998" w14:textId="77777777" w:rsidR="00E4152E" w:rsidRPr="00A901EF" w:rsidRDefault="00E4152E" w:rsidP="00933C33">
            <w:pPr>
              <w:jc w:val="center"/>
              <w:rPr>
                <w:b/>
                <w:sz w:val="22"/>
                <w:szCs w:val="22"/>
              </w:rPr>
            </w:pPr>
            <w:r w:rsidRPr="00A901EF">
              <w:rPr>
                <w:b/>
                <w:sz w:val="22"/>
                <w:szCs w:val="22"/>
              </w:rPr>
              <w:t>2.4</w:t>
            </w:r>
          </w:p>
        </w:tc>
      </w:tr>
      <w:tr w:rsidR="00E4152E" w14:paraId="29A0AE13" w14:textId="77777777" w:rsidTr="00933C33">
        <w:trPr>
          <w:trHeight w:val="516"/>
        </w:trPr>
        <w:tc>
          <w:tcPr>
            <w:tcW w:w="1811" w:type="dxa"/>
            <w:vMerge/>
            <w:tcBorders>
              <w:left w:val="single" w:sz="12" w:space="0" w:color="auto"/>
              <w:right w:val="single" w:sz="6" w:space="0" w:color="auto"/>
            </w:tcBorders>
            <w:shd w:val="clear" w:color="auto" w:fill="F2F2F2" w:themeFill="background1" w:themeFillShade="F2"/>
          </w:tcPr>
          <w:p w14:paraId="7510B13D" w14:textId="77777777" w:rsidR="00E4152E" w:rsidRDefault="00E4152E" w:rsidP="00933C33">
            <w:pPr>
              <w:rPr>
                <w:sz w:val="22"/>
                <w:szCs w:val="22"/>
              </w:rPr>
            </w:pPr>
          </w:p>
        </w:tc>
        <w:tc>
          <w:tcPr>
            <w:tcW w:w="1475" w:type="dxa"/>
            <w:tcBorders>
              <w:top w:val="single" w:sz="6" w:space="0" w:color="auto"/>
              <w:left w:val="single" w:sz="12" w:space="0" w:color="auto"/>
              <w:bottom w:val="single" w:sz="6" w:space="0" w:color="auto"/>
              <w:right w:val="single" w:sz="6" w:space="0" w:color="auto"/>
            </w:tcBorders>
            <w:shd w:val="clear" w:color="auto" w:fill="F2F2F2" w:themeFill="background1" w:themeFillShade="F2"/>
          </w:tcPr>
          <w:p w14:paraId="1C6C7915" w14:textId="77777777" w:rsidR="00E4152E" w:rsidRPr="006600EC" w:rsidRDefault="00E4152E" w:rsidP="00933C33">
            <w:pPr>
              <w:rPr>
                <w:sz w:val="22"/>
                <w:szCs w:val="22"/>
              </w:rPr>
            </w:pPr>
            <w:r>
              <w:rPr>
                <w:sz w:val="22"/>
                <w:szCs w:val="22"/>
              </w:rPr>
              <w:t>‘More’ prestigious</w:t>
            </w:r>
          </w:p>
        </w:tc>
        <w:tc>
          <w:tcPr>
            <w:tcW w:w="96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86DE14A" w14:textId="77777777" w:rsidR="00E4152E" w:rsidRPr="006600EC" w:rsidRDefault="00E4152E" w:rsidP="00933C33">
            <w:pPr>
              <w:jc w:val="center"/>
              <w:rPr>
                <w:sz w:val="22"/>
                <w:szCs w:val="22"/>
              </w:rPr>
            </w:pPr>
            <w:r>
              <w:rPr>
                <w:sz w:val="22"/>
                <w:szCs w:val="22"/>
              </w:rPr>
              <w:t>3.4</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A68925F" w14:textId="77777777" w:rsidR="00E4152E" w:rsidRPr="006600EC" w:rsidRDefault="00E4152E" w:rsidP="00933C33">
            <w:pPr>
              <w:jc w:val="center"/>
              <w:rPr>
                <w:sz w:val="22"/>
                <w:szCs w:val="22"/>
              </w:rPr>
            </w:pPr>
            <w:r>
              <w:rPr>
                <w:sz w:val="22"/>
                <w:szCs w:val="22"/>
              </w:rPr>
              <w:t>2.46</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8C43316" w14:textId="77777777" w:rsidR="00E4152E" w:rsidRPr="006600EC" w:rsidRDefault="00E4152E" w:rsidP="00933C33">
            <w:pPr>
              <w:jc w:val="center"/>
              <w:rPr>
                <w:sz w:val="22"/>
                <w:szCs w:val="22"/>
              </w:rPr>
            </w:pPr>
            <w:r>
              <w:rPr>
                <w:sz w:val="22"/>
                <w:szCs w:val="22"/>
              </w:rPr>
              <w:t>1.54</w:t>
            </w:r>
          </w:p>
        </w:tc>
        <w:tc>
          <w:tcPr>
            <w:tcW w:w="1622"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tcPr>
          <w:p w14:paraId="39E88E1C" w14:textId="77777777" w:rsidR="00E4152E" w:rsidRPr="00A901EF" w:rsidRDefault="00E4152E" w:rsidP="00933C33">
            <w:pPr>
              <w:jc w:val="center"/>
              <w:rPr>
                <w:b/>
                <w:sz w:val="22"/>
                <w:szCs w:val="22"/>
              </w:rPr>
            </w:pPr>
            <w:r w:rsidRPr="00A901EF">
              <w:rPr>
                <w:b/>
                <w:sz w:val="22"/>
                <w:szCs w:val="22"/>
              </w:rPr>
              <w:t>2.53</w:t>
            </w:r>
          </w:p>
        </w:tc>
      </w:tr>
      <w:tr w:rsidR="00E4152E" w14:paraId="077B0525" w14:textId="77777777" w:rsidTr="00933C33">
        <w:trPr>
          <w:trHeight w:val="529"/>
        </w:trPr>
        <w:tc>
          <w:tcPr>
            <w:tcW w:w="1811" w:type="dxa"/>
            <w:vMerge/>
            <w:tcBorders>
              <w:left w:val="single" w:sz="12" w:space="0" w:color="auto"/>
              <w:bottom w:val="single" w:sz="12" w:space="0" w:color="auto"/>
              <w:right w:val="single" w:sz="6" w:space="0" w:color="auto"/>
            </w:tcBorders>
            <w:shd w:val="clear" w:color="auto" w:fill="F2F2F2" w:themeFill="background1" w:themeFillShade="F2"/>
          </w:tcPr>
          <w:p w14:paraId="1442E9F1" w14:textId="77777777" w:rsidR="00E4152E" w:rsidRDefault="00E4152E" w:rsidP="00933C33">
            <w:pPr>
              <w:rPr>
                <w:sz w:val="22"/>
                <w:szCs w:val="22"/>
              </w:rPr>
            </w:pPr>
          </w:p>
        </w:tc>
        <w:tc>
          <w:tcPr>
            <w:tcW w:w="1475" w:type="dxa"/>
            <w:tcBorders>
              <w:top w:val="single" w:sz="6" w:space="0" w:color="auto"/>
              <w:left w:val="single" w:sz="12" w:space="0" w:color="auto"/>
              <w:bottom w:val="single" w:sz="12" w:space="0" w:color="auto"/>
              <w:right w:val="single" w:sz="6" w:space="0" w:color="auto"/>
            </w:tcBorders>
            <w:shd w:val="clear" w:color="auto" w:fill="F2F2F2" w:themeFill="background1" w:themeFillShade="F2"/>
          </w:tcPr>
          <w:p w14:paraId="661590A0" w14:textId="77777777" w:rsidR="00E4152E" w:rsidRPr="006600EC" w:rsidRDefault="00E4152E" w:rsidP="00933C33">
            <w:pPr>
              <w:rPr>
                <w:sz w:val="22"/>
                <w:szCs w:val="22"/>
              </w:rPr>
            </w:pPr>
            <w:r>
              <w:rPr>
                <w:sz w:val="22"/>
                <w:szCs w:val="22"/>
              </w:rPr>
              <w:t>‘Less’ prestigious</w:t>
            </w:r>
          </w:p>
        </w:tc>
        <w:tc>
          <w:tcPr>
            <w:tcW w:w="962" w:type="dxa"/>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645A2E4D" w14:textId="77777777" w:rsidR="00E4152E" w:rsidRPr="006600EC" w:rsidRDefault="00E4152E" w:rsidP="00933C33">
            <w:pPr>
              <w:jc w:val="center"/>
              <w:rPr>
                <w:sz w:val="22"/>
                <w:szCs w:val="22"/>
              </w:rPr>
            </w:pPr>
            <w:r>
              <w:rPr>
                <w:sz w:val="22"/>
                <w:szCs w:val="22"/>
              </w:rPr>
              <w:t>3.49</w:t>
            </w:r>
          </w:p>
        </w:tc>
        <w:tc>
          <w:tcPr>
            <w:tcW w:w="1417" w:type="dxa"/>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72AF3A8D" w14:textId="77777777" w:rsidR="00E4152E" w:rsidRPr="006600EC" w:rsidRDefault="00E4152E" w:rsidP="00933C33">
            <w:pPr>
              <w:jc w:val="center"/>
              <w:rPr>
                <w:sz w:val="22"/>
                <w:szCs w:val="22"/>
              </w:rPr>
            </w:pPr>
            <w:r>
              <w:rPr>
                <w:sz w:val="22"/>
                <w:szCs w:val="22"/>
              </w:rPr>
              <w:t>2.63</w:t>
            </w:r>
          </w:p>
        </w:tc>
        <w:tc>
          <w:tcPr>
            <w:tcW w:w="1418" w:type="dxa"/>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476639B8" w14:textId="77777777" w:rsidR="00E4152E" w:rsidRPr="006600EC" w:rsidRDefault="00E4152E" w:rsidP="00933C33">
            <w:pPr>
              <w:jc w:val="center"/>
              <w:rPr>
                <w:sz w:val="22"/>
                <w:szCs w:val="22"/>
              </w:rPr>
            </w:pPr>
            <w:r>
              <w:rPr>
                <w:sz w:val="22"/>
                <w:szCs w:val="22"/>
              </w:rPr>
              <w:t>1.78</w:t>
            </w:r>
          </w:p>
        </w:tc>
        <w:tc>
          <w:tcPr>
            <w:tcW w:w="1622" w:type="dxa"/>
            <w:tcBorders>
              <w:top w:val="single" w:sz="6" w:space="0" w:color="auto"/>
              <w:left w:val="single" w:sz="6" w:space="0" w:color="auto"/>
              <w:bottom w:val="single" w:sz="12" w:space="0" w:color="auto"/>
              <w:right w:val="single" w:sz="12" w:space="0" w:color="auto"/>
            </w:tcBorders>
            <w:shd w:val="clear" w:color="auto" w:fill="F2F2F2" w:themeFill="background1" w:themeFillShade="F2"/>
            <w:vAlign w:val="center"/>
          </w:tcPr>
          <w:p w14:paraId="37C1237B" w14:textId="77777777" w:rsidR="00E4152E" w:rsidRPr="00A901EF" w:rsidRDefault="00E4152E" w:rsidP="00933C33">
            <w:pPr>
              <w:jc w:val="center"/>
              <w:rPr>
                <w:b/>
                <w:sz w:val="22"/>
                <w:szCs w:val="22"/>
              </w:rPr>
            </w:pPr>
            <w:r w:rsidRPr="00A901EF">
              <w:rPr>
                <w:b/>
                <w:sz w:val="22"/>
                <w:szCs w:val="22"/>
              </w:rPr>
              <w:t>2.69</w:t>
            </w:r>
          </w:p>
        </w:tc>
      </w:tr>
      <w:tr w:rsidR="00E4152E" w14:paraId="7F08DA47" w14:textId="77777777" w:rsidTr="00933C33">
        <w:trPr>
          <w:trHeight w:val="264"/>
        </w:trPr>
        <w:tc>
          <w:tcPr>
            <w:tcW w:w="1811" w:type="dxa"/>
            <w:vMerge w:val="restart"/>
            <w:tcBorders>
              <w:top w:val="single" w:sz="12" w:space="0" w:color="auto"/>
              <w:left w:val="single" w:sz="12" w:space="0" w:color="auto"/>
              <w:right w:val="single" w:sz="6" w:space="0" w:color="auto"/>
            </w:tcBorders>
            <w:shd w:val="clear" w:color="auto" w:fill="D9D9D9" w:themeFill="background1" w:themeFillShade="D9"/>
          </w:tcPr>
          <w:p w14:paraId="15811FA8" w14:textId="77777777" w:rsidR="00E4152E" w:rsidRDefault="00E4152E" w:rsidP="00933C33">
            <w:pPr>
              <w:rPr>
                <w:sz w:val="22"/>
                <w:szCs w:val="22"/>
              </w:rPr>
            </w:pPr>
            <w:r>
              <w:rPr>
                <w:sz w:val="22"/>
                <w:szCs w:val="22"/>
              </w:rPr>
              <w:t>Epistemic context (branch of science)</w:t>
            </w:r>
          </w:p>
        </w:tc>
        <w:tc>
          <w:tcPr>
            <w:tcW w:w="1475"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14:paraId="15A820E3" w14:textId="77777777" w:rsidR="00E4152E" w:rsidRPr="006600EC" w:rsidRDefault="00E4152E" w:rsidP="00933C33">
            <w:pPr>
              <w:rPr>
                <w:sz w:val="22"/>
                <w:szCs w:val="22"/>
              </w:rPr>
            </w:pPr>
            <w:r>
              <w:rPr>
                <w:sz w:val="22"/>
                <w:szCs w:val="22"/>
              </w:rPr>
              <w:t>Life</w:t>
            </w:r>
          </w:p>
        </w:tc>
        <w:tc>
          <w:tcPr>
            <w:tcW w:w="962"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6E02686C" w14:textId="77777777" w:rsidR="00E4152E" w:rsidRPr="006600EC" w:rsidRDefault="00E4152E" w:rsidP="00933C33">
            <w:pPr>
              <w:jc w:val="center"/>
              <w:rPr>
                <w:sz w:val="22"/>
                <w:szCs w:val="22"/>
              </w:rPr>
            </w:pPr>
            <w:r>
              <w:rPr>
                <w:sz w:val="22"/>
                <w:szCs w:val="22"/>
              </w:rPr>
              <w:t>3.17</w:t>
            </w:r>
          </w:p>
        </w:tc>
        <w:tc>
          <w:tcPr>
            <w:tcW w:w="1417"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6D6CEDC5" w14:textId="77777777" w:rsidR="00E4152E" w:rsidRPr="006600EC" w:rsidRDefault="00E4152E" w:rsidP="00933C33">
            <w:pPr>
              <w:jc w:val="center"/>
              <w:rPr>
                <w:sz w:val="22"/>
                <w:szCs w:val="22"/>
              </w:rPr>
            </w:pPr>
            <w:r>
              <w:rPr>
                <w:sz w:val="22"/>
                <w:szCs w:val="22"/>
              </w:rPr>
              <w:t>2.42</w:t>
            </w:r>
          </w:p>
        </w:tc>
        <w:tc>
          <w:tcPr>
            <w:tcW w:w="1418"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06EA8632" w14:textId="77777777" w:rsidR="00E4152E" w:rsidRPr="006600EC" w:rsidRDefault="00E4152E" w:rsidP="00933C33">
            <w:pPr>
              <w:jc w:val="center"/>
              <w:rPr>
                <w:sz w:val="22"/>
                <w:szCs w:val="22"/>
              </w:rPr>
            </w:pPr>
            <w:r>
              <w:rPr>
                <w:sz w:val="22"/>
                <w:szCs w:val="22"/>
              </w:rPr>
              <w:t>1.72</w:t>
            </w:r>
          </w:p>
        </w:tc>
        <w:tc>
          <w:tcPr>
            <w:tcW w:w="1622" w:type="dxa"/>
            <w:tcBorders>
              <w:top w:val="single" w:sz="12" w:space="0" w:color="auto"/>
              <w:left w:val="single" w:sz="6" w:space="0" w:color="auto"/>
              <w:bottom w:val="single" w:sz="6" w:space="0" w:color="auto"/>
              <w:right w:val="single" w:sz="12" w:space="0" w:color="auto"/>
            </w:tcBorders>
            <w:shd w:val="clear" w:color="auto" w:fill="D9D9D9" w:themeFill="background1" w:themeFillShade="D9"/>
          </w:tcPr>
          <w:p w14:paraId="6E2AE7BB" w14:textId="77777777" w:rsidR="00E4152E" w:rsidRPr="00CE281A" w:rsidRDefault="00E4152E" w:rsidP="00933C33">
            <w:pPr>
              <w:jc w:val="center"/>
              <w:rPr>
                <w:b/>
                <w:sz w:val="22"/>
                <w:szCs w:val="22"/>
              </w:rPr>
            </w:pPr>
            <w:r>
              <w:rPr>
                <w:b/>
                <w:sz w:val="22"/>
                <w:szCs w:val="22"/>
              </w:rPr>
              <w:t>2.48</w:t>
            </w:r>
          </w:p>
        </w:tc>
      </w:tr>
      <w:tr w:rsidR="00E4152E" w14:paraId="05787FF3" w14:textId="77777777" w:rsidTr="00933C33">
        <w:trPr>
          <w:trHeight w:val="264"/>
        </w:trPr>
        <w:tc>
          <w:tcPr>
            <w:tcW w:w="1811" w:type="dxa"/>
            <w:vMerge/>
            <w:tcBorders>
              <w:left w:val="single" w:sz="12" w:space="0" w:color="auto"/>
              <w:right w:val="single" w:sz="6" w:space="0" w:color="auto"/>
            </w:tcBorders>
            <w:shd w:val="clear" w:color="auto" w:fill="D9D9D9" w:themeFill="background1" w:themeFillShade="D9"/>
          </w:tcPr>
          <w:p w14:paraId="11AAE4FC" w14:textId="77777777" w:rsidR="00E4152E" w:rsidRDefault="00E4152E" w:rsidP="00933C33">
            <w:pPr>
              <w:rPr>
                <w:sz w:val="22"/>
                <w:szCs w:val="22"/>
              </w:rPr>
            </w:pPr>
          </w:p>
        </w:tc>
        <w:tc>
          <w:tcPr>
            <w:tcW w:w="1475"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641F4F84" w14:textId="77777777" w:rsidR="00E4152E" w:rsidRPr="006600EC" w:rsidRDefault="00E4152E" w:rsidP="00933C33">
            <w:pPr>
              <w:rPr>
                <w:sz w:val="22"/>
                <w:szCs w:val="22"/>
              </w:rPr>
            </w:pPr>
            <w:r>
              <w:rPr>
                <w:sz w:val="22"/>
                <w:szCs w:val="22"/>
              </w:rPr>
              <w:t>Natural</w:t>
            </w:r>
          </w:p>
        </w:tc>
        <w:tc>
          <w:tcPr>
            <w:tcW w:w="9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03A6F18" w14:textId="77777777" w:rsidR="00E4152E" w:rsidRPr="006600EC" w:rsidRDefault="00E4152E" w:rsidP="00933C33">
            <w:pPr>
              <w:jc w:val="center"/>
              <w:rPr>
                <w:sz w:val="22"/>
                <w:szCs w:val="22"/>
              </w:rPr>
            </w:pPr>
            <w:r>
              <w:rPr>
                <w:sz w:val="22"/>
                <w:szCs w:val="22"/>
              </w:rPr>
              <w:t>3.44</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C4B405" w14:textId="77777777" w:rsidR="00E4152E" w:rsidRPr="006600EC" w:rsidRDefault="00E4152E" w:rsidP="00933C33">
            <w:pPr>
              <w:jc w:val="center"/>
              <w:rPr>
                <w:sz w:val="22"/>
                <w:szCs w:val="22"/>
              </w:rPr>
            </w:pPr>
            <w:r>
              <w:rPr>
                <w:sz w:val="22"/>
                <w:szCs w:val="22"/>
              </w:rPr>
              <w:t>2.39</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3B2EE3" w14:textId="77777777" w:rsidR="00E4152E" w:rsidRPr="006600EC" w:rsidRDefault="00E4152E" w:rsidP="00933C33">
            <w:pPr>
              <w:jc w:val="center"/>
              <w:rPr>
                <w:sz w:val="22"/>
                <w:szCs w:val="22"/>
              </w:rPr>
            </w:pPr>
            <w:r>
              <w:rPr>
                <w:sz w:val="22"/>
                <w:szCs w:val="22"/>
              </w:rPr>
              <w:t>1.65</w:t>
            </w:r>
          </w:p>
        </w:tc>
        <w:tc>
          <w:tcPr>
            <w:tcW w:w="1622"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768272BC" w14:textId="77777777" w:rsidR="00E4152E" w:rsidRPr="00CE281A" w:rsidRDefault="00E4152E" w:rsidP="00933C33">
            <w:pPr>
              <w:jc w:val="center"/>
              <w:rPr>
                <w:b/>
                <w:sz w:val="22"/>
                <w:szCs w:val="22"/>
              </w:rPr>
            </w:pPr>
            <w:r>
              <w:rPr>
                <w:b/>
                <w:sz w:val="22"/>
                <w:szCs w:val="22"/>
              </w:rPr>
              <w:t>2.52</w:t>
            </w:r>
          </w:p>
        </w:tc>
      </w:tr>
      <w:tr w:rsidR="00E4152E" w14:paraId="0542E31A" w14:textId="77777777" w:rsidTr="00933C33">
        <w:trPr>
          <w:trHeight w:val="264"/>
        </w:trPr>
        <w:tc>
          <w:tcPr>
            <w:tcW w:w="1811" w:type="dxa"/>
            <w:vMerge/>
            <w:tcBorders>
              <w:left w:val="single" w:sz="12" w:space="0" w:color="auto"/>
              <w:bottom w:val="single" w:sz="12" w:space="0" w:color="auto"/>
              <w:right w:val="single" w:sz="6" w:space="0" w:color="auto"/>
            </w:tcBorders>
            <w:shd w:val="clear" w:color="auto" w:fill="D9D9D9" w:themeFill="background1" w:themeFillShade="D9"/>
          </w:tcPr>
          <w:p w14:paraId="7AD1453F" w14:textId="77777777" w:rsidR="00E4152E" w:rsidRDefault="00E4152E" w:rsidP="00933C33">
            <w:pPr>
              <w:rPr>
                <w:sz w:val="22"/>
                <w:szCs w:val="22"/>
              </w:rPr>
            </w:pPr>
          </w:p>
        </w:tc>
        <w:tc>
          <w:tcPr>
            <w:tcW w:w="1475"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14:paraId="495A7606" w14:textId="77777777" w:rsidR="00E4152E" w:rsidRPr="006600EC" w:rsidRDefault="00E4152E" w:rsidP="00933C33">
            <w:pPr>
              <w:rPr>
                <w:sz w:val="22"/>
                <w:szCs w:val="22"/>
              </w:rPr>
            </w:pPr>
            <w:r>
              <w:rPr>
                <w:sz w:val="22"/>
                <w:szCs w:val="22"/>
              </w:rPr>
              <w:t>Formal</w:t>
            </w:r>
          </w:p>
        </w:tc>
        <w:tc>
          <w:tcPr>
            <w:tcW w:w="96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14:paraId="2E6EB300" w14:textId="77777777" w:rsidR="00E4152E" w:rsidRPr="006600EC" w:rsidRDefault="00E4152E" w:rsidP="00933C33">
            <w:pPr>
              <w:jc w:val="center"/>
              <w:rPr>
                <w:sz w:val="22"/>
                <w:szCs w:val="22"/>
              </w:rPr>
            </w:pPr>
            <w:r>
              <w:rPr>
                <w:sz w:val="22"/>
                <w:szCs w:val="22"/>
              </w:rPr>
              <w:t>3.92</w:t>
            </w:r>
          </w:p>
        </w:tc>
        <w:tc>
          <w:tcPr>
            <w:tcW w:w="1417"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14:paraId="67D5D346" w14:textId="77777777" w:rsidR="00E4152E" w:rsidRPr="006600EC" w:rsidRDefault="00E4152E" w:rsidP="00933C33">
            <w:pPr>
              <w:jc w:val="center"/>
              <w:rPr>
                <w:sz w:val="22"/>
                <w:szCs w:val="22"/>
              </w:rPr>
            </w:pPr>
            <w:r>
              <w:rPr>
                <w:sz w:val="22"/>
                <w:szCs w:val="22"/>
              </w:rPr>
              <w:t>2.46</w:t>
            </w: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14:paraId="11172130" w14:textId="77777777" w:rsidR="00E4152E" w:rsidRPr="006600EC" w:rsidRDefault="00E4152E" w:rsidP="00933C33">
            <w:pPr>
              <w:jc w:val="center"/>
              <w:rPr>
                <w:sz w:val="22"/>
                <w:szCs w:val="22"/>
              </w:rPr>
            </w:pPr>
            <w:r>
              <w:rPr>
                <w:sz w:val="22"/>
                <w:szCs w:val="22"/>
              </w:rPr>
              <w:t>1.46</w:t>
            </w:r>
          </w:p>
        </w:tc>
        <w:tc>
          <w:tcPr>
            <w:tcW w:w="162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3F60F279" w14:textId="77777777" w:rsidR="00E4152E" w:rsidRPr="00CE281A" w:rsidRDefault="00E4152E" w:rsidP="00933C33">
            <w:pPr>
              <w:jc w:val="center"/>
              <w:rPr>
                <w:b/>
                <w:sz w:val="22"/>
                <w:szCs w:val="22"/>
              </w:rPr>
            </w:pPr>
            <w:r>
              <w:rPr>
                <w:b/>
                <w:sz w:val="22"/>
                <w:szCs w:val="22"/>
              </w:rPr>
              <w:t>2.64</w:t>
            </w:r>
          </w:p>
        </w:tc>
      </w:tr>
      <w:tr w:rsidR="00E4152E" w14:paraId="77C38146" w14:textId="77777777" w:rsidTr="00933C33">
        <w:trPr>
          <w:trHeight w:val="264"/>
        </w:trPr>
        <w:tc>
          <w:tcPr>
            <w:tcW w:w="1811" w:type="dxa"/>
            <w:vMerge w:val="restart"/>
            <w:tcBorders>
              <w:top w:val="single" w:sz="12" w:space="0" w:color="auto"/>
              <w:left w:val="single" w:sz="12" w:space="0" w:color="auto"/>
              <w:right w:val="single" w:sz="6" w:space="0" w:color="auto"/>
            </w:tcBorders>
            <w:shd w:val="clear" w:color="auto" w:fill="A6A6A6" w:themeFill="background1" w:themeFillShade="A6"/>
          </w:tcPr>
          <w:p w14:paraId="720F196F" w14:textId="77777777" w:rsidR="00E4152E" w:rsidRDefault="00E4152E" w:rsidP="00933C33">
            <w:pPr>
              <w:rPr>
                <w:sz w:val="22"/>
                <w:szCs w:val="22"/>
              </w:rPr>
            </w:pPr>
            <w:r>
              <w:rPr>
                <w:sz w:val="22"/>
                <w:szCs w:val="22"/>
              </w:rPr>
              <w:t>Epistemic context (orientation of discipline)</w:t>
            </w:r>
          </w:p>
        </w:tc>
        <w:tc>
          <w:tcPr>
            <w:tcW w:w="1475" w:type="dxa"/>
            <w:tcBorders>
              <w:top w:val="single" w:sz="12" w:space="0" w:color="auto"/>
              <w:left w:val="single" w:sz="12" w:space="0" w:color="auto"/>
              <w:bottom w:val="single" w:sz="6" w:space="0" w:color="auto"/>
              <w:right w:val="single" w:sz="6" w:space="0" w:color="auto"/>
            </w:tcBorders>
            <w:shd w:val="clear" w:color="auto" w:fill="A6A6A6" w:themeFill="background1" w:themeFillShade="A6"/>
          </w:tcPr>
          <w:p w14:paraId="484FB1FB" w14:textId="77777777" w:rsidR="00E4152E" w:rsidRPr="006600EC" w:rsidRDefault="00E4152E" w:rsidP="00933C33">
            <w:pPr>
              <w:rPr>
                <w:sz w:val="22"/>
                <w:szCs w:val="22"/>
              </w:rPr>
            </w:pPr>
            <w:r>
              <w:rPr>
                <w:sz w:val="22"/>
                <w:szCs w:val="22"/>
              </w:rPr>
              <w:t>Basic/Applied</w:t>
            </w:r>
          </w:p>
        </w:tc>
        <w:tc>
          <w:tcPr>
            <w:tcW w:w="962" w:type="dxa"/>
            <w:tcBorders>
              <w:top w:val="single" w:sz="12" w:space="0" w:color="auto"/>
              <w:left w:val="single" w:sz="6" w:space="0" w:color="auto"/>
              <w:bottom w:val="single" w:sz="6" w:space="0" w:color="auto"/>
              <w:right w:val="single" w:sz="6" w:space="0" w:color="auto"/>
            </w:tcBorders>
            <w:shd w:val="clear" w:color="auto" w:fill="A6A6A6" w:themeFill="background1" w:themeFillShade="A6"/>
          </w:tcPr>
          <w:p w14:paraId="346BD15C" w14:textId="77777777" w:rsidR="00E4152E" w:rsidRPr="006600EC" w:rsidRDefault="00E4152E" w:rsidP="00933C33">
            <w:pPr>
              <w:jc w:val="center"/>
              <w:rPr>
                <w:sz w:val="22"/>
                <w:szCs w:val="22"/>
              </w:rPr>
            </w:pPr>
            <w:r>
              <w:rPr>
                <w:sz w:val="22"/>
                <w:szCs w:val="22"/>
              </w:rPr>
              <w:t>3.06</w:t>
            </w:r>
          </w:p>
        </w:tc>
        <w:tc>
          <w:tcPr>
            <w:tcW w:w="1417" w:type="dxa"/>
            <w:tcBorders>
              <w:top w:val="single" w:sz="12" w:space="0" w:color="auto"/>
              <w:left w:val="single" w:sz="6" w:space="0" w:color="auto"/>
              <w:bottom w:val="single" w:sz="6" w:space="0" w:color="auto"/>
              <w:right w:val="single" w:sz="6" w:space="0" w:color="auto"/>
            </w:tcBorders>
            <w:shd w:val="clear" w:color="auto" w:fill="A6A6A6" w:themeFill="background1" w:themeFillShade="A6"/>
          </w:tcPr>
          <w:p w14:paraId="274B94D5" w14:textId="77777777" w:rsidR="00E4152E" w:rsidRPr="006600EC" w:rsidRDefault="00E4152E" w:rsidP="00933C33">
            <w:pPr>
              <w:jc w:val="center"/>
              <w:rPr>
                <w:sz w:val="22"/>
                <w:szCs w:val="22"/>
              </w:rPr>
            </w:pPr>
            <w:r>
              <w:rPr>
                <w:sz w:val="22"/>
                <w:szCs w:val="22"/>
              </w:rPr>
              <w:t>2.3</w:t>
            </w:r>
          </w:p>
        </w:tc>
        <w:tc>
          <w:tcPr>
            <w:tcW w:w="1418" w:type="dxa"/>
            <w:tcBorders>
              <w:top w:val="single" w:sz="12" w:space="0" w:color="auto"/>
              <w:left w:val="single" w:sz="6" w:space="0" w:color="auto"/>
              <w:bottom w:val="single" w:sz="6" w:space="0" w:color="auto"/>
              <w:right w:val="single" w:sz="6" w:space="0" w:color="auto"/>
            </w:tcBorders>
            <w:shd w:val="clear" w:color="auto" w:fill="A6A6A6" w:themeFill="background1" w:themeFillShade="A6"/>
          </w:tcPr>
          <w:p w14:paraId="19998420" w14:textId="77777777" w:rsidR="00E4152E" w:rsidRPr="006600EC" w:rsidRDefault="00E4152E" w:rsidP="00933C33">
            <w:pPr>
              <w:jc w:val="center"/>
              <w:rPr>
                <w:sz w:val="22"/>
                <w:szCs w:val="22"/>
              </w:rPr>
            </w:pPr>
            <w:r>
              <w:rPr>
                <w:sz w:val="22"/>
                <w:szCs w:val="22"/>
              </w:rPr>
              <w:t>1.78</w:t>
            </w:r>
          </w:p>
        </w:tc>
        <w:tc>
          <w:tcPr>
            <w:tcW w:w="1622" w:type="dxa"/>
            <w:tcBorders>
              <w:top w:val="single" w:sz="12" w:space="0" w:color="auto"/>
              <w:left w:val="single" w:sz="6" w:space="0" w:color="auto"/>
              <w:bottom w:val="single" w:sz="6" w:space="0" w:color="auto"/>
              <w:right w:val="single" w:sz="12" w:space="0" w:color="auto"/>
            </w:tcBorders>
            <w:shd w:val="clear" w:color="auto" w:fill="A6A6A6" w:themeFill="background1" w:themeFillShade="A6"/>
          </w:tcPr>
          <w:p w14:paraId="316E83D0" w14:textId="77777777" w:rsidR="00E4152E" w:rsidRPr="00CE281A" w:rsidRDefault="00E4152E" w:rsidP="00933C33">
            <w:pPr>
              <w:jc w:val="center"/>
              <w:rPr>
                <w:b/>
                <w:sz w:val="22"/>
                <w:szCs w:val="22"/>
              </w:rPr>
            </w:pPr>
            <w:r>
              <w:rPr>
                <w:b/>
                <w:sz w:val="22"/>
                <w:szCs w:val="22"/>
              </w:rPr>
              <w:t>2.4</w:t>
            </w:r>
          </w:p>
        </w:tc>
      </w:tr>
      <w:tr w:rsidR="00E4152E" w14:paraId="189544C5" w14:textId="77777777" w:rsidTr="00933C33">
        <w:trPr>
          <w:trHeight w:val="264"/>
        </w:trPr>
        <w:tc>
          <w:tcPr>
            <w:tcW w:w="1811" w:type="dxa"/>
            <w:vMerge/>
            <w:tcBorders>
              <w:left w:val="single" w:sz="12" w:space="0" w:color="auto"/>
              <w:right w:val="single" w:sz="6" w:space="0" w:color="auto"/>
            </w:tcBorders>
            <w:shd w:val="clear" w:color="auto" w:fill="A6A6A6" w:themeFill="background1" w:themeFillShade="A6"/>
          </w:tcPr>
          <w:p w14:paraId="22435BE8" w14:textId="77777777" w:rsidR="00E4152E" w:rsidRDefault="00E4152E" w:rsidP="00933C33">
            <w:pPr>
              <w:rPr>
                <w:sz w:val="22"/>
                <w:szCs w:val="22"/>
              </w:rPr>
            </w:pPr>
          </w:p>
        </w:tc>
        <w:tc>
          <w:tcPr>
            <w:tcW w:w="1475" w:type="dxa"/>
            <w:tcBorders>
              <w:top w:val="single" w:sz="6" w:space="0" w:color="auto"/>
              <w:left w:val="single" w:sz="12" w:space="0" w:color="auto"/>
              <w:bottom w:val="single" w:sz="6" w:space="0" w:color="auto"/>
              <w:right w:val="single" w:sz="6" w:space="0" w:color="auto"/>
            </w:tcBorders>
            <w:shd w:val="clear" w:color="auto" w:fill="A6A6A6" w:themeFill="background1" w:themeFillShade="A6"/>
          </w:tcPr>
          <w:p w14:paraId="0D29A854" w14:textId="77777777" w:rsidR="00E4152E" w:rsidRPr="006600EC" w:rsidRDefault="00E4152E" w:rsidP="00933C33">
            <w:pPr>
              <w:rPr>
                <w:sz w:val="22"/>
                <w:szCs w:val="22"/>
              </w:rPr>
            </w:pPr>
            <w:r>
              <w:rPr>
                <w:sz w:val="22"/>
                <w:szCs w:val="22"/>
              </w:rPr>
              <w:t>Basic</w:t>
            </w:r>
          </w:p>
        </w:tc>
        <w:tc>
          <w:tcPr>
            <w:tcW w:w="962"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22B5837" w14:textId="77777777" w:rsidR="00E4152E" w:rsidRPr="006600EC" w:rsidRDefault="00E4152E" w:rsidP="00933C33">
            <w:pPr>
              <w:jc w:val="center"/>
              <w:rPr>
                <w:sz w:val="22"/>
                <w:szCs w:val="22"/>
              </w:rPr>
            </w:pPr>
            <w:r>
              <w:rPr>
                <w:sz w:val="22"/>
                <w:szCs w:val="22"/>
              </w:rPr>
              <w:t>3.24</w:t>
            </w:r>
          </w:p>
        </w:tc>
        <w:tc>
          <w:tcPr>
            <w:tcW w:w="1417"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23E3E437" w14:textId="77777777" w:rsidR="00E4152E" w:rsidRPr="006600EC" w:rsidRDefault="00E4152E" w:rsidP="00933C33">
            <w:pPr>
              <w:jc w:val="center"/>
              <w:rPr>
                <w:sz w:val="22"/>
                <w:szCs w:val="22"/>
              </w:rPr>
            </w:pPr>
            <w:r>
              <w:rPr>
                <w:sz w:val="22"/>
                <w:szCs w:val="22"/>
              </w:rPr>
              <w:t>2.37</w:t>
            </w:r>
          </w:p>
        </w:tc>
        <w:tc>
          <w:tcPr>
            <w:tcW w:w="1418"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8B6C83A" w14:textId="77777777" w:rsidR="00E4152E" w:rsidRPr="006600EC" w:rsidRDefault="00E4152E" w:rsidP="00933C33">
            <w:pPr>
              <w:jc w:val="center"/>
              <w:rPr>
                <w:sz w:val="22"/>
                <w:szCs w:val="22"/>
              </w:rPr>
            </w:pPr>
            <w:r>
              <w:rPr>
                <w:sz w:val="22"/>
                <w:szCs w:val="22"/>
              </w:rPr>
              <w:t>1.52</w:t>
            </w:r>
          </w:p>
        </w:tc>
        <w:tc>
          <w:tcPr>
            <w:tcW w:w="1622" w:type="dxa"/>
            <w:tcBorders>
              <w:top w:val="single" w:sz="6" w:space="0" w:color="auto"/>
              <w:left w:val="single" w:sz="6" w:space="0" w:color="auto"/>
              <w:bottom w:val="single" w:sz="6" w:space="0" w:color="auto"/>
              <w:right w:val="single" w:sz="12" w:space="0" w:color="auto"/>
            </w:tcBorders>
            <w:shd w:val="clear" w:color="auto" w:fill="A6A6A6" w:themeFill="background1" w:themeFillShade="A6"/>
          </w:tcPr>
          <w:p w14:paraId="172C4665" w14:textId="77777777" w:rsidR="00E4152E" w:rsidRPr="00CE281A" w:rsidRDefault="00E4152E" w:rsidP="00933C33">
            <w:pPr>
              <w:jc w:val="center"/>
              <w:rPr>
                <w:b/>
                <w:sz w:val="22"/>
                <w:szCs w:val="22"/>
              </w:rPr>
            </w:pPr>
            <w:r>
              <w:rPr>
                <w:b/>
                <w:sz w:val="22"/>
                <w:szCs w:val="22"/>
              </w:rPr>
              <w:t>2.43</w:t>
            </w:r>
          </w:p>
        </w:tc>
      </w:tr>
      <w:tr w:rsidR="00E4152E" w14:paraId="3F357152" w14:textId="77777777" w:rsidTr="00933C33">
        <w:trPr>
          <w:trHeight w:val="276"/>
        </w:trPr>
        <w:tc>
          <w:tcPr>
            <w:tcW w:w="1811" w:type="dxa"/>
            <w:vMerge/>
            <w:tcBorders>
              <w:left w:val="single" w:sz="12" w:space="0" w:color="auto"/>
              <w:bottom w:val="single" w:sz="12" w:space="0" w:color="auto"/>
              <w:right w:val="single" w:sz="6" w:space="0" w:color="auto"/>
            </w:tcBorders>
            <w:shd w:val="clear" w:color="auto" w:fill="A6A6A6" w:themeFill="background1" w:themeFillShade="A6"/>
          </w:tcPr>
          <w:p w14:paraId="317BF642" w14:textId="77777777" w:rsidR="00E4152E" w:rsidRDefault="00E4152E" w:rsidP="00933C33">
            <w:pPr>
              <w:rPr>
                <w:sz w:val="22"/>
                <w:szCs w:val="22"/>
              </w:rPr>
            </w:pPr>
          </w:p>
        </w:tc>
        <w:tc>
          <w:tcPr>
            <w:tcW w:w="1475" w:type="dxa"/>
            <w:tcBorders>
              <w:top w:val="single" w:sz="6" w:space="0" w:color="auto"/>
              <w:left w:val="single" w:sz="12" w:space="0" w:color="auto"/>
              <w:bottom w:val="single" w:sz="12" w:space="0" w:color="auto"/>
              <w:right w:val="single" w:sz="6" w:space="0" w:color="auto"/>
            </w:tcBorders>
            <w:shd w:val="clear" w:color="auto" w:fill="A6A6A6" w:themeFill="background1" w:themeFillShade="A6"/>
          </w:tcPr>
          <w:p w14:paraId="7BA320C2" w14:textId="77777777" w:rsidR="00E4152E" w:rsidRPr="006600EC" w:rsidRDefault="00E4152E" w:rsidP="00933C33">
            <w:pPr>
              <w:rPr>
                <w:sz w:val="22"/>
                <w:szCs w:val="22"/>
              </w:rPr>
            </w:pPr>
            <w:r>
              <w:rPr>
                <w:sz w:val="22"/>
                <w:szCs w:val="22"/>
              </w:rPr>
              <w:t>Applied</w:t>
            </w:r>
          </w:p>
        </w:tc>
        <w:tc>
          <w:tcPr>
            <w:tcW w:w="962" w:type="dxa"/>
            <w:tcBorders>
              <w:top w:val="single" w:sz="6" w:space="0" w:color="auto"/>
              <w:left w:val="single" w:sz="6" w:space="0" w:color="auto"/>
              <w:bottom w:val="single" w:sz="12" w:space="0" w:color="auto"/>
              <w:right w:val="single" w:sz="6" w:space="0" w:color="auto"/>
            </w:tcBorders>
            <w:shd w:val="clear" w:color="auto" w:fill="A6A6A6" w:themeFill="background1" w:themeFillShade="A6"/>
          </w:tcPr>
          <w:p w14:paraId="3C2CAA10" w14:textId="77777777" w:rsidR="00E4152E" w:rsidRPr="006600EC" w:rsidRDefault="00E4152E" w:rsidP="00933C33">
            <w:pPr>
              <w:jc w:val="center"/>
              <w:rPr>
                <w:sz w:val="22"/>
                <w:szCs w:val="22"/>
              </w:rPr>
            </w:pPr>
            <w:r>
              <w:rPr>
                <w:sz w:val="22"/>
                <w:szCs w:val="22"/>
              </w:rPr>
              <w:t>3.95</w:t>
            </w:r>
          </w:p>
        </w:tc>
        <w:tc>
          <w:tcPr>
            <w:tcW w:w="1417" w:type="dxa"/>
            <w:tcBorders>
              <w:top w:val="single" w:sz="6" w:space="0" w:color="auto"/>
              <w:left w:val="single" w:sz="6" w:space="0" w:color="auto"/>
              <w:bottom w:val="single" w:sz="12" w:space="0" w:color="auto"/>
              <w:right w:val="single" w:sz="6" w:space="0" w:color="auto"/>
            </w:tcBorders>
            <w:shd w:val="clear" w:color="auto" w:fill="A6A6A6" w:themeFill="background1" w:themeFillShade="A6"/>
          </w:tcPr>
          <w:p w14:paraId="1884FDC2" w14:textId="77777777" w:rsidR="00E4152E" w:rsidRPr="006600EC" w:rsidRDefault="00E4152E" w:rsidP="00933C33">
            <w:pPr>
              <w:jc w:val="center"/>
              <w:rPr>
                <w:sz w:val="22"/>
                <w:szCs w:val="22"/>
              </w:rPr>
            </w:pPr>
            <w:r>
              <w:rPr>
                <w:sz w:val="22"/>
                <w:szCs w:val="22"/>
              </w:rPr>
              <w:t>2.52</w:t>
            </w:r>
          </w:p>
        </w:tc>
        <w:tc>
          <w:tcPr>
            <w:tcW w:w="1418" w:type="dxa"/>
            <w:tcBorders>
              <w:top w:val="single" w:sz="6" w:space="0" w:color="auto"/>
              <w:left w:val="single" w:sz="6" w:space="0" w:color="auto"/>
              <w:bottom w:val="single" w:sz="12" w:space="0" w:color="auto"/>
              <w:right w:val="single" w:sz="6" w:space="0" w:color="auto"/>
            </w:tcBorders>
            <w:shd w:val="clear" w:color="auto" w:fill="A6A6A6" w:themeFill="background1" w:themeFillShade="A6"/>
          </w:tcPr>
          <w:p w14:paraId="4107BC11" w14:textId="77777777" w:rsidR="00E4152E" w:rsidRPr="006600EC" w:rsidRDefault="00E4152E" w:rsidP="00933C33">
            <w:pPr>
              <w:jc w:val="center"/>
              <w:rPr>
                <w:sz w:val="22"/>
                <w:szCs w:val="22"/>
              </w:rPr>
            </w:pPr>
            <w:r>
              <w:rPr>
                <w:sz w:val="22"/>
                <w:szCs w:val="22"/>
              </w:rPr>
              <w:t>1.55</w:t>
            </w:r>
          </w:p>
        </w:tc>
        <w:tc>
          <w:tcPr>
            <w:tcW w:w="1622" w:type="dxa"/>
            <w:tcBorders>
              <w:top w:val="single" w:sz="6" w:space="0" w:color="auto"/>
              <w:left w:val="single" w:sz="6" w:space="0" w:color="auto"/>
              <w:bottom w:val="single" w:sz="12" w:space="0" w:color="auto"/>
              <w:right w:val="single" w:sz="12" w:space="0" w:color="auto"/>
            </w:tcBorders>
            <w:shd w:val="clear" w:color="auto" w:fill="A6A6A6" w:themeFill="background1" w:themeFillShade="A6"/>
          </w:tcPr>
          <w:p w14:paraId="60C6A1AE" w14:textId="77777777" w:rsidR="00E4152E" w:rsidRPr="00CE281A" w:rsidRDefault="00E4152E" w:rsidP="00933C33">
            <w:pPr>
              <w:keepNext/>
              <w:jc w:val="center"/>
              <w:rPr>
                <w:b/>
                <w:sz w:val="22"/>
                <w:szCs w:val="22"/>
              </w:rPr>
            </w:pPr>
            <w:r>
              <w:rPr>
                <w:b/>
                <w:sz w:val="22"/>
                <w:szCs w:val="22"/>
              </w:rPr>
              <w:t>2.71</w:t>
            </w:r>
          </w:p>
        </w:tc>
      </w:tr>
    </w:tbl>
    <w:p w14:paraId="004919DB" w14:textId="13812853" w:rsidR="00E4152E" w:rsidRDefault="00E4152E" w:rsidP="00E4152E">
      <w:pPr>
        <w:pStyle w:val="Caption"/>
        <w:rPr>
          <w:sz w:val="24"/>
          <w:szCs w:val="24"/>
        </w:rPr>
      </w:pPr>
      <w:bookmarkStart w:id="117" w:name="_Ref8828951"/>
      <w:bookmarkStart w:id="118" w:name="_Toc31702035"/>
      <w:r>
        <w:t xml:space="preserve">Table </w:t>
      </w:r>
      <w:r w:rsidR="00A56355">
        <w:fldChar w:fldCharType="begin"/>
      </w:r>
      <w:r w:rsidR="00A56355">
        <w:instrText xml:space="preserve"> SEQ Table \* ARABIC </w:instrText>
      </w:r>
      <w:r w:rsidR="00A56355">
        <w:fldChar w:fldCharType="separate"/>
      </w:r>
      <w:r w:rsidR="0011424E">
        <w:rPr>
          <w:noProof/>
        </w:rPr>
        <w:t>6</w:t>
      </w:r>
      <w:r w:rsidR="00A56355">
        <w:rPr>
          <w:noProof/>
        </w:rPr>
        <w:fldChar w:fldCharType="end"/>
      </w:r>
      <w:bookmarkEnd w:id="117"/>
      <w:r>
        <w:t>. Typology values (averages) by contextual dimension (institutional and epistemic context) and research practice dimensions ('social context', 'knowledge content' and 'intermediary' attributes/activities)</w:t>
      </w:r>
      <w:bookmarkEnd w:id="118"/>
    </w:p>
    <w:p w14:paraId="11B3D987" w14:textId="59FF47CE" w:rsidR="00E4152E" w:rsidRDefault="00E4152E" w:rsidP="00E4152E">
      <w:pPr>
        <w:spacing w:after="120" w:line="360" w:lineRule="auto"/>
        <w:rPr>
          <w:sz w:val="24"/>
          <w:szCs w:val="24"/>
        </w:rPr>
      </w:pPr>
      <w:r>
        <w:rPr>
          <w:sz w:val="24"/>
          <w:szCs w:val="24"/>
        </w:rPr>
        <w:t>I</w:t>
      </w:r>
      <w:r w:rsidR="00E82572">
        <w:rPr>
          <w:sz w:val="24"/>
          <w:szCs w:val="24"/>
        </w:rPr>
        <w:t xml:space="preserve">t </w:t>
      </w:r>
      <w:r w:rsidR="00752AD1">
        <w:rPr>
          <w:sz w:val="24"/>
          <w:szCs w:val="24"/>
        </w:rPr>
        <w:t>is</w:t>
      </w:r>
      <w:r w:rsidR="00E82572">
        <w:rPr>
          <w:sz w:val="24"/>
          <w:szCs w:val="24"/>
        </w:rPr>
        <w:t xml:space="preserve"> worth </w:t>
      </w:r>
      <w:r>
        <w:rPr>
          <w:sz w:val="24"/>
          <w:szCs w:val="24"/>
        </w:rPr>
        <w:t>highlight</w:t>
      </w:r>
      <w:r w:rsidR="00E82572">
        <w:rPr>
          <w:sz w:val="24"/>
          <w:szCs w:val="24"/>
        </w:rPr>
        <w:t>ing</w:t>
      </w:r>
      <w:r>
        <w:rPr>
          <w:sz w:val="24"/>
          <w:szCs w:val="24"/>
        </w:rPr>
        <w:t xml:space="preserve"> that </w:t>
      </w:r>
      <w:r>
        <w:rPr>
          <w:i/>
          <w:sz w:val="24"/>
          <w:szCs w:val="24"/>
        </w:rPr>
        <w:t xml:space="preserve">all nine </w:t>
      </w:r>
      <w:r>
        <w:rPr>
          <w:sz w:val="24"/>
          <w:szCs w:val="24"/>
        </w:rPr>
        <w:t xml:space="preserve">categories (the nine rows in </w:t>
      </w:r>
      <w:r w:rsidRPr="00911FD7">
        <w:rPr>
          <w:sz w:val="24"/>
          <w:szCs w:val="24"/>
        </w:rPr>
        <w:fldChar w:fldCharType="begin"/>
      </w:r>
      <w:r w:rsidRPr="00911FD7">
        <w:rPr>
          <w:sz w:val="24"/>
          <w:szCs w:val="24"/>
        </w:rPr>
        <w:instrText xml:space="preserve"> REF _Ref8828951 \h </w:instrText>
      </w:r>
      <w:r>
        <w:rPr>
          <w:sz w:val="24"/>
          <w:szCs w:val="24"/>
        </w:rPr>
        <w:instrText xml:space="preserve"> \* MERGEFORMAT </w:instrText>
      </w:r>
      <w:r w:rsidRPr="00911FD7">
        <w:rPr>
          <w:sz w:val="24"/>
          <w:szCs w:val="24"/>
        </w:rPr>
      </w:r>
      <w:r w:rsidRPr="00911FD7">
        <w:rPr>
          <w:sz w:val="24"/>
          <w:szCs w:val="24"/>
        </w:rPr>
        <w:fldChar w:fldCharType="separate"/>
      </w:r>
      <w:r w:rsidR="0011424E" w:rsidRPr="0011424E">
        <w:rPr>
          <w:sz w:val="24"/>
          <w:szCs w:val="24"/>
        </w:rPr>
        <w:t xml:space="preserve">Table </w:t>
      </w:r>
      <w:r w:rsidR="0011424E" w:rsidRPr="0011424E">
        <w:rPr>
          <w:noProof/>
          <w:sz w:val="24"/>
          <w:szCs w:val="24"/>
        </w:rPr>
        <w:t>6</w:t>
      </w:r>
      <w:r w:rsidRPr="00911FD7">
        <w:rPr>
          <w:sz w:val="24"/>
          <w:szCs w:val="24"/>
        </w:rPr>
        <w:fldChar w:fldCharType="end"/>
      </w:r>
      <w:r>
        <w:rPr>
          <w:sz w:val="24"/>
          <w:szCs w:val="24"/>
        </w:rPr>
        <w:t>) have a total value of less than 3. I note this because 3 is the mid-point on the typology’s spectrum, and therefore this result suggests that</w:t>
      </w:r>
      <w:r w:rsidR="00C10A38">
        <w:rPr>
          <w:sz w:val="24"/>
          <w:szCs w:val="24"/>
        </w:rPr>
        <w:t xml:space="preserve"> (‘impactful’)</w:t>
      </w:r>
      <w:r>
        <w:rPr>
          <w:sz w:val="24"/>
          <w:szCs w:val="24"/>
        </w:rPr>
        <w:t xml:space="preserve"> academic research will typically tend more towards the reproduction of academic boundaries than their weakening, regardless of context. But there are important variations. The above paragraph has already highlighted that within each dimension, there is variation in the total values, which range from 2.4 (for ‘elite’ and ‘basic/applied’) up to 2.71 (for ‘applied’). However, a more detailed look at the table’s data is suggestive of further interesting variations in the complex ways in which boundary processes play out. I will draw these out later in the chapter as I go into detail about each of the contextual dimensions. But briefly, the table suggests potentially interesting variations in the relationships </w:t>
      </w:r>
      <w:r>
        <w:rPr>
          <w:i/>
          <w:sz w:val="24"/>
          <w:szCs w:val="24"/>
        </w:rPr>
        <w:t xml:space="preserve">between </w:t>
      </w:r>
      <w:r>
        <w:rPr>
          <w:sz w:val="24"/>
          <w:szCs w:val="24"/>
        </w:rPr>
        <w:t xml:space="preserve">the different research dimensions. </w:t>
      </w:r>
    </w:p>
    <w:p w14:paraId="3BACC779" w14:textId="378137C3" w:rsidR="00E4152E" w:rsidRPr="00451B09" w:rsidRDefault="00E4152E" w:rsidP="00E4152E">
      <w:pPr>
        <w:spacing w:after="120" w:line="360" w:lineRule="auto"/>
        <w:rPr>
          <w:sz w:val="24"/>
          <w:szCs w:val="24"/>
        </w:rPr>
      </w:pPr>
      <w:r>
        <w:rPr>
          <w:sz w:val="24"/>
          <w:szCs w:val="24"/>
        </w:rPr>
        <w:t xml:space="preserve">For example, there appears to be an inverse relationship between ‘social context’ and ‘knowledge content’ values. In the departmental dimension, ‘elite’ contexts display the highest ‘social context’ value (3.61) but the lowest ‘knowledge content’ value (1.45); the same is true in the branch of science dimension, where formal sciences display the highest ‘social context’ value (3.92) and the lowest ‘knowledge content’ value (1.46) and life sciences displaying the converse, the lowest ‘social context’ value (3.17) and the highest ‘knowledge content’ value (1.72); lastly, applied sciences exhibit the highest ‘social context’ value across any dimension (3.92) with a low (although not quite the lowest) value on ‘knowledge content’ (1.55). What this suggests is that research which is more ‘unbounded’ in its relation to the social context balances this by being more ‘bounded’ in terms of their ownership and control over the knowledge content of their research; or, alternatively, perhaps having strong control over the knowledge content gives some license to engage more extensively </w:t>
      </w:r>
      <w:r w:rsidR="00020FB2">
        <w:rPr>
          <w:sz w:val="24"/>
          <w:szCs w:val="24"/>
        </w:rPr>
        <w:t xml:space="preserve">(or to be ‘unbounded’) </w:t>
      </w:r>
      <w:r>
        <w:rPr>
          <w:sz w:val="24"/>
          <w:szCs w:val="24"/>
        </w:rPr>
        <w:t>in the social context. There may be other possible reasons and i</w:t>
      </w:r>
      <w:r w:rsidR="00343E2D">
        <w:rPr>
          <w:sz w:val="24"/>
          <w:szCs w:val="24"/>
        </w:rPr>
        <w:t>nterpretations</w:t>
      </w:r>
      <w:r w:rsidR="00CD2C50">
        <w:rPr>
          <w:sz w:val="24"/>
          <w:szCs w:val="24"/>
        </w:rPr>
        <w:t xml:space="preserve">, and these are discussed in greater detail in later sections of this chapter, where </w:t>
      </w:r>
      <w:r>
        <w:rPr>
          <w:sz w:val="24"/>
          <w:szCs w:val="24"/>
        </w:rPr>
        <w:t>I give an in-depth illustration of three of the sa</w:t>
      </w:r>
      <w:r w:rsidR="00CD2C50">
        <w:rPr>
          <w:sz w:val="24"/>
          <w:szCs w:val="24"/>
        </w:rPr>
        <w:t xml:space="preserve">mpled bodies of research (BoRs), and then break down the analysis </w:t>
      </w:r>
      <w:r>
        <w:rPr>
          <w:sz w:val="24"/>
          <w:szCs w:val="24"/>
        </w:rPr>
        <w:t xml:space="preserve">by the three contextual dimensions, which </w:t>
      </w:r>
      <w:r w:rsidR="00DE6A98">
        <w:rPr>
          <w:sz w:val="24"/>
          <w:szCs w:val="24"/>
        </w:rPr>
        <w:t>allows me</w:t>
      </w:r>
      <w:r>
        <w:rPr>
          <w:sz w:val="24"/>
          <w:szCs w:val="24"/>
        </w:rPr>
        <w:t xml:space="preserve"> to shed explanatory light on variations in the ‘boundedness’ of research in my sample. </w:t>
      </w:r>
    </w:p>
    <w:p w14:paraId="5415B313" w14:textId="284C82BA" w:rsidR="006C7820" w:rsidRDefault="00ED0FD4" w:rsidP="00BB412E">
      <w:pPr>
        <w:pStyle w:val="Heading3"/>
      </w:pPr>
      <w:bookmarkStart w:id="119" w:name="_Toc31701979"/>
      <w:r>
        <w:t xml:space="preserve">The </w:t>
      </w:r>
      <w:r w:rsidR="000B131C">
        <w:t>role</w:t>
      </w:r>
      <w:r>
        <w:t xml:space="preserve"> of boundary transactions</w:t>
      </w:r>
      <w:bookmarkEnd w:id="119"/>
    </w:p>
    <w:p w14:paraId="094F3D08" w14:textId="4FCFD634" w:rsidR="009A2598" w:rsidRDefault="00E97F34" w:rsidP="009A2598">
      <w:pPr>
        <w:pStyle w:val="Heading4"/>
      </w:pPr>
      <w:r>
        <w:t>Frequency of the five forms of boundary transaction</w:t>
      </w:r>
    </w:p>
    <w:p w14:paraId="2986B109" w14:textId="040E7834" w:rsidR="00EC14A5" w:rsidRDefault="002511F2" w:rsidP="00D8708E">
      <w:pPr>
        <w:spacing w:after="120" w:line="360" w:lineRule="auto"/>
        <w:rPr>
          <w:sz w:val="24"/>
          <w:szCs w:val="24"/>
        </w:rPr>
      </w:pPr>
      <w:r w:rsidRPr="006C50DE">
        <w:rPr>
          <w:sz w:val="24"/>
          <w:szCs w:val="24"/>
        </w:rPr>
        <w:fldChar w:fldCharType="begin"/>
      </w:r>
      <w:r w:rsidRPr="006C50DE">
        <w:rPr>
          <w:sz w:val="24"/>
          <w:szCs w:val="24"/>
        </w:rPr>
        <w:instrText xml:space="preserve"> REF _Ref8479068 \h </w:instrText>
      </w:r>
      <w:r>
        <w:rPr>
          <w:sz w:val="24"/>
          <w:szCs w:val="24"/>
        </w:rPr>
        <w:instrText xml:space="preserve"> \* MERGEFORMAT </w:instrText>
      </w:r>
      <w:r w:rsidRPr="006C50DE">
        <w:rPr>
          <w:sz w:val="24"/>
          <w:szCs w:val="24"/>
        </w:rPr>
      </w:r>
      <w:r w:rsidRPr="006C50DE">
        <w:rPr>
          <w:sz w:val="24"/>
          <w:szCs w:val="24"/>
        </w:rPr>
        <w:fldChar w:fldCharType="separate"/>
      </w:r>
      <w:r w:rsidR="0011424E" w:rsidRPr="0011424E">
        <w:rPr>
          <w:sz w:val="24"/>
          <w:szCs w:val="24"/>
        </w:rPr>
        <w:t xml:space="preserve">Table </w:t>
      </w:r>
      <w:r w:rsidR="0011424E" w:rsidRPr="0011424E">
        <w:rPr>
          <w:noProof/>
          <w:sz w:val="24"/>
          <w:szCs w:val="24"/>
        </w:rPr>
        <w:t>7</w:t>
      </w:r>
      <w:r w:rsidRPr="006C50DE">
        <w:rPr>
          <w:sz w:val="24"/>
          <w:szCs w:val="24"/>
        </w:rPr>
        <w:fldChar w:fldCharType="end"/>
      </w:r>
      <w:r>
        <w:rPr>
          <w:sz w:val="24"/>
          <w:szCs w:val="24"/>
        </w:rPr>
        <w:t xml:space="preserve"> </w:t>
      </w:r>
      <w:r w:rsidR="00C95B8F">
        <w:rPr>
          <w:sz w:val="24"/>
          <w:szCs w:val="24"/>
        </w:rPr>
        <w:t>presents</w:t>
      </w:r>
      <w:r w:rsidR="009E313C">
        <w:rPr>
          <w:sz w:val="24"/>
          <w:szCs w:val="24"/>
        </w:rPr>
        <w:t xml:space="preserve"> the frequency of boundary transactions</w:t>
      </w:r>
      <w:r w:rsidR="003438BD">
        <w:rPr>
          <w:rStyle w:val="FootnoteReference"/>
          <w:sz w:val="24"/>
          <w:szCs w:val="24"/>
        </w:rPr>
        <w:footnoteReference w:id="18"/>
      </w:r>
      <w:r w:rsidR="009E313C">
        <w:rPr>
          <w:sz w:val="24"/>
          <w:szCs w:val="24"/>
        </w:rPr>
        <w:t>.</w:t>
      </w:r>
      <w:r w:rsidR="00C95B8F">
        <w:rPr>
          <w:sz w:val="24"/>
          <w:szCs w:val="24"/>
        </w:rPr>
        <w:t xml:space="preserve"> Most of the nineteen sampled BoRs exhibited ‘boundary structures’ (16 BoRs). This suggests that an important part of most STEMM departments’ approach to facilitating and regulating their engagement beyond academic boundaries is through the construction of boundary structures</w:t>
      </w:r>
      <w:r w:rsidR="004F3905">
        <w:rPr>
          <w:sz w:val="24"/>
          <w:szCs w:val="24"/>
        </w:rPr>
        <w:t>, such as problem-focused research centres, technology transfer offices and academic spin-out companies</w:t>
      </w:r>
      <w:r w:rsidR="00C95B8F">
        <w:rPr>
          <w:sz w:val="24"/>
          <w:szCs w:val="24"/>
        </w:rPr>
        <w:t xml:space="preserve">. This high frequency is likely to be because, as discussed earlier, organisational structures, particularly outward-facing ones, are not only forms of boundary transaction in their own right, but are also likely to promote other kinds of boundary transaction. </w:t>
      </w:r>
    </w:p>
    <w:p w14:paraId="20823A2A" w14:textId="77777777" w:rsidR="00EC14A5" w:rsidRDefault="00C95B8F" w:rsidP="00D8708E">
      <w:pPr>
        <w:spacing w:after="120" w:line="360" w:lineRule="auto"/>
        <w:rPr>
          <w:sz w:val="24"/>
          <w:szCs w:val="24"/>
        </w:rPr>
      </w:pPr>
      <w:r>
        <w:rPr>
          <w:sz w:val="24"/>
          <w:szCs w:val="24"/>
        </w:rPr>
        <w:t xml:space="preserve">Next, ‘boundary-spanners’ (13 BoRs) were exhibited in over two-thirds of the sampled BoRs. This suggests the importance of individuals who have been able to act as brokers and bridges between academic and non-academic contexts, whether they be doctoral graduates who move to industry and maintain academic links, academics who spend a brief period in industry, or industry scientists who come to take up academic posts. </w:t>
      </w:r>
    </w:p>
    <w:p w14:paraId="752F6246" w14:textId="574181E9" w:rsidR="00EC14A5" w:rsidRDefault="00EC14A5" w:rsidP="00D8708E">
      <w:pPr>
        <w:spacing w:after="120" w:line="360" w:lineRule="auto"/>
        <w:rPr>
          <w:sz w:val="24"/>
          <w:szCs w:val="24"/>
        </w:rPr>
      </w:pPr>
      <w:r>
        <w:rPr>
          <w:sz w:val="24"/>
          <w:szCs w:val="24"/>
        </w:rPr>
        <w:t>Third</w:t>
      </w:r>
      <w:r w:rsidR="00C95B8F">
        <w:rPr>
          <w:sz w:val="24"/>
          <w:szCs w:val="24"/>
        </w:rPr>
        <w:t xml:space="preserve"> is ‘outreach’ (12 BoRs). </w:t>
      </w:r>
      <w:r w:rsidR="00C95B8F" w:rsidRPr="006C50DE">
        <w:rPr>
          <w:sz w:val="24"/>
          <w:szCs w:val="24"/>
        </w:rPr>
        <w:fldChar w:fldCharType="begin"/>
      </w:r>
      <w:r w:rsidR="00C95B8F" w:rsidRPr="006C50DE">
        <w:rPr>
          <w:sz w:val="24"/>
          <w:szCs w:val="24"/>
        </w:rPr>
        <w:instrText xml:space="preserve"> REF _Ref8479068 \h </w:instrText>
      </w:r>
      <w:r w:rsidR="00C95B8F">
        <w:rPr>
          <w:sz w:val="24"/>
          <w:szCs w:val="24"/>
        </w:rPr>
        <w:instrText xml:space="preserve"> \* MERGEFORMAT </w:instrText>
      </w:r>
      <w:r w:rsidR="00C95B8F" w:rsidRPr="006C50DE">
        <w:rPr>
          <w:sz w:val="24"/>
          <w:szCs w:val="24"/>
        </w:rPr>
      </w:r>
      <w:r w:rsidR="00C95B8F" w:rsidRPr="006C50DE">
        <w:rPr>
          <w:sz w:val="24"/>
          <w:szCs w:val="24"/>
        </w:rPr>
        <w:fldChar w:fldCharType="separate"/>
      </w:r>
      <w:r w:rsidR="0011424E" w:rsidRPr="0011424E">
        <w:rPr>
          <w:sz w:val="24"/>
          <w:szCs w:val="24"/>
        </w:rPr>
        <w:t xml:space="preserve">Table </w:t>
      </w:r>
      <w:r w:rsidR="0011424E" w:rsidRPr="0011424E">
        <w:rPr>
          <w:noProof/>
          <w:sz w:val="24"/>
          <w:szCs w:val="24"/>
        </w:rPr>
        <w:t>7</w:t>
      </w:r>
      <w:r w:rsidR="00C95B8F" w:rsidRPr="006C50DE">
        <w:rPr>
          <w:sz w:val="24"/>
          <w:szCs w:val="24"/>
        </w:rPr>
        <w:fldChar w:fldCharType="end"/>
      </w:r>
      <w:r w:rsidR="00C95B8F">
        <w:rPr>
          <w:sz w:val="24"/>
          <w:szCs w:val="24"/>
        </w:rPr>
        <w:t xml:space="preserve"> in fact somewhat undercounts this form of boundary transaction, since my coding of outreach only counted for those cases where the identified outreach </w:t>
      </w:r>
      <w:r w:rsidR="00C95B8F">
        <w:rPr>
          <w:i/>
          <w:sz w:val="24"/>
          <w:szCs w:val="24"/>
        </w:rPr>
        <w:t xml:space="preserve">was not also </w:t>
      </w:r>
      <w:r w:rsidR="00C95B8F">
        <w:rPr>
          <w:sz w:val="24"/>
          <w:szCs w:val="24"/>
        </w:rPr>
        <w:t>an instance of one of the other boundary transaction types – outreach often un</w:t>
      </w:r>
      <w:r w:rsidR="00604E91">
        <w:rPr>
          <w:sz w:val="24"/>
          <w:szCs w:val="24"/>
        </w:rPr>
        <w:t xml:space="preserve">derpins and subtly leads to </w:t>
      </w:r>
      <w:r w:rsidR="00C95B8F">
        <w:rPr>
          <w:sz w:val="24"/>
          <w:szCs w:val="24"/>
        </w:rPr>
        <w:t xml:space="preserve">more intensive forms of boundary transaction but </w:t>
      </w:r>
      <w:r w:rsidR="00C95B8F" w:rsidRPr="006C50DE">
        <w:rPr>
          <w:sz w:val="24"/>
          <w:szCs w:val="24"/>
        </w:rPr>
        <w:fldChar w:fldCharType="begin"/>
      </w:r>
      <w:r w:rsidR="00C95B8F" w:rsidRPr="006C50DE">
        <w:rPr>
          <w:sz w:val="24"/>
          <w:szCs w:val="24"/>
        </w:rPr>
        <w:instrText xml:space="preserve"> REF _Ref8479068 \h </w:instrText>
      </w:r>
      <w:r w:rsidR="00C95B8F">
        <w:rPr>
          <w:sz w:val="24"/>
          <w:szCs w:val="24"/>
        </w:rPr>
        <w:instrText xml:space="preserve"> \* MERGEFORMAT </w:instrText>
      </w:r>
      <w:r w:rsidR="00C95B8F" w:rsidRPr="006C50DE">
        <w:rPr>
          <w:sz w:val="24"/>
          <w:szCs w:val="24"/>
        </w:rPr>
      </w:r>
      <w:r w:rsidR="00C95B8F" w:rsidRPr="006C50DE">
        <w:rPr>
          <w:sz w:val="24"/>
          <w:szCs w:val="24"/>
        </w:rPr>
        <w:fldChar w:fldCharType="separate"/>
      </w:r>
      <w:r w:rsidR="0011424E" w:rsidRPr="0011424E">
        <w:rPr>
          <w:sz w:val="24"/>
          <w:szCs w:val="24"/>
        </w:rPr>
        <w:t xml:space="preserve">Table </w:t>
      </w:r>
      <w:r w:rsidR="0011424E" w:rsidRPr="0011424E">
        <w:rPr>
          <w:noProof/>
          <w:sz w:val="24"/>
          <w:szCs w:val="24"/>
        </w:rPr>
        <w:t>7</w:t>
      </w:r>
      <w:r w:rsidR="00C95B8F" w:rsidRPr="006C50DE">
        <w:rPr>
          <w:sz w:val="24"/>
          <w:szCs w:val="24"/>
        </w:rPr>
        <w:fldChar w:fldCharType="end"/>
      </w:r>
      <w:r w:rsidR="00C95B8F">
        <w:rPr>
          <w:sz w:val="24"/>
          <w:szCs w:val="24"/>
        </w:rPr>
        <w:t xml:space="preserve"> does not fully capture this. </w:t>
      </w:r>
    </w:p>
    <w:p w14:paraId="7AFDDF60" w14:textId="6C21CCB1" w:rsidR="00C95B8F" w:rsidRDefault="00C95B8F" w:rsidP="00D8708E">
      <w:pPr>
        <w:spacing w:after="120" w:line="360" w:lineRule="auto"/>
        <w:rPr>
          <w:sz w:val="24"/>
          <w:szCs w:val="24"/>
        </w:rPr>
      </w:pPr>
      <w:r>
        <w:rPr>
          <w:sz w:val="24"/>
          <w:szCs w:val="24"/>
        </w:rPr>
        <w:t>Just over half of the sampled BoRs exhibited the remaining two transaction types, ‘collaboration’</w:t>
      </w:r>
      <w:r w:rsidR="00EC14A5">
        <w:rPr>
          <w:sz w:val="24"/>
          <w:szCs w:val="24"/>
        </w:rPr>
        <w:t xml:space="preserve"> </w:t>
      </w:r>
      <w:r w:rsidR="004D4116">
        <w:rPr>
          <w:sz w:val="24"/>
          <w:szCs w:val="24"/>
        </w:rPr>
        <w:t xml:space="preserve">(co-authorship) </w:t>
      </w:r>
      <w:r w:rsidR="00EC14A5">
        <w:rPr>
          <w:sz w:val="24"/>
          <w:szCs w:val="24"/>
        </w:rPr>
        <w:t>and</w:t>
      </w:r>
      <w:r>
        <w:rPr>
          <w:sz w:val="24"/>
          <w:szCs w:val="24"/>
        </w:rPr>
        <w:t xml:space="preserve"> ‘user-focused outputs’ (11 BoRs each). Collaboration </w:t>
      </w:r>
      <w:r w:rsidR="004D4116">
        <w:rPr>
          <w:sz w:val="24"/>
          <w:szCs w:val="24"/>
        </w:rPr>
        <w:t xml:space="preserve">(co-authorship) </w:t>
      </w:r>
      <w:r>
        <w:rPr>
          <w:sz w:val="24"/>
          <w:szCs w:val="24"/>
        </w:rPr>
        <w:t xml:space="preserve">and user-focused outputs are relatively intensive forms of boundary transaction. They involve developing close relationships or close lines of communication with potential users or other knowledge-producers closer to the context of application, and therefore are more likely to incur non-negligible transaction costs. They are therefore unsurprisingly less frequent. </w:t>
      </w:r>
    </w:p>
    <w:p w14:paraId="67B68162" w14:textId="77777777" w:rsidR="005B4181" w:rsidRDefault="005B4181" w:rsidP="00D8708E">
      <w:pPr>
        <w:spacing w:after="120" w:line="360" w:lineRule="auto"/>
        <w:rPr>
          <w:sz w:val="24"/>
          <w:szCs w:val="24"/>
        </w:rPr>
      </w:pPr>
    </w:p>
    <w:tbl>
      <w:tblPr>
        <w:tblStyle w:val="TableGrid"/>
        <w:tblW w:w="0" w:type="auto"/>
        <w:tblInd w:w="-5" w:type="dxa"/>
        <w:tblLook w:val="04A0" w:firstRow="1" w:lastRow="0" w:firstColumn="1" w:lastColumn="0" w:noHBand="0" w:noVBand="1"/>
      </w:tblPr>
      <w:tblGrid>
        <w:gridCol w:w="3137"/>
        <w:gridCol w:w="2992"/>
      </w:tblGrid>
      <w:tr w:rsidR="002511F2" w14:paraId="4B6B3582" w14:textId="77777777" w:rsidTr="004D4116">
        <w:trPr>
          <w:trHeight w:val="722"/>
        </w:trPr>
        <w:tc>
          <w:tcPr>
            <w:tcW w:w="3137" w:type="dxa"/>
            <w:vAlign w:val="center"/>
          </w:tcPr>
          <w:p w14:paraId="12E5F0C0" w14:textId="4D076E9C" w:rsidR="002511F2" w:rsidRPr="00EB4FC1" w:rsidRDefault="00C95B8F" w:rsidP="00DE5040">
            <w:pPr>
              <w:rPr>
                <w:b/>
                <w:sz w:val="22"/>
                <w:szCs w:val="22"/>
              </w:rPr>
            </w:pPr>
            <w:r>
              <w:rPr>
                <w:sz w:val="24"/>
                <w:szCs w:val="24"/>
              </w:rPr>
              <w:t xml:space="preserve"> </w:t>
            </w:r>
            <w:r w:rsidR="002511F2" w:rsidRPr="00EB4FC1">
              <w:rPr>
                <w:b/>
                <w:sz w:val="22"/>
                <w:szCs w:val="22"/>
              </w:rPr>
              <w:t>Boundary transaction form</w:t>
            </w:r>
          </w:p>
        </w:tc>
        <w:tc>
          <w:tcPr>
            <w:tcW w:w="2992" w:type="dxa"/>
            <w:vAlign w:val="center"/>
          </w:tcPr>
          <w:p w14:paraId="1A51B3CB" w14:textId="0D874277" w:rsidR="002511F2" w:rsidRPr="00EB4FC1" w:rsidRDefault="006768F9" w:rsidP="00DE5040">
            <w:pPr>
              <w:jc w:val="center"/>
              <w:rPr>
                <w:b/>
                <w:sz w:val="22"/>
                <w:szCs w:val="22"/>
              </w:rPr>
            </w:pPr>
            <w:r>
              <w:rPr>
                <w:b/>
                <w:sz w:val="22"/>
                <w:szCs w:val="22"/>
              </w:rPr>
              <w:t>Frequency (no. of BoRs exhibiting transaction)</w:t>
            </w:r>
          </w:p>
        </w:tc>
      </w:tr>
      <w:tr w:rsidR="002511F2" w14:paraId="52EC6C27" w14:textId="77777777" w:rsidTr="004D4116">
        <w:trPr>
          <w:trHeight w:val="360"/>
        </w:trPr>
        <w:tc>
          <w:tcPr>
            <w:tcW w:w="3137" w:type="dxa"/>
          </w:tcPr>
          <w:p w14:paraId="6AF08FFE" w14:textId="77777777" w:rsidR="002511F2" w:rsidRPr="00DC6766" w:rsidRDefault="002511F2" w:rsidP="00DE5040">
            <w:pPr>
              <w:rPr>
                <w:sz w:val="22"/>
                <w:szCs w:val="22"/>
              </w:rPr>
            </w:pPr>
            <w:r>
              <w:rPr>
                <w:sz w:val="22"/>
                <w:szCs w:val="22"/>
              </w:rPr>
              <w:t>Boundary structure</w:t>
            </w:r>
          </w:p>
        </w:tc>
        <w:tc>
          <w:tcPr>
            <w:tcW w:w="2992" w:type="dxa"/>
          </w:tcPr>
          <w:p w14:paraId="29D10653" w14:textId="77777777" w:rsidR="002511F2" w:rsidRPr="00DC6766" w:rsidRDefault="002511F2" w:rsidP="00DE5040">
            <w:pPr>
              <w:jc w:val="center"/>
              <w:rPr>
                <w:sz w:val="22"/>
                <w:szCs w:val="22"/>
              </w:rPr>
            </w:pPr>
            <w:r>
              <w:rPr>
                <w:sz w:val="22"/>
                <w:szCs w:val="22"/>
              </w:rPr>
              <w:t>16</w:t>
            </w:r>
          </w:p>
        </w:tc>
      </w:tr>
      <w:tr w:rsidR="002511F2" w14:paraId="77CA8385" w14:textId="77777777" w:rsidTr="004D4116">
        <w:trPr>
          <w:trHeight w:val="360"/>
        </w:trPr>
        <w:tc>
          <w:tcPr>
            <w:tcW w:w="3137" w:type="dxa"/>
          </w:tcPr>
          <w:p w14:paraId="52FDF161" w14:textId="77777777" w:rsidR="002511F2" w:rsidRPr="00DC6766" w:rsidRDefault="002511F2" w:rsidP="00DE5040">
            <w:pPr>
              <w:rPr>
                <w:sz w:val="22"/>
                <w:szCs w:val="22"/>
              </w:rPr>
            </w:pPr>
            <w:r>
              <w:rPr>
                <w:sz w:val="22"/>
                <w:szCs w:val="22"/>
              </w:rPr>
              <w:t>Boundary-spanner</w:t>
            </w:r>
          </w:p>
        </w:tc>
        <w:tc>
          <w:tcPr>
            <w:tcW w:w="2992" w:type="dxa"/>
          </w:tcPr>
          <w:p w14:paraId="7321EE93" w14:textId="77777777" w:rsidR="002511F2" w:rsidRPr="00DC6766" w:rsidRDefault="002511F2" w:rsidP="00DE5040">
            <w:pPr>
              <w:jc w:val="center"/>
              <w:rPr>
                <w:sz w:val="22"/>
                <w:szCs w:val="22"/>
              </w:rPr>
            </w:pPr>
            <w:r>
              <w:rPr>
                <w:sz w:val="22"/>
                <w:szCs w:val="22"/>
              </w:rPr>
              <w:t>13</w:t>
            </w:r>
          </w:p>
        </w:tc>
      </w:tr>
      <w:tr w:rsidR="002511F2" w14:paraId="0B203B4D" w14:textId="77777777" w:rsidTr="004D4116">
        <w:trPr>
          <w:trHeight w:val="389"/>
        </w:trPr>
        <w:tc>
          <w:tcPr>
            <w:tcW w:w="3137" w:type="dxa"/>
          </w:tcPr>
          <w:p w14:paraId="2F248AEA" w14:textId="77777777" w:rsidR="002511F2" w:rsidRPr="00DC6766" w:rsidRDefault="002511F2" w:rsidP="00DE5040">
            <w:pPr>
              <w:rPr>
                <w:sz w:val="22"/>
                <w:szCs w:val="22"/>
              </w:rPr>
            </w:pPr>
            <w:r>
              <w:rPr>
                <w:sz w:val="22"/>
                <w:szCs w:val="22"/>
              </w:rPr>
              <w:t>Outreach</w:t>
            </w:r>
          </w:p>
        </w:tc>
        <w:tc>
          <w:tcPr>
            <w:tcW w:w="2992" w:type="dxa"/>
          </w:tcPr>
          <w:p w14:paraId="27F207C1" w14:textId="77777777" w:rsidR="002511F2" w:rsidRPr="00DC6766" w:rsidRDefault="002511F2" w:rsidP="00DE5040">
            <w:pPr>
              <w:jc w:val="center"/>
              <w:rPr>
                <w:sz w:val="22"/>
                <w:szCs w:val="22"/>
              </w:rPr>
            </w:pPr>
            <w:r>
              <w:rPr>
                <w:sz w:val="22"/>
                <w:szCs w:val="22"/>
              </w:rPr>
              <w:t>12</w:t>
            </w:r>
          </w:p>
        </w:tc>
      </w:tr>
      <w:tr w:rsidR="002511F2" w14:paraId="3D02E5C4" w14:textId="77777777" w:rsidTr="004D4116">
        <w:trPr>
          <w:trHeight w:val="360"/>
        </w:trPr>
        <w:tc>
          <w:tcPr>
            <w:tcW w:w="3137" w:type="dxa"/>
          </w:tcPr>
          <w:p w14:paraId="6E8FB7AF" w14:textId="170E6290" w:rsidR="002511F2" w:rsidRPr="00DC6766" w:rsidRDefault="002511F2" w:rsidP="00DE5040">
            <w:pPr>
              <w:rPr>
                <w:sz w:val="22"/>
                <w:szCs w:val="22"/>
              </w:rPr>
            </w:pPr>
            <w:r>
              <w:rPr>
                <w:sz w:val="22"/>
                <w:szCs w:val="22"/>
              </w:rPr>
              <w:t>Collaboration</w:t>
            </w:r>
            <w:r w:rsidR="004D4116">
              <w:rPr>
                <w:sz w:val="22"/>
                <w:szCs w:val="22"/>
              </w:rPr>
              <w:t xml:space="preserve"> (co-authorship)</w:t>
            </w:r>
          </w:p>
        </w:tc>
        <w:tc>
          <w:tcPr>
            <w:tcW w:w="2992" w:type="dxa"/>
          </w:tcPr>
          <w:p w14:paraId="1A86B60E" w14:textId="77777777" w:rsidR="002511F2" w:rsidRPr="00DC6766" w:rsidRDefault="002511F2" w:rsidP="00DE5040">
            <w:pPr>
              <w:jc w:val="center"/>
              <w:rPr>
                <w:sz w:val="22"/>
                <w:szCs w:val="22"/>
              </w:rPr>
            </w:pPr>
            <w:r>
              <w:rPr>
                <w:sz w:val="22"/>
                <w:szCs w:val="22"/>
              </w:rPr>
              <w:t>11</w:t>
            </w:r>
          </w:p>
        </w:tc>
      </w:tr>
      <w:tr w:rsidR="002511F2" w14:paraId="10184370" w14:textId="77777777" w:rsidTr="004D4116">
        <w:trPr>
          <w:trHeight w:val="389"/>
        </w:trPr>
        <w:tc>
          <w:tcPr>
            <w:tcW w:w="3137" w:type="dxa"/>
          </w:tcPr>
          <w:p w14:paraId="33357043" w14:textId="77777777" w:rsidR="002511F2" w:rsidRPr="00DC6766" w:rsidRDefault="002511F2" w:rsidP="00DE5040">
            <w:pPr>
              <w:rPr>
                <w:sz w:val="22"/>
                <w:szCs w:val="22"/>
              </w:rPr>
            </w:pPr>
            <w:r>
              <w:rPr>
                <w:sz w:val="22"/>
                <w:szCs w:val="22"/>
              </w:rPr>
              <w:t>User-focused output</w:t>
            </w:r>
          </w:p>
        </w:tc>
        <w:tc>
          <w:tcPr>
            <w:tcW w:w="2992" w:type="dxa"/>
          </w:tcPr>
          <w:p w14:paraId="24208EF0" w14:textId="77777777" w:rsidR="002511F2" w:rsidRPr="00DC6766" w:rsidRDefault="002511F2" w:rsidP="00DE5040">
            <w:pPr>
              <w:keepNext/>
              <w:jc w:val="center"/>
              <w:rPr>
                <w:sz w:val="22"/>
                <w:szCs w:val="22"/>
              </w:rPr>
            </w:pPr>
            <w:r>
              <w:rPr>
                <w:sz w:val="22"/>
                <w:szCs w:val="22"/>
              </w:rPr>
              <w:t>11</w:t>
            </w:r>
          </w:p>
        </w:tc>
      </w:tr>
    </w:tbl>
    <w:p w14:paraId="0DDFE6A6" w14:textId="2A7671F2" w:rsidR="002511F2" w:rsidRDefault="002511F2" w:rsidP="002511F2">
      <w:pPr>
        <w:pStyle w:val="Caption"/>
        <w:rPr>
          <w:sz w:val="24"/>
          <w:szCs w:val="24"/>
        </w:rPr>
      </w:pPr>
      <w:bookmarkStart w:id="120" w:name="_Ref8479068"/>
      <w:bookmarkStart w:id="121" w:name="_Toc31702036"/>
      <w:r>
        <w:t xml:space="preserve">Table </w:t>
      </w:r>
      <w:r w:rsidR="00A56355">
        <w:fldChar w:fldCharType="begin"/>
      </w:r>
      <w:r w:rsidR="00A56355">
        <w:instrText xml:space="preserve"> SEQ Table \* ARABIC </w:instrText>
      </w:r>
      <w:r w:rsidR="00A56355">
        <w:fldChar w:fldCharType="separate"/>
      </w:r>
      <w:r w:rsidR="0011424E">
        <w:rPr>
          <w:noProof/>
        </w:rPr>
        <w:t>7</w:t>
      </w:r>
      <w:r w:rsidR="00A56355">
        <w:rPr>
          <w:noProof/>
        </w:rPr>
        <w:fldChar w:fldCharType="end"/>
      </w:r>
      <w:bookmarkEnd w:id="120"/>
      <w:r>
        <w:t>. No. of BoRs exhibiting each form of boundary transaction</w:t>
      </w:r>
      <w:bookmarkEnd w:id="121"/>
    </w:p>
    <w:p w14:paraId="00446459" w14:textId="7A15DA55" w:rsidR="00BA5066" w:rsidRDefault="00AC4EEC" w:rsidP="00D832DB">
      <w:pPr>
        <w:spacing w:after="120" w:line="360" w:lineRule="auto"/>
        <w:rPr>
          <w:sz w:val="24"/>
          <w:szCs w:val="24"/>
        </w:rPr>
      </w:pPr>
      <w:r>
        <w:rPr>
          <w:sz w:val="24"/>
          <w:szCs w:val="24"/>
        </w:rPr>
        <w:t>Given</w:t>
      </w:r>
      <w:r w:rsidR="002E7DAB">
        <w:rPr>
          <w:sz w:val="24"/>
          <w:szCs w:val="24"/>
        </w:rPr>
        <w:t xml:space="preserve"> the theoretical discussion of boundary transactions (Chapter </w:t>
      </w:r>
      <w:r w:rsidR="008A3015">
        <w:rPr>
          <w:sz w:val="24"/>
          <w:szCs w:val="24"/>
        </w:rPr>
        <w:t>2</w:t>
      </w:r>
      <w:r w:rsidR="002E7DAB">
        <w:rPr>
          <w:sz w:val="24"/>
          <w:szCs w:val="24"/>
        </w:rPr>
        <w:t>)</w:t>
      </w:r>
      <w:r>
        <w:rPr>
          <w:sz w:val="24"/>
          <w:szCs w:val="24"/>
        </w:rPr>
        <w:t xml:space="preserve"> and the empirical findings from the typology analysis presented above,</w:t>
      </w:r>
      <w:r w:rsidR="006B03A7">
        <w:rPr>
          <w:sz w:val="24"/>
          <w:szCs w:val="24"/>
        </w:rPr>
        <w:t xml:space="preserve"> </w:t>
      </w:r>
      <w:r w:rsidR="00BA5066">
        <w:rPr>
          <w:sz w:val="24"/>
          <w:szCs w:val="24"/>
        </w:rPr>
        <w:t xml:space="preserve">I am interested in the way that </w:t>
      </w:r>
      <w:r w:rsidR="00A05001">
        <w:rPr>
          <w:sz w:val="24"/>
          <w:szCs w:val="24"/>
        </w:rPr>
        <w:t>boundary transactions</w:t>
      </w:r>
      <w:r w:rsidR="00BA5066">
        <w:rPr>
          <w:sz w:val="24"/>
          <w:szCs w:val="24"/>
        </w:rPr>
        <w:t xml:space="preserve"> might contribute not only to the crossing of boundaries, but also as a boundary-regulating, and potentially boundary-reproducing mechanism.</w:t>
      </w:r>
      <w:r w:rsidR="002E7DAB">
        <w:rPr>
          <w:sz w:val="24"/>
          <w:szCs w:val="24"/>
        </w:rPr>
        <w:t xml:space="preserve"> </w:t>
      </w:r>
      <w:r w:rsidR="00185F93">
        <w:rPr>
          <w:sz w:val="24"/>
          <w:szCs w:val="24"/>
        </w:rPr>
        <w:t xml:space="preserve">The </w:t>
      </w:r>
      <w:r w:rsidR="00DC6921">
        <w:rPr>
          <w:i/>
          <w:sz w:val="24"/>
          <w:szCs w:val="24"/>
        </w:rPr>
        <w:t>In-depth illustrative analysis</w:t>
      </w:r>
      <w:r w:rsidR="00185F93">
        <w:rPr>
          <w:sz w:val="24"/>
          <w:szCs w:val="24"/>
        </w:rPr>
        <w:t xml:space="preserve"> below will provide some examples of these boundary transactions ‘in action’</w:t>
      </w:r>
      <w:r w:rsidR="00BA5066">
        <w:rPr>
          <w:sz w:val="24"/>
          <w:szCs w:val="24"/>
        </w:rPr>
        <w:t xml:space="preserve"> and therefore shed light on this process. However, some aggregate level findings also provide an indication. I will focus on two main issues pertinent to the boundary transactions</w:t>
      </w:r>
      <w:r w:rsidR="000179C5">
        <w:rPr>
          <w:sz w:val="24"/>
          <w:szCs w:val="24"/>
        </w:rPr>
        <w:t xml:space="preserve"> – first</w:t>
      </w:r>
      <w:r w:rsidR="00BA5066">
        <w:rPr>
          <w:sz w:val="24"/>
          <w:szCs w:val="24"/>
        </w:rPr>
        <w:t xml:space="preserve"> the issue of </w:t>
      </w:r>
      <w:r w:rsidR="00BA5066">
        <w:rPr>
          <w:i/>
          <w:sz w:val="24"/>
          <w:szCs w:val="24"/>
        </w:rPr>
        <w:t xml:space="preserve">when </w:t>
      </w:r>
      <w:r w:rsidR="00BA5066">
        <w:rPr>
          <w:sz w:val="24"/>
          <w:szCs w:val="24"/>
        </w:rPr>
        <w:t xml:space="preserve">in the research process boundary transactions </w:t>
      </w:r>
      <w:r w:rsidR="000179C5">
        <w:rPr>
          <w:sz w:val="24"/>
          <w:szCs w:val="24"/>
        </w:rPr>
        <w:t>occurred, and second the issue of what precise</w:t>
      </w:r>
      <w:r w:rsidR="00BA5066">
        <w:rPr>
          <w:sz w:val="24"/>
          <w:szCs w:val="24"/>
        </w:rPr>
        <w:t xml:space="preserve"> function</w:t>
      </w:r>
      <w:r w:rsidR="000179C5">
        <w:rPr>
          <w:sz w:val="24"/>
          <w:szCs w:val="24"/>
        </w:rPr>
        <w:t>s</w:t>
      </w:r>
      <w:r w:rsidR="00BA5066">
        <w:rPr>
          <w:sz w:val="24"/>
          <w:szCs w:val="24"/>
        </w:rPr>
        <w:t xml:space="preserve"> each boundary transaction</w:t>
      </w:r>
      <w:r w:rsidR="000179C5">
        <w:rPr>
          <w:sz w:val="24"/>
          <w:szCs w:val="24"/>
        </w:rPr>
        <w:t xml:space="preserve"> played, for example</w:t>
      </w:r>
      <w:r w:rsidR="00BA5066">
        <w:rPr>
          <w:sz w:val="24"/>
          <w:szCs w:val="24"/>
        </w:rPr>
        <w:t xml:space="preserve"> whether the boundary transactions were focused only on the outward-facing ‘third mission’ of universities, or whether the boundary transactions could also simultaneously a</w:t>
      </w:r>
      <w:r w:rsidR="00A8445D">
        <w:rPr>
          <w:sz w:val="24"/>
          <w:szCs w:val="24"/>
        </w:rPr>
        <w:t>dvance</w:t>
      </w:r>
      <w:r w:rsidR="00BA5066">
        <w:rPr>
          <w:sz w:val="24"/>
          <w:szCs w:val="24"/>
        </w:rPr>
        <w:t xml:space="preserve"> the universities’ traditional ‘missions’ of disciplinary research and teaching. </w:t>
      </w:r>
    </w:p>
    <w:p w14:paraId="2108C7B6" w14:textId="2FCBBD80" w:rsidR="00E97F34" w:rsidRDefault="00E97F34" w:rsidP="00D832DB">
      <w:pPr>
        <w:pStyle w:val="Heading4"/>
      </w:pPr>
      <w:r>
        <w:t>The timing of boundary transactions (by ‘</w:t>
      </w:r>
      <w:r w:rsidR="007A1E30">
        <w:t>p</w:t>
      </w:r>
      <w:r>
        <w:t>hase’ of research)</w:t>
      </w:r>
    </w:p>
    <w:p w14:paraId="1A0D1462" w14:textId="37B073AC" w:rsidR="00BD3C83" w:rsidRDefault="00CE6EB1" w:rsidP="006D2287">
      <w:pPr>
        <w:spacing w:after="120" w:line="360" w:lineRule="auto"/>
        <w:rPr>
          <w:sz w:val="24"/>
          <w:szCs w:val="24"/>
        </w:rPr>
      </w:pPr>
      <w:r>
        <w:rPr>
          <w:sz w:val="24"/>
          <w:szCs w:val="24"/>
        </w:rPr>
        <w:t>Regarding the first issue, that of the timing or ‘phase’ of research when boundary transactions came into action, it might be expected that boundary transactions</w:t>
      </w:r>
      <w:r w:rsidR="00FF6FCA">
        <w:rPr>
          <w:sz w:val="24"/>
          <w:szCs w:val="24"/>
        </w:rPr>
        <w:t>, particularly ‘collaboration’ and ‘use-focused output’,</w:t>
      </w:r>
      <w:r>
        <w:rPr>
          <w:sz w:val="24"/>
          <w:szCs w:val="24"/>
        </w:rPr>
        <w:t xml:space="preserve"> become more important later in the research process</w:t>
      </w:r>
      <w:r w:rsidR="001B324C">
        <w:rPr>
          <w:sz w:val="24"/>
          <w:szCs w:val="24"/>
        </w:rPr>
        <w:t>. This is because the research would be more likely, at this stage, to be ready for dissemination to users, and likely to be a less uncertain and risky project from the perspective of</w:t>
      </w:r>
      <w:r w:rsidR="00FF6FCA">
        <w:rPr>
          <w:sz w:val="24"/>
          <w:szCs w:val="24"/>
        </w:rPr>
        <w:t xml:space="preserve"> non-academic collaborators. However, </w:t>
      </w:r>
      <w:r w:rsidR="00B11F81">
        <w:rPr>
          <w:sz w:val="24"/>
          <w:szCs w:val="24"/>
        </w:rPr>
        <w:t>my analysis is able to provide evidence that this is not necessarily the case.</w:t>
      </w:r>
      <w:r w:rsidR="001F633B">
        <w:rPr>
          <w:sz w:val="24"/>
          <w:szCs w:val="24"/>
        </w:rPr>
        <w:t xml:space="preserve"> As explained in the Methodology (Chapter </w:t>
      </w:r>
      <w:r w:rsidR="008A3015">
        <w:rPr>
          <w:sz w:val="24"/>
          <w:szCs w:val="24"/>
        </w:rPr>
        <w:t>3</w:t>
      </w:r>
      <w:r w:rsidR="001F633B">
        <w:rPr>
          <w:sz w:val="24"/>
          <w:szCs w:val="24"/>
        </w:rPr>
        <w:t>), I broke down</w:t>
      </w:r>
      <w:r w:rsidR="005D2EC2">
        <w:rPr>
          <w:sz w:val="24"/>
          <w:szCs w:val="24"/>
        </w:rPr>
        <w:t xml:space="preserve"> each</w:t>
      </w:r>
      <w:r w:rsidR="001F633B">
        <w:rPr>
          <w:sz w:val="24"/>
          <w:szCs w:val="24"/>
        </w:rPr>
        <w:t xml:space="preserve"> BoR</w:t>
      </w:r>
      <w:r w:rsidR="005D2EC2">
        <w:rPr>
          <w:sz w:val="24"/>
          <w:szCs w:val="24"/>
        </w:rPr>
        <w:t xml:space="preserve"> </w:t>
      </w:r>
      <w:r w:rsidR="001F633B">
        <w:rPr>
          <w:sz w:val="24"/>
          <w:szCs w:val="24"/>
        </w:rPr>
        <w:t xml:space="preserve">into three ‘phases’ for </w:t>
      </w:r>
      <w:r w:rsidR="00324BFA">
        <w:rPr>
          <w:sz w:val="24"/>
          <w:szCs w:val="24"/>
        </w:rPr>
        <w:t>the analytical procedure of</w:t>
      </w:r>
      <w:r w:rsidR="000D0E67">
        <w:rPr>
          <w:sz w:val="24"/>
          <w:szCs w:val="24"/>
        </w:rPr>
        <w:t xml:space="preserve"> coding/plotting each BoR against McNie et al.’s (2016) </w:t>
      </w:r>
      <w:r w:rsidR="00C60190">
        <w:rPr>
          <w:sz w:val="24"/>
          <w:szCs w:val="24"/>
        </w:rPr>
        <w:t>1-5 spectrum of the extent of boundary-crossing engagement with users</w:t>
      </w:r>
      <w:r w:rsidR="001F633B">
        <w:rPr>
          <w:sz w:val="24"/>
          <w:szCs w:val="24"/>
        </w:rPr>
        <w:t>. Each ‘phase’ demarcated a significant temporal landmark in the research, for example,</w:t>
      </w:r>
      <w:r w:rsidR="00C82A75">
        <w:rPr>
          <w:sz w:val="24"/>
          <w:szCs w:val="24"/>
        </w:rPr>
        <w:t xml:space="preserve"> when</w:t>
      </w:r>
      <w:r w:rsidR="001F633B">
        <w:rPr>
          <w:sz w:val="24"/>
          <w:szCs w:val="24"/>
        </w:rPr>
        <w:t xml:space="preserve"> a key finding led to a change of direction or focus, or a new</w:t>
      </w:r>
      <w:r w:rsidR="00CA5746">
        <w:rPr>
          <w:sz w:val="24"/>
          <w:szCs w:val="24"/>
        </w:rPr>
        <w:t xml:space="preserve"> important</w:t>
      </w:r>
      <w:r w:rsidR="001F633B">
        <w:rPr>
          <w:sz w:val="24"/>
          <w:szCs w:val="24"/>
        </w:rPr>
        <w:t xml:space="preserve"> collaboration </w:t>
      </w:r>
      <w:r w:rsidR="00CA5746">
        <w:rPr>
          <w:sz w:val="24"/>
          <w:szCs w:val="24"/>
        </w:rPr>
        <w:t>commenced</w:t>
      </w:r>
      <w:r w:rsidR="001F633B">
        <w:rPr>
          <w:sz w:val="24"/>
          <w:szCs w:val="24"/>
        </w:rPr>
        <w:t>, or a new research grant enabled the research to progress, etc.</w:t>
      </w:r>
      <w:r w:rsidR="00BD3C83">
        <w:rPr>
          <w:sz w:val="24"/>
          <w:szCs w:val="24"/>
        </w:rPr>
        <w:t xml:space="preserve"> In general, as might be expected, the phases became more ‘user-focused’ as they went on, and this </w:t>
      </w:r>
      <w:r w:rsidR="000E0779">
        <w:rPr>
          <w:sz w:val="24"/>
          <w:szCs w:val="24"/>
        </w:rPr>
        <w:t>indeed was the case in my sample of researc</w:t>
      </w:r>
      <w:r w:rsidR="00D41392">
        <w:rPr>
          <w:sz w:val="24"/>
          <w:szCs w:val="24"/>
        </w:rPr>
        <w:t>h</w:t>
      </w:r>
      <w:r w:rsidR="00E77DFC">
        <w:rPr>
          <w:sz w:val="24"/>
          <w:szCs w:val="24"/>
        </w:rPr>
        <w:t>. This is reflected in the average values of the three phases after I coded the sampled BoRs against McNie et al.’s (2016) typology, which involved plotting BoRs against their 1-5 spectrum for coding the extent of user-focused boundary-crossing exhibited by a given BoR</w:t>
      </w:r>
      <w:r w:rsidR="00DD16E4">
        <w:rPr>
          <w:sz w:val="24"/>
          <w:szCs w:val="24"/>
        </w:rPr>
        <w:t xml:space="preserve"> (see </w:t>
      </w:r>
      <w:r w:rsidR="00DD16E4" w:rsidRPr="00D5660E">
        <w:rPr>
          <w:sz w:val="24"/>
          <w:szCs w:val="24"/>
        </w:rPr>
        <w:fldChar w:fldCharType="begin"/>
      </w:r>
      <w:r w:rsidR="00DD16E4" w:rsidRPr="00D5660E">
        <w:rPr>
          <w:sz w:val="24"/>
          <w:szCs w:val="24"/>
        </w:rPr>
        <w:instrText xml:space="preserve"> REF _Ref8738532 \h </w:instrText>
      </w:r>
      <w:r w:rsidR="00DD16E4">
        <w:rPr>
          <w:sz w:val="24"/>
          <w:szCs w:val="24"/>
        </w:rPr>
        <w:instrText xml:space="preserve"> \* MERGEFORMAT </w:instrText>
      </w:r>
      <w:r w:rsidR="00DD16E4" w:rsidRPr="00D5660E">
        <w:rPr>
          <w:sz w:val="24"/>
          <w:szCs w:val="24"/>
        </w:rPr>
      </w:r>
      <w:r w:rsidR="00DD16E4" w:rsidRPr="00D5660E">
        <w:rPr>
          <w:sz w:val="24"/>
          <w:szCs w:val="24"/>
        </w:rPr>
        <w:fldChar w:fldCharType="separate"/>
      </w:r>
      <w:r w:rsidR="0011424E" w:rsidRPr="0011424E">
        <w:rPr>
          <w:sz w:val="24"/>
          <w:szCs w:val="24"/>
        </w:rPr>
        <w:t xml:space="preserve">Table </w:t>
      </w:r>
      <w:r w:rsidR="0011424E" w:rsidRPr="0011424E">
        <w:rPr>
          <w:noProof/>
          <w:sz w:val="24"/>
          <w:szCs w:val="24"/>
        </w:rPr>
        <w:t>8</w:t>
      </w:r>
      <w:r w:rsidR="00DD16E4" w:rsidRPr="00D5660E">
        <w:rPr>
          <w:sz w:val="24"/>
          <w:szCs w:val="24"/>
        </w:rPr>
        <w:fldChar w:fldCharType="end"/>
      </w:r>
      <w:r w:rsidR="00DD16E4">
        <w:rPr>
          <w:sz w:val="24"/>
          <w:szCs w:val="24"/>
        </w:rPr>
        <w:t>)</w:t>
      </w:r>
      <w:r w:rsidR="00E77DFC">
        <w:rPr>
          <w:sz w:val="24"/>
          <w:szCs w:val="24"/>
        </w:rPr>
        <w:t xml:space="preserve">. As </w:t>
      </w:r>
      <w:r w:rsidR="00E77DFC" w:rsidRPr="00D5660E">
        <w:rPr>
          <w:sz w:val="24"/>
          <w:szCs w:val="24"/>
        </w:rPr>
        <w:fldChar w:fldCharType="begin"/>
      </w:r>
      <w:r w:rsidR="00E77DFC" w:rsidRPr="00D5660E">
        <w:rPr>
          <w:sz w:val="24"/>
          <w:szCs w:val="24"/>
        </w:rPr>
        <w:instrText xml:space="preserve"> REF _Ref8738532 \h </w:instrText>
      </w:r>
      <w:r w:rsidR="00E77DFC">
        <w:rPr>
          <w:sz w:val="24"/>
          <w:szCs w:val="24"/>
        </w:rPr>
        <w:instrText xml:space="preserve"> \* MERGEFORMAT </w:instrText>
      </w:r>
      <w:r w:rsidR="00E77DFC" w:rsidRPr="00D5660E">
        <w:rPr>
          <w:sz w:val="24"/>
          <w:szCs w:val="24"/>
        </w:rPr>
      </w:r>
      <w:r w:rsidR="00E77DFC" w:rsidRPr="00D5660E">
        <w:rPr>
          <w:sz w:val="24"/>
          <w:szCs w:val="24"/>
        </w:rPr>
        <w:fldChar w:fldCharType="separate"/>
      </w:r>
      <w:r w:rsidR="0011424E" w:rsidRPr="0011424E">
        <w:rPr>
          <w:sz w:val="24"/>
          <w:szCs w:val="24"/>
        </w:rPr>
        <w:t xml:space="preserve">Table </w:t>
      </w:r>
      <w:r w:rsidR="0011424E" w:rsidRPr="0011424E">
        <w:rPr>
          <w:noProof/>
          <w:sz w:val="24"/>
          <w:szCs w:val="24"/>
        </w:rPr>
        <w:t>8</w:t>
      </w:r>
      <w:r w:rsidR="00E77DFC" w:rsidRPr="00D5660E">
        <w:rPr>
          <w:sz w:val="24"/>
          <w:szCs w:val="24"/>
        </w:rPr>
        <w:fldChar w:fldCharType="end"/>
      </w:r>
      <w:r w:rsidR="00E77DFC">
        <w:rPr>
          <w:sz w:val="24"/>
          <w:szCs w:val="24"/>
        </w:rPr>
        <w:t xml:space="preserve"> shows, the average value at Phase 1 across all </w:t>
      </w:r>
      <w:r w:rsidR="001D0104">
        <w:rPr>
          <w:sz w:val="24"/>
          <w:szCs w:val="24"/>
        </w:rPr>
        <w:t>n=19</w:t>
      </w:r>
      <w:r w:rsidR="00E77DFC">
        <w:rPr>
          <w:sz w:val="24"/>
          <w:szCs w:val="24"/>
        </w:rPr>
        <w:t xml:space="preserve"> BoRs was 2.11, which was quite significantly lower than the average of 2.64 at Phase 2, which was lower still than the average of 2.92 at Phase 3</w:t>
      </w:r>
      <w:r w:rsidR="005C399A">
        <w:rPr>
          <w:rStyle w:val="FootnoteReference"/>
          <w:sz w:val="24"/>
          <w:szCs w:val="24"/>
        </w:rPr>
        <w:footnoteReference w:id="19"/>
      </w:r>
      <w:r w:rsidR="00E77DFC">
        <w:rPr>
          <w:sz w:val="24"/>
          <w:szCs w:val="24"/>
        </w:rPr>
        <w:t>.</w:t>
      </w:r>
      <w:r w:rsidR="007E4255">
        <w:rPr>
          <w:sz w:val="24"/>
          <w:szCs w:val="24"/>
        </w:rPr>
        <w:t xml:space="preserve"> </w:t>
      </w:r>
    </w:p>
    <w:tbl>
      <w:tblPr>
        <w:tblStyle w:val="TableGrid"/>
        <w:tblW w:w="0" w:type="auto"/>
        <w:tblLook w:val="04A0" w:firstRow="1" w:lastRow="0" w:firstColumn="1" w:lastColumn="0" w:noHBand="0" w:noVBand="1"/>
      </w:tblPr>
      <w:tblGrid>
        <w:gridCol w:w="3197"/>
        <w:gridCol w:w="1462"/>
        <w:gridCol w:w="1362"/>
        <w:gridCol w:w="1360"/>
      </w:tblGrid>
      <w:tr w:rsidR="001D02CD" w14:paraId="48EC84B6" w14:textId="77777777" w:rsidTr="00144E6C">
        <w:trPr>
          <w:trHeight w:val="53"/>
        </w:trPr>
        <w:tc>
          <w:tcPr>
            <w:tcW w:w="3197" w:type="dxa"/>
            <w:vAlign w:val="center"/>
          </w:tcPr>
          <w:p w14:paraId="59A3ED66" w14:textId="77777777" w:rsidR="001D02CD" w:rsidRPr="00FF6FCA" w:rsidRDefault="001D02CD" w:rsidP="007F4B58">
            <w:pPr>
              <w:rPr>
                <w:sz w:val="22"/>
                <w:szCs w:val="22"/>
              </w:rPr>
            </w:pPr>
          </w:p>
        </w:tc>
        <w:tc>
          <w:tcPr>
            <w:tcW w:w="1462" w:type="dxa"/>
            <w:vAlign w:val="center"/>
          </w:tcPr>
          <w:p w14:paraId="00D74B7C" w14:textId="77777777" w:rsidR="001D02CD" w:rsidRPr="00FF6FCA" w:rsidRDefault="001D02CD" w:rsidP="007F4B58">
            <w:pPr>
              <w:jc w:val="center"/>
              <w:rPr>
                <w:sz w:val="22"/>
                <w:szCs w:val="22"/>
              </w:rPr>
            </w:pPr>
            <w:r w:rsidRPr="00FF6FCA">
              <w:rPr>
                <w:sz w:val="22"/>
                <w:szCs w:val="22"/>
              </w:rPr>
              <w:t>Phase 1</w:t>
            </w:r>
          </w:p>
        </w:tc>
        <w:tc>
          <w:tcPr>
            <w:tcW w:w="1362" w:type="dxa"/>
            <w:vAlign w:val="center"/>
          </w:tcPr>
          <w:p w14:paraId="5E7776F6" w14:textId="77777777" w:rsidR="001D02CD" w:rsidRPr="00FF6FCA" w:rsidRDefault="001D02CD" w:rsidP="007F4B58">
            <w:pPr>
              <w:jc w:val="center"/>
              <w:rPr>
                <w:sz w:val="22"/>
                <w:szCs w:val="22"/>
              </w:rPr>
            </w:pPr>
            <w:r w:rsidRPr="00FF6FCA">
              <w:rPr>
                <w:sz w:val="22"/>
                <w:szCs w:val="22"/>
              </w:rPr>
              <w:t>Phase 2</w:t>
            </w:r>
          </w:p>
        </w:tc>
        <w:tc>
          <w:tcPr>
            <w:tcW w:w="1360" w:type="dxa"/>
            <w:vAlign w:val="center"/>
          </w:tcPr>
          <w:p w14:paraId="281BADEF" w14:textId="77777777" w:rsidR="001D02CD" w:rsidRPr="00FF6FCA" w:rsidRDefault="001D02CD" w:rsidP="007F4B58">
            <w:pPr>
              <w:jc w:val="center"/>
              <w:rPr>
                <w:sz w:val="22"/>
                <w:szCs w:val="22"/>
              </w:rPr>
            </w:pPr>
            <w:r w:rsidRPr="00FF6FCA">
              <w:rPr>
                <w:sz w:val="22"/>
                <w:szCs w:val="22"/>
              </w:rPr>
              <w:t>Phase 3</w:t>
            </w:r>
          </w:p>
        </w:tc>
      </w:tr>
      <w:tr w:rsidR="001D02CD" w14:paraId="2E265A14" w14:textId="77777777" w:rsidTr="00144E6C">
        <w:trPr>
          <w:trHeight w:val="108"/>
        </w:trPr>
        <w:tc>
          <w:tcPr>
            <w:tcW w:w="3197" w:type="dxa"/>
            <w:vAlign w:val="center"/>
          </w:tcPr>
          <w:p w14:paraId="34AC209F" w14:textId="21E72EA3" w:rsidR="001D02CD" w:rsidRPr="00FF6FCA" w:rsidRDefault="001D02CD" w:rsidP="007F4B58">
            <w:pPr>
              <w:rPr>
                <w:sz w:val="22"/>
                <w:szCs w:val="22"/>
              </w:rPr>
            </w:pPr>
            <w:r>
              <w:rPr>
                <w:sz w:val="22"/>
                <w:szCs w:val="22"/>
              </w:rPr>
              <w:t xml:space="preserve">Average </w:t>
            </w:r>
            <w:r w:rsidR="00D92CE4">
              <w:rPr>
                <w:sz w:val="22"/>
                <w:szCs w:val="22"/>
              </w:rPr>
              <w:t>typology value</w:t>
            </w:r>
          </w:p>
        </w:tc>
        <w:tc>
          <w:tcPr>
            <w:tcW w:w="1462" w:type="dxa"/>
            <w:vAlign w:val="center"/>
          </w:tcPr>
          <w:p w14:paraId="4A6C39D2" w14:textId="04866B72" w:rsidR="001D02CD" w:rsidRPr="00FF6FCA" w:rsidRDefault="001D02CD" w:rsidP="007F4B58">
            <w:pPr>
              <w:jc w:val="center"/>
              <w:rPr>
                <w:sz w:val="22"/>
                <w:szCs w:val="22"/>
              </w:rPr>
            </w:pPr>
            <w:r>
              <w:rPr>
                <w:sz w:val="22"/>
                <w:szCs w:val="22"/>
              </w:rPr>
              <w:t>2.11</w:t>
            </w:r>
          </w:p>
        </w:tc>
        <w:tc>
          <w:tcPr>
            <w:tcW w:w="1362" w:type="dxa"/>
            <w:vAlign w:val="center"/>
          </w:tcPr>
          <w:p w14:paraId="34F300C3" w14:textId="6411EF00" w:rsidR="001D02CD" w:rsidRPr="00FF6FCA" w:rsidRDefault="001D02CD" w:rsidP="007F4B58">
            <w:pPr>
              <w:jc w:val="center"/>
              <w:rPr>
                <w:sz w:val="22"/>
                <w:szCs w:val="22"/>
              </w:rPr>
            </w:pPr>
            <w:r>
              <w:rPr>
                <w:sz w:val="22"/>
                <w:szCs w:val="22"/>
              </w:rPr>
              <w:t>2.64</w:t>
            </w:r>
          </w:p>
        </w:tc>
        <w:tc>
          <w:tcPr>
            <w:tcW w:w="1360" w:type="dxa"/>
            <w:vAlign w:val="center"/>
          </w:tcPr>
          <w:p w14:paraId="6970F9A7" w14:textId="2431E047" w:rsidR="001D02CD" w:rsidRPr="00FF6FCA" w:rsidRDefault="001D02CD" w:rsidP="00166309">
            <w:pPr>
              <w:keepNext/>
              <w:jc w:val="center"/>
              <w:rPr>
                <w:sz w:val="22"/>
                <w:szCs w:val="22"/>
              </w:rPr>
            </w:pPr>
            <w:r>
              <w:rPr>
                <w:sz w:val="22"/>
                <w:szCs w:val="22"/>
              </w:rPr>
              <w:t>2.92</w:t>
            </w:r>
          </w:p>
        </w:tc>
      </w:tr>
    </w:tbl>
    <w:p w14:paraId="0179A134" w14:textId="37CF2C50" w:rsidR="001D02CD" w:rsidRDefault="00166309" w:rsidP="00166309">
      <w:pPr>
        <w:pStyle w:val="Caption"/>
        <w:rPr>
          <w:sz w:val="24"/>
          <w:szCs w:val="24"/>
        </w:rPr>
      </w:pPr>
      <w:bookmarkStart w:id="122" w:name="_Ref8738532"/>
      <w:bookmarkStart w:id="123" w:name="_Toc31702037"/>
      <w:r>
        <w:t xml:space="preserve">Table </w:t>
      </w:r>
      <w:r w:rsidR="00A56355">
        <w:fldChar w:fldCharType="begin"/>
      </w:r>
      <w:r w:rsidR="00A56355">
        <w:instrText xml:space="preserve"> SEQ Table \* ARABIC </w:instrText>
      </w:r>
      <w:r w:rsidR="00A56355">
        <w:fldChar w:fldCharType="separate"/>
      </w:r>
      <w:r w:rsidR="0011424E">
        <w:rPr>
          <w:noProof/>
        </w:rPr>
        <w:t>8</w:t>
      </w:r>
      <w:r w:rsidR="00A56355">
        <w:rPr>
          <w:noProof/>
        </w:rPr>
        <w:fldChar w:fldCharType="end"/>
      </w:r>
      <w:bookmarkEnd w:id="122"/>
      <w:r>
        <w:t>. Average typology values by 'Phase'</w:t>
      </w:r>
      <w:bookmarkEnd w:id="123"/>
    </w:p>
    <w:p w14:paraId="5A9FE306" w14:textId="0DD58DD0" w:rsidR="00193209" w:rsidRDefault="007E6E78" w:rsidP="00193209">
      <w:pPr>
        <w:spacing w:after="120" w:line="360" w:lineRule="auto"/>
        <w:rPr>
          <w:sz w:val="24"/>
          <w:szCs w:val="24"/>
        </w:rPr>
      </w:pPr>
      <w:r>
        <w:rPr>
          <w:sz w:val="24"/>
          <w:szCs w:val="24"/>
        </w:rPr>
        <w:t xml:space="preserve">Informed by the aggregate-level finding in </w:t>
      </w:r>
      <w:r w:rsidRPr="00D5660E">
        <w:rPr>
          <w:sz w:val="24"/>
          <w:szCs w:val="24"/>
        </w:rPr>
        <w:fldChar w:fldCharType="begin"/>
      </w:r>
      <w:r w:rsidRPr="00D5660E">
        <w:rPr>
          <w:sz w:val="24"/>
          <w:szCs w:val="24"/>
        </w:rPr>
        <w:instrText xml:space="preserve"> REF _Ref8738532 \h </w:instrText>
      </w:r>
      <w:r>
        <w:rPr>
          <w:sz w:val="24"/>
          <w:szCs w:val="24"/>
        </w:rPr>
        <w:instrText xml:space="preserve"> \* MERGEFORMAT </w:instrText>
      </w:r>
      <w:r w:rsidRPr="00D5660E">
        <w:rPr>
          <w:sz w:val="24"/>
          <w:szCs w:val="24"/>
        </w:rPr>
      </w:r>
      <w:r w:rsidRPr="00D5660E">
        <w:rPr>
          <w:sz w:val="24"/>
          <w:szCs w:val="24"/>
        </w:rPr>
        <w:fldChar w:fldCharType="separate"/>
      </w:r>
      <w:r w:rsidR="0011424E" w:rsidRPr="0011424E">
        <w:rPr>
          <w:sz w:val="24"/>
          <w:szCs w:val="24"/>
        </w:rPr>
        <w:t xml:space="preserve">Table </w:t>
      </w:r>
      <w:r w:rsidR="0011424E" w:rsidRPr="0011424E">
        <w:rPr>
          <w:noProof/>
          <w:sz w:val="24"/>
          <w:szCs w:val="24"/>
        </w:rPr>
        <w:t>8</w:t>
      </w:r>
      <w:r w:rsidRPr="00D5660E">
        <w:rPr>
          <w:sz w:val="24"/>
          <w:szCs w:val="24"/>
        </w:rPr>
        <w:fldChar w:fldCharType="end"/>
      </w:r>
      <w:r>
        <w:rPr>
          <w:sz w:val="24"/>
          <w:szCs w:val="24"/>
        </w:rPr>
        <w:t xml:space="preserve"> then, </w:t>
      </w:r>
      <w:r w:rsidR="00691CD9" w:rsidRPr="00691CD9">
        <w:rPr>
          <w:sz w:val="24"/>
          <w:szCs w:val="24"/>
        </w:rPr>
        <w:fldChar w:fldCharType="begin"/>
      </w:r>
      <w:r w:rsidR="00691CD9" w:rsidRPr="00691CD9">
        <w:rPr>
          <w:sz w:val="24"/>
          <w:szCs w:val="24"/>
        </w:rPr>
        <w:instrText xml:space="preserve"> REF _Ref8745358 \h </w:instrText>
      </w:r>
      <w:r w:rsidR="00691CD9">
        <w:rPr>
          <w:sz w:val="24"/>
          <w:szCs w:val="24"/>
        </w:rPr>
        <w:instrText xml:space="preserve"> \* MERGEFORMAT </w:instrText>
      </w:r>
      <w:r w:rsidR="00691CD9" w:rsidRPr="00691CD9">
        <w:rPr>
          <w:sz w:val="24"/>
          <w:szCs w:val="24"/>
        </w:rPr>
      </w:r>
      <w:r w:rsidR="00691CD9" w:rsidRPr="00691CD9">
        <w:rPr>
          <w:sz w:val="24"/>
          <w:szCs w:val="24"/>
        </w:rPr>
        <w:fldChar w:fldCharType="separate"/>
      </w:r>
      <w:r w:rsidR="0011424E" w:rsidRPr="0011424E">
        <w:rPr>
          <w:sz w:val="24"/>
          <w:szCs w:val="24"/>
        </w:rPr>
        <w:t xml:space="preserve">Figure </w:t>
      </w:r>
      <w:r w:rsidR="0011424E" w:rsidRPr="0011424E">
        <w:rPr>
          <w:noProof/>
          <w:sz w:val="24"/>
          <w:szCs w:val="24"/>
        </w:rPr>
        <w:t>9</w:t>
      </w:r>
      <w:r w:rsidR="00691CD9" w:rsidRPr="00691CD9">
        <w:rPr>
          <w:sz w:val="24"/>
          <w:szCs w:val="24"/>
        </w:rPr>
        <w:fldChar w:fldCharType="end"/>
      </w:r>
      <w:r w:rsidR="00C81E0A">
        <w:rPr>
          <w:sz w:val="24"/>
          <w:szCs w:val="24"/>
        </w:rPr>
        <w:t xml:space="preserve"> (below)</w:t>
      </w:r>
      <w:r w:rsidR="00691CD9">
        <w:rPr>
          <w:sz w:val="24"/>
          <w:szCs w:val="24"/>
        </w:rPr>
        <w:t xml:space="preserve"> </w:t>
      </w:r>
      <w:r>
        <w:rPr>
          <w:sz w:val="24"/>
          <w:szCs w:val="24"/>
        </w:rPr>
        <w:t>is able to show</w:t>
      </w:r>
      <w:r w:rsidR="001F633B">
        <w:rPr>
          <w:sz w:val="24"/>
          <w:szCs w:val="24"/>
        </w:rPr>
        <w:t xml:space="preserve"> that non-academic co</w:t>
      </w:r>
      <w:r w:rsidR="005D14CC">
        <w:rPr>
          <w:sz w:val="24"/>
          <w:szCs w:val="24"/>
        </w:rPr>
        <w:t>-authors</w:t>
      </w:r>
      <w:r w:rsidR="00CF29F1">
        <w:rPr>
          <w:sz w:val="24"/>
          <w:szCs w:val="24"/>
        </w:rPr>
        <w:t xml:space="preserve"> whose role is close to the context of application</w:t>
      </w:r>
      <w:r w:rsidR="005D14CC">
        <w:rPr>
          <w:sz w:val="24"/>
          <w:szCs w:val="24"/>
        </w:rPr>
        <w:t xml:space="preserve"> were almost just as involved in the early stages of the sampled research as they were in the latter stages, even though (as </w:t>
      </w:r>
      <w:r w:rsidR="005D14CC" w:rsidRPr="00D5660E">
        <w:rPr>
          <w:sz w:val="24"/>
          <w:szCs w:val="24"/>
        </w:rPr>
        <w:fldChar w:fldCharType="begin"/>
      </w:r>
      <w:r w:rsidR="005D14CC" w:rsidRPr="00D5660E">
        <w:rPr>
          <w:sz w:val="24"/>
          <w:szCs w:val="24"/>
        </w:rPr>
        <w:instrText xml:space="preserve"> REF _Ref8738532 \h </w:instrText>
      </w:r>
      <w:r w:rsidR="005D14CC">
        <w:rPr>
          <w:sz w:val="24"/>
          <w:szCs w:val="24"/>
        </w:rPr>
        <w:instrText xml:space="preserve"> \* MERGEFORMAT </w:instrText>
      </w:r>
      <w:r w:rsidR="005D14CC" w:rsidRPr="00D5660E">
        <w:rPr>
          <w:sz w:val="24"/>
          <w:szCs w:val="24"/>
        </w:rPr>
      </w:r>
      <w:r w:rsidR="005D14CC" w:rsidRPr="00D5660E">
        <w:rPr>
          <w:sz w:val="24"/>
          <w:szCs w:val="24"/>
        </w:rPr>
        <w:fldChar w:fldCharType="separate"/>
      </w:r>
      <w:r w:rsidR="0011424E" w:rsidRPr="0011424E">
        <w:rPr>
          <w:sz w:val="24"/>
          <w:szCs w:val="24"/>
        </w:rPr>
        <w:t xml:space="preserve">Table </w:t>
      </w:r>
      <w:r w:rsidR="0011424E" w:rsidRPr="0011424E">
        <w:rPr>
          <w:noProof/>
          <w:sz w:val="24"/>
          <w:szCs w:val="24"/>
        </w:rPr>
        <w:t>8</w:t>
      </w:r>
      <w:r w:rsidR="005D14CC" w:rsidRPr="00D5660E">
        <w:rPr>
          <w:sz w:val="24"/>
          <w:szCs w:val="24"/>
        </w:rPr>
        <w:fldChar w:fldCharType="end"/>
      </w:r>
      <w:r w:rsidR="005D14CC">
        <w:rPr>
          <w:sz w:val="24"/>
          <w:szCs w:val="24"/>
        </w:rPr>
        <w:t xml:space="preserve"> suggests) the early stages were quite significantly less focused on the context of use.</w:t>
      </w:r>
      <w:r w:rsidR="00CF29F1">
        <w:rPr>
          <w:sz w:val="24"/>
          <w:szCs w:val="24"/>
        </w:rPr>
        <w:t xml:space="preserve"> </w:t>
      </w:r>
      <w:r w:rsidR="000734C9">
        <w:rPr>
          <w:sz w:val="24"/>
          <w:szCs w:val="24"/>
        </w:rPr>
        <w:t>Eight</w:t>
      </w:r>
      <w:r w:rsidR="001F633B">
        <w:rPr>
          <w:sz w:val="24"/>
          <w:szCs w:val="24"/>
        </w:rPr>
        <w:t xml:space="preserve"> BoRs involved co-authorship with a non-academic collaborator at Phase 1, with the same number at Phase 2, and</w:t>
      </w:r>
      <w:r w:rsidR="00CF29F1">
        <w:rPr>
          <w:sz w:val="24"/>
          <w:szCs w:val="24"/>
        </w:rPr>
        <w:t xml:space="preserve"> only a slight increase of</w:t>
      </w:r>
      <w:r w:rsidR="001F633B">
        <w:rPr>
          <w:sz w:val="24"/>
          <w:szCs w:val="24"/>
        </w:rPr>
        <w:t xml:space="preserve"> nine at Phase 3.</w:t>
      </w:r>
      <w:r w:rsidR="00193209">
        <w:rPr>
          <w:sz w:val="24"/>
          <w:szCs w:val="24"/>
        </w:rPr>
        <w:t xml:space="preserve"> </w:t>
      </w:r>
      <w:r w:rsidR="00771EC7" w:rsidRPr="00691CD9">
        <w:rPr>
          <w:sz w:val="24"/>
          <w:szCs w:val="24"/>
        </w:rPr>
        <w:fldChar w:fldCharType="begin"/>
      </w:r>
      <w:r w:rsidR="00771EC7" w:rsidRPr="00691CD9">
        <w:rPr>
          <w:sz w:val="24"/>
          <w:szCs w:val="24"/>
        </w:rPr>
        <w:instrText xml:space="preserve"> REF _Ref8745358 \h </w:instrText>
      </w:r>
      <w:r w:rsidR="00771EC7">
        <w:rPr>
          <w:sz w:val="24"/>
          <w:szCs w:val="24"/>
        </w:rPr>
        <w:instrText xml:space="preserve"> \* MERGEFORMAT </w:instrText>
      </w:r>
      <w:r w:rsidR="00771EC7" w:rsidRPr="00691CD9">
        <w:rPr>
          <w:sz w:val="24"/>
          <w:szCs w:val="24"/>
        </w:rPr>
      </w:r>
      <w:r w:rsidR="00771EC7" w:rsidRPr="00691CD9">
        <w:rPr>
          <w:sz w:val="24"/>
          <w:szCs w:val="24"/>
        </w:rPr>
        <w:fldChar w:fldCharType="separate"/>
      </w:r>
      <w:r w:rsidR="0011424E" w:rsidRPr="0011424E">
        <w:rPr>
          <w:sz w:val="24"/>
          <w:szCs w:val="24"/>
        </w:rPr>
        <w:t xml:space="preserve">Figure </w:t>
      </w:r>
      <w:r w:rsidR="0011424E" w:rsidRPr="0011424E">
        <w:rPr>
          <w:noProof/>
          <w:sz w:val="24"/>
          <w:szCs w:val="24"/>
        </w:rPr>
        <w:t>9</w:t>
      </w:r>
      <w:r w:rsidR="00771EC7" w:rsidRPr="00691CD9">
        <w:rPr>
          <w:sz w:val="24"/>
          <w:szCs w:val="24"/>
        </w:rPr>
        <w:fldChar w:fldCharType="end"/>
      </w:r>
      <w:r w:rsidR="00771EC7">
        <w:rPr>
          <w:sz w:val="24"/>
          <w:szCs w:val="24"/>
        </w:rPr>
        <w:t xml:space="preserve"> also shows the same pattern for the boundary transaction type of ‘use-focused outputs’: six outputs came at Phase 1, six at Phase 2 and seven at Phase 3. </w:t>
      </w:r>
    </w:p>
    <w:p w14:paraId="247E6E16" w14:textId="77777777" w:rsidR="00E10DD8" w:rsidRDefault="004A4AAD" w:rsidP="00E10DD8">
      <w:pPr>
        <w:keepNext/>
        <w:spacing w:after="120" w:line="360" w:lineRule="auto"/>
      </w:pPr>
      <w:r>
        <w:rPr>
          <w:noProof/>
          <w:sz w:val="24"/>
          <w:szCs w:val="24"/>
        </w:rPr>
        <w:drawing>
          <wp:inline distT="0" distB="0" distL="0" distR="0" wp14:anchorId="0A73993F" wp14:editId="6254CE6E">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722EA8" w14:textId="0B5BA07E" w:rsidR="004A4AAD" w:rsidRDefault="00E10DD8" w:rsidP="00E10DD8">
      <w:pPr>
        <w:pStyle w:val="Caption"/>
      </w:pPr>
      <w:bookmarkStart w:id="124" w:name="_Ref8745358"/>
      <w:bookmarkStart w:id="125" w:name="_Toc31702078"/>
      <w:r>
        <w:t xml:space="preserve">Figure </w:t>
      </w:r>
      <w:r w:rsidR="006455CB">
        <w:rPr>
          <w:noProof/>
        </w:rPr>
        <w:fldChar w:fldCharType="begin"/>
      </w:r>
      <w:r w:rsidR="006455CB">
        <w:rPr>
          <w:noProof/>
        </w:rPr>
        <w:instrText xml:space="preserve"> SEQ Figure \* ARABIC </w:instrText>
      </w:r>
      <w:r w:rsidR="006455CB">
        <w:rPr>
          <w:noProof/>
        </w:rPr>
        <w:fldChar w:fldCharType="separate"/>
      </w:r>
      <w:r w:rsidR="0011424E">
        <w:rPr>
          <w:noProof/>
        </w:rPr>
        <w:t>9</w:t>
      </w:r>
      <w:r w:rsidR="006455CB">
        <w:rPr>
          <w:noProof/>
        </w:rPr>
        <w:fldChar w:fldCharType="end"/>
      </w:r>
      <w:bookmarkEnd w:id="124"/>
      <w:r>
        <w:t xml:space="preserve">. </w:t>
      </w:r>
      <w:r w:rsidRPr="007C0F94">
        <w:t>Frequency of 'c</w:t>
      </w:r>
      <w:r w:rsidR="00432A11">
        <w:t>o-authorship’</w:t>
      </w:r>
      <w:r w:rsidR="00026049">
        <w:t xml:space="preserve"> and ‘use-focused outputs’</w:t>
      </w:r>
      <w:r w:rsidRPr="007C0F94">
        <w:t xml:space="preserve"> across the three 'Phases' of the sampled BoRs</w:t>
      </w:r>
      <w:bookmarkEnd w:id="125"/>
    </w:p>
    <w:p w14:paraId="65E15BAF" w14:textId="745F8481" w:rsidR="004F46F2" w:rsidRPr="004F46F2" w:rsidRDefault="004F46F2" w:rsidP="004F46F2">
      <w:pPr>
        <w:spacing w:after="120" w:line="360" w:lineRule="auto"/>
        <w:rPr>
          <w:sz w:val="24"/>
          <w:szCs w:val="24"/>
        </w:rPr>
      </w:pPr>
      <w:r>
        <w:rPr>
          <w:sz w:val="24"/>
          <w:szCs w:val="24"/>
        </w:rPr>
        <w:t xml:space="preserve">In sum, boundary-crossing transactions in the forms of co-authoring research with non-academics and producing outputs of direct relevance to users were important mechanisms for the realisation of ‘impact’ grounded on academic research. But this does not mean that these transactions only occurred when </w:t>
      </w:r>
      <w:r w:rsidR="004147D8">
        <w:rPr>
          <w:sz w:val="24"/>
          <w:szCs w:val="24"/>
        </w:rPr>
        <w:t>t</w:t>
      </w:r>
      <w:r>
        <w:rPr>
          <w:sz w:val="24"/>
          <w:szCs w:val="24"/>
        </w:rPr>
        <w:t xml:space="preserve">he research was close to its final application. Rather, in many cases, these forms of boundary-transaction occurred at earlier, more fundamental, and les certain phases of research. There are a couple of preliminary possible interpretations of this in terms of the implications for academic boundaries. The first is that there is a quite fundamental reshaping and weakening of academic boundaries such that there is a merging of interests, goals and activities with other, non-academic sectors. The other is that engaging in such boundary transactions at these earlier and more fundamental phases of research reinforces universities’ position as society’s central knowledge-producing institution, thereby reinforcing its distinctive value and identity, and thereby contributing to the reproduction of its boundaries. I will pursue both these possibilities in later sections and chapters and ultimately argue that, in fact, these two interpretations are not incompatible, and both represent part of the reality. </w:t>
      </w:r>
    </w:p>
    <w:p w14:paraId="6F198D51" w14:textId="6F88A70D" w:rsidR="00D73518" w:rsidRDefault="00E97F34" w:rsidP="007F628D">
      <w:pPr>
        <w:pStyle w:val="Heading4"/>
      </w:pPr>
      <w:r>
        <w:t>The multiple functions of boundary transactions</w:t>
      </w:r>
    </w:p>
    <w:p w14:paraId="774B5CE9" w14:textId="2C8A3240" w:rsidR="005B4440" w:rsidRPr="00E70515" w:rsidRDefault="00735005" w:rsidP="00ED1A22">
      <w:pPr>
        <w:spacing w:after="120" w:line="360" w:lineRule="auto"/>
        <w:rPr>
          <w:sz w:val="24"/>
          <w:szCs w:val="24"/>
        </w:rPr>
      </w:pPr>
      <w:r>
        <w:rPr>
          <w:sz w:val="24"/>
          <w:szCs w:val="24"/>
        </w:rPr>
        <w:t>According to the earlier theoretical discussion, boundary transactions are not just about crossing boundaries and serving wider society. Boundary transactions do involve crossing boundaries, and as such they are potential opportunities for external interest groups to take control over the work and challenge the authority of the ‘bounded’ entity (i.e. academia). But boundary transactions are also about regulating and potentially</w:t>
      </w:r>
      <w:r w:rsidR="005C0516">
        <w:rPr>
          <w:sz w:val="24"/>
          <w:szCs w:val="24"/>
        </w:rPr>
        <w:t xml:space="preserve"> reinforcing and thereby</w:t>
      </w:r>
      <w:r>
        <w:rPr>
          <w:sz w:val="24"/>
          <w:szCs w:val="24"/>
        </w:rPr>
        <w:t xml:space="preserve"> reproducing boundaries. As such it is worth considering evidence that </w:t>
      </w:r>
      <w:r w:rsidR="0069376B">
        <w:rPr>
          <w:sz w:val="24"/>
          <w:szCs w:val="24"/>
        </w:rPr>
        <w:t xml:space="preserve">the boundary transactions in my sampled research are acting in this way. </w:t>
      </w:r>
      <w:r w:rsidR="00456626" w:rsidRPr="00456626">
        <w:rPr>
          <w:sz w:val="24"/>
          <w:szCs w:val="24"/>
        </w:rPr>
        <w:fldChar w:fldCharType="begin"/>
      </w:r>
      <w:r w:rsidR="00456626" w:rsidRPr="00456626">
        <w:rPr>
          <w:sz w:val="24"/>
          <w:szCs w:val="24"/>
        </w:rPr>
        <w:instrText xml:space="preserve"> REF _Ref8747493 \h </w:instrText>
      </w:r>
      <w:r w:rsidR="00456626">
        <w:rPr>
          <w:sz w:val="24"/>
          <w:szCs w:val="24"/>
        </w:rPr>
        <w:instrText xml:space="preserve"> \* MERGEFORMAT </w:instrText>
      </w:r>
      <w:r w:rsidR="00456626" w:rsidRPr="00456626">
        <w:rPr>
          <w:sz w:val="24"/>
          <w:szCs w:val="24"/>
        </w:rPr>
      </w:r>
      <w:r w:rsidR="00456626" w:rsidRPr="00456626">
        <w:rPr>
          <w:sz w:val="24"/>
          <w:szCs w:val="24"/>
        </w:rPr>
        <w:fldChar w:fldCharType="separate"/>
      </w:r>
      <w:r w:rsidR="0011424E" w:rsidRPr="0011424E">
        <w:rPr>
          <w:sz w:val="24"/>
          <w:szCs w:val="24"/>
        </w:rPr>
        <w:t xml:space="preserve">Figure </w:t>
      </w:r>
      <w:r w:rsidR="0011424E" w:rsidRPr="0011424E">
        <w:rPr>
          <w:noProof/>
          <w:sz w:val="24"/>
          <w:szCs w:val="24"/>
        </w:rPr>
        <w:t>10</w:t>
      </w:r>
      <w:r w:rsidR="00456626" w:rsidRPr="00456626">
        <w:rPr>
          <w:sz w:val="24"/>
          <w:szCs w:val="24"/>
        </w:rPr>
        <w:fldChar w:fldCharType="end"/>
      </w:r>
      <w:r w:rsidR="00456626">
        <w:rPr>
          <w:sz w:val="24"/>
          <w:szCs w:val="24"/>
        </w:rPr>
        <w:t xml:space="preserve"> </w:t>
      </w:r>
      <w:r w:rsidR="00B85B14">
        <w:rPr>
          <w:sz w:val="24"/>
          <w:szCs w:val="24"/>
        </w:rPr>
        <w:t xml:space="preserve">shows this in relation to the other three forms of boundary transaction, ‘boundary structure’, ‘boundary-spanner’ and ‘outreach’ (having discussed ‘collaboration’ and ‘use-focused outputs’ above). </w:t>
      </w:r>
    </w:p>
    <w:p w14:paraId="48286EA4" w14:textId="77777777" w:rsidR="00AF4DBB" w:rsidRDefault="00385EE6" w:rsidP="00AF4DBB">
      <w:pPr>
        <w:keepNext/>
        <w:spacing w:before="120" w:after="120" w:line="360" w:lineRule="auto"/>
      </w:pPr>
      <w:r>
        <w:rPr>
          <w:noProof/>
          <w:sz w:val="24"/>
          <w:szCs w:val="24"/>
        </w:rPr>
        <w:drawing>
          <wp:inline distT="0" distB="0" distL="0" distR="0" wp14:anchorId="566AA6B6" wp14:editId="51D7495D">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F35DC4" w14:textId="59E28561" w:rsidR="00385EE6" w:rsidRDefault="00AF4DBB" w:rsidP="00AF4DBB">
      <w:pPr>
        <w:pStyle w:val="Caption"/>
      </w:pPr>
      <w:bookmarkStart w:id="126" w:name="_Ref8747493"/>
      <w:bookmarkStart w:id="127" w:name="_Toc31702079"/>
      <w:r>
        <w:t xml:space="preserve">Figure </w:t>
      </w:r>
      <w:r w:rsidR="006455CB">
        <w:rPr>
          <w:noProof/>
        </w:rPr>
        <w:fldChar w:fldCharType="begin"/>
      </w:r>
      <w:r w:rsidR="006455CB">
        <w:rPr>
          <w:noProof/>
        </w:rPr>
        <w:instrText xml:space="preserve"> SEQ Figure \* ARABIC </w:instrText>
      </w:r>
      <w:r w:rsidR="006455CB">
        <w:rPr>
          <w:noProof/>
        </w:rPr>
        <w:fldChar w:fldCharType="separate"/>
      </w:r>
      <w:r w:rsidR="0011424E">
        <w:rPr>
          <w:noProof/>
        </w:rPr>
        <w:t>10</w:t>
      </w:r>
      <w:r w:rsidR="006455CB">
        <w:rPr>
          <w:noProof/>
        </w:rPr>
        <w:fldChar w:fldCharType="end"/>
      </w:r>
      <w:bookmarkEnd w:id="126"/>
      <w:r>
        <w:t xml:space="preserve">. Percentage of </w:t>
      </w:r>
      <w:r w:rsidR="003E777D">
        <w:t xml:space="preserve">selected </w:t>
      </w:r>
      <w:r w:rsidR="003C7BFF">
        <w:t>boundary transactions</w:t>
      </w:r>
      <w:r>
        <w:t xml:space="preserve"> contributing to different university missio</w:t>
      </w:r>
      <w:r w:rsidR="003C7BFF">
        <w:t>ns</w:t>
      </w:r>
      <w:bookmarkEnd w:id="127"/>
    </w:p>
    <w:p w14:paraId="10D4B593" w14:textId="01F3059A" w:rsidR="000C3E07" w:rsidRDefault="000C3E07" w:rsidP="00B963D4">
      <w:pPr>
        <w:spacing w:after="120" w:line="360" w:lineRule="auto"/>
        <w:rPr>
          <w:sz w:val="24"/>
          <w:szCs w:val="24"/>
        </w:rPr>
      </w:pPr>
      <w:r>
        <w:rPr>
          <w:sz w:val="24"/>
          <w:szCs w:val="24"/>
        </w:rPr>
        <w:t xml:space="preserve">Specifically, </w:t>
      </w:r>
      <w:r w:rsidRPr="00456626">
        <w:rPr>
          <w:sz w:val="24"/>
          <w:szCs w:val="24"/>
        </w:rPr>
        <w:fldChar w:fldCharType="begin"/>
      </w:r>
      <w:r w:rsidRPr="00456626">
        <w:rPr>
          <w:sz w:val="24"/>
          <w:szCs w:val="24"/>
        </w:rPr>
        <w:instrText xml:space="preserve"> REF _Ref8747493 \h </w:instrText>
      </w:r>
      <w:r>
        <w:rPr>
          <w:sz w:val="24"/>
          <w:szCs w:val="24"/>
        </w:rPr>
        <w:instrText xml:space="preserve"> \* MERGEFORMAT </w:instrText>
      </w:r>
      <w:r w:rsidRPr="00456626">
        <w:rPr>
          <w:sz w:val="24"/>
          <w:szCs w:val="24"/>
        </w:rPr>
      </w:r>
      <w:r w:rsidRPr="00456626">
        <w:rPr>
          <w:sz w:val="24"/>
          <w:szCs w:val="24"/>
        </w:rPr>
        <w:fldChar w:fldCharType="separate"/>
      </w:r>
      <w:r w:rsidR="0011424E" w:rsidRPr="0011424E">
        <w:rPr>
          <w:sz w:val="24"/>
          <w:szCs w:val="24"/>
        </w:rPr>
        <w:t xml:space="preserve">Figure </w:t>
      </w:r>
      <w:r w:rsidR="0011424E" w:rsidRPr="0011424E">
        <w:rPr>
          <w:noProof/>
          <w:sz w:val="24"/>
          <w:szCs w:val="24"/>
        </w:rPr>
        <w:t>10</w:t>
      </w:r>
      <w:r w:rsidRPr="00456626">
        <w:rPr>
          <w:sz w:val="24"/>
          <w:szCs w:val="24"/>
        </w:rPr>
        <w:fldChar w:fldCharType="end"/>
      </w:r>
      <w:r>
        <w:rPr>
          <w:sz w:val="24"/>
          <w:szCs w:val="24"/>
        </w:rPr>
        <w:t xml:space="preserve"> shows the percentage of </w:t>
      </w:r>
      <w:r w:rsidR="00E9717E">
        <w:rPr>
          <w:sz w:val="24"/>
          <w:szCs w:val="24"/>
        </w:rPr>
        <w:t>‘boundary structures’, ‘boundary-spanners’ and ‘outreach’ activities</w:t>
      </w:r>
      <w:r>
        <w:rPr>
          <w:sz w:val="24"/>
          <w:szCs w:val="24"/>
        </w:rPr>
        <w:t xml:space="preserve"> which functioned to advance the university’s other core missions of research and teaching, as well as their ‘third’ mission. </w:t>
      </w:r>
      <w:r w:rsidR="00E9717E">
        <w:rPr>
          <w:sz w:val="24"/>
          <w:szCs w:val="24"/>
        </w:rPr>
        <w:t>The point at this stage is not to</w:t>
      </w:r>
      <w:r>
        <w:rPr>
          <w:sz w:val="24"/>
          <w:szCs w:val="24"/>
        </w:rPr>
        <w:t xml:space="preserve"> extensive</w:t>
      </w:r>
      <w:r w:rsidR="00E9717E">
        <w:rPr>
          <w:sz w:val="24"/>
          <w:szCs w:val="24"/>
        </w:rPr>
        <w:t>ly</w:t>
      </w:r>
      <w:r>
        <w:rPr>
          <w:sz w:val="24"/>
          <w:szCs w:val="24"/>
        </w:rPr>
        <w:t xml:space="preserve"> compar</w:t>
      </w:r>
      <w:r w:rsidR="00E9717E">
        <w:rPr>
          <w:sz w:val="24"/>
          <w:szCs w:val="24"/>
        </w:rPr>
        <w:t>e these</w:t>
      </w:r>
      <w:r>
        <w:rPr>
          <w:sz w:val="24"/>
          <w:szCs w:val="24"/>
        </w:rPr>
        <w:t xml:space="preserve"> three forms of boundary transaction</w:t>
      </w:r>
      <w:r w:rsidR="00E9717E">
        <w:rPr>
          <w:sz w:val="24"/>
          <w:szCs w:val="24"/>
        </w:rPr>
        <w:t xml:space="preserve"> but simply</w:t>
      </w:r>
      <w:r>
        <w:rPr>
          <w:sz w:val="24"/>
          <w:szCs w:val="24"/>
        </w:rPr>
        <w:t xml:space="preserve"> highlight that it is normal, at least in my sampled research, for boundary transactions to have multiple functions</w:t>
      </w:r>
      <w:r w:rsidR="00E9717E">
        <w:rPr>
          <w:sz w:val="24"/>
          <w:szCs w:val="24"/>
        </w:rPr>
        <w:t>:</w:t>
      </w:r>
      <w:r>
        <w:rPr>
          <w:sz w:val="24"/>
          <w:szCs w:val="24"/>
        </w:rPr>
        <w:t xml:space="preserve"> </w:t>
      </w:r>
      <w:r w:rsidR="00E9717E">
        <w:rPr>
          <w:sz w:val="24"/>
          <w:szCs w:val="24"/>
        </w:rPr>
        <w:t>only 10% of the ‘boundary structures’ associated with my sampled research had a sole ‘third’ mission focus</w:t>
      </w:r>
      <w:r w:rsidR="007B29EA">
        <w:rPr>
          <w:sz w:val="24"/>
          <w:szCs w:val="24"/>
        </w:rPr>
        <w:t xml:space="preserve">, </w:t>
      </w:r>
      <w:r w:rsidR="00E9717E">
        <w:rPr>
          <w:sz w:val="24"/>
          <w:szCs w:val="24"/>
        </w:rPr>
        <w:t>with a</w:t>
      </w:r>
      <w:r>
        <w:rPr>
          <w:sz w:val="24"/>
          <w:szCs w:val="24"/>
        </w:rPr>
        <w:t xml:space="preserve">lmost 90% </w:t>
      </w:r>
      <w:r w:rsidR="00E9717E">
        <w:rPr>
          <w:sz w:val="24"/>
          <w:szCs w:val="24"/>
        </w:rPr>
        <w:t xml:space="preserve">also contributing directly to core departmental research and/or their </w:t>
      </w:r>
      <w:r>
        <w:rPr>
          <w:sz w:val="24"/>
          <w:szCs w:val="24"/>
        </w:rPr>
        <w:t>teaching/training mission</w:t>
      </w:r>
      <w:r w:rsidR="00E9717E">
        <w:rPr>
          <w:sz w:val="24"/>
          <w:szCs w:val="24"/>
        </w:rPr>
        <w:t>; the percentage</w:t>
      </w:r>
      <w:r>
        <w:rPr>
          <w:sz w:val="24"/>
          <w:szCs w:val="24"/>
        </w:rPr>
        <w:t xml:space="preserve"> was somewhat higher amongst ‘boundary-spanners’, but still low, at just over 20%</w:t>
      </w:r>
      <w:r w:rsidR="0026017A">
        <w:rPr>
          <w:sz w:val="24"/>
          <w:szCs w:val="24"/>
        </w:rPr>
        <w:t>; a</w:t>
      </w:r>
      <w:r>
        <w:rPr>
          <w:sz w:val="24"/>
          <w:szCs w:val="24"/>
        </w:rPr>
        <w:t xml:space="preserve">nd even the highest percentage, that for ‘outreach’, is only just over 50%. In sum, the boundary transactions in my sampled research were not only involved crossing boundaries to provide benefits for wider society, but directly contributed to those missions which constitute the university’s distinct and “bounded” (Bernstein, 2000, p. 99) institutional identity. </w:t>
      </w:r>
    </w:p>
    <w:p w14:paraId="3FA46A69" w14:textId="2B4AA7E2" w:rsidR="00AE42A9" w:rsidRDefault="00AE42A9" w:rsidP="00EA2207">
      <w:pPr>
        <w:pStyle w:val="Heading3"/>
        <w:rPr>
          <w:lang w:eastAsia="zh-TW"/>
        </w:rPr>
      </w:pPr>
      <w:bookmarkStart w:id="128" w:name="_Toc31701980"/>
      <w:r>
        <w:rPr>
          <w:lang w:eastAsia="zh-TW"/>
        </w:rPr>
        <w:t xml:space="preserve">Summary of </w:t>
      </w:r>
      <w:r w:rsidR="00936474">
        <w:rPr>
          <w:lang w:eastAsia="zh-TW"/>
        </w:rPr>
        <w:t>academic boundaries and boundary transactions in the sampled research</w:t>
      </w:r>
      <w:bookmarkEnd w:id="128"/>
    </w:p>
    <w:p w14:paraId="7710A94C" w14:textId="22466A41" w:rsidR="00EA2207" w:rsidRDefault="00EA2207" w:rsidP="00CD3879">
      <w:pPr>
        <w:spacing w:before="120" w:after="120" w:line="360" w:lineRule="auto"/>
        <w:rPr>
          <w:sz w:val="24"/>
          <w:szCs w:val="24"/>
        </w:rPr>
      </w:pPr>
      <w:r>
        <w:rPr>
          <w:i/>
          <w:iCs/>
          <w:sz w:val="24"/>
          <w:szCs w:val="24"/>
        </w:rPr>
        <w:t xml:space="preserve">Section one </w:t>
      </w:r>
      <w:r>
        <w:rPr>
          <w:sz w:val="24"/>
          <w:szCs w:val="24"/>
        </w:rPr>
        <w:t xml:space="preserve">of this chapter </w:t>
      </w:r>
      <w:r w:rsidR="00FB0A46">
        <w:rPr>
          <w:sz w:val="24"/>
          <w:szCs w:val="24"/>
        </w:rPr>
        <w:t xml:space="preserve">has </w:t>
      </w:r>
      <w:r>
        <w:rPr>
          <w:sz w:val="24"/>
          <w:szCs w:val="24"/>
        </w:rPr>
        <w:t>presented</w:t>
      </w:r>
      <w:r w:rsidR="00185B61">
        <w:rPr>
          <w:sz w:val="24"/>
          <w:szCs w:val="24"/>
        </w:rPr>
        <w:t xml:space="preserve"> a</w:t>
      </w:r>
      <w:r>
        <w:rPr>
          <w:sz w:val="24"/>
          <w:szCs w:val="24"/>
        </w:rPr>
        <w:t xml:space="preserve"> descriptive statistical analysis of the data generated from the typology.</w:t>
      </w:r>
      <w:r w:rsidR="00185B61">
        <w:rPr>
          <w:sz w:val="24"/>
          <w:szCs w:val="24"/>
        </w:rPr>
        <w:t xml:space="preserve"> This allowed me to show not only that the overall tendency of the sampled research was towards the reproduction of academic boundaries rather than its weakening, but also shed light on one particular aspects (activities &amp; attributes) of research are the main mechanisms through which academic research contributes to this reproduction. I developed </w:t>
      </w:r>
      <w:r>
        <w:rPr>
          <w:sz w:val="24"/>
          <w:szCs w:val="24"/>
        </w:rPr>
        <w:t>this analysis by presenting quantitative data about the role of boundary transactions</w:t>
      </w:r>
      <w:r w:rsidR="006C6151">
        <w:rPr>
          <w:sz w:val="24"/>
          <w:szCs w:val="24"/>
        </w:rPr>
        <w:t>, given the role (according to the theoretical ‘boundary lens’ adopted) of boundary transactions</w:t>
      </w:r>
      <w:r>
        <w:rPr>
          <w:sz w:val="24"/>
          <w:szCs w:val="24"/>
        </w:rPr>
        <w:t xml:space="preserve"> in the complex process of </w:t>
      </w:r>
      <w:r w:rsidR="00185B61">
        <w:rPr>
          <w:sz w:val="24"/>
          <w:szCs w:val="24"/>
        </w:rPr>
        <w:t>regulating</w:t>
      </w:r>
      <w:r>
        <w:rPr>
          <w:sz w:val="24"/>
          <w:szCs w:val="24"/>
        </w:rPr>
        <w:t xml:space="preserve"> </w:t>
      </w:r>
      <w:r w:rsidR="00CE1DC8">
        <w:rPr>
          <w:sz w:val="24"/>
          <w:szCs w:val="24"/>
        </w:rPr>
        <w:t>(</w:t>
      </w:r>
      <w:r>
        <w:rPr>
          <w:sz w:val="24"/>
          <w:szCs w:val="24"/>
        </w:rPr>
        <w:t>academic</w:t>
      </w:r>
      <w:r w:rsidR="00CE1DC8">
        <w:rPr>
          <w:sz w:val="24"/>
          <w:szCs w:val="24"/>
        </w:rPr>
        <w:t xml:space="preserve">) </w:t>
      </w:r>
      <w:r>
        <w:rPr>
          <w:sz w:val="24"/>
          <w:szCs w:val="24"/>
        </w:rPr>
        <w:t xml:space="preserve">boundaries. This </w:t>
      </w:r>
      <w:r w:rsidR="00CD5CD8">
        <w:rPr>
          <w:sz w:val="24"/>
          <w:szCs w:val="24"/>
        </w:rPr>
        <w:t>analysis began to show, albeit at an aggregate level rather than in a qualitatively and contextually rich way, t</w:t>
      </w:r>
      <w:r>
        <w:rPr>
          <w:sz w:val="24"/>
          <w:szCs w:val="24"/>
        </w:rPr>
        <w:t xml:space="preserve">hat boundary transactions can act as mechanisms in both directions </w:t>
      </w:r>
      <w:r w:rsidR="000E7704">
        <w:rPr>
          <w:sz w:val="24"/>
          <w:szCs w:val="24"/>
        </w:rPr>
        <w:t xml:space="preserve">, towards </w:t>
      </w:r>
      <w:r>
        <w:rPr>
          <w:sz w:val="24"/>
          <w:szCs w:val="24"/>
        </w:rPr>
        <w:t>reproduction and weakening, sometimes simultaneously</w:t>
      </w:r>
      <w:r w:rsidR="00185B61">
        <w:rPr>
          <w:sz w:val="24"/>
          <w:szCs w:val="24"/>
        </w:rPr>
        <w:t xml:space="preserve">, but that on balance, the boundary transactions associated with the sampled research </w:t>
      </w:r>
      <w:r w:rsidR="000E7704">
        <w:rPr>
          <w:sz w:val="24"/>
          <w:szCs w:val="24"/>
        </w:rPr>
        <w:t>were</w:t>
      </w:r>
      <w:r w:rsidR="00185B61">
        <w:rPr>
          <w:sz w:val="24"/>
          <w:szCs w:val="24"/>
        </w:rPr>
        <w:t xml:space="preserve"> successful in regulating the boundary and therefore contributing to boundary reproduction. </w:t>
      </w:r>
    </w:p>
    <w:p w14:paraId="0267023B" w14:textId="4473D18E" w:rsidR="00CD3879" w:rsidRPr="00EA2207" w:rsidRDefault="00CD3879" w:rsidP="00CD3879">
      <w:pPr>
        <w:spacing w:before="120" w:after="120" w:line="360" w:lineRule="auto"/>
        <w:rPr>
          <w:lang w:eastAsia="zh-TW"/>
        </w:rPr>
      </w:pPr>
      <w:r>
        <w:rPr>
          <w:sz w:val="24"/>
          <w:szCs w:val="24"/>
        </w:rPr>
        <w:t>The following section will provide deeper insights into these processes by presenting more qualitative and contextual detail about boundary transactions in context.</w:t>
      </w:r>
    </w:p>
    <w:p w14:paraId="49377A76" w14:textId="7AD7DA29" w:rsidR="00DD7E84" w:rsidRDefault="00BF319B" w:rsidP="00DD7E84">
      <w:pPr>
        <w:pStyle w:val="Heading2"/>
      </w:pPr>
      <w:bookmarkStart w:id="129" w:name="_Toc31701981"/>
      <w:r>
        <w:t>In-depth</w:t>
      </w:r>
      <w:r w:rsidR="00DD7E84">
        <w:t xml:space="preserve"> illustrati</w:t>
      </w:r>
      <w:r w:rsidR="00FF72DE">
        <w:t>ve analys</w:t>
      </w:r>
      <w:r w:rsidR="00697506">
        <w:t xml:space="preserve">is: </w:t>
      </w:r>
      <w:r w:rsidR="00FF72DE">
        <w:t>three bodies of research (BoRs)</w:t>
      </w:r>
      <w:bookmarkEnd w:id="129"/>
    </w:p>
    <w:p w14:paraId="25BA7701" w14:textId="5EC4331C" w:rsidR="00646EB9" w:rsidRDefault="00DD7E84" w:rsidP="00DD7E84">
      <w:pPr>
        <w:spacing w:before="120" w:after="120" w:line="360" w:lineRule="auto"/>
        <w:rPr>
          <w:sz w:val="24"/>
          <w:szCs w:val="24"/>
        </w:rPr>
      </w:pPr>
      <w:r>
        <w:rPr>
          <w:sz w:val="24"/>
          <w:szCs w:val="24"/>
        </w:rPr>
        <w:t xml:space="preserve">This section provides illustrative in-depth analyses of three of the nineteen BoRs. </w:t>
      </w:r>
      <w:r w:rsidR="007913C4">
        <w:rPr>
          <w:sz w:val="24"/>
          <w:szCs w:val="24"/>
        </w:rPr>
        <w:t xml:space="preserve">This shows how the forms of boundary transaction operated in practice. It also shows </w:t>
      </w:r>
      <w:r w:rsidR="00DA5641">
        <w:rPr>
          <w:sz w:val="24"/>
          <w:szCs w:val="24"/>
        </w:rPr>
        <w:t xml:space="preserve">how I </w:t>
      </w:r>
      <w:r w:rsidR="0018656C">
        <w:rPr>
          <w:sz w:val="24"/>
          <w:szCs w:val="24"/>
        </w:rPr>
        <w:t>assessed and coded</w:t>
      </w:r>
      <w:r w:rsidR="00DA5641">
        <w:rPr>
          <w:sz w:val="24"/>
          <w:szCs w:val="24"/>
        </w:rPr>
        <w:t xml:space="preserve"> my sampled research on the 1-5 spectrum against the typology’s (McNie et al.’s, 2016) fifteen activities/attributes</w:t>
      </w:r>
      <w:r w:rsidR="0035009B">
        <w:rPr>
          <w:sz w:val="24"/>
          <w:szCs w:val="24"/>
        </w:rPr>
        <w:t xml:space="preserve"> of research.</w:t>
      </w:r>
      <w:r w:rsidR="0074493F">
        <w:rPr>
          <w:sz w:val="24"/>
          <w:szCs w:val="24"/>
        </w:rPr>
        <w:t xml:space="preserve"> I will </w:t>
      </w:r>
      <w:r w:rsidR="00F74A76">
        <w:rPr>
          <w:sz w:val="24"/>
          <w:szCs w:val="24"/>
        </w:rPr>
        <w:t xml:space="preserve">organise the discussion of each BoR under three sub-headings corresponding to the above classification of attributes/activities: ‘social context’, ‘knowledge content’ and ‘intermediate(ry)’. </w:t>
      </w:r>
      <w:r w:rsidR="001015D5">
        <w:rPr>
          <w:sz w:val="24"/>
          <w:szCs w:val="24"/>
        </w:rPr>
        <w:t>For this purpose, I</w:t>
      </w:r>
      <w:r w:rsidR="00801E5B">
        <w:rPr>
          <w:sz w:val="24"/>
          <w:szCs w:val="24"/>
        </w:rPr>
        <w:t xml:space="preserve"> select the</w:t>
      </w:r>
      <w:r w:rsidR="001015D5">
        <w:rPr>
          <w:sz w:val="24"/>
          <w:szCs w:val="24"/>
        </w:rPr>
        <w:t xml:space="preserve"> BoR which received the highest overall value on the typology (based on an average of all fifteen of its activities’/attributes’ values), the BoR receiving the lowest value, and the middle-value BoR. As </w:t>
      </w:r>
      <w:r w:rsidR="001015D5" w:rsidRPr="008773F2">
        <w:rPr>
          <w:sz w:val="24"/>
          <w:szCs w:val="24"/>
        </w:rPr>
        <w:fldChar w:fldCharType="begin"/>
      </w:r>
      <w:r w:rsidR="001015D5" w:rsidRPr="008773F2">
        <w:rPr>
          <w:sz w:val="24"/>
          <w:szCs w:val="24"/>
        </w:rPr>
        <w:instrText xml:space="preserve"> REF _Ref6671292 \h </w:instrText>
      </w:r>
      <w:r w:rsidR="001015D5">
        <w:rPr>
          <w:sz w:val="24"/>
          <w:szCs w:val="24"/>
        </w:rPr>
        <w:instrText xml:space="preserve"> \* MERGEFORMAT </w:instrText>
      </w:r>
      <w:r w:rsidR="001015D5" w:rsidRPr="008773F2">
        <w:rPr>
          <w:sz w:val="24"/>
          <w:szCs w:val="24"/>
        </w:rPr>
      </w:r>
      <w:r w:rsidR="001015D5" w:rsidRPr="008773F2">
        <w:rPr>
          <w:sz w:val="24"/>
          <w:szCs w:val="24"/>
        </w:rPr>
        <w:fldChar w:fldCharType="separate"/>
      </w:r>
      <w:r w:rsidR="0011424E" w:rsidRPr="0011424E">
        <w:rPr>
          <w:sz w:val="24"/>
          <w:szCs w:val="24"/>
        </w:rPr>
        <w:t xml:space="preserve">Table </w:t>
      </w:r>
      <w:r w:rsidR="0011424E" w:rsidRPr="0011424E">
        <w:rPr>
          <w:noProof/>
          <w:sz w:val="24"/>
          <w:szCs w:val="24"/>
        </w:rPr>
        <w:t>9</w:t>
      </w:r>
      <w:r w:rsidR="001015D5" w:rsidRPr="008773F2">
        <w:rPr>
          <w:sz w:val="24"/>
          <w:szCs w:val="24"/>
        </w:rPr>
        <w:fldChar w:fldCharType="end"/>
      </w:r>
      <w:r w:rsidR="001015D5">
        <w:rPr>
          <w:sz w:val="24"/>
          <w:szCs w:val="24"/>
        </w:rPr>
        <w:t xml:space="preserve"> shows, this puts forward BoR11.1 (total/average value of 3.38), BoR5 (2.49) and BoR4.2 (1.76). </w:t>
      </w:r>
      <w:r w:rsidR="00C11EA4">
        <w:rPr>
          <w:sz w:val="24"/>
          <w:szCs w:val="24"/>
        </w:rPr>
        <w:t>That is, I judged that the BoR ‘Clinical outcome modelling saves lives’ to display, overall, the greatest extent of boundary-crossing,</w:t>
      </w:r>
      <w:r w:rsidR="00521DA9">
        <w:rPr>
          <w:sz w:val="24"/>
          <w:szCs w:val="24"/>
        </w:rPr>
        <w:t xml:space="preserve"> and</w:t>
      </w:r>
      <w:r w:rsidR="00C11EA4">
        <w:rPr>
          <w:sz w:val="24"/>
          <w:szCs w:val="24"/>
        </w:rPr>
        <w:t xml:space="preserve"> ‘Informing MDMA policy’ to display the least</w:t>
      </w:r>
      <w:r w:rsidR="00521DA9">
        <w:rPr>
          <w:sz w:val="24"/>
          <w:szCs w:val="24"/>
        </w:rPr>
        <w:t xml:space="preserve">, while </w:t>
      </w:r>
      <w:r w:rsidR="00C11EA4">
        <w:rPr>
          <w:sz w:val="24"/>
          <w:szCs w:val="24"/>
        </w:rPr>
        <w:t xml:space="preserve">‘Sea Mammal Research &amp; Impact’ </w:t>
      </w:r>
      <w:r w:rsidR="00907B34">
        <w:rPr>
          <w:sz w:val="24"/>
          <w:szCs w:val="24"/>
        </w:rPr>
        <w:t>r</w:t>
      </w:r>
      <w:r w:rsidR="00521DA9">
        <w:rPr>
          <w:sz w:val="24"/>
          <w:szCs w:val="24"/>
        </w:rPr>
        <w:t>eceived the</w:t>
      </w:r>
      <w:r w:rsidR="00907B34">
        <w:rPr>
          <w:sz w:val="24"/>
          <w:szCs w:val="24"/>
        </w:rPr>
        <w:t xml:space="preserve"> middle</w:t>
      </w:r>
      <w:r w:rsidR="00521DA9">
        <w:rPr>
          <w:sz w:val="24"/>
          <w:szCs w:val="24"/>
        </w:rPr>
        <w:t>-value among</w:t>
      </w:r>
      <w:r w:rsidR="00907B34">
        <w:rPr>
          <w:sz w:val="24"/>
          <w:szCs w:val="24"/>
        </w:rPr>
        <w:t xml:space="preserve"> the nineteen BoRs.</w:t>
      </w:r>
    </w:p>
    <w:p w14:paraId="60AA3079" w14:textId="77777777" w:rsidR="005647D2" w:rsidRDefault="005647D2" w:rsidP="00DD7E84">
      <w:pPr>
        <w:spacing w:before="120" w:after="120" w:line="360" w:lineRule="auto"/>
        <w:rPr>
          <w:sz w:val="24"/>
          <w:szCs w:val="24"/>
        </w:rPr>
      </w:pPr>
    </w:p>
    <w:tbl>
      <w:tblPr>
        <w:tblStyle w:val="TableGrid"/>
        <w:tblW w:w="0" w:type="auto"/>
        <w:tblLook w:val="04A0" w:firstRow="1" w:lastRow="0" w:firstColumn="1" w:lastColumn="0" w:noHBand="0" w:noVBand="1"/>
      </w:tblPr>
      <w:tblGrid>
        <w:gridCol w:w="6941"/>
        <w:gridCol w:w="1701"/>
      </w:tblGrid>
      <w:tr w:rsidR="001015D5" w14:paraId="79D830C2" w14:textId="77777777" w:rsidTr="00B610A0">
        <w:trPr>
          <w:trHeight w:val="208"/>
        </w:trPr>
        <w:tc>
          <w:tcPr>
            <w:tcW w:w="6941" w:type="dxa"/>
            <w:vAlign w:val="center"/>
          </w:tcPr>
          <w:p w14:paraId="18CDB45A" w14:textId="77777777" w:rsidR="001015D5" w:rsidRPr="00D31670" w:rsidRDefault="001015D5" w:rsidP="00B610A0">
            <w:pPr>
              <w:jc w:val="center"/>
              <w:rPr>
                <w:sz w:val="22"/>
                <w:szCs w:val="22"/>
              </w:rPr>
            </w:pPr>
            <w:r w:rsidRPr="00D31670">
              <w:rPr>
                <w:rFonts w:eastAsia="Times New Roman"/>
                <w:b/>
                <w:bCs/>
                <w:color w:val="000000"/>
                <w:sz w:val="22"/>
                <w:szCs w:val="22"/>
                <w:lang w:eastAsia="ko-KR"/>
              </w:rPr>
              <w:t>BoR</w:t>
            </w:r>
            <w:r>
              <w:rPr>
                <w:rFonts w:eastAsia="Times New Roman"/>
                <w:b/>
                <w:bCs/>
                <w:color w:val="000000"/>
                <w:sz w:val="22"/>
                <w:szCs w:val="22"/>
                <w:lang w:eastAsia="ko-KR"/>
              </w:rPr>
              <w:t xml:space="preserve"> (no. and title)</w:t>
            </w:r>
          </w:p>
        </w:tc>
        <w:tc>
          <w:tcPr>
            <w:tcW w:w="1701" w:type="dxa"/>
            <w:vAlign w:val="center"/>
          </w:tcPr>
          <w:p w14:paraId="268C9260" w14:textId="77777777" w:rsidR="001015D5" w:rsidRPr="00D31670" w:rsidRDefault="001015D5" w:rsidP="00B610A0">
            <w:pPr>
              <w:jc w:val="center"/>
              <w:rPr>
                <w:sz w:val="22"/>
                <w:szCs w:val="22"/>
              </w:rPr>
            </w:pPr>
            <w:r>
              <w:rPr>
                <w:sz w:val="22"/>
                <w:szCs w:val="22"/>
              </w:rPr>
              <w:t>Total typology value</w:t>
            </w:r>
          </w:p>
        </w:tc>
      </w:tr>
      <w:tr w:rsidR="001015D5" w14:paraId="4525A9B6" w14:textId="77777777" w:rsidTr="00B610A0">
        <w:trPr>
          <w:trHeight w:val="208"/>
        </w:trPr>
        <w:tc>
          <w:tcPr>
            <w:tcW w:w="6941" w:type="dxa"/>
            <w:shd w:val="clear" w:color="auto" w:fill="BFBFBF" w:themeFill="background1" w:themeFillShade="BF"/>
            <w:vAlign w:val="center"/>
          </w:tcPr>
          <w:p w14:paraId="75D3720B"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11.1 </w:t>
            </w:r>
            <w:r w:rsidRPr="00D31670">
              <w:rPr>
                <w:sz w:val="22"/>
                <w:szCs w:val="22"/>
              </w:rPr>
              <w:t>‘Clinical outcome modelling saves lives’</w:t>
            </w:r>
          </w:p>
        </w:tc>
        <w:tc>
          <w:tcPr>
            <w:tcW w:w="1701" w:type="dxa"/>
            <w:shd w:val="clear" w:color="auto" w:fill="BFBFBF" w:themeFill="background1" w:themeFillShade="BF"/>
            <w:vAlign w:val="bottom"/>
          </w:tcPr>
          <w:p w14:paraId="4BCAFBAB" w14:textId="77777777" w:rsidR="001015D5" w:rsidRPr="00D31670" w:rsidRDefault="001015D5" w:rsidP="00B610A0">
            <w:pPr>
              <w:jc w:val="center"/>
              <w:rPr>
                <w:sz w:val="22"/>
                <w:szCs w:val="22"/>
              </w:rPr>
            </w:pPr>
            <w:r w:rsidRPr="00D31670">
              <w:rPr>
                <w:color w:val="000000"/>
                <w:sz w:val="22"/>
                <w:szCs w:val="22"/>
              </w:rPr>
              <w:t>3.38</w:t>
            </w:r>
          </w:p>
        </w:tc>
      </w:tr>
      <w:tr w:rsidR="001015D5" w14:paraId="07A6DA70" w14:textId="77777777" w:rsidTr="00B610A0">
        <w:trPr>
          <w:trHeight w:val="208"/>
        </w:trPr>
        <w:tc>
          <w:tcPr>
            <w:tcW w:w="6941" w:type="dxa"/>
            <w:vAlign w:val="center"/>
          </w:tcPr>
          <w:p w14:paraId="50EC75BF"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7.2 </w:t>
            </w:r>
            <w:r w:rsidRPr="00D31670">
              <w:rPr>
                <w:sz w:val="22"/>
                <w:szCs w:val="22"/>
              </w:rPr>
              <w:t>‘New Paths to Mangrove Conservation’</w:t>
            </w:r>
          </w:p>
        </w:tc>
        <w:tc>
          <w:tcPr>
            <w:tcW w:w="1701" w:type="dxa"/>
            <w:vAlign w:val="bottom"/>
          </w:tcPr>
          <w:p w14:paraId="1A6DF6EE" w14:textId="77777777" w:rsidR="001015D5" w:rsidRPr="00D31670" w:rsidRDefault="001015D5" w:rsidP="00B610A0">
            <w:pPr>
              <w:jc w:val="center"/>
              <w:rPr>
                <w:sz w:val="22"/>
                <w:szCs w:val="22"/>
              </w:rPr>
            </w:pPr>
            <w:r w:rsidRPr="00D31670">
              <w:rPr>
                <w:color w:val="000000"/>
                <w:sz w:val="22"/>
                <w:szCs w:val="22"/>
              </w:rPr>
              <w:t>3.36</w:t>
            </w:r>
          </w:p>
        </w:tc>
      </w:tr>
      <w:tr w:rsidR="001015D5" w14:paraId="2465E9D1" w14:textId="77777777" w:rsidTr="00B610A0">
        <w:trPr>
          <w:trHeight w:val="208"/>
        </w:trPr>
        <w:tc>
          <w:tcPr>
            <w:tcW w:w="6941" w:type="dxa"/>
            <w:vAlign w:val="center"/>
          </w:tcPr>
          <w:p w14:paraId="2716A33A"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11.2 </w:t>
            </w:r>
            <w:r w:rsidRPr="00D31670">
              <w:rPr>
                <w:sz w:val="22"/>
                <w:szCs w:val="22"/>
              </w:rPr>
              <w:t>‘Improved mobility and quality of life for children with disabilities’</w:t>
            </w:r>
          </w:p>
        </w:tc>
        <w:tc>
          <w:tcPr>
            <w:tcW w:w="1701" w:type="dxa"/>
            <w:vAlign w:val="bottom"/>
          </w:tcPr>
          <w:p w14:paraId="2A80A5D0" w14:textId="77777777" w:rsidR="001015D5" w:rsidRPr="00D31670" w:rsidRDefault="001015D5" w:rsidP="00B610A0">
            <w:pPr>
              <w:jc w:val="center"/>
              <w:rPr>
                <w:sz w:val="22"/>
                <w:szCs w:val="22"/>
              </w:rPr>
            </w:pPr>
            <w:r w:rsidRPr="00D31670">
              <w:rPr>
                <w:color w:val="000000"/>
                <w:sz w:val="22"/>
                <w:szCs w:val="22"/>
              </w:rPr>
              <w:t>3.13</w:t>
            </w:r>
          </w:p>
        </w:tc>
      </w:tr>
      <w:tr w:rsidR="001015D5" w14:paraId="757BE19E" w14:textId="77777777" w:rsidTr="00B610A0">
        <w:trPr>
          <w:trHeight w:val="216"/>
        </w:trPr>
        <w:tc>
          <w:tcPr>
            <w:tcW w:w="6941" w:type="dxa"/>
            <w:vAlign w:val="center"/>
          </w:tcPr>
          <w:p w14:paraId="74C7B4D0"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14.2 </w:t>
            </w:r>
            <w:r w:rsidRPr="00D31670">
              <w:rPr>
                <w:sz w:val="22"/>
                <w:szCs w:val="22"/>
              </w:rPr>
              <w:t>‘Management of discolouration in drinking water distribution systems’</w:t>
            </w:r>
          </w:p>
        </w:tc>
        <w:tc>
          <w:tcPr>
            <w:tcW w:w="1701" w:type="dxa"/>
            <w:vAlign w:val="bottom"/>
          </w:tcPr>
          <w:p w14:paraId="2C70911D" w14:textId="77777777" w:rsidR="001015D5" w:rsidRPr="00D31670" w:rsidRDefault="001015D5" w:rsidP="00B610A0">
            <w:pPr>
              <w:jc w:val="center"/>
              <w:rPr>
                <w:sz w:val="22"/>
                <w:szCs w:val="22"/>
              </w:rPr>
            </w:pPr>
            <w:r w:rsidRPr="00D31670">
              <w:rPr>
                <w:color w:val="000000"/>
                <w:sz w:val="22"/>
                <w:szCs w:val="22"/>
              </w:rPr>
              <w:t>2.82</w:t>
            </w:r>
          </w:p>
        </w:tc>
      </w:tr>
      <w:tr w:rsidR="001015D5" w14:paraId="672CFE8E" w14:textId="77777777" w:rsidTr="00B610A0">
        <w:trPr>
          <w:trHeight w:val="208"/>
        </w:trPr>
        <w:tc>
          <w:tcPr>
            <w:tcW w:w="6941" w:type="dxa"/>
            <w:vAlign w:val="center"/>
          </w:tcPr>
          <w:p w14:paraId="2C8B73AB"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1.2 </w:t>
            </w:r>
            <w:r w:rsidRPr="00D31670">
              <w:rPr>
                <w:sz w:val="22"/>
                <w:szCs w:val="22"/>
              </w:rPr>
              <w:t>‘Treating Heart Failure’</w:t>
            </w:r>
          </w:p>
        </w:tc>
        <w:tc>
          <w:tcPr>
            <w:tcW w:w="1701" w:type="dxa"/>
            <w:vAlign w:val="bottom"/>
          </w:tcPr>
          <w:p w14:paraId="7CE137F7" w14:textId="77777777" w:rsidR="001015D5" w:rsidRPr="00D31670" w:rsidRDefault="001015D5" w:rsidP="00B610A0">
            <w:pPr>
              <w:jc w:val="center"/>
              <w:rPr>
                <w:sz w:val="22"/>
                <w:szCs w:val="22"/>
              </w:rPr>
            </w:pPr>
            <w:r w:rsidRPr="00D31670">
              <w:rPr>
                <w:color w:val="000000"/>
                <w:sz w:val="22"/>
                <w:szCs w:val="22"/>
              </w:rPr>
              <w:t>2.67</w:t>
            </w:r>
          </w:p>
        </w:tc>
      </w:tr>
      <w:tr w:rsidR="001015D5" w14:paraId="2045310A" w14:textId="77777777" w:rsidTr="00B610A0">
        <w:trPr>
          <w:trHeight w:val="208"/>
        </w:trPr>
        <w:tc>
          <w:tcPr>
            <w:tcW w:w="6941" w:type="dxa"/>
            <w:vAlign w:val="center"/>
          </w:tcPr>
          <w:p w14:paraId="442E894B"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8.2 </w:t>
            </w:r>
            <w:r w:rsidRPr="00D31670">
              <w:rPr>
                <w:sz w:val="22"/>
                <w:szCs w:val="22"/>
              </w:rPr>
              <w:t>‘Mercury Capture Technology for the Global Petroleum Industry’</w:t>
            </w:r>
          </w:p>
        </w:tc>
        <w:tc>
          <w:tcPr>
            <w:tcW w:w="1701" w:type="dxa"/>
            <w:vAlign w:val="bottom"/>
          </w:tcPr>
          <w:p w14:paraId="4855D7D0" w14:textId="77777777" w:rsidR="001015D5" w:rsidRPr="00D31670" w:rsidRDefault="001015D5" w:rsidP="00B610A0">
            <w:pPr>
              <w:jc w:val="center"/>
              <w:rPr>
                <w:sz w:val="22"/>
                <w:szCs w:val="22"/>
              </w:rPr>
            </w:pPr>
            <w:r w:rsidRPr="00D31670">
              <w:rPr>
                <w:color w:val="000000"/>
                <w:sz w:val="22"/>
                <w:szCs w:val="22"/>
              </w:rPr>
              <w:t>2.76</w:t>
            </w:r>
          </w:p>
        </w:tc>
      </w:tr>
      <w:tr w:rsidR="001015D5" w14:paraId="5DE9E2A0" w14:textId="77777777" w:rsidTr="00B610A0">
        <w:trPr>
          <w:trHeight w:val="208"/>
        </w:trPr>
        <w:tc>
          <w:tcPr>
            <w:tcW w:w="6941" w:type="dxa"/>
            <w:vAlign w:val="center"/>
          </w:tcPr>
          <w:p w14:paraId="19770462"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8.3 </w:t>
            </w:r>
            <w:r w:rsidRPr="00D31670">
              <w:rPr>
                <w:sz w:val="22"/>
                <w:szCs w:val="22"/>
              </w:rPr>
              <w:t>‘Practical Raman Chemical Analysis for Forensic Applications’</w:t>
            </w:r>
          </w:p>
        </w:tc>
        <w:tc>
          <w:tcPr>
            <w:tcW w:w="1701" w:type="dxa"/>
            <w:vAlign w:val="bottom"/>
          </w:tcPr>
          <w:p w14:paraId="05EFDC7A" w14:textId="77777777" w:rsidR="001015D5" w:rsidRPr="00D31670" w:rsidRDefault="001015D5" w:rsidP="00B610A0">
            <w:pPr>
              <w:jc w:val="center"/>
              <w:rPr>
                <w:sz w:val="22"/>
                <w:szCs w:val="22"/>
              </w:rPr>
            </w:pPr>
            <w:r w:rsidRPr="00D31670">
              <w:rPr>
                <w:color w:val="000000"/>
                <w:sz w:val="22"/>
                <w:szCs w:val="22"/>
              </w:rPr>
              <w:t>2.76</w:t>
            </w:r>
          </w:p>
        </w:tc>
      </w:tr>
      <w:tr w:rsidR="001015D5" w14:paraId="22688499" w14:textId="77777777" w:rsidTr="00B610A0">
        <w:trPr>
          <w:trHeight w:val="208"/>
        </w:trPr>
        <w:tc>
          <w:tcPr>
            <w:tcW w:w="6941" w:type="dxa"/>
            <w:vAlign w:val="center"/>
          </w:tcPr>
          <w:p w14:paraId="70A7F7B4"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13.2 </w:t>
            </w:r>
            <w:r w:rsidRPr="00D31670">
              <w:rPr>
                <w:sz w:val="22"/>
                <w:szCs w:val="22"/>
              </w:rPr>
              <w:t>‘Topical oxygen therapy for wound healing’</w:t>
            </w:r>
          </w:p>
        </w:tc>
        <w:tc>
          <w:tcPr>
            <w:tcW w:w="1701" w:type="dxa"/>
            <w:vAlign w:val="bottom"/>
          </w:tcPr>
          <w:p w14:paraId="76D69D96" w14:textId="77777777" w:rsidR="001015D5" w:rsidRPr="00D31670" w:rsidRDefault="001015D5" w:rsidP="00B610A0">
            <w:pPr>
              <w:jc w:val="center"/>
              <w:rPr>
                <w:sz w:val="22"/>
                <w:szCs w:val="22"/>
              </w:rPr>
            </w:pPr>
            <w:r w:rsidRPr="00D31670">
              <w:rPr>
                <w:color w:val="000000"/>
                <w:sz w:val="22"/>
                <w:szCs w:val="22"/>
              </w:rPr>
              <w:t>2.73</w:t>
            </w:r>
          </w:p>
        </w:tc>
      </w:tr>
      <w:tr w:rsidR="001015D5" w14:paraId="22AB0A67" w14:textId="77777777" w:rsidTr="00B610A0">
        <w:trPr>
          <w:trHeight w:val="208"/>
        </w:trPr>
        <w:tc>
          <w:tcPr>
            <w:tcW w:w="6941" w:type="dxa"/>
            <w:vAlign w:val="center"/>
          </w:tcPr>
          <w:p w14:paraId="1EB393DC"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1.1 </w:t>
            </w:r>
            <w:r w:rsidRPr="00D31670">
              <w:rPr>
                <w:sz w:val="22"/>
                <w:szCs w:val="22"/>
              </w:rPr>
              <w:t>‘Diagnosing and Treating Cardiovascular Conditions’</w:t>
            </w:r>
          </w:p>
        </w:tc>
        <w:tc>
          <w:tcPr>
            <w:tcW w:w="1701" w:type="dxa"/>
            <w:vAlign w:val="bottom"/>
          </w:tcPr>
          <w:p w14:paraId="6A3C3430" w14:textId="77777777" w:rsidR="001015D5" w:rsidRPr="00D31670" w:rsidRDefault="001015D5" w:rsidP="00B610A0">
            <w:pPr>
              <w:jc w:val="center"/>
              <w:rPr>
                <w:sz w:val="22"/>
                <w:szCs w:val="22"/>
              </w:rPr>
            </w:pPr>
            <w:r w:rsidRPr="00D31670">
              <w:rPr>
                <w:color w:val="000000"/>
                <w:sz w:val="22"/>
                <w:szCs w:val="22"/>
              </w:rPr>
              <w:t>2.58</w:t>
            </w:r>
          </w:p>
        </w:tc>
      </w:tr>
      <w:tr w:rsidR="001015D5" w14:paraId="43E1C963" w14:textId="77777777" w:rsidTr="00B610A0">
        <w:trPr>
          <w:trHeight w:val="208"/>
        </w:trPr>
        <w:tc>
          <w:tcPr>
            <w:tcW w:w="6941" w:type="dxa"/>
            <w:shd w:val="clear" w:color="auto" w:fill="BFBFBF" w:themeFill="background1" w:themeFillShade="BF"/>
            <w:vAlign w:val="center"/>
          </w:tcPr>
          <w:p w14:paraId="16BAD9A7"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5 </w:t>
            </w:r>
            <w:r w:rsidRPr="00D31670">
              <w:rPr>
                <w:sz w:val="22"/>
                <w:szCs w:val="22"/>
              </w:rPr>
              <w:t>‘Sea Mammal Research &amp; Impact’</w:t>
            </w:r>
          </w:p>
        </w:tc>
        <w:tc>
          <w:tcPr>
            <w:tcW w:w="1701" w:type="dxa"/>
            <w:shd w:val="clear" w:color="auto" w:fill="BFBFBF" w:themeFill="background1" w:themeFillShade="BF"/>
            <w:vAlign w:val="bottom"/>
          </w:tcPr>
          <w:p w14:paraId="193C930B" w14:textId="77777777" w:rsidR="001015D5" w:rsidRPr="00D31670" w:rsidRDefault="001015D5" w:rsidP="00B610A0">
            <w:pPr>
              <w:jc w:val="center"/>
              <w:rPr>
                <w:sz w:val="22"/>
                <w:szCs w:val="22"/>
              </w:rPr>
            </w:pPr>
            <w:r w:rsidRPr="00D31670">
              <w:rPr>
                <w:color w:val="000000"/>
                <w:sz w:val="22"/>
                <w:szCs w:val="22"/>
              </w:rPr>
              <w:t>2.49</w:t>
            </w:r>
          </w:p>
        </w:tc>
      </w:tr>
      <w:tr w:rsidR="001015D5" w14:paraId="6028CE17" w14:textId="77777777" w:rsidTr="00B610A0">
        <w:trPr>
          <w:trHeight w:val="216"/>
        </w:trPr>
        <w:tc>
          <w:tcPr>
            <w:tcW w:w="6941" w:type="dxa"/>
            <w:vAlign w:val="center"/>
          </w:tcPr>
          <w:p w14:paraId="47F7C43D"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10.2 </w:t>
            </w:r>
            <w:r w:rsidRPr="00D31670">
              <w:rPr>
                <w:sz w:val="22"/>
                <w:szCs w:val="22"/>
              </w:rPr>
              <w:t>‘Quantification of the benefits of statins’</w:t>
            </w:r>
          </w:p>
        </w:tc>
        <w:tc>
          <w:tcPr>
            <w:tcW w:w="1701" w:type="dxa"/>
            <w:vAlign w:val="bottom"/>
          </w:tcPr>
          <w:p w14:paraId="073039DF" w14:textId="77777777" w:rsidR="001015D5" w:rsidRPr="00D31670" w:rsidRDefault="001015D5" w:rsidP="00B610A0">
            <w:pPr>
              <w:jc w:val="center"/>
              <w:rPr>
                <w:sz w:val="22"/>
                <w:szCs w:val="22"/>
              </w:rPr>
            </w:pPr>
            <w:r w:rsidRPr="00D31670">
              <w:rPr>
                <w:color w:val="000000"/>
                <w:sz w:val="22"/>
                <w:szCs w:val="22"/>
              </w:rPr>
              <w:t>2.40</w:t>
            </w:r>
          </w:p>
        </w:tc>
      </w:tr>
      <w:tr w:rsidR="001015D5" w14:paraId="5AC37671" w14:textId="77777777" w:rsidTr="00B610A0">
        <w:trPr>
          <w:trHeight w:val="208"/>
        </w:trPr>
        <w:tc>
          <w:tcPr>
            <w:tcW w:w="6941" w:type="dxa"/>
            <w:vAlign w:val="center"/>
          </w:tcPr>
          <w:p w14:paraId="18773D65"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10.1 </w:t>
            </w:r>
            <w:r w:rsidRPr="00D31670">
              <w:rPr>
                <w:sz w:val="22"/>
                <w:szCs w:val="22"/>
              </w:rPr>
              <w:t>‘Monitoring Groundwater Pollution’</w:t>
            </w:r>
          </w:p>
        </w:tc>
        <w:tc>
          <w:tcPr>
            <w:tcW w:w="1701" w:type="dxa"/>
            <w:vAlign w:val="bottom"/>
          </w:tcPr>
          <w:p w14:paraId="317B1AE4" w14:textId="77777777" w:rsidR="001015D5" w:rsidRPr="00D31670" w:rsidRDefault="001015D5" w:rsidP="00B610A0">
            <w:pPr>
              <w:jc w:val="center"/>
              <w:rPr>
                <w:sz w:val="22"/>
                <w:szCs w:val="22"/>
              </w:rPr>
            </w:pPr>
            <w:r w:rsidRPr="00D31670">
              <w:rPr>
                <w:color w:val="000000"/>
                <w:sz w:val="22"/>
                <w:szCs w:val="22"/>
              </w:rPr>
              <w:t>2.36</w:t>
            </w:r>
          </w:p>
        </w:tc>
      </w:tr>
      <w:tr w:rsidR="001015D5" w14:paraId="19C03456" w14:textId="77777777" w:rsidTr="00B610A0">
        <w:trPr>
          <w:trHeight w:val="208"/>
        </w:trPr>
        <w:tc>
          <w:tcPr>
            <w:tcW w:w="6941" w:type="dxa"/>
            <w:vAlign w:val="center"/>
          </w:tcPr>
          <w:p w14:paraId="17A3B02F"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8.1 </w:t>
            </w:r>
            <w:r w:rsidRPr="00D31670">
              <w:rPr>
                <w:sz w:val="22"/>
                <w:szCs w:val="22"/>
              </w:rPr>
              <w:t>‘Biocatalysts for Industrial and Medical Applications’</w:t>
            </w:r>
          </w:p>
        </w:tc>
        <w:tc>
          <w:tcPr>
            <w:tcW w:w="1701" w:type="dxa"/>
            <w:vAlign w:val="bottom"/>
          </w:tcPr>
          <w:p w14:paraId="7DAABA76" w14:textId="77777777" w:rsidR="001015D5" w:rsidRPr="00D31670" w:rsidRDefault="001015D5" w:rsidP="00B610A0">
            <w:pPr>
              <w:jc w:val="center"/>
              <w:rPr>
                <w:sz w:val="22"/>
                <w:szCs w:val="22"/>
              </w:rPr>
            </w:pPr>
            <w:r w:rsidRPr="00D31670">
              <w:rPr>
                <w:color w:val="000000"/>
                <w:sz w:val="22"/>
                <w:szCs w:val="22"/>
              </w:rPr>
              <w:t>2.33</w:t>
            </w:r>
          </w:p>
        </w:tc>
      </w:tr>
      <w:tr w:rsidR="001015D5" w14:paraId="4133B85F" w14:textId="77777777" w:rsidTr="00B610A0">
        <w:trPr>
          <w:trHeight w:val="208"/>
        </w:trPr>
        <w:tc>
          <w:tcPr>
            <w:tcW w:w="6941" w:type="dxa"/>
            <w:vAlign w:val="center"/>
          </w:tcPr>
          <w:p w14:paraId="7DA47745"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4.1 </w:t>
            </w:r>
            <w:r w:rsidRPr="00D31670">
              <w:rPr>
                <w:sz w:val="22"/>
                <w:szCs w:val="22"/>
              </w:rPr>
              <w:t>‘Informing Smoking Policy’</w:t>
            </w:r>
          </w:p>
        </w:tc>
        <w:tc>
          <w:tcPr>
            <w:tcW w:w="1701" w:type="dxa"/>
            <w:vAlign w:val="bottom"/>
          </w:tcPr>
          <w:p w14:paraId="29807C77" w14:textId="77777777" w:rsidR="001015D5" w:rsidRPr="00D31670" w:rsidRDefault="001015D5" w:rsidP="00B610A0">
            <w:pPr>
              <w:jc w:val="center"/>
              <w:rPr>
                <w:sz w:val="22"/>
                <w:szCs w:val="22"/>
              </w:rPr>
            </w:pPr>
            <w:r w:rsidRPr="00D31670">
              <w:rPr>
                <w:color w:val="000000"/>
                <w:sz w:val="22"/>
                <w:szCs w:val="22"/>
              </w:rPr>
              <w:t>2.31</w:t>
            </w:r>
          </w:p>
        </w:tc>
      </w:tr>
      <w:tr w:rsidR="001015D5" w14:paraId="1770ABBB" w14:textId="77777777" w:rsidTr="00B610A0">
        <w:trPr>
          <w:trHeight w:val="208"/>
        </w:trPr>
        <w:tc>
          <w:tcPr>
            <w:tcW w:w="6941" w:type="dxa"/>
            <w:vAlign w:val="center"/>
          </w:tcPr>
          <w:p w14:paraId="7834F7DD"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9 </w:t>
            </w:r>
            <w:r w:rsidRPr="00D31670">
              <w:rPr>
                <w:sz w:val="22"/>
                <w:szCs w:val="22"/>
              </w:rPr>
              <w:t>‘Astronomical Research and Instrumentation’</w:t>
            </w:r>
          </w:p>
        </w:tc>
        <w:tc>
          <w:tcPr>
            <w:tcW w:w="1701" w:type="dxa"/>
            <w:vAlign w:val="bottom"/>
          </w:tcPr>
          <w:p w14:paraId="2315D3F2" w14:textId="77777777" w:rsidR="001015D5" w:rsidRPr="00D31670" w:rsidRDefault="001015D5" w:rsidP="00B610A0">
            <w:pPr>
              <w:jc w:val="center"/>
              <w:rPr>
                <w:sz w:val="22"/>
                <w:szCs w:val="22"/>
              </w:rPr>
            </w:pPr>
            <w:r w:rsidRPr="00D31670">
              <w:rPr>
                <w:color w:val="000000"/>
                <w:sz w:val="22"/>
                <w:szCs w:val="22"/>
              </w:rPr>
              <w:t>2.24</w:t>
            </w:r>
          </w:p>
        </w:tc>
      </w:tr>
      <w:tr w:rsidR="001015D5" w14:paraId="4E9A37A5" w14:textId="77777777" w:rsidTr="00B610A0">
        <w:trPr>
          <w:trHeight w:val="208"/>
        </w:trPr>
        <w:tc>
          <w:tcPr>
            <w:tcW w:w="6941" w:type="dxa"/>
            <w:vAlign w:val="center"/>
          </w:tcPr>
          <w:p w14:paraId="5878DCFB"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13.1 </w:t>
            </w:r>
            <w:r w:rsidRPr="00D31670">
              <w:rPr>
                <w:sz w:val="22"/>
                <w:szCs w:val="22"/>
              </w:rPr>
              <w:t>‘High-performance nanostructured-steel armour’</w:t>
            </w:r>
          </w:p>
        </w:tc>
        <w:tc>
          <w:tcPr>
            <w:tcW w:w="1701" w:type="dxa"/>
            <w:vAlign w:val="bottom"/>
          </w:tcPr>
          <w:p w14:paraId="2FC25DEE" w14:textId="77777777" w:rsidR="001015D5" w:rsidRPr="00D31670" w:rsidRDefault="001015D5" w:rsidP="00B610A0">
            <w:pPr>
              <w:jc w:val="center"/>
              <w:rPr>
                <w:sz w:val="22"/>
                <w:szCs w:val="22"/>
              </w:rPr>
            </w:pPr>
            <w:r w:rsidRPr="00D31670">
              <w:rPr>
                <w:color w:val="000000"/>
                <w:sz w:val="22"/>
                <w:szCs w:val="22"/>
              </w:rPr>
              <w:t>2.20</w:t>
            </w:r>
          </w:p>
        </w:tc>
      </w:tr>
      <w:tr w:rsidR="001015D5" w14:paraId="04E55B82" w14:textId="77777777" w:rsidTr="00B610A0">
        <w:trPr>
          <w:trHeight w:val="208"/>
        </w:trPr>
        <w:tc>
          <w:tcPr>
            <w:tcW w:w="6941" w:type="dxa"/>
            <w:vAlign w:val="center"/>
          </w:tcPr>
          <w:p w14:paraId="0D559A06"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7.1 </w:t>
            </w:r>
            <w:r w:rsidRPr="00D31670">
              <w:rPr>
                <w:sz w:val="22"/>
                <w:szCs w:val="22"/>
              </w:rPr>
              <w:t>‘Defining and Sustaining Healthy Seas’</w:t>
            </w:r>
          </w:p>
        </w:tc>
        <w:tc>
          <w:tcPr>
            <w:tcW w:w="1701" w:type="dxa"/>
            <w:vAlign w:val="bottom"/>
          </w:tcPr>
          <w:p w14:paraId="28028CEE" w14:textId="77777777" w:rsidR="001015D5" w:rsidRPr="00D31670" w:rsidRDefault="001015D5" w:rsidP="00B610A0">
            <w:pPr>
              <w:jc w:val="center"/>
              <w:rPr>
                <w:sz w:val="22"/>
                <w:szCs w:val="22"/>
              </w:rPr>
            </w:pPr>
            <w:r w:rsidRPr="00D31670">
              <w:rPr>
                <w:color w:val="000000"/>
                <w:sz w:val="22"/>
                <w:szCs w:val="22"/>
              </w:rPr>
              <w:t>2.18</w:t>
            </w:r>
          </w:p>
        </w:tc>
      </w:tr>
      <w:tr w:rsidR="001015D5" w14:paraId="4A473834" w14:textId="77777777" w:rsidTr="00B610A0">
        <w:trPr>
          <w:trHeight w:val="208"/>
        </w:trPr>
        <w:tc>
          <w:tcPr>
            <w:tcW w:w="6941" w:type="dxa"/>
            <w:vAlign w:val="center"/>
          </w:tcPr>
          <w:p w14:paraId="6DF443EB"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14.1 </w:t>
            </w:r>
            <w:r w:rsidRPr="00D31670">
              <w:rPr>
                <w:sz w:val="22"/>
                <w:szCs w:val="22"/>
              </w:rPr>
              <w:t>‘Managing full scale dynamic performance of civil infrastructure’</w:t>
            </w:r>
          </w:p>
        </w:tc>
        <w:tc>
          <w:tcPr>
            <w:tcW w:w="1701" w:type="dxa"/>
            <w:vAlign w:val="bottom"/>
          </w:tcPr>
          <w:p w14:paraId="4EDE8954" w14:textId="77777777" w:rsidR="001015D5" w:rsidRPr="00D31670" w:rsidRDefault="001015D5" w:rsidP="00B610A0">
            <w:pPr>
              <w:jc w:val="center"/>
              <w:rPr>
                <w:sz w:val="22"/>
                <w:szCs w:val="22"/>
              </w:rPr>
            </w:pPr>
            <w:r w:rsidRPr="00D31670">
              <w:rPr>
                <w:color w:val="000000"/>
                <w:sz w:val="22"/>
                <w:szCs w:val="22"/>
              </w:rPr>
              <w:t>2.13</w:t>
            </w:r>
          </w:p>
        </w:tc>
      </w:tr>
      <w:tr w:rsidR="001015D5" w14:paraId="26954616" w14:textId="77777777" w:rsidTr="00B610A0">
        <w:trPr>
          <w:trHeight w:val="216"/>
        </w:trPr>
        <w:tc>
          <w:tcPr>
            <w:tcW w:w="6941" w:type="dxa"/>
            <w:shd w:val="clear" w:color="auto" w:fill="BFBFBF" w:themeFill="background1" w:themeFillShade="BF"/>
            <w:vAlign w:val="center"/>
          </w:tcPr>
          <w:p w14:paraId="2943F0D1" w14:textId="77777777" w:rsidR="001015D5" w:rsidRPr="00D31670" w:rsidRDefault="001015D5" w:rsidP="00B610A0">
            <w:pPr>
              <w:rPr>
                <w:sz w:val="22"/>
                <w:szCs w:val="22"/>
              </w:rPr>
            </w:pPr>
            <w:r w:rsidRPr="00D31670">
              <w:rPr>
                <w:rFonts w:eastAsia="Times New Roman"/>
                <w:bCs/>
                <w:color w:val="000000"/>
                <w:sz w:val="22"/>
                <w:szCs w:val="22"/>
                <w:lang w:eastAsia="ko-KR"/>
              </w:rPr>
              <w:t xml:space="preserve">4.2 </w:t>
            </w:r>
            <w:r w:rsidRPr="00D31670">
              <w:rPr>
                <w:sz w:val="22"/>
                <w:szCs w:val="22"/>
              </w:rPr>
              <w:t>‘Informing MDMA Policy’</w:t>
            </w:r>
          </w:p>
        </w:tc>
        <w:tc>
          <w:tcPr>
            <w:tcW w:w="1701" w:type="dxa"/>
            <w:shd w:val="clear" w:color="auto" w:fill="BFBFBF" w:themeFill="background1" w:themeFillShade="BF"/>
            <w:vAlign w:val="bottom"/>
          </w:tcPr>
          <w:p w14:paraId="2E7A582B" w14:textId="77777777" w:rsidR="001015D5" w:rsidRPr="00D31670" w:rsidRDefault="001015D5" w:rsidP="00B610A0">
            <w:pPr>
              <w:jc w:val="center"/>
              <w:rPr>
                <w:sz w:val="22"/>
                <w:szCs w:val="22"/>
              </w:rPr>
            </w:pPr>
            <w:r w:rsidRPr="00D31670">
              <w:rPr>
                <w:color w:val="000000"/>
                <w:sz w:val="22"/>
                <w:szCs w:val="22"/>
              </w:rPr>
              <w:t>1.76</w:t>
            </w:r>
          </w:p>
        </w:tc>
      </w:tr>
      <w:tr w:rsidR="001015D5" w14:paraId="497CB400" w14:textId="77777777" w:rsidTr="00B610A0">
        <w:trPr>
          <w:trHeight w:val="208"/>
        </w:trPr>
        <w:tc>
          <w:tcPr>
            <w:tcW w:w="6941" w:type="dxa"/>
          </w:tcPr>
          <w:p w14:paraId="47AE7303" w14:textId="77777777" w:rsidR="001015D5" w:rsidRPr="00D31670" w:rsidRDefault="001015D5" w:rsidP="00B610A0">
            <w:pPr>
              <w:rPr>
                <w:sz w:val="22"/>
                <w:szCs w:val="22"/>
              </w:rPr>
            </w:pPr>
            <w:r>
              <w:rPr>
                <w:rFonts w:eastAsia="Times New Roman"/>
                <w:b/>
                <w:bCs/>
                <w:color w:val="000000"/>
                <w:sz w:val="22"/>
                <w:szCs w:val="22"/>
                <w:lang w:eastAsia="ko-KR"/>
              </w:rPr>
              <w:t>Sample a</w:t>
            </w:r>
            <w:r w:rsidRPr="00D31670">
              <w:rPr>
                <w:rFonts w:eastAsia="Times New Roman"/>
                <w:b/>
                <w:bCs/>
                <w:color w:val="000000"/>
                <w:sz w:val="22"/>
                <w:szCs w:val="22"/>
                <w:lang w:eastAsia="ko-KR"/>
              </w:rPr>
              <w:t>verage</w:t>
            </w:r>
          </w:p>
        </w:tc>
        <w:tc>
          <w:tcPr>
            <w:tcW w:w="1701" w:type="dxa"/>
            <w:vAlign w:val="bottom"/>
          </w:tcPr>
          <w:p w14:paraId="0A7F1CB3" w14:textId="77777777" w:rsidR="001015D5" w:rsidRPr="00D31670" w:rsidRDefault="001015D5" w:rsidP="00B610A0">
            <w:pPr>
              <w:keepNext/>
              <w:jc w:val="center"/>
              <w:rPr>
                <w:sz w:val="22"/>
                <w:szCs w:val="22"/>
              </w:rPr>
            </w:pPr>
            <w:r w:rsidRPr="00D31670">
              <w:rPr>
                <w:b/>
                <w:color w:val="000000"/>
                <w:sz w:val="22"/>
                <w:szCs w:val="22"/>
              </w:rPr>
              <w:t>2.56</w:t>
            </w:r>
          </w:p>
        </w:tc>
      </w:tr>
    </w:tbl>
    <w:p w14:paraId="50124DF3" w14:textId="53EB46E5" w:rsidR="001015D5" w:rsidRDefault="001015D5" w:rsidP="001015D5">
      <w:pPr>
        <w:pStyle w:val="Caption"/>
      </w:pPr>
      <w:bookmarkStart w:id="130" w:name="_Ref6671292"/>
      <w:bookmarkStart w:id="131" w:name="_Ref6671288"/>
      <w:bookmarkStart w:id="132" w:name="_Toc31702038"/>
      <w:r>
        <w:t xml:space="preserve">Table </w:t>
      </w:r>
      <w:r w:rsidR="00A56355">
        <w:fldChar w:fldCharType="begin"/>
      </w:r>
      <w:r w:rsidR="00A56355">
        <w:instrText xml:space="preserve"> SEQ Table \* ARABIC </w:instrText>
      </w:r>
      <w:r w:rsidR="00A56355">
        <w:fldChar w:fldCharType="separate"/>
      </w:r>
      <w:r w:rsidR="0011424E">
        <w:rPr>
          <w:noProof/>
        </w:rPr>
        <w:t>9</w:t>
      </w:r>
      <w:r w:rsidR="00A56355">
        <w:rPr>
          <w:noProof/>
        </w:rPr>
        <w:fldChar w:fldCharType="end"/>
      </w:r>
      <w:bookmarkEnd w:id="130"/>
      <w:r>
        <w:t>. BoR overall typology values</w:t>
      </w:r>
      <w:bookmarkEnd w:id="131"/>
      <w:bookmarkEnd w:id="132"/>
    </w:p>
    <w:p w14:paraId="734FB799" w14:textId="00A43672" w:rsidR="00DD7E84" w:rsidRDefault="00646EB9" w:rsidP="00DD7E84">
      <w:pPr>
        <w:spacing w:before="120" w:after="120" w:line="360" w:lineRule="auto"/>
        <w:rPr>
          <w:sz w:val="24"/>
          <w:szCs w:val="24"/>
        </w:rPr>
      </w:pPr>
      <w:r>
        <w:rPr>
          <w:sz w:val="24"/>
          <w:szCs w:val="24"/>
        </w:rPr>
        <w:t>Th</w:t>
      </w:r>
      <w:r w:rsidR="00980E4B">
        <w:rPr>
          <w:sz w:val="24"/>
          <w:szCs w:val="24"/>
        </w:rPr>
        <w:t>is section</w:t>
      </w:r>
      <w:r>
        <w:rPr>
          <w:sz w:val="24"/>
          <w:szCs w:val="24"/>
        </w:rPr>
        <w:t xml:space="preserve"> will therefore serve to</w:t>
      </w:r>
      <w:r w:rsidR="00C81DBC">
        <w:rPr>
          <w:sz w:val="24"/>
          <w:szCs w:val="24"/>
        </w:rPr>
        <w:t xml:space="preserve"> (i)</w:t>
      </w:r>
      <w:r>
        <w:rPr>
          <w:sz w:val="24"/>
          <w:szCs w:val="24"/>
        </w:rPr>
        <w:t xml:space="preserve"> give the reader insight into the way in which I read and interpreted the sampled research (the nineteen BoRs), in particular how this interpretation translated into decision about how to code (or ‘plot’) each BoR against the typology</w:t>
      </w:r>
      <w:r w:rsidR="00C81DBC">
        <w:rPr>
          <w:sz w:val="24"/>
          <w:szCs w:val="24"/>
        </w:rPr>
        <w:t>, and (ii)</w:t>
      </w:r>
      <w:r>
        <w:rPr>
          <w:sz w:val="24"/>
          <w:szCs w:val="24"/>
        </w:rPr>
        <w:t xml:space="preserve"> highlight the </w:t>
      </w:r>
      <w:r w:rsidR="00C81DBC">
        <w:rPr>
          <w:sz w:val="24"/>
          <w:szCs w:val="24"/>
        </w:rPr>
        <w:t xml:space="preserve">main tendencies and variations in the ways in which boundary transactions operate and </w:t>
      </w:r>
      <w:r w:rsidR="002D29DB">
        <w:rPr>
          <w:sz w:val="24"/>
          <w:szCs w:val="24"/>
        </w:rPr>
        <w:t xml:space="preserve">in which the multi-dimensional activities/attributes of </w:t>
      </w:r>
      <w:r w:rsidR="00440D4D">
        <w:rPr>
          <w:sz w:val="24"/>
          <w:szCs w:val="24"/>
        </w:rPr>
        <w:t xml:space="preserve">academic </w:t>
      </w:r>
      <w:r w:rsidR="002D29DB">
        <w:rPr>
          <w:sz w:val="24"/>
          <w:szCs w:val="24"/>
        </w:rPr>
        <w:t xml:space="preserve">STEMM research tend towards crossing or reproducing academic boundaries. </w:t>
      </w:r>
    </w:p>
    <w:p w14:paraId="369EB982" w14:textId="3A00E998" w:rsidR="00DD7E84" w:rsidRDefault="00302EF9" w:rsidP="00DD7E84">
      <w:pPr>
        <w:pStyle w:val="Heading3"/>
      </w:pPr>
      <w:bookmarkStart w:id="133" w:name="_Toc31701982"/>
      <w:r>
        <w:t xml:space="preserve">Illustrative case 1. </w:t>
      </w:r>
      <w:r w:rsidR="00E458C1">
        <w:t>‘</w:t>
      </w:r>
      <w:r w:rsidR="00F13478">
        <w:t>U</w:t>
      </w:r>
      <w:r w:rsidR="00E458C1">
        <w:t>nbounded’</w:t>
      </w:r>
      <w:r w:rsidR="00C45C3C">
        <w:t xml:space="preserve"> research (BoR11.1)</w:t>
      </w:r>
      <w:bookmarkEnd w:id="133"/>
    </w:p>
    <w:p w14:paraId="3B87823F" w14:textId="2E4FAD8D" w:rsidR="00CA58D1" w:rsidRPr="00306228" w:rsidRDefault="00DD7E84" w:rsidP="00DD7E84">
      <w:pPr>
        <w:spacing w:before="120" w:after="120" w:line="360" w:lineRule="auto"/>
        <w:rPr>
          <w:i/>
          <w:sz w:val="24"/>
          <w:szCs w:val="24"/>
        </w:rPr>
      </w:pPr>
      <w:r>
        <w:rPr>
          <w:sz w:val="24"/>
          <w:szCs w:val="24"/>
        </w:rPr>
        <w:t>BoR11.1, ‘Clinical outcome modelling saves lives’, is based on research in the field of computer science and informatics at the University of Portsmouth, Faculty of Technology, Centre for Healthcare Modelling and Informatics (CHMI)</w:t>
      </w:r>
      <w:r w:rsidR="00306228">
        <w:rPr>
          <w:sz w:val="24"/>
          <w:szCs w:val="24"/>
        </w:rPr>
        <w:t>. CHMI is</w:t>
      </w:r>
      <w:r w:rsidR="00F70516">
        <w:rPr>
          <w:sz w:val="24"/>
          <w:szCs w:val="24"/>
        </w:rPr>
        <w:t xml:space="preserve"> a</w:t>
      </w:r>
      <w:r w:rsidR="0021696C">
        <w:rPr>
          <w:sz w:val="24"/>
          <w:szCs w:val="24"/>
        </w:rPr>
        <w:t>n academic</w:t>
      </w:r>
      <w:r w:rsidR="00F70516">
        <w:rPr>
          <w:sz w:val="24"/>
          <w:szCs w:val="24"/>
        </w:rPr>
        <w:t xml:space="preserve"> ‘boundary structure’ bringing together academic and non-academic experts, academics with different backgrounds and expertise, and NHS staff with different functions, including researchers as well as clinical practitioners</w:t>
      </w:r>
      <w:r>
        <w:rPr>
          <w:sz w:val="24"/>
          <w:szCs w:val="24"/>
        </w:rPr>
        <w:t>.</w:t>
      </w:r>
      <w:r w:rsidR="00306228">
        <w:rPr>
          <w:sz w:val="24"/>
          <w:szCs w:val="24"/>
        </w:rPr>
        <w:t xml:space="preserve"> In terms of the institutional and epistemic context of BoR11.1, it can be characterised, within my thesis, as an ‘</w:t>
      </w:r>
      <w:r w:rsidR="001A023A">
        <w:rPr>
          <w:sz w:val="24"/>
          <w:szCs w:val="24"/>
        </w:rPr>
        <w:t>a</w:t>
      </w:r>
      <w:r w:rsidR="00306228">
        <w:rPr>
          <w:sz w:val="24"/>
          <w:szCs w:val="24"/>
        </w:rPr>
        <w:t>pplied’, ‘</w:t>
      </w:r>
      <w:r w:rsidR="001A023A">
        <w:rPr>
          <w:sz w:val="24"/>
          <w:szCs w:val="24"/>
        </w:rPr>
        <w:t>f</w:t>
      </w:r>
      <w:r w:rsidR="00306228">
        <w:rPr>
          <w:sz w:val="24"/>
          <w:szCs w:val="24"/>
        </w:rPr>
        <w:t xml:space="preserve">ormal’ science in a ‘less prestigious’ departmental context. </w:t>
      </w:r>
      <w:r w:rsidR="00063CD6" w:rsidRPr="00063CD6">
        <w:rPr>
          <w:sz w:val="24"/>
          <w:szCs w:val="24"/>
        </w:rPr>
        <w:fldChar w:fldCharType="begin"/>
      </w:r>
      <w:r w:rsidR="00063CD6" w:rsidRPr="00063CD6">
        <w:rPr>
          <w:sz w:val="24"/>
          <w:szCs w:val="24"/>
        </w:rPr>
        <w:instrText xml:space="preserve"> REF _Ref8834112 \h </w:instrText>
      </w:r>
      <w:r w:rsidR="00063CD6">
        <w:rPr>
          <w:sz w:val="24"/>
          <w:szCs w:val="24"/>
        </w:rPr>
        <w:instrText xml:space="preserve"> \* MERGEFORMAT </w:instrText>
      </w:r>
      <w:r w:rsidR="00063CD6" w:rsidRPr="00063CD6">
        <w:rPr>
          <w:sz w:val="24"/>
          <w:szCs w:val="24"/>
        </w:rPr>
      </w:r>
      <w:r w:rsidR="00063CD6" w:rsidRPr="00063CD6">
        <w:rPr>
          <w:sz w:val="24"/>
          <w:szCs w:val="24"/>
        </w:rPr>
        <w:fldChar w:fldCharType="separate"/>
      </w:r>
      <w:r w:rsidR="0011424E" w:rsidRPr="0011424E">
        <w:rPr>
          <w:sz w:val="24"/>
          <w:szCs w:val="24"/>
        </w:rPr>
        <w:t xml:space="preserve">Table </w:t>
      </w:r>
      <w:r w:rsidR="0011424E" w:rsidRPr="0011424E">
        <w:rPr>
          <w:noProof/>
          <w:sz w:val="24"/>
          <w:szCs w:val="24"/>
        </w:rPr>
        <w:t>10</w:t>
      </w:r>
      <w:r w:rsidR="00063CD6" w:rsidRPr="00063CD6">
        <w:rPr>
          <w:sz w:val="24"/>
          <w:szCs w:val="24"/>
        </w:rPr>
        <w:fldChar w:fldCharType="end"/>
      </w:r>
      <w:r w:rsidR="00063CD6">
        <w:rPr>
          <w:sz w:val="24"/>
          <w:szCs w:val="24"/>
        </w:rPr>
        <w:t xml:space="preserve"> presents </w:t>
      </w:r>
      <w:r w:rsidR="00D121F4">
        <w:rPr>
          <w:sz w:val="24"/>
          <w:szCs w:val="24"/>
        </w:rPr>
        <w:t>BoR11.1’s typology values by the three ‘research dimensions’ derived earlier (‘social context’, ‘intermediary’ and ‘knowledge content’) and, for comparison, shows how these compare with other research sharing its contextual characteristics (applied, formal, less prestigious) and with the overall sample average.</w:t>
      </w:r>
      <w:r w:rsidR="003931B2">
        <w:rPr>
          <w:sz w:val="24"/>
          <w:szCs w:val="24"/>
        </w:rPr>
        <w:t xml:space="preserve"> This shows that BoR11.1 has a very high social context value relative to others sharing its characteristics, and a somewhat higher knowledge context value. But </w:t>
      </w:r>
      <w:r w:rsidR="005D69FC">
        <w:rPr>
          <w:sz w:val="24"/>
          <w:szCs w:val="24"/>
        </w:rPr>
        <w:t>BoR11.1</w:t>
      </w:r>
      <w:r w:rsidR="003931B2">
        <w:rPr>
          <w:sz w:val="24"/>
          <w:szCs w:val="24"/>
        </w:rPr>
        <w:t xml:space="preserve"> mainly stands out in terms of having a very high ‘intermediary’ value.</w:t>
      </w:r>
      <w:r w:rsidR="001A1B32">
        <w:rPr>
          <w:sz w:val="24"/>
          <w:szCs w:val="24"/>
        </w:rPr>
        <w:t xml:space="preserve"> I will explore each of these three research dimensions in turn below. </w:t>
      </w:r>
    </w:p>
    <w:tbl>
      <w:tblPr>
        <w:tblStyle w:val="TableGrid"/>
        <w:tblW w:w="0" w:type="auto"/>
        <w:tblLook w:val="04A0" w:firstRow="1" w:lastRow="0" w:firstColumn="1" w:lastColumn="0" w:noHBand="0" w:noVBand="1"/>
      </w:tblPr>
      <w:tblGrid>
        <w:gridCol w:w="2689"/>
        <w:gridCol w:w="1559"/>
        <w:gridCol w:w="1701"/>
        <w:gridCol w:w="1873"/>
      </w:tblGrid>
      <w:tr w:rsidR="00EC279A" w14:paraId="70D22749" w14:textId="77777777" w:rsidTr="00710267">
        <w:trPr>
          <w:trHeight w:val="151"/>
        </w:trPr>
        <w:tc>
          <w:tcPr>
            <w:tcW w:w="2689" w:type="dxa"/>
            <w:tcBorders>
              <w:bottom w:val="single" w:sz="2" w:space="0" w:color="auto"/>
            </w:tcBorders>
          </w:tcPr>
          <w:p w14:paraId="1CAC80A4" w14:textId="77777777" w:rsidR="00EC279A" w:rsidRPr="006600EC" w:rsidRDefault="00EC279A" w:rsidP="00FD6F73">
            <w:pPr>
              <w:rPr>
                <w:sz w:val="22"/>
                <w:szCs w:val="22"/>
              </w:rPr>
            </w:pPr>
          </w:p>
        </w:tc>
        <w:tc>
          <w:tcPr>
            <w:tcW w:w="1559" w:type="dxa"/>
            <w:tcBorders>
              <w:bottom w:val="single" w:sz="2" w:space="0" w:color="auto"/>
            </w:tcBorders>
            <w:vAlign w:val="center"/>
          </w:tcPr>
          <w:p w14:paraId="20CFCE2D" w14:textId="1846E041" w:rsidR="00EC279A" w:rsidRPr="006600EC" w:rsidRDefault="00EC279A" w:rsidP="00FD6F73">
            <w:pPr>
              <w:jc w:val="center"/>
              <w:rPr>
                <w:sz w:val="22"/>
                <w:szCs w:val="22"/>
              </w:rPr>
            </w:pPr>
            <w:r w:rsidRPr="006600EC">
              <w:rPr>
                <w:sz w:val="22"/>
                <w:szCs w:val="22"/>
              </w:rPr>
              <w:t>Social Context</w:t>
            </w:r>
            <w:r>
              <w:rPr>
                <w:sz w:val="22"/>
                <w:szCs w:val="22"/>
              </w:rPr>
              <w:t xml:space="preserve"> </w:t>
            </w:r>
          </w:p>
        </w:tc>
        <w:tc>
          <w:tcPr>
            <w:tcW w:w="1701" w:type="dxa"/>
            <w:tcBorders>
              <w:bottom w:val="single" w:sz="2" w:space="0" w:color="auto"/>
            </w:tcBorders>
            <w:vAlign w:val="center"/>
          </w:tcPr>
          <w:p w14:paraId="5F254978" w14:textId="7215EDDC" w:rsidR="00EC279A" w:rsidRPr="006600EC" w:rsidRDefault="00EC279A" w:rsidP="00FD6F73">
            <w:pPr>
              <w:jc w:val="center"/>
              <w:rPr>
                <w:sz w:val="22"/>
                <w:szCs w:val="22"/>
              </w:rPr>
            </w:pPr>
            <w:r>
              <w:rPr>
                <w:sz w:val="22"/>
                <w:szCs w:val="22"/>
              </w:rPr>
              <w:t xml:space="preserve">Intermediary </w:t>
            </w:r>
          </w:p>
        </w:tc>
        <w:tc>
          <w:tcPr>
            <w:tcW w:w="1873" w:type="dxa"/>
            <w:tcBorders>
              <w:bottom w:val="single" w:sz="2" w:space="0" w:color="auto"/>
            </w:tcBorders>
            <w:vAlign w:val="center"/>
          </w:tcPr>
          <w:p w14:paraId="3480787B" w14:textId="4E52FF5E" w:rsidR="00EC279A" w:rsidRPr="006600EC" w:rsidRDefault="00EC279A" w:rsidP="00FD6F73">
            <w:pPr>
              <w:jc w:val="center"/>
              <w:rPr>
                <w:sz w:val="22"/>
                <w:szCs w:val="22"/>
              </w:rPr>
            </w:pPr>
            <w:r>
              <w:rPr>
                <w:sz w:val="22"/>
                <w:szCs w:val="22"/>
              </w:rPr>
              <w:t xml:space="preserve">Knowledge Content </w:t>
            </w:r>
          </w:p>
        </w:tc>
      </w:tr>
      <w:tr w:rsidR="00EC279A" w14:paraId="71BC1586" w14:textId="77777777" w:rsidTr="00EB1248">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4939FF40" w14:textId="7A7361D5" w:rsidR="00EC279A" w:rsidRPr="003A4A81" w:rsidRDefault="00EC279A" w:rsidP="0024123F">
            <w:pPr>
              <w:rPr>
                <w:i/>
                <w:sz w:val="22"/>
                <w:szCs w:val="22"/>
              </w:rPr>
            </w:pPr>
            <w:r w:rsidRPr="00251410">
              <w:rPr>
                <w:b/>
                <w:sz w:val="22"/>
                <w:szCs w:val="22"/>
              </w:rPr>
              <w:t>BoR11.1</w:t>
            </w:r>
            <w:r w:rsidR="003A4A81">
              <w:rPr>
                <w:b/>
                <w:sz w:val="22"/>
                <w:szCs w:val="22"/>
              </w:rPr>
              <w:t xml:space="preserve"> </w:t>
            </w:r>
            <w:r w:rsidR="003A4A81">
              <w:rPr>
                <w:i/>
                <w:sz w:val="22"/>
                <w:szCs w:val="22"/>
              </w:rPr>
              <w:t>(</w:t>
            </w:r>
            <w:r w:rsidR="001A023A">
              <w:rPr>
                <w:i/>
                <w:sz w:val="22"/>
                <w:szCs w:val="22"/>
              </w:rPr>
              <w:t>a</w:t>
            </w:r>
            <w:r w:rsidR="003A4A81">
              <w:rPr>
                <w:i/>
                <w:sz w:val="22"/>
                <w:szCs w:val="22"/>
              </w:rPr>
              <w:t xml:space="preserve">pplied, </w:t>
            </w:r>
            <w:r w:rsidR="001A023A">
              <w:rPr>
                <w:i/>
                <w:sz w:val="22"/>
                <w:szCs w:val="22"/>
              </w:rPr>
              <w:t>f</w:t>
            </w:r>
            <w:r w:rsidR="003A4A81">
              <w:rPr>
                <w:i/>
                <w:sz w:val="22"/>
                <w:szCs w:val="22"/>
              </w:rPr>
              <w:t>ormal, ‘less</w:t>
            </w:r>
            <w:r w:rsidR="0081585D">
              <w:rPr>
                <w:i/>
                <w:sz w:val="22"/>
                <w:szCs w:val="22"/>
              </w:rPr>
              <w:t xml:space="preserve"> prestigious’ dept.)</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1020B19" w14:textId="461686DA" w:rsidR="00EC279A" w:rsidRPr="00251410" w:rsidRDefault="00063E45" w:rsidP="00FD6F73">
            <w:pPr>
              <w:jc w:val="center"/>
              <w:rPr>
                <w:b/>
                <w:sz w:val="22"/>
                <w:szCs w:val="22"/>
              </w:rPr>
            </w:pPr>
            <w:r w:rsidRPr="00251410">
              <w:rPr>
                <w:b/>
                <w:sz w:val="22"/>
                <w:szCs w:val="22"/>
              </w:rPr>
              <w:t>4.5</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670978C" w14:textId="098492E6" w:rsidR="00EC279A" w:rsidRPr="00251410" w:rsidRDefault="00063E45" w:rsidP="00FD6F73">
            <w:pPr>
              <w:jc w:val="center"/>
              <w:rPr>
                <w:b/>
                <w:sz w:val="22"/>
                <w:szCs w:val="22"/>
              </w:rPr>
            </w:pPr>
            <w:r w:rsidRPr="00251410">
              <w:rPr>
                <w:b/>
                <w:sz w:val="22"/>
                <w:szCs w:val="22"/>
              </w:rPr>
              <w:t>3.38</w:t>
            </w:r>
          </w:p>
        </w:tc>
        <w:tc>
          <w:tcPr>
            <w:tcW w:w="187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872AB0E" w14:textId="4B18D34D" w:rsidR="00EC279A" w:rsidRPr="00251410" w:rsidRDefault="00063E45" w:rsidP="00FD6F73">
            <w:pPr>
              <w:jc w:val="center"/>
              <w:rPr>
                <w:b/>
                <w:sz w:val="22"/>
                <w:szCs w:val="22"/>
              </w:rPr>
            </w:pPr>
            <w:r w:rsidRPr="00251410">
              <w:rPr>
                <w:b/>
                <w:sz w:val="22"/>
                <w:szCs w:val="22"/>
              </w:rPr>
              <w:t>1.89</w:t>
            </w:r>
          </w:p>
        </w:tc>
      </w:tr>
      <w:tr w:rsidR="00214005" w14:paraId="41210D51" w14:textId="77777777" w:rsidTr="00EB1248">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06F44ED5" w14:textId="1B40FB5B" w:rsidR="00214005" w:rsidRDefault="00214005" w:rsidP="00FD6F73">
            <w:pPr>
              <w:rPr>
                <w:sz w:val="22"/>
                <w:szCs w:val="22"/>
              </w:rPr>
            </w:pPr>
            <w:r>
              <w:rPr>
                <w:sz w:val="22"/>
                <w:szCs w:val="22"/>
              </w:rPr>
              <w:t>‘Applied’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580FB4C" w14:textId="40F85F08" w:rsidR="00214005" w:rsidRDefault="00FD2E5D" w:rsidP="00FD6F73">
            <w:pPr>
              <w:jc w:val="center"/>
              <w:rPr>
                <w:sz w:val="22"/>
                <w:szCs w:val="22"/>
              </w:rPr>
            </w:pPr>
            <w:r>
              <w:rPr>
                <w:sz w:val="22"/>
                <w:szCs w:val="22"/>
              </w:rPr>
              <w:t>3.95</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0357C1C" w14:textId="35B19B70" w:rsidR="00214005" w:rsidRDefault="00FD2E5D" w:rsidP="00FD6F73">
            <w:pPr>
              <w:jc w:val="center"/>
              <w:rPr>
                <w:sz w:val="22"/>
                <w:szCs w:val="22"/>
              </w:rPr>
            </w:pPr>
            <w:r>
              <w:rPr>
                <w:sz w:val="22"/>
                <w:szCs w:val="22"/>
              </w:rPr>
              <w:t>2.52</w:t>
            </w:r>
          </w:p>
        </w:tc>
        <w:tc>
          <w:tcPr>
            <w:tcW w:w="187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EE70E6C" w14:textId="59CCF1B0" w:rsidR="00214005" w:rsidRDefault="00FD2E5D" w:rsidP="00FD6F73">
            <w:pPr>
              <w:jc w:val="center"/>
              <w:rPr>
                <w:sz w:val="22"/>
                <w:szCs w:val="22"/>
              </w:rPr>
            </w:pPr>
            <w:r>
              <w:rPr>
                <w:sz w:val="22"/>
                <w:szCs w:val="22"/>
              </w:rPr>
              <w:t>1.55</w:t>
            </w:r>
          </w:p>
        </w:tc>
      </w:tr>
      <w:tr w:rsidR="00214005" w14:paraId="402196E4" w14:textId="77777777" w:rsidTr="00EB1248">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1DCFA8A0" w14:textId="4FFD8843" w:rsidR="00214005" w:rsidRDefault="00214005" w:rsidP="00FD6F73">
            <w:pPr>
              <w:rPr>
                <w:sz w:val="22"/>
                <w:szCs w:val="22"/>
              </w:rPr>
            </w:pPr>
            <w:r>
              <w:rPr>
                <w:sz w:val="22"/>
                <w:szCs w:val="22"/>
              </w:rPr>
              <w:t>‘Formal’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84D2E6" w14:textId="2BC98A3F" w:rsidR="00214005" w:rsidRDefault="00FD2E5D" w:rsidP="00FD6F73">
            <w:pPr>
              <w:jc w:val="center"/>
              <w:rPr>
                <w:sz w:val="22"/>
                <w:szCs w:val="22"/>
              </w:rPr>
            </w:pPr>
            <w:r>
              <w:rPr>
                <w:sz w:val="22"/>
                <w:szCs w:val="22"/>
              </w:rPr>
              <w:t>3.92</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C9B940C" w14:textId="182714B2" w:rsidR="00214005" w:rsidRDefault="00FD2E5D" w:rsidP="00FD6F73">
            <w:pPr>
              <w:jc w:val="center"/>
              <w:rPr>
                <w:sz w:val="22"/>
                <w:szCs w:val="22"/>
              </w:rPr>
            </w:pPr>
            <w:r>
              <w:rPr>
                <w:sz w:val="22"/>
                <w:szCs w:val="22"/>
              </w:rPr>
              <w:t>2.46</w:t>
            </w:r>
          </w:p>
        </w:tc>
        <w:tc>
          <w:tcPr>
            <w:tcW w:w="187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78B9009" w14:textId="725116D3" w:rsidR="00214005" w:rsidRDefault="00FD2E5D" w:rsidP="00FD6F73">
            <w:pPr>
              <w:jc w:val="center"/>
              <w:rPr>
                <w:sz w:val="22"/>
                <w:szCs w:val="22"/>
              </w:rPr>
            </w:pPr>
            <w:r>
              <w:rPr>
                <w:sz w:val="22"/>
                <w:szCs w:val="22"/>
              </w:rPr>
              <w:t>1.46</w:t>
            </w:r>
          </w:p>
        </w:tc>
      </w:tr>
      <w:tr w:rsidR="00214005" w14:paraId="3F161821" w14:textId="77777777" w:rsidTr="00EB1248">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1A194ECA" w14:textId="5A4BA878" w:rsidR="00214005" w:rsidRDefault="00214005" w:rsidP="00FD6F73">
            <w:pPr>
              <w:rPr>
                <w:sz w:val="22"/>
                <w:szCs w:val="22"/>
              </w:rPr>
            </w:pPr>
            <w:r>
              <w:rPr>
                <w:sz w:val="22"/>
                <w:szCs w:val="22"/>
              </w:rPr>
              <w:t>‘Less prestigious’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F04FAE" w14:textId="58CB220B" w:rsidR="00214005" w:rsidRDefault="00FD2E5D" w:rsidP="00FD6F73">
            <w:pPr>
              <w:jc w:val="center"/>
              <w:rPr>
                <w:sz w:val="22"/>
                <w:szCs w:val="22"/>
              </w:rPr>
            </w:pPr>
            <w:r>
              <w:rPr>
                <w:sz w:val="22"/>
                <w:szCs w:val="22"/>
              </w:rPr>
              <w:t>3.49</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92DBE2C" w14:textId="1CE1ECD7" w:rsidR="00214005" w:rsidRDefault="00FD2E5D" w:rsidP="00FD6F73">
            <w:pPr>
              <w:jc w:val="center"/>
              <w:rPr>
                <w:sz w:val="22"/>
                <w:szCs w:val="22"/>
              </w:rPr>
            </w:pPr>
            <w:r>
              <w:rPr>
                <w:sz w:val="22"/>
                <w:szCs w:val="22"/>
              </w:rPr>
              <w:t>2.63</w:t>
            </w:r>
          </w:p>
        </w:tc>
        <w:tc>
          <w:tcPr>
            <w:tcW w:w="187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E57068" w14:textId="48872CBC" w:rsidR="00214005" w:rsidRDefault="00FD2E5D" w:rsidP="00FD6F73">
            <w:pPr>
              <w:jc w:val="center"/>
              <w:rPr>
                <w:sz w:val="22"/>
                <w:szCs w:val="22"/>
              </w:rPr>
            </w:pPr>
            <w:r>
              <w:rPr>
                <w:sz w:val="22"/>
                <w:szCs w:val="22"/>
              </w:rPr>
              <w:t>1.78</w:t>
            </w:r>
          </w:p>
        </w:tc>
      </w:tr>
      <w:tr w:rsidR="00EC279A" w14:paraId="79C83013" w14:textId="77777777" w:rsidTr="00EB1248">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410A97C6" w14:textId="71E6D78F" w:rsidR="00EC279A" w:rsidRPr="00251410" w:rsidRDefault="00EC279A" w:rsidP="00FD6F73">
            <w:pPr>
              <w:rPr>
                <w:b/>
                <w:sz w:val="22"/>
                <w:szCs w:val="22"/>
              </w:rPr>
            </w:pPr>
            <w:r w:rsidRPr="00251410">
              <w:rPr>
                <w:b/>
                <w:sz w:val="22"/>
                <w:szCs w:val="22"/>
              </w:rPr>
              <w:t>Sample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E6D4F03" w14:textId="51C7042D" w:rsidR="00EC279A" w:rsidRPr="00251410" w:rsidRDefault="00EC279A" w:rsidP="00FD6F73">
            <w:pPr>
              <w:jc w:val="center"/>
              <w:rPr>
                <w:b/>
                <w:sz w:val="22"/>
                <w:szCs w:val="22"/>
              </w:rPr>
            </w:pPr>
            <w:r w:rsidRPr="00251410">
              <w:rPr>
                <w:b/>
                <w:sz w:val="22"/>
                <w:szCs w:val="22"/>
              </w:rPr>
              <w:t>3.54</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7CF5E3" w14:textId="6960DB7C" w:rsidR="00EC279A" w:rsidRPr="00251410" w:rsidRDefault="00EC279A" w:rsidP="00FD6F73">
            <w:pPr>
              <w:jc w:val="center"/>
              <w:rPr>
                <w:b/>
                <w:sz w:val="22"/>
                <w:szCs w:val="22"/>
              </w:rPr>
            </w:pPr>
            <w:r w:rsidRPr="00251410">
              <w:rPr>
                <w:b/>
                <w:sz w:val="22"/>
                <w:szCs w:val="22"/>
              </w:rPr>
              <w:t>2.43</w:t>
            </w:r>
          </w:p>
        </w:tc>
        <w:tc>
          <w:tcPr>
            <w:tcW w:w="187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EF1F077" w14:textId="57A5FFEB" w:rsidR="00EC279A" w:rsidRPr="00251410" w:rsidRDefault="00EC279A" w:rsidP="00C94190">
            <w:pPr>
              <w:keepNext/>
              <w:jc w:val="center"/>
              <w:rPr>
                <w:b/>
                <w:sz w:val="22"/>
                <w:szCs w:val="22"/>
              </w:rPr>
            </w:pPr>
            <w:r w:rsidRPr="00251410">
              <w:rPr>
                <w:b/>
                <w:sz w:val="22"/>
                <w:szCs w:val="22"/>
              </w:rPr>
              <w:t>1.58</w:t>
            </w:r>
          </w:p>
        </w:tc>
      </w:tr>
    </w:tbl>
    <w:p w14:paraId="091DD3EB" w14:textId="2523855F" w:rsidR="00CA58D1" w:rsidRDefault="00C94190" w:rsidP="00C94190">
      <w:pPr>
        <w:pStyle w:val="Caption"/>
        <w:rPr>
          <w:sz w:val="24"/>
          <w:szCs w:val="24"/>
        </w:rPr>
      </w:pPr>
      <w:bookmarkStart w:id="134" w:name="_Ref8834112"/>
      <w:bookmarkStart w:id="135" w:name="_Toc31702039"/>
      <w:r>
        <w:t xml:space="preserve">Table </w:t>
      </w:r>
      <w:r w:rsidR="00A56355">
        <w:fldChar w:fldCharType="begin"/>
      </w:r>
      <w:r w:rsidR="00A56355">
        <w:instrText xml:space="preserve"> SEQ Table \* ARABIC </w:instrText>
      </w:r>
      <w:r w:rsidR="00A56355">
        <w:fldChar w:fldCharType="separate"/>
      </w:r>
      <w:r w:rsidR="0011424E">
        <w:rPr>
          <w:noProof/>
        </w:rPr>
        <w:t>10</w:t>
      </w:r>
      <w:r w:rsidR="00A56355">
        <w:rPr>
          <w:noProof/>
        </w:rPr>
        <w:fldChar w:fldCharType="end"/>
      </w:r>
      <w:bookmarkEnd w:id="134"/>
      <w:r>
        <w:t>. BoR11.1 typology values by 'research dimension' (with comparator values)</w:t>
      </w:r>
      <w:bookmarkEnd w:id="135"/>
    </w:p>
    <w:p w14:paraId="58A0D6DE" w14:textId="1BAA2B19" w:rsidR="00DD7E84" w:rsidRPr="00400186" w:rsidRDefault="00DD7E84" w:rsidP="00F767D2">
      <w:pPr>
        <w:pStyle w:val="Heading4"/>
      </w:pPr>
      <w:r>
        <w:t>‘Social context’ values (goals, relevance, evaluation, outputs &amp; outcomes)</w:t>
      </w:r>
    </w:p>
    <w:p w14:paraId="099CAE27" w14:textId="1C4FFE39" w:rsidR="00DD7E84" w:rsidRPr="00F767D2" w:rsidRDefault="00DD7E84" w:rsidP="00DD7E84">
      <w:pPr>
        <w:spacing w:before="120" w:after="120" w:line="360" w:lineRule="auto"/>
        <w:rPr>
          <w:sz w:val="24"/>
          <w:szCs w:val="24"/>
          <w:u w:val="single"/>
        </w:rPr>
      </w:pPr>
      <w:r w:rsidRPr="002D456C">
        <w:rPr>
          <w:sz w:val="24"/>
          <w:szCs w:val="24"/>
          <w:u w:val="single"/>
        </w:rPr>
        <w:t>Phase 1</w:t>
      </w:r>
      <w:r>
        <w:rPr>
          <w:sz w:val="24"/>
          <w:szCs w:val="24"/>
          <w:u w:val="single"/>
        </w:rPr>
        <w:t>. (An auditing system for comparing surgical outcomes across hospitals)</w:t>
      </w:r>
      <w:r w:rsidR="00F767D2">
        <w:rPr>
          <w:sz w:val="24"/>
          <w:szCs w:val="24"/>
          <w:u w:val="single"/>
        </w:rPr>
        <w:br/>
      </w:r>
      <w:r>
        <w:rPr>
          <w:sz w:val="24"/>
          <w:szCs w:val="24"/>
        </w:rPr>
        <w:t>In the 1980s, there was significant interest in introducing new auditing and benchmarking procedures into surgical practi</w:t>
      </w:r>
      <w:r w:rsidR="003767C2">
        <w:rPr>
          <w:sz w:val="24"/>
          <w:szCs w:val="24"/>
        </w:rPr>
        <w:t>c</w:t>
      </w:r>
      <w:r>
        <w:rPr>
          <w:sz w:val="24"/>
          <w:szCs w:val="24"/>
        </w:rPr>
        <w:t xml:space="preserve">es in order to enable greater comparison between hospitals. The idea was that this would enable ‘good practice’ to be identified and would drive up standards and results of surgical outcomes by encouraging competition between hospitals.  </w:t>
      </w:r>
    </w:p>
    <w:p w14:paraId="5AD1BAC0" w14:textId="6675CB80" w:rsidR="00DD7E84" w:rsidRDefault="00DD7E84" w:rsidP="00DD7E84">
      <w:pPr>
        <w:spacing w:before="120" w:after="120" w:line="360" w:lineRule="auto"/>
        <w:rPr>
          <w:sz w:val="24"/>
          <w:szCs w:val="24"/>
        </w:rPr>
      </w:pPr>
      <w:r>
        <w:rPr>
          <w:sz w:val="24"/>
          <w:szCs w:val="24"/>
        </w:rPr>
        <w:t>This created a demand for research into the factors likely to affect surgical outcomes, so that they could be accounted for in benchmarking</w:t>
      </w:r>
      <w:r w:rsidR="00D828CE">
        <w:rPr>
          <w:sz w:val="24"/>
          <w:szCs w:val="24"/>
        </w:rPr>
        <w:t xml:space="preserve"> and standardisation</w:t>
      </w:r>
      <w:r>
        <w:rPr>
          <w:sz w:val="24"/>
          <w:szCs w:val="24"/>
        </w:rPr>
        <w:t>. For example, any benchmarking tool had to be able to account for the fact that negative surgical outcomes are not just a factor of the individual hospital or surgeon, but are also dependent upon</w:t>
      </w:r>
      <w:r w:rsidR="004A1C45">
        <w:rPr>
          <w:sz w:val="24"/>
          <w:szCs w:val="24"/>
        </w:rPr>
        <w:t xml:space="preserve"> other factors, significantly patient characteristics such as </w:t>
      </w:r>
      <w:r>
        <w:rPr>
          <w:sz w:val="24"/>
          <w:szCs w:val="24"/>
        </w:rPr>
        <w:t xml:space="preserve">age and medical history. </w:t>
      </w:r>
    </w:p>
    <w:p w14:paraId="3AF63483" w14:textId="61E7EA40" w:rsidR="00DD7E84" w:rsidRDefault="00DD7E84" w:rsidP="00DD7E84">
      <w:pPr>
        <w:spacing w:before="120" w:after="120" w:line="360" w:lineRule="auto"/>
        <w:rPr>
          <w:sz w:val="24"/>
          <w:szCs w:val="24"/>
        </w:rPr>
      </w:pPr>
      <w:r>
        <w:rPr>
          <w:sz w:val="24"/>
          <w:szCs w:val="24"/>
        </w:rPr>
        <w:t xml:space="preserve">Some such audit systems did already exist. However, a </w:t>
      </w:r>
      <w:r w:rsidR="00D1108E">
        <w:rPr>
          <w:sz w:val="24"/>
          <w:szCs w:val="24"/>
        </w:rPr>
        <w:t xml:space="preserve">collaborative </w:t>
      </w:r>
      <w:r>
        <w:rPr>
          <w:sz w:val="24"/>
          <w:szCs w:val="24"/>
        </w:rPr>
        <w:t xml:space="preserve">team of researchers which brought together medical doctors, medical physicists, and statisticians from Portsmouth NHS Trust and </w:t>
      </w:r>
      <w:r w:rsidR="00A6515C">
        <w:rPr>
          <w:sz w:val="24"/>
          <w:szCs w:val="24"/>
        </w:rPr>
        <w:t>the University of Portsmouth’s</w:t>
      </w:r>
      <w:r>
        <w:rPr>
          <w:sz w:val="24"/>
          <w:szCs w:val="24"/>
        </w:rPr>
        <w:t xml:space="preserve"> CHMI</w:t>
      </w:r>
      <w:r w:rsidR="008961D5">
        <w:rPr>
          <w:sz w:val="24"/>
          <w:szCs w:val="24"/>
        </w:rPr>
        <w:t xml:space="preserve"> (the ‘Portsmouth Team’)</w:t>
      </w:r>
      <w:r>
        <w:rPr>
          <w:sz w:val="24"/>
          <w:szCs w:val="24"/>
        </w:rPr>
        <w:t>, identified significant limitations</w:t>
      </w:r>
      <w:r w:rsidR="008961D5">
        <w:rPr>
          <w:sz w:val="24"/>
          <w:szCs w:val="24"/>
        </w:rPr>
        <w:t xml:space="preserve"> in existing audit systems. F</w:t>
      </w:r>
      <w:r>
        <w:rPr>
          <w:sz w:val="24"/>
          <w:szCs w:val="24"/>
        </w:rPr>
        <w:t xml:space="preserve">or example, </w:t>
      </w:r>
      <w:r w:rsidR="008961D5">
        <w:rPr>
          <w:sz w:val="24"/>
          <w:szCs w:val="24"/>
        </w:rPr>
        <w:t xml:space="preserve">the most </w:t>
      </w:r>
      <w:r w:rsidR="00A022A5">
        <w:rPr>
          <w:sz w:val="24"/>
          <w:szCs w:val="24"/>
        </w:rPr>
        <w:t>widely accepted</w:t>
      </w:r>
      <w:r w:rsidR="008961D5">
        <w:rPr>
          <w:sz w:val="24"/>
          <w:szCs w:val="24"/>
        </w:rPr>
        <w:t xml:space="preserve"> system at that time</w:t>
      </w:r>
      <w:r>
        <w:rPr>
          <w:sz w:val="24"/>
          <w:szCs w:val="24"/>
        </w:rPr>
        <w:t xml:space="preserve"> over-predicted the average death rate of surgery, and did so to different extent</w:t>
      </w:r>
      <w:r w:rsidR="00174889">
        <w:rPr>
          <w:sz w:val="24"/>
          <w:szCs w:val="24"/>
        </w:rPr>
        <w:t>s</w:t>
      </w:r>
      <w:r>
        <w:rPr>
          <w:sz w:val="24"/>
          <w:szCs w:val="24"/>
        </w:rPr>
        <w:t xml:space="preserve"> depending on patient characteristics, meaning the benchmarks were </w:t>
      </w:r>
      <w:r w:rsidR="00EC557A">
        <w:rPr>
          <w:sz w:val="24"/>
          <w:szCs w:val="24"/>
        </w:rPr>
        <w:t>un</w:t>
      </w:r>
      <w:r>
        <w:rPr>
          <w:sz w:val="24"/>
          <w:szCs w:val="24"/>
        </w:rPr>
        <w:t xml:space="preserve">reliable. </w:t>
      </w:r>
      <w:r w:rsidR="008C24DA">
        <w:rPr>
          <w:sz w:val="24"/>
          <w:szCs w:val="24"/>
        </w:rPr>
        <w:t>At</w:t>
      </w:r>
      <w:r w:rsidR="00EC557A">
        <w:rPr>
          <w:sz w:val="24"/>
          <w:szCs w:val="24"/>
        </w:rPr>
        <w:t xml:space="preserve"> ‘Phase 1’ </w:t>
      </w:r>
      <w:r w:rsidR="008C24DA">
        <w:rPr>
          <w:sz w:val="24"/>
          <w:szCs w:val="24"/>
        </w:rPr>
        <w:t>then</w:t>
      </w:r>
      <w:r>
        <w:rPr>
          <w:sz w:val="24"/>
          <w:szCs w:val="24"/>
        </w:rPr>
        <w:t xml:space="preserve">, the Portsmouth Team were motivated to conduct new and more systematic data-collection and statistical refinement in order to improve the reliability of existing systems’ formula and predictive capabilities. </w:t>
      </w:r>
    </w:p>
    <w:p w14:paraId="12495A7D" w14:textId="188668CA" w:rsidR="00DD7E84" w:rsidRDefault="00DD7E84" w:rsidP="00DD7E84">
      <w:pPr>
        <w:spacing w:before="120" w:after="120" w:line="360" w:lineRule="auto"/>
        <w:rPr>
          <w:sz w:val="24"/>
          <w:szCs w:val="24"/>
        </w:rPr>
      </w:pPr>
      <w:r>
        <w:rPr>
          <w:sz w:val="24"/>
          <w:szCs w:val="24"/>
        </w:rPr>
        <w:t>When it came to plotting Phase 1</w:t>
      </w:r>
      <w:r>
        <w:rPr>
          <w:i/>
          <w:sz w:val="24"/>
          <w:szCs w:val="24"/>
        </w:rPr>
        <w:t xml:space="preserve"> </w:t>
      </w:r>
      <w:r>
        <w:rPr>
          <w:sz w:val="24"/>
          <w:szCs w:val="24"/>
        </w:rPr>
        <w:t>of this BoR against the typology (see</w:t>
      </w:r>
      <w:r w:rsidRPr="00FF0B16">
        <w:rPr>
          <w:sz w:val="24"/>
          <w:szCs w:val="24"/>
        </w:rPr>
        <w:t xml:space="preserve"> </w:t>
      </w:r>
      <w:r w:rsidRPr="00FF0B16">
        <w:rPr>
          <w:sz w:val="24"/>
          <w:szCs w:val="24"/>
        </w:rPr>
        <w:fldChar w:fldCharType="begin"/>
      </w:r>
      <w:r w:rsidRPr="00FF0B16">
        <w:rPr>
          <w:sz w:val="24"/>
          <w:szCs w:val="24"/>
        </w:rPr>
        <w:instrText xml:space="preserve"> REF _Ref7018012 \h </w:instrText>
      </w:r>
      <w:r>
        <w:rPr>
          <w:sz w:val="24"/>
          <w:szCs w:val="24"/>
        </w:rPr>
        <w:instrText xml:space="preserve"> \* MERGEFORMAT </w:instrText>
      </w:r>
      <w:r w:rsidRPr="00FF0B16">
        <w:rPr>
          <w:sz w:val="24"/>
          <w:szCs w:val="24"/>
        </w:rPr>
      </w:r>
      <w:r w:rsidRPr="00FF0B16">
        <w:rPr>
          <w:sz w:val="24"/>
          <w:szCs w:val="24"/>
        </w:rPr>
        <w:fldChar w:fldCharType="separate"/>
      </w:r>
      <w:r w:rsidR="0011424E" w:rsidRPr="0011424E">
        <w:rPr>
          <w:sz w:val="24"/>
          <w:szCs w:val="24"/>
        </w:rPr>
        <w:t xml:space="preserve">Table </w:t>
      </w:r>
      <w:r w:rsidR="0011424E" w:rsidRPr="0011424E">
        <w:rPr>
          <w:noProof/>
          <w:sz w:val="24"/>
          <w:szCs w:val="24"/>
        </w:rPr>
        <w:t>11</w:t>
      </w:r>
      <w:r w:rsidRPr="00FF0B16">
        <w:rPr>
          <w:sz w:val="24"/>
          <w:szCs w:val="24"/>
        </w:rPr>
        <w:fldChar w:fldCharType="end"/>
      </w:r>
      <w:r w:rsidRPr="00FF0B16">
        <w:rPr>
          <w:sz w:val="24"/>
          <w:szCs w:val="24"/>
        </w:rPr>
        <w:t xml:space="preserve"> summary</w:t>
      </w:r>
      <w:r>
        <w:rPr>
          <w:sz w:val="24"/>
          <w:szCs w:val="24"/>
        </w:rPr>
        <w:t xml:space="preserve">), I judged the ‘goals’ of the research to be very much grounded in the real-world context of medical practice, rather than driven by scientific objectives such as disciplinary and theoretical expansion. I therefore gave a value of 5 on the typology for ‘goals’. However, for the ‘relevance’ of the research I gave a value of 4, since, although driven by the goal of maximising relevance for the specific purposes of benchmarking and comparison, the results of the research potentially had broader scientific relevance. </w:t>
      </w:r>
    </w:p>
    <w:p w14:paraId="2321192C" w14:textId="7FAA7A7D" w:rsidR="00DD7E84" w:rsidRDefault="00DD7E84" w:rsidP="00DD7E84">
      <w:pPr>
        <w:spacing w:before="120" w:after="120" w:line="360" w:lineRule="auto"/>
        <w:rPr>
          <w:sz w:val="24"/>
          <w:szCs w:val="24"/>
        </w:rPr>
      </w:pPr>
      <w:r>
        <w:rPr>
          <w:sz w:val="24"/>
          <w:szCs w:val="24"/>
        </w:rPr>
        <w:t xml:space="preserve">Similarly, I gave a 4 for the ‘outputs/outcomes’ of the research. Again, although the prime output was a tool for use in practice, contribution to the academic literature was a significant part of that process, and therefore I chose not to give the highest value of 5. This was even more the case for ‘evaluation and effectiveness’, for which I gave a value of 3. </w:t>
      </w:r>
      <w:r w:rsidR="00FA08AC">
        <w:rPr>
          <w:sz w:val="24"/>
          <w:szCs w:val="24"/>
        </w:rPr>
        <w:t>Ultimately,</w:t>
      </w:r>
      <w:r>
        <w:rPr>
          <w:sz w:val="24"/>
          <w:szCs w:val="24"/>
        </w:rPr>
        <w:t xml:space="preserve"> the effectiveness of such a tool will be evaluated in the context of application</w:t>
      </w:r>
      <w:r w:rsidR="00FA08AC">
        <w:rPr>
          <w:sz w:val="24"/>
          <w:szCs w:val="24"/>
        </w:rPr>
        <w:t xml:space="preserve">. However, at Phase 1, </w:t>
      </w:r>
      <w:r>
        <w:rPr>
          <w:sz w:val="24"/>
          <w:szCs w:val="24"/>
        </w:rPr>
        <w:t>more traditional scientific forms of evaluation were also essential, that is, evaluation by the scholarly community who would review and accept the rigour and value of the contribution as presented in scientific journals.</w:t>
      </w:r>
      <w:r w:rsidRPr="00CA2FA2">
        <w:rPr>
          <w:sz w:val="24"/>
          <w:szCs w:val="24"/>
        </w:rPr>
        <w:t xml:space="preserve"> </w:t>
      </w:r>
      <w:r w:rsidR="00CA2FA2" w:rsidRPr="00CA2FA2">
        <w:rPr>
          <w:sz w:val="24"/>
          <w:szCs w:val="24"/>
        </w:rPr>
        <w:fldChar w:fldCharType="begin"/>
      </w:r>
      <w:r w:rsidR="00CA2FA2" w:rsidRPr="00CA2FA2">
        <w:rPr>
          <w:sz w:val="24"/>
          <w:szCs w:val="24"/>
        </w:rPr>
        <w:instrText xml:space="preserve"> REF _Ref7018012 \h </w:instrText>
      </w:r>
      <w:r w:rsidR="00CA2FA2">
        <w:rPr>
          <w:sz w:val="24"/>
          <w:szCs w:val="24"/>
        </w:rPr>
        <w:instrText xml:space="preserve"> \* MERGEFORMAT </w:instrText>
      </w:r>
      <w:r w:rsidR="00CA2FA2" w:rsidRPr="00CA2FA2">
        <w:rPr>
          <w:sz w:val="24"/>
          <w:szCs w:val="24"/>
        </w:rPr>
      </w:r>
      <w:r w:rsidR="00CA2FA2" w:rsidRPr="00CA2FA2">
        <w:rPr>
          <w:sz w:val="24"/>
          <w:szCs w:val="24"/>
        </w:rPr>
        <w:fldChar w:fldCharType="separate"/>
      </w:r>
      <w:r w:rsidR="0011424E" w:rsidRPr="0011424E">
        <w:rPr>
          <w:sz w:val="24"/>
          <w:szCs w:val="24"/>
        </w:rPr>
        <w:t xml:space="preserve">Table </w:t>
      </w:r>
      <w:r w:rsidR="0011424E" w:rsidRPr="0011424E">
        <w:rPr>
          <w:noProof/>
          <w:sz w:val="24"/>
          <w:szCs w:val="24"/>
        </w:rPr>
        <w:t>11</w:t>
      </w:r>
      <w:r w:rsidR="00CA2FA2" w:rsidRPr="00CA2FA2">
        <w:rPr>
          <w:sz w:val="24"/>
          <w:szCs w:val="24"/>
        </w:rPr>
        <w:fldChar w:fldCharType="end"/>
      </w:r>
      <w:r w:rsidR="00CA2FA2">
        <w:rPr>
          <w:sz w:val="24"/>
          <w:szCs w:val="24"/>
        </w:rPr>
        <w:t xml:space="preserve"> summarises these values.</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178"/>
      </w:tblGrid>
      <w:tr w:rsidR="00DD7E84" w14:paraId="52E8F326" w14:textId="77777777" w:rsidTr="00DE5040">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47CF6375" w14:textId="77777777" w:rsidR="00DD7E84" w:rsidRPr="008707A9" w:rsidRDefault="00DD7E84" w:rsidP="00DE504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w:t>
            </w:r>
            <w:r w:rsidRPr="008707A9">
              <w:rPr>
                <w:rFonts w:asciiTheme="majorBidi" w:hAnsiTheme="majorBidi" w:cstheme="majorBidi"/>
                <w:b/>
              </w:rPr>
              <w:t>activity</w:t>
            </w:r>
          </w:p>
        </w:tc>
        <w:tc>
          <w:tcPr>
            <w:tcW w:w="2178" w:type="dxa"/>
            <w:tcBorders>
              <w:top w:val="single" w:sz="4" w:space="0" w:color="auto"/>
              <w:left w:val="single" w:sz="4" w:space="0" w:color="auto"/>
              <w:bottom w:val="single" w:sz="4" w:space="0" w:color="auto"/>
              <w:right w:val="single" w:sz="4" w:space="0" w:color="auto"/>
            </w:tcBorders>
          </w:tcPr>
          <w:p w14:paraId="7A275B5D" w14:textId="37C62EB9" w:rsidR="00DD7E84" w:rsidRPr="00FF5CE5" w:rsidRDefault="00DD7E84" w:rsidP="00DE5040">
            <w:pPr>
              <w:spacing w:after="0" w:line="240" w:lineRule="auto"/>
              <w:jc w:val="center"/>
              <w:rPr>
                <w:rFonts w:asciiTheme="majorBidi" w:hAnsiTheme="majorBidi" w:cstheme="majorBidi"/>
                <w:b/>
              </w:rPr>
            </w:pPr>
            <w:r>
              <w:rPr>
                <w:rFonts w:asciiTheme="majorBidi" w:hAnsiTheme="majorBidi" w:cstheme="majorBidi"/>
                <w:b/>
              </w:rPr>
              <w:t>Value</w:t>
            </w:r>
            <w:r w:rsidR="00513E14">
              <w:rPr>
                <w:rFonts w:asciiTheme="majorBidi" w:hAnsiTheme="majorBidi" w:cstheme="majorBidi"/>
                <w:b/>
              </w:rPr>
              <w:t xml:space="preserve"> (Phase 1)</w:t>
            </w:r>
          </w:p>
        </w:tc>
      </w:tr>
      <w:tr w:rsidR="00DD7E84" w14:paraId="67A3C865"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DC4D617"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13560FAB" w14:textId="77777777" w:rsidR="00DD7E84" w:rsidRPr="000B15CE" w:rsidRDefault="00DD7E84" w:rsidP="00DE5040">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5</w:t>
            </w:r>
          </w:p>
        </w:tc>
      </w:tr>
      <w:tr w:rsidR="00DD7E84" w14:paraId="7ACA2974"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14BAA27"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1ECB5D62"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DD7E84" w14:paraId="7F9FA0C3"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8A53177"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3467727B"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76930808"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9E74F01"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Outputs</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29CE9E13" w14:textId="77777777" w:rsidR="00DD7E84" w:rsidRPr="000B15CE" w:rsidRDefault="00DD7E84" w:rsidP="00DE5040">
            <w:pPr>
              <w:keepNext/>
              <w:spacing w:after="0" w:line="240" w:lineRule="auto"/>
              <w:jc w:val="center"/>
              <w:rPr>
                <w:rFonts w:asciiTheme="majorBidi" w:hAnsiTheme="majorBidi" w:cstheme="majorBidi"/>
                <w:color w:val="000000"/>
              </w:rPr>
            </w:pPr>
            <w:r>
              <w:rPr>
                <w:rFonts w:asciiTheme="majorBidi" w:hAnsiTheme="majorBidi" w:cstheme="majorBidi"/>
                <w:color w:val="000000"/>
              </w:rPr>
              <w:t>4</w:t>
            </w:r>
          </w:p>
        </w:tc>
      </w:tr>
    </w:tbl>
    <w:p w14:paraId="01A7FF8A" w14:textId="6AF2CD46" w:rsidR="00DD7E84" w:rsidRDefault="00DD7E84" w:rsidP="00DD7E84">
      <w:pPr>
        <w:pStyle w:val="Caption"/>
        <w:rPr>
          <w:sz w:val="24"/>
          <w:szCs w:val="24"/>
        </w:rPr>
      </w:pPr>
      <w:bookmarkStart w:id="136" w:name="_Ref7018012"/>
      <w:bookmarkStart w:id="137" w:name="_Toc31702040"/>
      <w:r>
        <w:t xml:space="preserve">Table </w:t>
      </w:r>
      <w:r w:rsidR="00A56355">
        <w:fldChar w:fldCharType="begin"/>
      </w:r>
      <w:r w:rsidR="00A56355">
        <w:instrText xml:space="preserve"> SEQ Table \* ARABIC </w:instrText>
      </w:r>
      <w:r w:rsidR="00A56355">
        <w:fldChar w:fldCharType="separate"/>
      </w:r>
      <w:r w:rsidR="0011424E">
        <w:rPr>
          <w:noProof/>
        </w:rPr>
        <w:t>11</w:t>
      </w:r>
      <w:r w:rsidR="00A56355">
        <w:rPr>
          <w:noProof/>
        </w:rPr>
        <w:fldChar w:fldCharType="end"/>
      </w:r>
      <w:bookmarkEnd w:id="136"/>
      <w:r>
        <w:t>. BoR11.1 'social context' values - Phase 1</w:t>
      </w:r>
      <w:bookmarkEnd w:id="137"/>
    </w:p>
    <w:p w14:paraId="25030283" w14:textId="33C8E4AE" w:rsidR="00DD7E84" w:rsidRDefault="00DD7E84" w:rsidP="00DD7E84">
      <w:pPr>
        <w:spacing w:after="120" w:line="360" w:lineRule="auto"/>
        <w:rPr>
          <w:sz w:val="24"/>
          <w:szCs w:val="24"/>
        </w:rPr>
      </w:pPr>
      <w:r w:rsidRPr="00FC33ED">
        <w:rPr>
          <w:sz w:val="24"/>
          <w:szCs w:val="24"/>
          <w:u w:val="single"/>
        </w:rPr>
        <w:t xml:space="preserve">Phase 2. </w:t>
      </w:r>
      <w:r>
        <w:rPr>
          <w:sz w:val="24"/>
          <w:szCs w:val="24"/>
          <w:u w:val="single"/>
        </w:rPr>
        <w:t>(Developing an Early Warning System (EWS) for real-time clinical care)</w:t>
      </w:r>
      <w:r>
        <w:rPr>
          <w:sz w:val="24"/>
          <w:szCs w:val="24"/>
        </w:rPr>
        <w:br/>
        <w:t xml:space="preserve">For the following decade, into the early 2000s, the </w:t>
      </w:r>
      <w:r w:rsidR="00693143">
        <w:rPr>
          <w:sz w:val="24"/>
          <w:szCs w:val="24"/>
        </w:rPr>
        <w:t xml:space="preserve">collaboration between the NHS and the University that made up the Portsmouth Team was further consolidated </w:t>
      </w:r>
      <w:r>
        <w:rPr>
          <w:sz w:val="24"/>
          <w:szCs w:val="24"/>
        </w:rPr>
        <w:t xml:space="preserve">with the appointment of one NHS medical physicist as Professor of Health Informatics at CHMI. This </w:t>
      </w:r>
      <w:r w:rsidR="00297C9B">
        <w:rPr>
          <w:sz w:val="24"/>
          <w:szCs w:val="24"/>
        </w:rPr>
        <w:t>‘boundary-spanner’</w:t>
      </w:r>
      <w:r>
        <w:rPr>
          <w:sz w:val="24"/>
          <w:szCs w:val="24"/>
        </w:rPr>
        <w:t xml:space="preserve"> became the main link between the partner institutions and led the development of what I have demarcated as ‘Phase 2’. The research advanced in two main directions. First, it broadened in scope by applying its model to general medicine cases rather than only to surgery outcomes. Second, it targeted being more than just a benchmarking and comparison tool, and aimed to become of direct real-time relevance in clinical contexts. The aim was to produce an algorithm based on a combination of patients</w:t>
      </w:r>
      <w:r w:rsidR="008C0124">
        <w:rPr>
          <w:sz w:val="24"/>
          <w:szCs w:val="24"/>
        </w:rPr>
        <w:t>’</w:t>
      </w:r>
      <w:r>
        <w:rPr>
          <w:sz w:val="24"/>
          <w:szCs w:val="24"/>
        </w:rPr>
        <w:t xml:space="preserve"> biographical data and vital signs data that would generate a so-called ‘early warning score’ </w:t>
      </w:r>
      <w:r w:rsidR="00A412CF">
        <w:rPr>
          <w:sz w:val="24"/>
          <w:szCs w:val="24"/>
        </w:rPr>
        <w:t>(</w:t>
      </w:r>
      <w:r>
        <w:rPr>
          <w:sz w:val="24"/>
          <w:szCs w:val="24"/>
        </w:rPr>
        <w:t>EWS</w:t>
      </w:r>
      <w:r w:rsidR="00A412CF">
        <w:rPr>
          <w:sz w:val="24"/>
          <w:szCs w:val="24"/>
        </w:rPr>
        <w:t>). The EWS</w:t>
      </w:r>
      <w:r>
        <w:rPr>
          <w:sz w:val="24"/>
          <w:szCs w:val="24"/>
        </w:rPr>
        <w:t xml:space="preserve"> would identify and rank patients most at-risk of immediate deterioration and therefore in need of extra monitoring and care.</w:t>
      </w:r>
    </w:p>
    <w:p w14:paraId="7F8429F6" w14:textId="4A4C1321" w:rsidR="00DD7E84" w:rsidRDefault="00DD7E84" w:rsidP="00DD7E84">
      <w:pPr>
        <w:spacing w:after="120" w:line="360" w:lineRule="auto"/>
        <w:rPr>
          <w:sz w:val="24"/>
          <w:szCs w:val="24"/>
        </w:rPr>
      </w:pPr>
      <w:r>
        <w:rPr>
          <w:sz w:val="24"/>
          <w:szCs w:val="24"/>
        </w:rPr>
        <w:t>At Phase 2, then, I rated the ‘goal’ as 5</w:t>
      </w:r>
      <w:r w:rsidR="0019305A">
        <w:rPr>
          <w:sz w:val="24"/>
          <w:szCs w:val="24"/>
        </w:rPr>
        <w:t xml:space="preserve"> (</w:t>
      </w:r>
      <w:r>
        <w:rPr>
          <w:sz w:val="24"/>
          <w:szCs w:val="24"/>
        </w:rPr>
        <w:t>as I did for Phase 1</w:t>
      </w:r>
      <w:r w:rsidR="0019305A">
        <w:rPr>
          <w:sz w:val="24"/>
          <w:szCs w:val="24"/>
        </w:rPr>
        <w:t>)</w:t>
      </w:r>
      <w:r>
        <w:rPr>
          <w:sz w:val="24"/>
          <w:szCs w:val="24"/>
        </w:rPr>
        <w:t xml:space="preserve">. However, </w:t>
      </w:r>
      <w:r w:rsidR="00B90198">
        <w:rPr>
          <w:sz w:val="24"/>
          <w:szCs w:val="24"/>
        </w:rPr>
        <w:t>I increased the value of</w:t>
      </w:r>
      <w:r>
        <w:rPr>
          <w:sz w:val="24"/>
          <w:szCs w:val="24"/>
        </w:rPr>
        <w:t xml:space="preserve"> ‘relevance’</w:t>
      </w:r>
      <w:r w:rsidR="00E73464">
        <w:rPr>
          <w:sz w:val="24"/>
          <w:szCs w:val="24"/>
        </w:rPr>
        <w:t xml:space="preserve"> (5)</w:t>
      </w:r>
      <w:r>
        <w:rPr>
          <w:sz w:val="24"/>
          <w:szCs w:val="24"/>
        </w:rPr>
        <w:t xml:space="preserve">, ‘outputs &amp; outcomes’ </w:t>
      </w:r>
      <w:r w:rsidR="00E73464">
        <w:rPr>
          <w:sz w:val="24"/>
          <w:szCs w:val="24"/>
        </w:rPr>
        <w:t xml:space="preserve">(5) </w:t>
      </w:r>
      <w:r>
        <w:rPr>
          <w:sz w:val="24"/>
          <w:szCs w:val="24"/>
        </w:rPr>
        <w:t>and ‘evaluation &amp; effectiveness’</w:t>
      </w:r>
      <w:r w:rsidR="00E73464">
        <w:rPr>
          <w:sz w:val="24"/>
          <w:szCs w:val="24"/>
        </w:rPr>
        <w:t xml:space="preserve"> (4)</w:t>
      </w:r>
      <w:r w:rsidR="005866F4">
        <w:rPr>
          <w:sz w:val="24"/>
          <w:szCs w:val="24"/>
        </w:rPr>
        <w:t xml:space="preserve"> (see </w:t>
      </w:r>
      <w:r w:rsidR="005866F4" w:rsidRPr="00015C7E">
        <w:rPr>
          <w:sz w:val="24"/>
          <w:szCs w:val="24"/>
        </w:rPr>
        <w:fldChar w:fldCharType="begin"/>
      </w:r>
      <w:r w:rsidR="005866F4" w:rsidRPr="00015C7E">
        <w:rPr>
          <w:sz w:val="24"/>
          <w:szCs w:val="24"/>
        </w:rPr>
        <w:instrText xml:space="preserve"> REF _Ref7018114 \h </w:instrText>
      </w:r>
      <w:r w:rsidR="005866F4">
        <w:rPr>
          <w:sz w:val="24"/>
          <w:szCs w:val="24"/>
        </w:rPr>
        <w:instrText xml:space="preserve"> \* MERGEFORMAT </w:instrText>
      </w:r>
      <w:r w:rsidR="005866F4" w:rsidRPr="00015C7E">
        <w:rPr>
          <w:sz w:val="24"/>
          <w:szCs w:val="24"/>
        </w:rPr>
      </w:r>
      <w:r w:rsidR="005866F4" w:rsidRPr="00015C7E">
        <w:rPr>
          <w:sz w:val="24"/>
          <w:szCs w:val="24"/>
        </w:rPr>
        <w:fldChar w:fldCharType="separate"/>
      </w:r>
      <w:r w:rsidR="0011424E" w:rsidRPr="0011424E">
        <w:rPr>
          <w:sz w:val="24"/>
          <w:szCs w:val="24"/>
        </w:rPr>
        <w:t xml:space="preserve">Table </w:t>
      </w:r>
      <w:r w:rsidR="0011424E" w:rsidRPr="0011424E">
        <w:rPr>
          <w:noProof/>
          <w:sz w:val="24"/>
          <w:szCs w:val="24"/>
        </w:rPr>
        <w:t>12</w:t>
      </w:r>
      <w:r w:rsidR="005866F4" w:rsidRPr="00015C7E">
        <w:rPr>
          <w:sz w:val="24"/>
          <w:szCs w:val="24"/>
        </w:rPr>
        <w:fldChar w:fldCharType="end"/>
      </w:r>
      <w:r w:rsidR="005866F4">
        <w:rPr>
          <w:sz w:val="24"/>
          <w:szCs w:val="24"/>
        </w:rPr>
        <w:t>).</w:t>
      </w:r>
      <w:r>
        <w:rPr>
          <w:sz w:val="24"/>
          <w:szCs w:val="24"/>
        </w:rPr>
        <w:t xml:space="preserve"> </w:t>
      </w:r>
      <w:r w:rsidR="00E73464">
        <w:rPr>
          <w:sz w:val="24"/>
          <w:szCs w:val="24"/>
        </w:rPr>
        <w:t>These values reflect</w:t>
      </w:r>
      <w:r>
        <w:rPr>
          <w:sz w:val="24"/>
          <w:szCs w:val="24"/>
        </w:rPr>
        <w:t xml:space="preserve"> the more immediate relevance and applicab</w:t>
      </w:r>
      <w:r w:rsidR="00E73464">
        <w:rPr>
          <w:sz w:val="24"/>
          <w:szCs w:val="24"/>
        </w:rPr>
        <w:t>ility of the</w:t>
      </w:r>
      <w:r>
        <w:rPr>
          <w:sz w:val="24"/>
          <w:szCs w:val="24"/>
        </w:rPr>
        <w:t xml:space="preserve"> outputs of this phase of the research</w:t>
      </w:r>
      <w:r w:rsidR="00E73464">
        <w:rPr>
          <w:sz w:val="24"/>
          <w:szCs w:val="24"/>
        </w:rPr>
        <w:t xml:space="preserve">, and also </w:t>
      </w:r>
      <w:r>
        <w:rPr>
          <w:sz w:val="24"/>
          <w:szCs w:val="24"/>
        </w:rPr>
        <w:t>reflecting that the</w:t>
      </w:r>
      <w:r w:rsidR="005866F4">
        <w:rPr>
          <w:sz w:val="24"/>
          <w:szCs w:val="24"/>
        </w:rPr>
        <w:t xml:space="preserve"> Portsmouth Team considered</w:t>
      </w:r>
      <w:r>
        <w:rPr>
          <w:sz w:val="24"/>
          <w:szCs w:val="24"/>
        </w:rPr>
        <w:t xml:space="preserve"> this phase</w:t>
      </w:r>
      <w:r w:rsidR="005866F4">
        <w:rPr>
          <w:sz w:val="24"/>
          <w:szCs w:val="24"/>
        </w:rPr>
        <w:t xml:space="preserve"> of research</w:t>
      </w:r>
      <w:r>
        <w:rPr>
          <w:sz w:val="24"/>
          <w:szCs w:val="24"/>
        </w:rPr>
        <w:t xml:space="preserve"> to be a success to the extent that it was </w:t>
      </w:r>
      <w:r w:rsidR="005866F4">
        <w:rPr>
          <w:sz w:val="24"/>
          <w:szCs w:val="24"/>
        </w:rPr>
        <w:t>valued</w:t>
      </w:r>
      <w:r>
        <w:rPr>
          <w:sz w:val="24"/>
          <w:szCs w:val="24"/>
        </w:rPr>
        <w:t xml:space="preserve"> by </w:t>
      </w:r>
      <w:r w:rsidR="005866F4">
        <w:rPr>
          <w:sz w:val="24"/>
          <w:szCs w:val="24"/>
        </w:rPr>
        <w:t xml:space="preserve">clinical </w:t>
      </w:r>
      <w:r>
        <w:rPr>
          <w:sz w:val="24"/>
          <w:szCs w:val="24"/>
        </w:rPr>
        <w:t>practitioners.</w:t>
      </w:r>
      <w:r w:rsidR="00A439C3" w:rsidRPr="00A439C3">
        <w:rPr>
          <w:sz w:val="24"/>
          <w:szCs w:val="24"/>
        </w:rPr>
        <w:t xml:space="preserve"> </w:t>
      </w:r>
      <w:r w:rsidR="00A439C3" w:rsidRPr="00A439C3">
        <w:rPr>
          <w:sz w:val="24"/>
          <w:szCs w:val="24"/>
        </w:rPr>
        <w:fldChar w:fldCharType="begin"/>
      </w:r>
      <w:r w:rsidR="00A439C3" w:rsidRPr="00A439C3">
        <w:rPr>
          <w:sz w:val="24"/>
          <w:szCs w:val="24"/>
        </w:rPr>
        <w:instrText xml:space="preserve"> REF _Ref7018114 \h </w:instrText>
      </w:r>
      <w:r w:rsidR="00A439C3">
        <w:rPr>
          <w:sz w:val="24"/>
          <w:szCs w:val="24"/>
        </w:rPr>
        <w:instrText xml:space="preserve"> \* MERGEFORMAT </w:instrText>
      </w:r>
      <w:r w:rsidR="00A439C3" w:rsidRPr="00A439C3">
        <w:rPr>
          <w:sz w:val="24"/>
          <w:szCs w:val="24"/>
        </w:rPr>
      </w:r>
      <w:r w:rsidR="00A439C3" w:rsidRPr="00A439C3">
        <w:rPr>
          <w:sz w:val="24"/>
          <w:szCs w:val="24"/>
        </w:rPr>
        <w:fldChar w:fldCharType="separate"/>
      </w:r>
      <w:r w:rsidR="0011424E" w:rsidRPr="0011424E">
        <w:rPr>
          <w:sz w:val="24"/>
          <w:szCs w:val="24"/>
        </w:rPr>
        <w:t xml:space="preserve">Table </w:t>
      </w:r>
      <w:r w:rsidR="0011424E" w:rsidRPr="0011424E">
        <w:rPr>
          <w:noProof/>
          <w:sz w:val="24"/>
          <w:szCs w:val="24"/>
        </w:rPr>
        <w:t>12</w:t>
      </w:r>
      <w:r w:rsidR="00A439C3" w:rsidRPr="00A439C3">
        <w:rPr>
          <w:sz w:val="24"/>
          <w:szCs w:val="24"/>
        </w:rPr>
        <w:fldChar w:fldCharType="end"/>
      </w:r>
      <w:r w:rsidR="00A439C3">
        <w:rPr>
          <w:sz w:val="24"/>
          <w:szCs w:val="24"/>
        </w:rPr>
        <w:t xml:space="preserve"> summarises the values for Phase 2 (also showing Phase 1 for comparison). </w:t>
      </w:r>
    </w:p>
    <w:tbl>
      <w:tblP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320"/>
        <w:gridCol w:w="2320"/>
      </w:tblGrid>
      <w:tr w:rsidR="00F3228F" w14:paraId="75CB15BF" w14:textId="77777777" w:rsidTr="005E5334">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0C4ACDED" w14:textId="77777777" w:rsidR="00F3228F" w:rsidRPr="008707A9" w:rsidRDefault="00F3228F" w:rsidP="00DE504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w:t>
            </w:r>
            <w:r w:rsidRPr="008707A9">
              <w:rPr>
                <w:rFonts w:asciiTheme="majorBidi" w:hAnsiTheme="majorBidi" w:cstheme="majorBidi"/>
                <w:b/>
              </w:rPr>
              <w:t>activity</w:t>
            </w:r>
          </w:p>
        </w:tc>
        <w:tc>
          <w:tcPr>
            <w:tcW w:w="232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89E25C8" w14:textId="1273D912" w:rsidR="00F3228F" w:rsidRDefault="00F3228F" w:rsidP="00DE5040">
            <w:pPr>
              <w:spacing w:after="0" w:line="240" w:lineRule="auto"/>
              <w:jc w:val="center"/>
              <w:rPr>
                <w:rFonts w:asciiTheme="majorBidi" w:hAnsiTheme="majorBidi" w:cstheme="majorBidi"/>
                <w:b/>
              </w:rPr>
            </w:pPr>
            <w:r>
              <w:rPr>
                <w:rFonts w:asciiTheme="majorBidi" w:hAnsiTheme="majorBidi" w:cstheme="majorBidi"/>
                <w:b/>
              </w:rPr>
              <w:t>Value (Phase 1)</w:t>
            </w:r>
          </w:p>
        </w:tc>
        <w:tc>
          <w:tcPr>
            <w:tcW w:w="2320" w:type="dxa"/>
            <w:tcBorders>
              <w:top w:val="single" w:sz="4" w:space="0" w:color="auto"/>
              <w:left w:val="single" w:sz="4" w:space="0" w:color="auto"/>
              <w:bottom w:val="single" w:sz="4" w:space="0" w:color="auto"/>
              <w:right w:val="single" w:sz="4" w:space="0" w:color="auto"/>
            </w:tcBorders>
          </w:tcPr>
          <w:p w14:paraId="2CCAA93B" w14:textId="0D392008" w:rsidR="00F3228F" w:rsidRPr="00FF5CE5" w:rsidRDefault="00F3228F" w:rsidP="00DE5040">
            <w:pPr>
              <w:spacing w:after="0" w:line="240" w:lineRule="auto"/>
              <w:jc w:val="center"/>
              <w:rPr>
                <w:rFonts w:asciiTheme="majorBidi" w:hAnsiTheme="majorBidi" w:cstheme="majorBidi"/>
                <w:b/>
              </w:rPr>
            </w:pPr>
            <w:r>
              <w:rPr>
                <w:rFonts w:asciiTheme="majorBidi" w:hAnsiTheme="majorBidi" w:cstheme="majorBidi"/>
                <w:b/>
              </w:rPr>
              <w:t>Value (Phase 2)</w:t>
            </w:r>
          </w:p>
        </w:tc>
      </w:tr>
      <w:tr w:rsidR="00F3228F" w14:paraId="592A096B"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B0E2E03" w14:textId="77777777" w:rsidR="00F3228F" w:rsidRPr="008707A9" w:rsidRDefault="00F3228F" w:rsidP="00F3228F">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232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3CF4267" w14:textId="464A0D8A" w:rsidR="00F3228F" w:rsidRPr="000B15CE" w:rsidRDefault="00F3228F" w:rsidP="00F3228F">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5</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3A07D2AD" w14:textId="061C394F" w:rsidR="00F3228F" w:rsidRPr="000B15CE" w:rsidRDefault="00F3228F" w:rsidP="00F3228F">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5</w:t>
            </w:r>
          </w:p>
        </w:tc>
      </w:tr>
      <w:tr w:rsidR="00F3228F" w14:paraId="322EAB5F"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CB82E28" w14:textId="77777777" w:rsidR="00F3228F" w:rsidRPr="008707A9" w:rsidRDefault="00F3228F" w:rsidP="00F3228F">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232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E982981" w14:textId="21F64C37" w:rsidR="00F3228F" w:rsidRDefault="00F3228F" w:rsidP="00F3228F">
            <w:pPr>
              <w:spacing w:after="0" w:line="240" w:lineRule="auto"/>
              <w:jc w:val="center"/>
              <w:rPr>
                <w:rFonts w:asciiTheme="majorBidi" w:hAnsiTheme="majorBidi" w:cstheme="majorBidi"/>
                <w:color w:val="000000"/>
              </w:rPr>
            </w:pPr>
            <w:r>
              <w:rPr>
                <w:rFonts w:asciiTheme="majorBidi" w:hAnsiTheme="majorBidi" w:cstheme="majorBidi"/>
                <w:color w:val="000000"/>
              </w:rPr>
              <w:t>4</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00CF77AC" w14:textId="41330D75" w:rsidR="00F3228F" w:rsidRPr="000B15CE" w:rsidRDefault="00F3228F" w:rsidP="00F3228F">
            <w:pPr>
              <w:spacing w:after="0" w:line="240" w:lineRule="auto"/>
              <w:jc w:val="center"/>
              <w:rPr>
                <w:rFonts w:asciiTheme="majorBidi" w:hAnsiTheme="majorBidi" w:cstheme="majorBidi"/>
                <w:color w:val="000000"/>
              </w:rPr>
            </w:pPr>
            <w:r>
              <w:rPr>
                <w:rFonts w:asciiTheme="majorBidi" w:hAnsiTheme="majorBidi" w:cstheme="majorBidi"/>
                <w:color w:val="000000"/>
              </w:rPr>
              <w:t>5</w:t>
            </w:r>
          </w:p>
        </w:tc>
      </w:tr>
      <w:tr w:rsidR="00F3228F" w14:paraId="58CA16A3" w14:textId="77777777" w:rsidTr="005E5334">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3712398" w14:textId="77777777" w:rsidR="00F3228F" w:rsidRPr="008707A9" w:rsidRDefault="00F3228F" w:rsidP="00F3228F">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232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0162A4D" w14:textId="00D68EBC" w:rsidR="00F3228F" w:rsidRDefault="00F3228F" w:rsidP="00F3228F">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666F5984" w14:textId="0E7D1834" w:rsidR="00F3228F" w:rsidRPr="000B15CE" w:rsidRDefault="00F3228F" w:rsidP="00F3228F">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F3228F" w14:paraId="41EFCBBE" w14:textId="77777777" w:rsidTr="005E5334">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BD34474" w14:textId="77777777" w:rsidR="00F3228F" w:rsidRPr="008707A9" w:rsidRDefault="00F3228F" w:rsidP="00F3228F">
            <w:pPr>
              <w:spacing w:after="0" w:line="240" w:lineRule="auto"/>
              <w:rPr>
                <w:rFonts w:asciiTheme="majorBidi" w:hAnsiTheme="majorBidi" w:cstheme="majorBidi"/>
              </w:rPr>
            </w:pPr>
            <w:r w:rsidRPr="008707A9">
              <w:rPr>
                <w:rFonts w:asciiTheme="majorBidi" w:hAnsiTheme="majorBidi" w:cstheme="majorBidi"/>
                <w:color w:val="000000"/>
              </w:rPr>
              <w:t>Outputs</w:t>
            </w:r>
          </w:p>
        </w:tc>
        <w:tc>
          <w:tcPr>
            <w:tcW w:w="232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9420A5B" w14:textId="422E70FA" w:rsidR="00F3228F" w:rsidRDefault="00F3228F" w:rsidP="00F3228F">
            <w:pPr>
              <w:keepNext/>
              <w:spacing w:after="0" w:line="240" w:lineRule="auto"/>
              <w:jc w:val="center"/>
              <w:rPr>
                <w:rFonts w:asciiTheme="majorBidi" w:hAnsiTheme="majorBidi" w:cstheme="majorBidi"/>
                <w:color w:val="000000"/>
              </w:rPr>
            </w:pPr>
            <w:r>
              <w:rPr>
                <w:rFonts w:asciiTheme="majorBidi" w:hAnsiTheme="majorBidi" w:cstheme="majorBidi"/>
                <w:color w:val="000000"/>
              </w:rPr>
              <w:t>4</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52F5FCCB" w14:textId="1D61BAA5" w:rsidR="00F3228F" w:rsidRPr="000B15CE" w:rsidRDefault="00F3228F" w:rsidP="00F3228F">
            <w:pPr>
              <w:keepNext/>
              <w:spacing w:after="0" w:line="240" w:lineRule="auto"/>
              <w:jc w:val="center"/>
              <w:rPr>
                <w:rFonts w:asciiTheme="majorBidi" w:hAnsiTheme="majorBidi" w:cstheme="majorBidi"/>
                <w:color w:val="000000"/>
              </w:rPr>
            </w:pPr>
            <w:r>
              <w:rPr>
                <w:rFonts w:asciiTheme="majorBidi" w:hAnsiTheme="majorBidi" w:cstheme="majorBidi"/>
                <w:color w:val="000000"/>
              </w:rPr>
              <w:t>5</w:t>
            </w:r>
          </w:p>
        </w:tc>
      </w:tr>
    </w:tbl>
    <w:p w14:paraId="27680341" w14:textId="715F55A6" w:rsidR="00DD7E84" w:rsidRDefault="00DD7E84" w:rsidP="00DD7E84">
      <w:pPr>
        <w:pStyle w:val="Caption"/>
        <w:rPr>
          <w:sz w:val="24"/>
          <w:szCs w:val="24"/>
        </w:rPr>
      </w:pPr>
      <w:bookmarkStart w:id="138" w:name="_Ref7018114"/>
      <w:bookmarkStart w:id="139" w:name="_Toc31702041"/>
      <w:r>
        <w:t xml:space="preserve">Table </w:t>
      </w:r>
      <w:r w:rsidR="00A56355">
        <w:fldChar w:fldCharType="begin"/>
      </w:r>
      <w:r w:rsidR="00A56355">
        <w:instrText xml:space="preserve"> SEQ Table \* ARABIC </w:instrText>
      </w:r>
      <w:r w:rsidR="00A56355">
        <w:fldChar w:fldCharType="separate"/>
      </w:r>
      <w:r w:rsidR="0011424E">
        <w:rPr>
          <w:noProof/>
        </w:rPr>
        <w:t>12</w:t>
      </w:r>
      <w:r w:rsidR="00A56355">
        <w:rPr>
          <w:noProof/>
        </w:rPr>
        <w:fldChar w:fldCharType="end"/>
      </w:r>
      <w:bookmarkEnd w:id="138"/>
      <w:r>
        <w:t xml:space="preserve">. </w:t>
      </w:r>
      <w:r w:rsidRPr="00186A34">
        <w:t xml:space="preserve">BoR11.1 'social context' values </w:t>
      </w:r>
      <w:r w:rsidR="00F3228F">
        <w:t>–</w:t>
      </w:r>
      <w:r w:rsidRPr="00186A34">
        <w:t xml:space="preserve"> Phase</w:t>
      </w:r>
      <w:r w:rsidR="00F3228F">
        <w:t>s 1 &amp;</w:t>
      </w:r>
      <w:r w:rsidRPr="00186A34">
        <w:t xml:space="preserve"> </w:t>
      </w:r>
      <w:r>
        <w:t>2</w:t>
      </w:r>
      <w:bookmarkEnd w:id="139"/>
    </w:p>
    <w:p w14:paraId="40FB13B7" w14:textId="4925E650" w:rsidR="00DD7E84" w:rsidRDefault="00DD7E84" w:rsidP="00DD7E84">
      <w:pPr>
        <w:spacing w:after="120" w:line="360" w:lineRule="auto"/>
        <w:rPr>
          <w:sz w:val="24"/>
          <w:szCs w:val="24"/>
        </w:rPr>
      </w:pPr>
      <w:r>
        <w:rPr>
          <w:sz w:val="24"/>
          <w:szCs w:val="24"/>
          <w:u w:val="single"/>
        </w:rPr>
        <w:t>Phase 3. (Developing and disseminating the EWS for routine hospital use)</w:t>
      </w:r>
      <w:r w:rsidR="00804593">
        <w:rPr>
          <w:sz w:val="24"/>
          <w:szCs w:val="24"/>
        </w:rPr>
        <w:br/>
      </w:r>
      <w:r>
        <w:rPr>
          <w:sz w:val="24"/>
          <w:szCs w:val="24"/>
        </w:rPr>
        <w:t>Phase 3 demarcates the next steps taken by the Portsmouth Team to develop and disseminate their EWS into a scalable system for widespread application throughout an entire hospital and, potentially, the NHS more generally. This required</w:t>
      </w:r>
      <w:r w:rsidR="00461BBA">
        <w:rPr>
          <w:sz w:val="24"/>
          <w:szCs w:val="24"/>
        </w:rPr>
        <w:t xml:space="preserve"> reaching out (‘outreach’) to</w:t>
      </w:r>
      <w:r>
        <w:rPr>
          <w:sz w:val="24"/>
          <w:szCs w:val="24"/>
        </w:rPr>
        <w:t xml:space="preserve"> two new kinds of </w:t>
      </w:r>
      <w:r w:rsidR="00461BBA">
        <w:rPr>
          <w:sz w:val="24"/>
          <w:szCs w:val="24"/>
        </w:rPr>
        <w:t>partner</w:t>
      </w:r>
      <w:r>
        <w:rPr>
          <w:sz w:val="24"/>
          <w:szCs w:val="24"/>
        </w:rPr>
        <w:t xml:space="preserve">. The first, starting in the mid-2000s, was with private sector specialists in medical informatics. This partnership centred around developing a commercial product to digitise the process of inputting the patient data and refining the algorithm which generates the EWS, as well as digitally disseminating the EWS to relevant staff around the hospital. At the time of the REF submission, the company had sold the resultant technology to more than 20 hospitals globally. Second, the Portsmouth Team also wanted to make a non-commercial version of their EWS available for free to the NHS. The team worked with the Royal College of Physicians (RCP) in order to deliver this. At the time of the REF submission, the RCP had recommended for the NHS to fully adopt the Team’s EWS, and it had already been adopted in other countries. </w:t>
      </w:r>
    </w:p>
    <w:p w14:paraId="7B302560" w14:textId="5EED40BC" w:rsidR="00DD7E84" w:rsidRDefault="00DD7E84" w:rsidP="00DD7E84">
      <w:pPr>
        <w:spacing w:after="120" w:line="360" w:lineRule="auto"/>
        <w:rPr>
          <w:sz w:val="24"/>
          <w:szCs w:val="24"/>
        </w:rPr>
      </w:pPr>
      <w:r>
        <w:rPr>
          <w:sz w:val="24"/>
          <w:szCs w:val="24"/>
        </w:rPr>
        <w:t xml:space="preserve">As summarised in </w:t>
      </w:r>
      <w:r w:rsidRPr="00DA6D3C">
        <w:rPr>
          <w:sz w:val="24"/>
          <w:szCs w:val="24"/>
        </w:rPr>
        <w:fldChar w:fldCharType="begin"/>
      </w:r>
      <w:r w:rsidRPr="00DA6D3C">
        <w:rPr>
          <w:sz w:val="24"/>
          <w:szCs w:val="24"/>
        </w:rPr>
        <w:instrText xml:space="preserve"> REF _Ref7018184 \h </w:instrText>
      </w:r>
      <w:r>
        <w:rPr>
          <w:sz w:val="24"/>
          <w:szCs w:val="24"/>
        </w:rPr>
        <w:instrText xml:space="preserve"> \* MERGEFORMAT </w:instrText>
      </w:r>
      <w:r w:rsidRPr="00DA6D3C">
        <w:rPr>
          <w:sz w:val="24"/>
          <w:szCs w:val="24"/>
        </w:rPr>
      </w:r>
      <w:r w:rsidRPr="00DA6D3C">
        <w:rPr>
          <w:sz w:val="24"/>
          <w:szCs w:val="24"/>
        </w:rPr>
        <w:fldChar w:fldCharType="separate"/>
      </w:r>
      <w:r w:rsidR="0011424E" w:rsidRPr="0011424E">
        <w:rPr>
          <w:sz w:val="24"/>
          <w:szCs w:val="24"/>
        </w:rPr>
        <w:t xml:space="preserve">Table </w:t>
      </w:r>
      <w:r w:rsidR="0011424E" w:rsidRPr="0011424E">
        <w:rPr>
          <w:noProof/>
          <w:sz w:val="24"/>
          <w:szCs w:val="24"/>
        </w:rPr>
        <w:t>13</w:t>
      </w:r>
      <w:r w:rsidRPr="00DA6D3C">
        <w:rPr>
          <w:sz w:val="24"/>
          <w:szCs w:val="24"/>
        </w:rPr>
        <w:fldChar w:fldCharType="end"/>
      </w:r>
      <w:r>
        <w:rPr>
          <w:sz w:val="24"/>
          <w:szCs w:val="24"/>
        </w:rPr>
        <w:t xml:space="preserve">, I rated the four attributes/activities the same at Phase 3 as I did for Phase 2, as I judged the Phase 3 goals, relevance, outputs &amp; outcomes and evaluation &amp; effectiveness to be direct continuations of these activities/attributes at Phase 2.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1987"/>
        <w:gridCol w:w="1987"/>
        <w:gridCol w:w="2081"/>
      </w:tblGrid>
      <w:tr w:rsidR="00282C72" w14:paraId="3682F8B6" w14:textId="77777777" w:rsidTr="005E5334">
        <w:trPr>
          <w:trHeight w:val="136"/>
        </w:trPr>
        <w:tc>
          <w:tcPr>
            <w:tcW w:w="2961" w:type="dxa"/>
            <w:tcBorders>
              <w:top w:val="single" w:sz="4" w:space="0" w:color="auto"/>
              <w:left w:val="single" w:sz="4" w:space="0" w:color="auto"/>
              <w:bottom w:val="single" w:sz="4" w:space="0" w:color="auto"/>
              <w:right w:val="single" w:sz="4" w:space="0" w:color="auto"/>
            </w:tcBorders>
            <w:vAlign w:val="center"/>
          </w:tcPr>
          <w:p w14:paraId="0116C22C" w14:textId="77777777" w:rsidR="00282C72" w:rsidRPr="008707A9" w:rsidRDefault="00282C72" w:rsidP="00DE504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w:t>
            </w:r>
            <w:r w:rsidRPr="008707A9">
              <w:rPr>
                <w:rFonts w:asciiTheme="majorBidi" w:hAnsiTheme="majorBidi" w:cstheme="majorBidi"/>
                <w:b/>
              </w:rPr>
              <w:t>activity</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6A9AECF" w14:textId="759443A8" w:rsidR="00282C72" w:rsidRDefault="00282C72" w:rsidP="00DE5040">
            <w:pPr>
              <w:spacing w:after="0" w:line="240" w:lineRule="auto"/>
              <w:jc w:val="center"/>
              <w:rPr>
                <w:rFonts w:asciiTheme="majorBidi" w:hAnsiTheme="majorBidi" w:cstheme="majorBidi"/>
                <w:b/>
              </w:rPr>
            </w:pPr>
            <w:r>
              <w:rPr>
                <w:rFonts w:asciiTheme="majorBidi" w:hAnsiTheme="majorBidi" w:cstheme="majorBidi"/>
                <w:b/>
              </w:rPr>
              <w:t>Value (Phase 1)</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6BDD118" w14:textId="713EF2F1" w:rsidR="00282C72" w:rsidRDefault="00282C72" w:rsidP="00DE5040">
            <w:pPr>
              <w:spacing w:after="0" w:line="240" w:lineRule="auto"/>
              <w:jc w:val="center"/>
              <w:rPr>
                <w:rFonts w:asciiTheme="majorBidi" w:hAnsiTheme="majorBidi" w:cstheme="majorBidi"/>
                <w:b/>
              </w:rPr>
            </w:pPr>
            <w:r>
              <w:rPr>
                <w:rFonts w:asciiTheme="majorBidi" w:hAnsiTheme="majorBidi" w:cstheme="majorBidi"/>
                <w:b/>
              </w:rPr>
              <w:t>Value (Phase 2)</w:t>
            </w:r>
          </w:p>
        </w:tc>
        <w:tc>
          <w:tcPr>
            <w:tcW w:w="2081" w:type="dxa"/>
            <w:tcBorders>
              <w:top w:val="single" w:sz="4" w:space="0" w:color="auto"/>
              <w:left w:val="single" w:sz="4" w:space="0" w:color="auto"/>
              <w:bottom w:val="single" w:sz="4" w:space="0" w:color="auto"/>
              <w:right w:val="single" w:sz="4" w:space="0" w:color="auto"/>
            </w:tcBorders>
          </w:tcPr>
          <w:p w14:paraId="6123D3D8" w14:textId="0E3AB8A0" w:rsidR="00282C72" w:rsidRPr="00FF5CE5" w:rsidRDefault="00282C72" w:rsidP="00DE5040">
            <w:pPr>
              <w:spacing w:after="0" w:line="240" w:lineRule="auto"/>
              <w:jc w:val="center"/>
              <w:rPr>
                <w:rFonts w:asciiTheme="majorBidi" w:hAnsiTheme="majorBidi" w:cstheme="majorBidi"/>
                <w:b/>
              </w:rPr>
            </w:pPr>
            <w:r>
              <w:rPr>
                <w:rFonts w:asciiTheme="majorBidi" w:hAnsiTheme="majorBidi" w:cstheme="majorBidi"/>
                <w:b/>
              </w:rPr>
              <w:t>Value (Phase 3)</w:t>
            </w:r>
          </w:p>
        </w:tc>
      </w:tr>
      <w:tr w:rsidR="00282C72" w14:paraId="2D71CE27" w14:textId="77777777" w:rsidTr="005E5334">
        <w:trPr>
          <w:trHeight w:val="245"/>
        </w:trPr>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598C2AFE" w14:textId="77777777" w:rsidR="00282C72" w:rsidRPr="008707A9" w:rsidRDefault="00282C72" w:rsidP="00282C72">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C0ABD5F" w14:textId="72951E39" w:rsidR="00282C72" w:rsidRPr="000B15CE" w:rsidRDefault="00282C72" w:rsidP="00282C72">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5</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F7A55D2" w14:textId="5DB5606C" w:rsidR="00282C72" w:rsidRPr="000B15CE" w:rsidRDefault="00282C72" w:rsidP="00282C72">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5</w:t>
            </w:r>
          </w:p>
        </w:tc>
        <w:tc>
          <w:tcPr>
            <w:tcW w:w="2081" w:type="dxa"/>
            <w:tcBorders>
              <w:top w:val="single" w:sz="4" w:space="0" w:color="auto"/>
              <w:left w:val="single" w:sz="4" w:space="0" w:color="auto"/>
              <w:bottom w:val="single" w:sz="4" w:space="0" w:color="auto"/>
              <w:right w:val="single" w:sz="4" w:space="0" w:color="auto"/>
            </w:tcBorders>
            <w:shd w:val="clear" w:color="auto" w:fill="auto"/>
          </w:tcPr>
          <w:p w14:paraId="715A3A0C" w14:textId="4B0B66FA" w:rsidR="00282C72" w:rsidRPr="000B15CE" w:rsidRDefault="00282C72" w:rsidP="00282C72">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5</w:t>
            </w:r>
          </w:p>
        </w:tc>
      </w:tr>
      <w:tr w:rsidR="00282C72" w14:paraId="0DAE7803" w14:textId="77777777" w:rsidTr="005E5334">
        <w:trPr>
          <w:trHeight w:val="245"/>
        </w:trPr>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01FE8850" w14:textId="77777777" w:rsidR="00282C72" w:rsidRPr="008707A9" w:rsidRDefault="00282C72" w:rsidP="00282C72">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CCB2147" w14:textId="124108D9" w:rsidR="00282C72" w:rsidRDefault="00282C72" w:rsidP="00282C72">
            <w:pPr>
              <w:spacing w:after="0" w:line="240" w:lineRule="auto"/>
              <w:jc w:val="center"/>
              <w:rPr>
                <w:rFonts w:asciiTheme="majorBidi" w:hAnsiTheme="majorBidi" w:cstheme="majorBidi"/>
                <w:color w:val="000000"/>
              </w:rPr>
            </w:pPr>
            <w:r>
              <w:rPr>
                <w:rFonts w:asciiTheme="majorBidi" w:hAnsiTheme="majorBidi" w:cstheme="majorBidi"/>
                <w:color w:val="000000"/>
              </w:rPr>
              <w:t>4</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D6DD577" w14:textId="63FD18BD" w:rsidR="00282C72" w:rsidRDefault="00282C72" w:rsidP="00282C72">
            <w:pPr>
              <w:spacing w:after="0" w:line="240" w:lineRule="auto"/>
              <w:jc w:val="center"/>
              <w:rPr>
                <w:rFonts w:asciiTheme="majorBidi" w:hAnsiTheme="majorBidi" w:cstheme="majorBidi"/>
                <w:color w:val="000000"/>
              </w:rPr>
            </w:pPr>
            <w:r>
              <w:rPr>
                <w:rFonts w:asciiTheme="majorBidi" w:hAnsiTheme="majorBidi" w:cstheme="majorBidi"/>
                <w:color w:val="000000"/>
              </w:rPr>
              <w:t>5</w:t>
            </w:r>
          </w:p>
        </w:tc>
        <w:tc>
          <w:tcPr>
            <w:tcW w:w="2081" w:type="dxa"/>
            <w:tcBorders>
              <w:top w:val="single" w:sz="4" w:space="0" w:color="auto"/>
              <w:left w:val="single" w:sz="4" w:space="0" w:color="auto"/>
              <w:bottom w:val="single" w:sz="4" w:space="0" w:color="auto"/>
              <w:right w:val="single" w:sz="4" w:space="0" w:color="auto"/>
            </w:tcBorders>
            <w:shd w:val="clear" w:color="auto" w:fill="auto"/>
          </w:tcPr>
          <w:p w14:paraId="1CC005E2" w14:textId="633B1A53" w:rsidR="00282C72" w:rsidRPr="000B15CE" w:rsidRDefault="00282C72" w:rsidP="00282C72">
            <w:pPr>
              <w:spacing w:after="0" w:line="240" w:lineRule="auto"/>
              <w:jc w:val="center"/>
              <w:rPr>
                <w:rFonts w:asciiTheme="majorBidi" w:hAnsiTheme="majorBidi" w:cstheme="majorBidi"/>
                <w:color w:val="000000"/>
              </w:rPr>
            </w:pPr>
            <w:r>
              <w:rPr>
                <w:rFonts w:asciiTheme="majorBidi" w:hAnsiTheme="majorBidi" w:cstheme="majorBidi"/>
                <w:color w:val="000000"/>
              </w:rPr>
              <w:t>5</w:t>
            </w:r>
          </w:p>
        </w:tc>
      </w:tr>
      <w:tr w:rsidR="00282C72" w14:paraId="75475F10" w14:textId="77777777" w:rsidTr="005E5334">
        <w:trPr>
          <w:trHeight w:val="260"/>
        </w:trPr>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793ECB73" w14:textId="77777777" w:rsidR="00282C72" w:rsidRPr="008707A9" w:rsidRDefault="00282C72" w:rsidP="00282C72">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C7DBF6C" w14:textId="7FAAF56E" w:rsidR="00282C72" w:rsidRDefault="00282C72" w:rsidP="00282C72">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2CE5047" w14:textId="5C9676F1" w:rsidR="00282C72" w:rsidRDefault="00282C72" w:rsidP="00282C72">
            <w:pPr>
              <w:spacing w:after="0" w:line="240" w:lineRule="auto"/>
              <w:jc w:val="center"/>
              <w:rPr>
                <w:rFonts w:asciiTheme="majorBidi" w:hAnsiTheme="majorBidi" w:cstheme="majorBidi"/>
                <w:color w:val="000000"/>
              </w:rPr>
            </w:pPr>
            <w:r>
              <w:rPr>
                <w:rFonts w:asciiTheme="majorBidi" w:hAnsiTheme="majorBidi" w:cstheme="majorBidi"/>
                <w:color w:val="000000"/>
              </w:rPr>
              <w:t>4</w:t>
            </w:r>
          </w:p>
        </w:tc>
        <w:tc>
          <w:tcPr>
            <w:tcW w:w="2081" w:type="dxa"/>
            <w:tcBorders>
              <w:top w:val="single" w:sz="4" w:space="0" w:color="auto"/>
              <w:left w:val="single" w:sz="4" w:space="0" w:color="auto"/>
              <w:bottom w:val="single" w:sz="4" w:space="0" w:color="auto"/>
              <w:right w:val="single" w:sz="4" w:space="0" w:color="auto"/>
            </w:tcBorders>
            <w:shd w:val="clear" w:color="auto" w:fill="auto"/>
          </w:tcPr>
          <w:p w14:paraId="790FFC1A" w14:textId="29A324FA" w:rsidR="00282C72" w:rsidRPr="000B15CE" w:rsidRDefault="00282C72" w:rsidP="00282C72">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282C72" w14:paraId="2189BB52" w14:textId="77777777" w:rsidTr="005E5334">
        <w:trPr>
          <w:trHeight w:val="260"/>
        </w:trPr>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4E16DF20" w14:textId="77777777" w:rsidR="00282C72" w:rsidRPr="008707A9" w:rsidRDefault="00282C72" w:rsidP="00282C72">
            <w:pPr>
              <w:spacing w:after="0" w:line="240" w:lineRule="auto"/>
              <w:rPr>
                <w:rFonts w:asciiTheme="majorBidi" w:hAnsiTheme="majorBidi" w:cstheme="majorBidi"/>
              </w:rPr>
            </w:pPr>
            <w:r w:rsidRPr="008707A9">
              <w:rPr>
                <w:rFonts w:asciiTheme="majorBidi" w:hAnsiTheme="majorBidi" w:cstheme="majorBidi"/>
                <w:color w:val="000000"/>
              </w:rPr>
              <w:t>Outputs</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3800DD4" w14:textId="135DF0AB" w:rsidR="00282C72" w:rsidRDefault="00282C72" w:rsidP="00282C72">
            <w:pPr>
              <w:keepNext/>
              <w:spacing w:after="0" w:line="240" w:lineRule="auto"/>
              <w:jc w:val="center"/>
              <w:rPr>
                <w:rFonts w:asciiTheme="majorBidi" w:hAnsiTheme="majorBidi" w:cstheme="majorBidi"/>
                <w:color w:val="000000"/>
              </w:rPr>
            </w:pPr>
            <w:r>
              <w:rPr>
                <w:rFonts w:asciiTheme="majorBidi" w:hAnsiTheme="majorBidi" w:cstheme="majorBidi"/>
                <w:color w:val="000000"/>
              </w:rPr>
              <w:t>4</w:t>
            </w:r>
          </w:p>
        </w:tc>
        <w:tc>
          <w:tcPr>
            <w:tcW w:w="198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678D875" w14:textId="15E67FEE" w:rsidR="00282C72" w:rsidRDefault="00282C72" w:rsidP="00282C72">
            <w:pPr>
              <w:keepNext/>
              <w:spacing w:after="0" w:line="240" w:lineRule="auto"/>
              <w:jc w:val="center"/>
              <w:rPr>
                <w:rFonts w:asciiTheme="majorBidi" w:hAnsiTheme="majorBidi" w:cstheme="majorBidi"/>
                <w:color w:val="000000"/>
              </w:rPr>
            </w:pPr>
            <w:r>
              <w:rPr>
                <w:rFonts w:asciiTheme="majorBidi" w:hAnsiTheme="majorBidi" w:cstheme="majorBidi"/>
                <w:color w:val="000000"/>
              </w:rPr>
              <w:t>5</w:t>
            </w:r>
          </w:p>
        </w:tc>
        <w:tc>
          <w:tcPr>
            <w:tcW w:w="2081" w:type="dxa"/>
            <w:tcBorders>
              <w:top w:val="single" w:sz="4" w:space="0" w:color="auto"/>
              <w:left w:val="single" w:sz="4" w:space="0" w:color="auto"/>
              <w:bottom w:val="single" w:sz="4" w:space="0" w:color="auto"/>
              <w:right w:val="single" w:sz="4" w:space="0" w:color="auto"/>
            </w:tcBorders>
            <w:shd w:val="clear" w:color="auto" w:fill="auto"/>
          </w:tcPr>
          <w:p w14:paraId="5E7AA145" w14:textId="6FEA9C3E" w:rsidR="00282C72" w:rsidRPr="000B15CE" w:rsidRDefault="00282C72" w:rsidP="00282C72">
            <w:pPr>
              <w:keepNext/>
              <w:spacing w:after="0" w:line="240" w:lineRule="auto"/>
              <w:jc w:val="center"/>
              <w:rPr>
                <w:rFonts w:asciiTheme="majorBidi" w:hAnsiTheme="majorBidi" w:cstheme="majorBidi"/>
                <w:color w:val="000000"/>
              </w:rPr>
            </w:pPr>
            <w:r>
              <w:rPr>
                <w:rFonts w:asciiTheme="majorBidi" w:hAnsiTheme="majorBidi" w:cstheme="majorBidi"/>
                <w:color w:val="000000"/>
              </w:rPr>
              <w:t>5</w:t>
            </w:r>
          </w:p>
        </w:tc>
      </w:tr>
    </w:tbl>
    <w:p w14:paraId="3BE3F7CE" w14:textId="5388610F" w:rsidR="00DD7E84" w:rsidRDefault="00DD7E84" w:rsidP="00DD7E84">
      <w:pPr>
        <w:pStyle w:val="Caption"/>
      </w:pPr>
      <w:bookmarkStart w:id="140" w:name="_Ref7018184"/>
      <w:bookmarkStart w:id="141" w:name="_Toc31702042"/>
      <w:r>
        <w:t xml:space="preserve">Table </w:t>
      </w:r>
      <w:r w:rsidR="00A56355">
        <w:fldChar w:fldCharType="begin"/>
      </w:r>
      <w:r w:rsidR="00A56355">
        <w:instrText xml:space="preserve"> SEQ Table \* ARABIC </w:instrText>
      </w:r>
      <w:r w:rsidR="00A56355">
        <w:fldChar w:fldCharType="separate"/>
      </w:r>
      <w:r w:rsidR="0011424E">
        <w:rPr>
          <w:noProof/>
        </w:rPr>
        <w:t>13</w:t>
      </w:r>
      <w:r w:rsidR="00A56355">
        <w:rPr>
          <w:noProof/>
        </w:rPr>
        <w:fldChar w:fldCharType="end"/>
      </w:r>
      <w:bookmarkEnd w:id="140"/>
      <w:r>
        <w:t xml:space="preserve">. </w:t>
      </w:r>
      <w:r w:rsidRPr="00CB1F1C">
        <w:t xml:space="preserve">BoR11.1 'social context' values </w:t>
      </w:r>
      <w:r w:rsidR="009D4774">
        <w:t>–</w:t>
      </w:r>
      <w:r w:rsidRPr="00CB1F1C">
        <w:t xml:space="preserve"> Phase</w:t>
      </w:r>
      <w:r w:rsidR="009D4774">
        <w:t>s 1-</w:t>
      </w:r>
      <w:r>
        <w:t>3</w:t>
      </w:r>
      <w:bookmarkEnd w:id="141"/>
    </w:p>
    <w:p w14:paraId="33A66A76" w14:textId="47C06CF3" w:rsidR="00DD7E84" w:rsidRDefault="00DD7E84" w:rsidP="000E7547">
      <w:pPr>
        <w:pStyle w:val="Heading4"/>
      </w:pPr>
      <w:r>
        <w:t xml:space="preserve">‘Knowledge content’ values (expertise, learning, human capital) </w:t>
      </w:r>
    </w:p>
    <w:p w14:paraId="506AC0C2" w14:textId="4D0FFD5E" w:rsidR="00DD7E84" w:rsidRPr="00F767D2" w:rsidRDefault="00DD7E84" w:rsidP="00DD7E84">
      <w:pPr>
        <w:spacing w:after="120" w:line="360" w:lineRule="auto"/>
        <w:rPr>
          <w:sz w:val="24"/>
          <w:szCs w:val="24"/>
          <w:u w:val="single"/>
        </w:rPr>
      </w:pPr>
      <w:r w:rsidRPr="00EF264E">
        <w:rPr>
          <w:sz w:val="24"/>
          <w:szCs w:val="24"/>
          <w:u w:val="single"/>
        </w:rPr>
        <w:t>Phase 1</w:t>
      </w:r>
      <w:r>
        <w:rPr>
          <w:sz w:val="24"/>
          <w:szCs w:val="24"/>
          <w:u w:val="single"/>
        </w:rPr>
        <w:t>. (An auditing system for comparing surgical outcomes across hospitals)</w:t>
      </w:r>
      <w:r w:rsidR="00F767D2">
        <w:rPr>
          <w:sz w:val="24"/>
          <w:szCs w:val="24"/>
          <w:u w:val="single"/>
        </w:rPr>
        <w:br/>
      </w:r>
      <w:r w:rsidR="006E13D9" w:rsidRPr="008F1AD4">
        <w:rPr>
          <w:sz w:val="24"/>
          <w:szCs w:val="24"/>
        </w:rPr>
        <w:fldChar w:fldCharType="begin"/>
      </w:r>
      <w:r w:rsidR="006E13D9" w:rsidRPr="008F1AD4">
        <w:rPr>
          <w:sz w:val="24"/>
          <w:szCs w:val="24"/>
        </w:rPr>
        <w:instrText xml:space="preserve"> REF _Ref7018341 \h </w:instrText>
      </w:r>
      <w:r w:rsidR="006E13D9">
        <w:rPr>
          <w:sz w:val="24"/>
          <w:szCs w:val="24"/>
        </w:rPr>
        <w:instrText xml:space="preserve"> \* MERGEFORMAT </w:instrText>
      </w:r>
      <w:r w:rsidR="006E13D9" w:rsidRPr="008F1AD4">
        <w:rPr>
          <w:sz w:val="24"/>
          <w:szCs w:val="24"/>
        </w:rPr>
      </w:r>
      <w:r w:rsidR="006E13D9" w:rsidRPr="008F1AD4">
        <w:rPr>
          <w:sz w:val="24"/>
          <w:szCs w:val="24"/>
        </w:rPr>
        <w:fldChar w:fldCharType="separate"/>
      </w:r>
      <w:r w:rsidR="0011424E" w:rsidRPr="0011424E">
        <w:rPr>
          <w:sz w:val="24"/>
          <w:szCs w:val="24"/>
        </w:rPr>
        <w:t xml:space="preserve">Table </w:t>
      </w:r>
      <w:r w:rsidR="0011424E" w:rsidRPr="0011424E">
        <w:rPr>
          <w:noProof/>
          <w:sz w:val="24"/>
          <w:szCs w:val="24"/>
        </w:rPr>
        <w:t>14</w:t>
      </w:r>
      <w:r w:rsidR="006E13D9" w:rsidRPr="008F1AD4">
        <w:rPr>
          <w:sz w:val="24"/>
          <w:szCs w:val="24"/>
        </w:rPr>
        <w:fldChar w:fldCharType="end"/>
      </w:r>
      <w:r w:rsidR="006E13D9">
        <w:rPr>
          <w:sz w:val="24"/>
          <w:szCs w:val="24"/>
        </w:rPr>
        <w:t xml:space="preserve"> shows the </w:t>
      </w:r>
      <w:r w:rsidR="003357AD">
        <w:rPr>
          <w:sz w:val="24"/>
          <w:szCs w:val="24"/>
        </w:rPr>
        <w:t>‘knowledge content’ values, including</w:t>
      </w:r>
      <w:r w:rsidR="004265ED">
        <w:rPr>
          <w:sz w:val="24"/>
          <w:szCs w:val="24"/>
        </w:rPr>
        <w:t xml:space="preserve"> ‘expertise’, ‘learning’ and ‘human capital’</w:t>
      </w:r>
      <w:r w:rsidR="00804593">
        <w:rPr>
          <w:sz w:val="24"/>
          <w:szCs w:val="24"/>
        </w:rPr>
        <w:t>,</w:t>
      </w:r>
      <w:r w:rsidR="004265ED">
        <w:rPr>
          <w:sz w:val="24"/>
          <w:szCs w:val="24"/>
        </w:rPr>
        <w:t xml:space="preserve"> at Phase 1 of BoR11.1</w:t>
      </w:r>
      <w:r w:rsidR="006E13D9">
        <w:rPr>
          <w:sz w:val="24"/>
          <w:szCs w:val="24"/>
        </w:rPr>
        <w:t>.</w:t>
      </w:r>
      <w:r w:rsidR="004265ED">
        <w:rPr>
          <w:sz w:val="24"/>
          <w:szCs w:val="24"/>
        </w:rPr>
        <w:t xml:space="preserve"> </w:t>
      </w:r>
      <w:r>
        <w:rPr>
          <w:sz w:val="24"/>
          <w:szCs w:val="24"/>
        </w:rPr>
        <w:t>I coded the ‘human capital’ attribute as 1, reflecting that importance of the “hard skills”</w:t>
      </w:r>
      <w:r w:rsidR="004265ED">
        <w:rPr>
          <w:sz w:val="24"/>
          <w:szCs w:val="24"/>
        </w:rPr>
        <w:t xml:space="preserve"> possessed by the researchers </w:t>
      </w:r>
      <w:r>
        <w:rPr>
          <w:sz w:val="24"/>
          <w:szCs w:val="24"/>
        </w:rPr>
        <w:t xml:space="preserve">involved, all of </w:t>
      </w:r>
      <w:r w:rsidR="004265ED">
        <w:rPr>
          <w:sz w:val="24"/>
          <w:szCs w:val="24"/>
        </w:rPr>
        <w:t xml:space="preserve">whom </w:t>
      </w:r>
      <w:r>
        <w:rPr>
          <w:sz w:val="24"/>
          <w:szCs w:val="24"/>
        </w:rPr>
        <w:t>have doctorates and “rigorous training in specialized skills” (McNie et al., 2016, p. 890). However, I coded ‘expertise’ as 2, because the importance of certain practitioner expertise, i.e. that of clinical practitioners, was also “needed to help inform” the research thanks to their “proximity to the problem” (ibid., p. 887). For ‘learning’, I coded a 1. This is because, although the ultimate goal of the research was to inform “practical” learning, normally associated with a higher value, at this stage, the main “ways in which the research outputs change[d] the knowledge system” were through the “explicit knowledge” codified in</w:t>
      </w:r>
      <w:r w:rsidR="004C3C84">
        <w:rPr>
          <w:sz w:val="24"/>
          <w:szCs w:val="24"/>
        </w:rPr>
        <w:t xml:space="preserve"> </w:t>
      </w:r>
      <w:r w:rsidR="005A5D38">
        <w:rPr>
          <w:sz w:val="24"/>
          <w:szCs w:val="24"/>
        </w:rPr>
        <w:t>protocols and</w:t>
      </w:r>
      <w:r>
        <w:rPr>
          <w:sz w:val="24"/>
          <w:szCs w:val="24"/>
        </w:rPr>
        <w:t xml:space="preserve"> academic journals (ibid., p. 888). </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320"/>
      </w:tblGrid>
      <w:tr w:rsidR="00DD7E84" w14:paraId="16CC04D4" w14:textId="77777777" w:rsidTr="00DE5040">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2A71BFF3" w14:textId="77777777" w:rsidR="00DD7E84" w:rsidRPr="008707A9" w:rsidRDefault="00DD7E84" w:rsidP="00DE5040">
            <w:pPr>
              <w:spacing w:after="0" w:line="240" w:lineRule="auto"/>
              <w:jc w:val="center"/>
              <w:rPr>
                <w:rFonts w:asciiTheme="majorBidi" w:hAnsiTheme="majorBidi" w:cstheme="majorBidi"/>
                <w:b/>
              </w:rPr>
            </w:pPr>
            <w:r w:rsidRPr="008707A9">
              <w:rPr>
                <w:rFonts w:asciiTheme="majorBidi" w:hAnsiTheme="majorBidi" w:cstheme="majorBidi"/>
                <w:b/>
              </w:rPr>
              <w:t>Attribut</w:t>
            </w:r>
            <w:r>
              <w:rPr>
                <w:rFonts w:asciiTheme="majorBidi" w:hAnsiTheme="majorBidi" w:cstheme="majorBidi"/>
                <w:b/>
              </w:rPr>
              <w:t>e/activity</w:t>
            </w:r>
          </w:p>
        </w:tc>
        <w:tc>
          <w:tcPr>
            <w:tcW w:w="2320" w:type="dxa"/>
            <w:tcBorders>
              <w:top w:val="single" w:sz="4" w:space="0" w:color="auto"/>
              <w:left w:val="single" w:sz="4" w:space="0" w:color="auto"/>
              <w:bottom w:val="single" w:sz="4" w:space="0" w:color="auto"/>
              <w:right w:val="single" w:sz="4" w:space="0" w:color="auto"/>
            </w:tcBorders>
          </w:tcPr>
          <w:p w14:paraId="68DD8F36" w14:textId="39C172C4" w:rsidR="00DD7E84" w:rsidRPr="00FF5CE5" w:rsidRDefault="00DD7E84" w:rsidP="00DE5040">
            <w:pPr>
              <w:spacing w:after="0" w:line="240" w:lineRule="auto"/>
              <w:jc w:val="center"/>
              <w:rPr>
                <w:rFonts w:asciiTheme="majorBidi" w:hAnsiTheme="majorBidi" w:cstheme="majorBidi"/>
                <w:b/>
              </w:rPr>
            </w:pPr>
            <w:r>
              <w:rPr>
                <w:rFonts w:asciiTheme="majorBidi" w:hAnsiTheme="majorBidi" w:cstheme="majorBidi"/>
                <w:b/>
              </w:rPr>
              <w:t>Value</w:t>
            </w:r>
            <w:r w:rsidR="007A31A0">
              <w:rPr>
                <w:rFonts w:asciiTheme="majorBidi" w:hAnsiTheme="majorBidi" w:cstheme="majorBidi"/>
                <w:b/>
              </w:rPr>
              <w:t xml:space="preserve"> (Phase 1)</w:t>
            </w:r>
          </w:p>
        </w:tc>
      </w:tr>
      <w:tr w:rsidR="00DD7E84" w14:paraId="6BDA717A" w14:textId="77777777" w:rsidTr="00DE5040">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BE1F64F"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Expertise</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16B2FE82"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DD7E84" w14:paraId="2F2B8A45"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64054A0"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Learning</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5CFB48FA"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DD7E84" w14:paraId="1EA33E8E"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4643EAD"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Human Capital</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04C542E0" w14:textId="77777777" w:rsidR="00DD7E84" w:rsidRPr="000B15CE" w:rsidRDefault="00DD7E84" w:rsidP="00DE5040">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r>
    </w:tbl>
    <w:p w14:paraId="77A38362" w14:textId="77AD70A9" w:rsidR="00DD7E84" w:rsidRDefault="00DD7E84" w:rsidP="00DD7E84">
      <w:pPr>
        <w:pStyle w:val="Caption"/>
        <w:rPr>
          <w:sz w:val="24"/>
          <w:szCs w:val="24"/>
        </w:rPr>
      </w:pPr>
      <w:bookmarkStart w:id="142" w:name="_Ref7018341"/>
      <w:bookmarkStart w:id="143" w:name="_Toc31702043"/>
      <w:r>
        <w:t xml:space="preserve">Table </w:t>
      </w:r>
      <w:r w:rsidR="00A56355">
        <w:fldChar w:fldCharType="begin"/>
      </w:r>
      <w:r w:rsidR="00A56355">
        <w:instrText xml:space="preserve"> SEQ Table \* ARABIC </w:instrText>
      </w:r>
      <w:r w:rsidR="00A56355">
        <w:fldChar w:fldCharType="separate"/>
      </w:r>
      <w:r w:rsidR="0011424E">
        <w:rPr>
          <w:noProof/>
        </w:rPr>
        <w:t>14</w:t>
      </w:r>
      <w:r w:rsidR="00A56355">
        <w:rPr>
          <w:noProof/>
        </w:rPr>
        <w:fldChar w:fldCharType="end"/>
      </w:r>
      <w:bookmarkEnd w:id="142"/>
      <w:r>
        <w:t xml:space="preserve">. </w:t>
      </w:r>
      <w:r w:rsidRPr="0057014F">
        <w:t>BoR11.1 '</w:t>
      </w:r>
      <w:r>
        <w:t>knowledge content</w:t>
      </w:r>
      <w:r w:rsidRPr="0057014F">
        <w:t xml:space="preserve">' values - Phase </w:t>
      </w:r>
      <w:r>
        <w:t>1</w:t>
      </w:r>
      <w:bookmarkEnd w:id="143"/>
    </w:p>
    <w:p w14:paraId="70F4851F" w14:textId="4B301282" w:rsidR="00DD7E84" w:rsidRDefault="00DD7E84" w:rsidP="00DD7E84">
      <w:pPr>
        <w:spacing w:after="120" w:line="360" w:lineRule="auto"/>
        <w:rPr>
          <w:sz w:val="24"/>
          <w:szCs w:val="24"/>
        </w:rPr>
      </w:pPr>
      <w:r>
        <w:rPr>
          <w:sz w:val="24"/>
          <w:szCs w:val="24"/>
          <w:u w:val="single"/>
        </w:rPr>
        <w:t>Phase 2. (Developing an Early Warning System (EWS) for real-time clinical care)</w:t>
      </w:r>
      <w:r w:rsidR="00804593">
        <w:rPr>
          <w:sz w:val="24"/>
          <w:szCs w:val="24"/>
        </w:rPr>
        <w:br/>
      </w:r>
      <w:r>
        <w:rPr>
          <w:sz w:val="24"/>
          <w:szCs w:val="24"/>
        </w:rPr>
        <w:t xml:space="preserve">At Phase 2, the ‘human capital’ and ‘expertise’ attributes did not change, and were coded again at 1 and 2, respectively. But there was a slight change in the nature of the ‘learning’ which resulted. Although at this stage the most significant “change in the knowledge system” (ibid., p. 888) was still able to be captured in codified forms, there was more of a “practical” element of learning, because the trial implantation of an EWS to impact real-time clinical practice also involved “changing behaviour” (ibid., p. 888) of a wider range of hospital staff, including those not involved in the knowledge production. I therefore increased this value to a 2. </w:t>
      </w:r>
      <w:r w:rsidRPr="001F1B16">
        <w:rPr>
          <w:sz w:val="24"/>
          <w:szCs w:val="24"/>
        </w:rPr>
        <w:fldChar w:fldCharType="begin"/>
      </w:r>
      <w:r w:rsidRPr="001F1B16">
        <w:rPr>
          <w:sz w:val="24"/>
          <w:szCs w:val="24"/>
        </w:rPr>
        <w:instrText xml:space="preserve"> REF _Ref7018512 \h </w:instrText>
      </w:r>
      <w:r>
        <w:rPr>
          <w:sz w:val="24"/>
          <w:szCs w:val="24"/>
        </w:rPr>
        <w:instrText xml:space="preserve"> \* MERGEFORMAT </w:instrText>
      </w:r>
      <w:r w:rsidRPr="001F1B16">
        <w:rPr>
          <w:sz w:val="24"/>
          <w:szCs w:val="24"/>
        </w:rPr>
      </w:r>
      <w:r w:rsidRPr="001F1B16">
        <w:rPr>
          <w:sz w:val="24"/>
          <w:szCs w:val="24"/>
        </w:rPr>
        <w:fldChar w:fldCharType="separate"/>
      </w:r>
      <w:r w:rsidR="0011424E" w:rsidRPr="0011424E">
        <w:rPr>
          <w:sz w:val="24"/>
          <w:szCs w:val="24"/>
        </w:rPr>
        <w:t xml:space="preserve">Table </w:t>
      </w:r>
      <w:r w:rsidR="0011424E" w:rsidRPr="0011424E">
        <w:rPr>
          <w:noProof/>
          <w:sz w:val="24"/>
          <w:szCs w:val="24"/>
        </w:rPr>
        <w:t>15</w:t>
      </w:r>
      <w:r w:rsidRPr="001F1B16">
        <w:rPr>
          <w:sz w:val="24"/>
          <w:szCs w:val="24"/>
        </w:rPr>
        <w:fldChar w:fldCharType="end"/>
      </w:r>
      <w:r>
        <w:rPr>
          <w:sz w:val="24"/>
          <w:szCs w:val="24"/>
        </w:rPr>
        <w:t xml:space="preserve"> summarises these values.</w:t>
      </w:r>
    </w:p>
    <w:tbl>
      <w:tblP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320"/>
        <w:gridCol w:w="2320"/>
      </w:tblGrid>
      <w:tr w:rsidR="0000587D" w14:paraId="43109B32" w14:textId="77777777" w:rsidTr="005E5334">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6FA3D711" w14:textId="77777777" w:rsidR="0000587D" w:rsidRPr="008707A9" w:rsidRDefault="0000587D" w:rsidP="00DE5040">
            <w:pPr>
              <w:spacing w:after="0" w:line="240" w:lineRule="auto"/>
              <w:jc w:val="center"/>
              <w:rPr>
                <w:rFonts w:asciiTheme="majorBidi" w:hAnsiTheme="majorBidi" w:cstheme="majorBidi"/>
                <w:b/>
              </w:rPr>
            </w:pPr>
            <w:r w:rsidRPr="008707A9">
              <w:rPr>
                <w:rFonts w:asciiTheme="majorBidi" w:hAnsiTheme="majorBidi" w:cstheme="majorBidi"/>
                <w:b/>
              </w:rPr>
              <w:t>Attribut</w:t>
            </w:r>
            <w:r>
              <w:rPr>
                <w:rFonts w:asciiTheme="majorBidi" w:hAnsiTheme="majorBidi" w:cstheme="majorBidi"/>
                <w:b/>
              </w:rPr>
              <w:t>e/activity</w:t>
            </w:r>
          </w:p>
        </w:tc>
        <w:tc>
          <w:tcPr>
            <w:tcW w:w="232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E441187" w14:textId="7E6DF17B" w:rsidR="0000587D" w:rsidRDefault="0000587D" w:rsidP="00DE5040">
            <w:pPr>
              <w:spacing w:after="0" w:line="240" w:lineRule="auto"/>
              <w:jc w:val="center"/>
              <w:rPr>
                <w:rFonts w:asciiTheme="majorBidi" w:hAnsiTheme="majorBidi" w:cstheme="majorBidi"/>
                <w:b/>
              </w:rPr>
            </w:pPr>
            <w:r>
              <w:rPr>
                <w:rFonts w:asciiTheme="majorBidi" w:hAnsiTheme="majorBidi" w:cstheme="majorBidi"/>
                <w:b/>
              </w:rPr>
              <w:t>Value (Phase 1)</w:t>
            </w:r>
          </w:p>
        </w:tc>
        <w:tc>
          <w:tcPr>
            <w:tcW w:w="2320" w:type="dxa"/>
            <w:tcBorders>
              <w:top w:val="single" w:sz="4" w:space="0" w:color="auto"/>
              <w:left w:val="single" w:sz="4" w:space="0" w:color="auto"/>
              <w:bottom w:val="single" w:sz="4" w:space="0" w:color="auto"/>
              <w:right w:val="single" w:sz="4" w:space="0" w:color="auto"/>
            </w:tcBorders>
          </w:tcPr>
          <w:p w14:paraId="7B7E9B16" w14:textId="0DBF9FE4" w:rsidR="0000587D" w:rsidRPr="00FF5CE5" w:rsidRDefault="0000587D" w:rsidP="00DE5040">
            <w:pPr>
              <w:spacing w:after="0" w:line="240" w:lineRule="auto"/>
              <w:jc w:val="center"/>
              <w:rPr>
                <w:rFonts w:asciiTheme="majorBidi" w:hAnsiTheme="majorBidi" w:cstheme="majorBidi"/>
                <w:b/>
              </w:rPr>
            </w:pPr>
            <w:r>
              <w:rPr>
                <w:rFonts w:asciiTheme="majorBidi" w:hAnsiTheme="majorBidi" w:cstheme="majorBidi"/>
                <w:b/>
              </w:rPr>
              <w:t>Value (Phase 2)</w:t>
            </w:r>
          </w:p>
        </w:tc>
      </w:tr>
      <w:tr w:rsidR="0000587D" w14:paraId="4F3BBD9E" w14:textId="77777777" w:rsidTr="005E5334">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6F1E9EE9" w14:textId="77777777" w:rsidR="0000587D" w:rsidRPr="008707A9" w:rsidRDefault="0000587D" w:rsidP="0000587D">
            <w:pPr>
              <w:spacing w:after="0" w:line="240" w:lineRule="auto"/>
              <w:rPr>
                <w:rFonts w:asciiTheme="majorBidi" w:hAnsiTheme="majorBidi" w:cstheme="majorBidi"/>
              </w:rPr>
            </w:pPr>
            <w:r w:rsidRPr="008707A9">
              <w:rPr>
                <w:rFonts w:asciiTheme="majorBidi" w:hAnsiTheme="majorBidi" w:cstheme="majorBidi"/>
                <w:color w:val="000000"/>
              </w:rPr>
              <w:t>Expertise</w:t>
            </w:r>
          </w:p>
        </w:tc>
        <w:tc>
          <w:tcPr>
            <w:tcW w:w="232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120D8AC" w14:textId="37BC9A76" w:rsidR="0000587D" w:rsidRDefault="0000587D" w:rsidP="0000587D">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04C33102" w14:textId="24613AFE" w:rsidR="0000587D" w:rsidRPr="000B15CE" w:rsidRDefault="0000587D" w:rsidP="0000587D">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00587D" w14:paraId="7E83B370" w14:textId="77777777" w:rsidTr="005E5334">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1E63076" w14:textId="77777777" w:rsidR="0000587D" w:rsidRPr="008707A9" w:rsidRDefault="0000587D" w:rsidP="0000587D">
            <w:pPr>
              <w:spacing w:after="0" w:line="240" w:lineRule="auto"/>
              <w:rPr>
                <w:rFonts w:asciiTheme="majorBidi" w:hAnsiTheme="majorBidi" w:cstheme="majorBidi"/>
              </w:rPr>
            </w:pPr>
            <w:r w:rsidRPr="008707A9">
              <w:rPr>
                <w:rFonts w:asciiTheme="majorBidi" w:hAnsiTheme="majorBidi" w:cstheme="majorBidi"/>
                <w:color w:val="000000"/>
              </w:rPr>
              <w:t>Learning</w:t>
            </w:r>
          </w:p>
        </w:tc>
        <w:tc>
          <w:tcPr>
            <w:tcW w:w="232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D65425C" w14:textId="597E60A1" w:rsidR="0000587D" w:rsidRPr="000B15CE" w:rsidRDefault="0000587D" w:rsidP="0000587D">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36DE0572" w14:textId="24251361" w:rsidR="0000587D" w:rsidRPr="000B15CE" w:rsidRDefault="0000587D" w:rsidP="0000587D">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2</w:t>
            </w:r>
          </w:p>
        </w:tc>
      </w:tr>
      <w:tr w:rsidR="0000587D" w14:paraId="0A8F1212"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D87C567" w14:textId="77777777" w:rsidR="0000587D" w:rsidRPr="008707A9" w:rsidRDefault="0000587D" w:rsidP="0000587D">
            <w:pPr>
              <w:spacing w:after="0" w:line="240" w:lineRule="auto"/>
              <w:rPr>
                <w:rFonts w:asciiTheme="majorBidi" w:hAnsiTheme="majorBidi" w:cstheme="majorBidi"/>
              </w:rPr>
            </w:pPr>
            <w:r w:rsidRPr="008707A9">
              <w:rPr>
                <w:rFonts w:asciiTheme="majorBidi" w:hAnsiTheme="majorBidi" w:cstheme="majorBidi"/>
                <w:color w:val="000000"/>
              </w:rPr>
              <w:t>Human Capital</w:t>
            </w:r>
          </w:p>
        </w:tc>
        <w:tc>
          <w:tcPr>
            <w:tcW w:w="232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CA3DFD7" w14:textId="604DF06E" w:rsidR="0000587D" w:rsidRDefault="0000587D" w:rsidP="0000587D">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7CACC1AD" w14:textId="70AFA041" w:rsidR="0000587D" w:rsidRPr="000B15CE" w:rsidRDefault="0000587D" w:rsidP="0000587D">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r>
    </w:tbl>
    <w:p w14:paraId="2DB4F8B5" w14:textId="5F48454C" w:rsidR="00DD7E84" w:rsidRDefault="00DD7E84" w:rsidP="00DD7E84">
      <w:pPr>
        <w:pStyle w:val="Caption"/>
        <w:rPr>
          <w:sz w:val="24"/>
          <w:szCs w:val="24"/>
        </w:rPr>
      </w:pPr>
      <w:bookmarkStart w:id="144" w:name="_Ref7018512"/>
      <w:bookmarkStart w:id="145" w:name="_Toc31702044"/>
      <w:r>
        <w:t xml:space="preserve">Table </w:t>
      </w:r>
      <w:r w:rsidR="00A56355">
        <w:fldChar w:fldCharType="begin"/>
      </w:r>
      <w:r w:rsidR="00A56355">
        <w:instrText xml:space="preserve"> SEQ Table \* ARABIC </w:instrText>
      </w:r>
      <w:r w:rsidR="00A56355">
        <w:fldChar w:fldCharType="separate"/>
      </w:r>
      <w:r w:rsidR="0011424E">
        <w:rPr>
          <w:noProof/>
        </w:rPr>
        <w:t>15</w:t>
      </w:r>
      <w:r w:rsidR="00A56355">
        <w:rPr>
          <w:noProof/>
        </w:rPr>
        <w:fldChar w:fldCharType="end"/>
      </w:r>
      <w:bookmarkEnd w:id="144"/>
      <w:r>
        <w:t xml:space="preserve">. </w:t>
      </w:r>
      <w:r w:rsidRPr="001F64C8">
        <w:t xml:space="preserve">BoR11.1 'knowledge content' values </w:t>
      </w:r>
      <w:r w:rsidR="00B9489E">
        <w:t>–</w:t>
      </w:r>
      <w:r w:rsidRPr="001F64C8">
        <w:t xml:space="preserve"> Phase</w:t>
      </w:r>
      <w:r w:rsidR="00B9489E">
        <w:t>s 1 &amp;</w:t>
      </w:r>
      <w:r w:rsidRPr="001F64C8">
        <w:t xml:space="preserve"> </w:t>
      </w:r>
      <w:r>
        <w:t>2</w:t>
      </w:r>
      <w:bookmarkEnd w:id="145"/>
    </w:p>
    <w:p w14:paraId="6CFBEF54" w14:textId="2CD3ED6F" w:rsidR="00DD7E84" w:rsidRDefault="00DD7E84" w:rsidP="00DD7E84">
      <w:pPr>
        <w:spacing w:after="120" w:line="360" w:lineRule="auto"/>
        <w:rPr>
          <w:sz w:val="24"/>
          <w:szCs w:val="24"/>
        </w:rPr>
      </w:pPr>
      <w:r>
        <w:rPr>
          <w:sz w:val="24"/>
          <w:szCs w:val="24"/>
          <w:u w:val="single"/>
        </w:rPr>
        <w:t>Phase 3. (Developing and disseminating the EWS for routine hospital use)</w:t>
      </w:r>
      <w:r w:rsidR="00804593">
        <w:rPr>
          <w:sz w:val="24"/>
          <w:szCs w:val="24"/>
          <w:u w:val="single"/>
        </w:rPr>
        <w:br/>
      </w:r>
      <w:r>
        <w:rPr>
          <w:sz w:val="24"/>
          <w:szCs w:val="24"/>
        </w:rPr>
        <w:t xml:space="preserve">There was more change at Phase 3 (see </w:t>
      </w:r>
      <w:r w:rsidRPr="00F249A4">
        <w:rPr>
          <w:sz w:val="24"/>
          <w:szCs w:val="24"/>
        </w:rPr>
        <w:fldChar w:fldCharType="begin"/>
      </w:r>
      <w:r w:rsidRPr="00F249A4">
        <w:rPr>
          <w:sz w:val="24"/>
          <w:szCs w:val="24"/>
        </w:rPr>
        <w:instrText xml:space="preserve"> REF _Ref7018570 \h </w:instrText>
      </w:r>
      <w:r>
        <w:rPr>
          <w:sz w:val="24"/>
          <w:szCs w:val="24"/>
        </w:rPr>
        <w:instrText xml:space="preserve"> \* MERGEFORMAT </w:instrText>
      </w:r>
      <w:r w:rsidRPr="00F249A4">
        <w:rPr>
          <w:sz w:val="24"/>
          <w:szCs w:val="24"/>
        </w:rPr>
      </w:r>
      <w:r w:rsidRPr="00F249A4">
        <w:rPr>
          <w:sz w:val="24"/>
          <w:szCs w:val="24"/>
        </w:rPr>
        <w:fldChar w:fldCharType="separate"/>
      </w:r>
      <w:r w:rsidR="0011424E" w:rsidRPr="0011424E">
        <w:rPr>
          <w:sz w:val="24"/>
          <w:szCs w:val="24"/>
        </w:rPr>
        <w:t xml:space="preserve">Table </w:t>
      </w:r>
      <w:r w:rsidR="0011424E" w:rsidRPr="0011424E">
        <w:rPr>
          <w:noProof/>
          <w:sz w:val="24"/>
          <w:szCs w:val="24"/>
        </w:rPr>
        <w:t>16</w:t>
      </w:r>
      <w:r w:rsidRPr="00F249A4">
        <w:rPr>
          <w:sz w:val="24"/>
          <w:szCs w:val="24"/>
        </w:rPr>
        <w:fldChar w:fldCharType="end"/>
      </w:r>
      <w:r>
        <w:rPr>
          <w:sz w:val="24"/>
          <w:szCs w:val="24"/>
        </w:rPr>
        <w:t xml:space="preserve">). The ‘human capital’ and ‘expertise’ attributes both increased slightly, to 2 and 3 respectively, to reflect that new types of technological and commercial expertise </w:t>
      </w:r>
      <w:r w:rsidR="00BA0417">
        <w:rPr>
          <w:sz w:val="24"/>
          <w:szCs w:val="24"/>
        </w:rPr>
        <w:t>were</w:t>
      </w:r>
      <w:r>
        <w:rPr>
          <w:sz w:val="24"/>
          <w:szCs w:val="24"/>
        </w:rPr>
        <w:t xml:space="preserve"> necessary to advance the research and development at this phase, and this led also to a slight reduction in the dominance of doctorate holders over the research process. ‘Learning’ also increased, up to the spectrum’s mid-value of 3. I judged that the practical learning associated with the need to “embed ... new techniques ... and changing behaviours”</w:t>
      </w:r>
      <w:r w:rsidR="00305072">
        <w:rPr>
          <w:sz w:val="24"/>
          <w:szCs w:val="24"/>
        </w:rPr>
        <w:t xml:space="preserve"> (McNie et al., 2016, p. </w:t>
      </w:r>
      <w:r w:rsidR="0026447E">
        <w:rPr>
          <w:sz w:val="24"/>
          <w:szCs w:val="24"/>
        </w:rPr>
        <w:t>888)</w:t>
      </w:r>
      <w:r>
        <w:rPr>
          <w:sz w:val="24"/>
          <w:szCs w:val="24"/>
        </w:rPr>
        <w:t xml:space="preserve"> throughout an entire hospital was just as significant as the more scientific and codifiable ‘learning’ that resulted from this phase of the research. </w:t>
      </w:r>
    </w:p>
    <w:p w14:paraId="42FA9AC1" w14:textId="77777777" w:rsidR="00A346F5" w:rsidRPr="00804593" w:rsidRDefault="00A346F5" w:rsidP="00DD7E84">
      <w:pPr>
        <w:spacing w:after="120" w:line="360" w:lineRule="auto"/>
        <w:rPr>
          <w:sz w:val="24"/>
          <w:szCs w:val="24"/>
          <w:u w:val="single"/>
        </w:rPr>
      </w:pPr>
    </w:p>
    <w:tbl>
      <w:tblPr>
        <w:tblW w:w="8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88"/>
        <w:gridCol w:w="1888"/>
        <w:gridCol w:w="1946"/>
      </w:tblGrid>
      <w:tr w:rsidR="00237747" w14:paraId="032F69DC" w14:textId="77777777" w:rsidTr="005E5334">
        <w:trPr>
          <w:trHeight w:val="147"/>
        </w:trPr>
        <w:tc>
          <w:tcPr>
            <w:tcW w:w="2518" w:type="dxa"/>
            <w:tcBorders>
              <w:top w:val="single" w:sz="4" w:space="0" w:color="auto"/>
              <w:left w:val="single" w:sz="4" w:space="0" w:color="auto"/>
              <w:bottom w:val="single" w:sz="4" w:space="0" w:color="auto"/>
              <w:right w:val="single" w:sz="4" w:space="0" w:color="auto"/>
            </w:tcBorders>
            <w:vAlign w:val="center"/>
          </w:tcPr>
          <w:p w14:paraId="18196334" w14:textId="77777777" w:rsidR="00237747" w:rsidRPr="008707A9" w:rsidRDefault="00237747" w:rsidP="00237747">
            <w:pPr>
              <w:spacing w:after="0" w:line="240" w:lineRule="auto"/>
              <w:jc w:val="center"/>
              <w:rPr>
                <w:rFonts w:asciiTheme="majorBidi" w:hAnsiTheme="majorBidi" w:cstheme="majorBidi"/>
                <w:b/>
              </w:rPr>
            </w:pPr>
            <w:r w:rsidRPr="008707A9">
              <w:rPr>
                <w:rFonts w:asciiTheme="majorBidi" w:hAnsiTheme="majorBidi" w:cstheme="majorBidi"/>
                <w:b/>
              </w:rPr>
              <w:t>Attribut</w:t>
            </w:r>
            <w:r>
              <w:rPr>
                <w:rFonts w:asciiTheme="majorBidi" w:hAnsiTheme="majorBidi" w:cstheme="majorBidi"/>
                <w:b/>
              </w:rPr>
              <w:t>e/activity</w:t>
            </w:r>
          </w:p>
        </w:tc>
        <w:tc>
          <w:tcPr>
            <w:tcW w:w="188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F364C34" w14:textId="670A264D" w:rsidR="00237747" w:rsidRDefault="00237747" w:rsidP="00237747">
            <w:pPr>
              <w:spacing w:after="0" w:line="240" w:lineRule="auto"/>
              <w:jc w:val="center"/>
              <w:rPr>
                <w:rFonts w:asciiTheme="majorBidi" w:hAnsiTheme="majorBidi" w:cstheme="majorBidi"/>
                <w:b/>
              </w:rPr>
            </w:pPr>
            <w:r>
              <w:rPr>
                <w:rFonts w:asciiTheme="majorBidi" w:hAnsiTheme="majorBidi" w:cstheme="majorBidi"/>
                <w:b/>
              </w:rPr>
              <w:t>Value (Phase 1)</w:t>
            </w:r>
          </w:p>
        </w:tc>
        <w:tc>
          <w:tcPr>
            <w:tcW w:w="188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0BE14D4" w14:textId="0B6C4140" w:rsidR="00237747" w:rsidRDefault="00237747" w:rsidP="00237747">
            <w:pPr>
              <w:spacing w:after="0" w:line="240" w:lineRule="auto"/>
              <w:jc w:val="center"/>
              <w:rPr>
                <w:rFonts w:asciiTheme="majorBidi" w:hAnsiTheme="majorBidi" w:cstheme="majorBidi"/>
                <w:b/>
              </w:rPr>
            </w:pPr>
            <w:r>
              <w:rPr>
                <w:rFonts w:asciiTheme="majorBidi" w:hAnsiTheme="majorBidi" w:cstheme="majorBidi"/>
                <w:b/>
              </w:rPr>
              <w:t>Value (Phase 2)</w:t>
            </w:r>
          </w:p>
        </w:tc>
        <w:tc>
          <w:tcPr>
            <w:tcW w:w="1946" w:type="dxa"/>
            <w:tcBorders>
              <w:top w:val="single" w:sz="4" w:space="0" w:color="auto"/>
              <w:left w:val="single" w:sz="4" w:space="0" w:color="auto"/>
              <w:bottom w:val="single" w:sz="4" w:space="0" w:color="auto"/>
              <w:right w:val="single" w:sz="4" w:space="0" w:color="auto"/>
            </w:tcBorders>
          </w:tcPr>
          <w:p w14:paraId="20FF74C5" w14:textId="454D7BFD" w:rsidR="00237747" w:rsidRPr="00FF5CE5" w:rsidRDefault="00237747" w:rsidP="00237747">
            <w:pPr>
              <w:spacing w:after="0" w:line="240" w:lineRule="auto"/>
              <w:jc w:val="center"/>
              <w:rPr>
                <w:rFonts w:asciiTheme="majorBidi" w:hAnsiTheme="majorBidi" w:cstheme="majorBidi"/>
                <w:b/>
              </w:rPr>
            </w:pPr>
            <w:r>
              <w:rPr>
                <w:rFonts w:asciiTheme="majorBidi" w:hAnsiTheme="majorBidi" w:cstheme="majorBidi"/>
                <w:b/>
              </w:rPr>
              <w:t>Value</w:t>
            </w:r>
            <w:r w:rsidR="00B9489E">
              <w:rPr>
                <w:rFonts w:asciiTheme="majorBidi" w:hAnsiTheme="majorBidi" w:cstheme="majorBidi"/>
                <w:b/>
              </w:rPr>
              <w:t xml:space="preserve"> (Phase 3)</w:t>
            </w:r>
          </w:p>
        </w:tc>
      </w:tr>
      <w:tr w:rsidR="00237747" w14:paraId="4ED54E7E" w14:textId="77777777" w:rsidTr="005E5334">
        <w:trPr>
          <w:trHeight w:val="250"/>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14:paraId="4CFCCA8E" w14:textId="77777777" w:rsidR="00237747" w:rsidRPr="008707A9" w:rsidRDefault="00237747" w:rsidP="00237747">
            <w:pPr>
              <w:spacing w:after="0" w:line="240" w:lineRule="auto"/>
              <w:rPr>
                <w:rFonts w:asciiTheme="majorBidi" w:hAnsiTheme="majorBidi" w:cstheme="majorBidi"/>
              </w:rPr>
            </w:pPr>
            <w:r w:rsidRPr="008707A9">
              <w:rPr>
                <w:rFonts w:asciiTheme="majorBidi" w:hAnsiTheme="majorBidi" w:cstheme="majorBidi"/>
                <w:color w:val="000000"/>
              </w:rPr>
              <w:t>Expertise</w:t>
            </w:r>
          </w:p>
        </w:tc>
        <w:tc>
          <w:tcPr>
            <w:tcW w:w="188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F00091E" w14:textId="530FEF98" w:rsidR="00237747" w:rsidRDefault="00237747" w:rsidP="00237747">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88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D6059AF" w14:textId="25676EAA" w:rsidR="00237747" w:rsidRDefault="00237747" w:rsidP="00237747">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18F374D2" w14:textId="3731D25F" w:rsidR="00237747" w:rsidRPr="000B15CE" w:rsidRDefault="00237747" w:rsidP="00237747">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237747" w14:paraId="3D2396FB" w14:textId="77777777" w:rsidTr="005E5334">
        <w:trPr>
          <w:trHeight w:val="281"/>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14:paraId="68310612" w14:textId="77777777" w:rsidR="00237747" w:rsidRPr="008707A9" w:rsidRDefault="00237747" w:rsidP="00237747">
            <w:pPr>
              <w:spacing w:after="0" w:line="240" w:lineRule="auto"/>
              <w:rPr>
                <w:rFonts w:asciiTheme="majorBidi" w:hAnsiTheme="majorBidi" w:cstheme="majorBidi"/>
              </w:rPr>
            </w:pPr>
            <w:r w:rsidRPr="008707A9">
              <w:rPr>
                <w:rFonts w:asciiTheme="majorBidi" w:hAnsiTheme="majorBidi" w:cstheme="majorBidi"/>
                <w:color w:val="000000"/>
              </w:rPr>
              <w:t>Learning</w:t>
            </w:r>
          </w:p>
        </w:tc>
        <w:tc>
          <w:tcPr>
            <w:tcW w:w="188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DB2AE09" w14:textId="0C0D3E70" w:rsidR="00237747" w:rsidRDefault="00237747" w:rsidP="0023774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88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C4DD545" w14:textId="7320F785" w:rsidR="00237747" w:rsidRDefault="00237747" w:rsidP="00237747">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2</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3BC2D9A0" w14:textId="445D59E1" w:rsidR="00237747" w:rsidRPr="000B15CE" w:rsidRDefault="00237747" w:rsidP="00237747">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237747" w14:paraId="23EA4FC3" w14:textId="77777777" w:rsidTr="005E5334">
        <w:trPr>
          <w:trHeight w:val="265"/>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14:paraId="1963FC71" w14:textId="77777777" w:rsidR="00237747" w:rsidRPr="008707A9" w:rsidRDefault="00237747" w:rsidP="00237747">
            <w:pPr>
              <w:spacing w:after="0" w:line="240" w:lineRule="auto"/>
              <w:rPr>
                <w:rFonts w:asciiTheme="majorBidi" w:hAnsiTheme="majorBidi" w:cstheme="majorBidi"/>
              </w:rPr>
            </w:pPr>
            <w:r w:rsidRPr="008707A9">
              <w:rPr>
                <w:rFonts w:asciiTheme="majorBidi" w:hAnsiTheme="majorBidi" w:cstheme="majorBidi"/>
                <w:color w:val="000000"/>
              </w:rPr>
              <w:t>Human Capital</w:t>
            </w:r>
          </w:p>
        </w:tc>
        <w:tc>
          <w:tcPr>
            <w:tcW w:w="188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B9FC57B" w14:textId="52C4A94B" w:rsidR="00237747" w:rsidRDefault="00237747" w:rsidP="00237747">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88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D1C4E56" w14:textId="5D9F8560" w:rsidR="00237747" w:rsidRDefault="00237747" w:rsidP="00237747">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2BD84C0D" w14:textId="60FB8B4F" w:rsidR="00237747" w:rsidRPr="000B15CE" w:rsidRDefault="00237747" w:rsidP="00237747">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6F02B8CA" w14:textId="69CD05C9" w:rsidR="00DD7E84" w:rsidRDefault="00DD7E84" w:rsidP="00DD7E84">
      <w:pPr>
        <w:pStyle w:val="Caption"/>
        <w:rPr>
          <w:sz w:val="24"/>
          <w:szCs w:val="24"/>
        </w:rPr>
      </w:pPr>
      <w:bookmarkStart w:id="146" w:name="_Ref7018570"/>
      <w:bookmarkStart w:id="147" w:name="_Toc31702045"/>
      <w:r>
        <w:t xml:space="preserve">Table </w:t>
      </w:r>
      <w:r w:rsidR="00A56355">
        <w:fldChar w:fldCharType="begin"/>
      </w:r>
      <w:r w:rsidR="00A56355">
        <w:instrText xml:space="preserve"> SEQ Table \* ARABIC </w:instrText>
      </w:r>
      <w:r w:rsidR="00A56355">
        <w:fldChar w:fldCharType="separate"/>
      </w:r>
      <w:r w:rsidR="0011424E">
        <w:rPr>
          <w:noProof/>
        </w:rPr>
        <w:t>16</w:t>
      </w:r>
      <w:r w:rsidR="00A56355">
        <w:rPr>
          <w:noProof/>
        </w:rPr>
        <w:fldChar w:fldCharType="end"/>
      </w:r>
      <w:bookmarkEnd w:id="146"/>
      <w:r>
        <w:t xml:space="preserve">. </w:t>
      </w:r>
      <w:r w:rsidRPr="00B204FD">
        <w:t xml:space="preserve">BoR11.1 'knowledge content' values </w:t>
      </w:r>
      <w:r w:rsidR="00B9489E">
        <w:t>–</w:t>
      </w:r>
      <w:r w:rsidRPr="00B204FD">
        <w:t xml:space="preserve"> Phase</w:t>
      </w:r>
      <w:r w:rsidR="00B9489E">
        <w:t>s 1-</w:t>
      </w:r>
      <w:r>
        <w:t>3</w:t>
      </w:r>
      <w:bookmarkEnd w:id="147"/>
    </w:p>
    <w:p w14:paraId="56780C20" w14:textId="77777777" w:rsidR="00DD7E84" w:rsidRPr="002D1EB2" w:rsidRDefault="00DD7E84" w:rsidP="00DD7E84">
      <w:pPr>
        <w:pStyle w:val="Heading4"/>
      </w:pPr>
      <w:r>
        <w:t>‘Intermediary’ values (uncertainty, knowledge exchange, accessibility, boundary management, network participation, flexibility, disciplinary focus, and social capital)</w:t>
      </w:r>
    </w:p>
    <w:p w14:paraId="0D961282" w14:textId="4D8CE5DB" w:rsidR="00C027BA" w:rsidRDefault="00DD7E84" w:rsidP="00DD7E84">
      <w:pPr>
        <w:spacing w:after="120" w:line="360" w:lineRule="auto"/>
        <w:rPr>
          <w:sz w:val="24"/>
          <w:szCs w:val="24"/>
        </w:rPr>
      </w:pPr>
      <w:r>
        <w:rPr>
          <w:sz w:val="24"/>
          <w:szCs w:val="24"/>
          <w:u w:val="single"/>
        </w:rPr>
        <w:t>Phase 1. (An auditing system for comparing surgical outcomes across hospitals)</w:t>
      </w:r>
      <w:r w:rsidR="00F767D2">
        <w:rPr>
          <w:sz w:val="24"/>
          <w:szCs w:val="24"/>
        </w:rPr>
        <w:br/>
      </w:r>
      <w:r w:rsidR="007F4EF1" w:rsidRPr="008B7022">
        <w:rPr>
          <w:sz w:val="24"/>
          <w:szCs w:val="24"/>
        </w:rPr>
        <w:fldChar w:fldCharType="begin"/>
      </w:r>
      <w:r w:rsidR="007F4EF1" w:rsidRPr="008B7022">
        <w:rPr>
          <w:sz w:val="24"/>
          <w:szCs w:val="24"/>
        </w:rPr>
        <w:instrText xml:space="preserve"> REF _Ref7018648 \h </w:instrText>
      </w:r>
      <w:r w:rsidR="007F4EF1">
        <w:rPr>
          <w:sz w:val="24"/>
          <w:szCs w:val="24"/>
        </w:rPr>
        <w:instrText xml:space="preserve"> \* MERGEFORMAT </w:instrText>
      </w:r>
      <w:r w:rsidR="007F4EF1" w:rsidRPr="008B7022">
        <w:rPr>
          <w:sz w:val="24"/>
          <w:szCs w:val="24"/>
        </w:rPr>
      </w:r>
      <w:r w:rsidR="007F4EF1" w:rsidRPr="008B7022">
        <w:rPr>
          <w:sz w:val="24"/>
          <w:szCs w:val="24"/>
        </w:rPr>
        <w:fldChar w:fldCharType="separate"/>
      </w:r>
      <w:r w:rsidR="0011424E" w:rsidRPr="0011424E">
        <w:rPr>
          <w:sz w:val="24"/>
          <w:szCs w:val="24"/>
        </w:rPr>
        <w:t xml:space="preserve">Table </w:t>
      </w:r>
      <w:r w:rsidR="0011424E" w:rsidRPr="0011424E">
        <w:rPr>
          <w:noProof/>
          <w:sz w:val="24"/>
          <w:szCs w:val="24"/>
        </w:rPr>
        <w:t>17</w:t>
      </w:r>
      <w:r w:rsidR="007F4EF1" w:rsidRPr="008B7022">
        <w:rPr>
          <w:sz w:val="24"/>
          <w:szCs w:val="24"/>
        </w:rPr>
        <w:fldChar w:fldCharType="end"/>
      </w:r>
      <w:r w:rsidR="007F4EF1">
        <w:rPr>
          <w:sz w:val="24"/>
          <w:szCs w:val="24"/>
        </w:rPr>
        <w:t xml:space="preserve"> (below) presents the values for the eight ‘intermediary’ activities/attributes</w:t>
      </w:r>
      <w:r w:rsidR="007F4EF1" w:rsidRPr="008B7022">
        <w:rPr>
          <w:sz w:val="24"/>
          <w:szCs w:val="24"/>
        </w:rPr>
        <w:t>.</w:t>
      </w:r>
      <w:r w:rsidR="007F4EF1">
        <w:rPr>
          <w:sz w:val="24"/>
          <w:szCs w:val="24"/>
        </w:rPr>
        <w:t xml:space="preserve"> </w:t>
      </w:r>
      <w:r w:rsidR="006B4339">
        <w:rPr>
          <w:sz w:val="24"/>
          <w:szCs w:val="24"/>
        </w:rPr>
        <w:t>I will start by discussing t</w:t>
      </w:r>
      <w:r w:rsidR="00D211ED">
        <w:rPr>
          <w:sz w:val="24"/>
          <w:szCs w:val="24"/>
        </w:rPr>
        <w:t>he ‘disciplinary focus’</w:t>
      </w:r>
      <w:r w:rsidR="00A26952">
        <w:rPr>
          <w:sz w:val="24"/>
          <w:szCs w:val="24"/>
        </w:rPr>
        <w:t xml:space="preserve">. </w:t>
      </w:r>
      <w:r w:rsidR="00E66123">
        <w:rPr>
          <w:sz w:val="24"/>
          <w:szCs w:val="24"/>
        </w:rPr>
        <w:t xml:space="preserve">As discussed </w:t>
      </w:r>
      <w:r w:rsidR="007850B2">
        <w:rPr>
          <w:sz w:val="24"/>
          <w:szCs w:val="24"/>
        </w:rPr>
        <w:t>in Chapte</w:t>
      </w:r>
      <w:r w:rsidR="00FC5F5C">
        <w:rPr>
          <w:sz w:val="24"/>
          <w:szCs w:val="24"/>
        </w:rPr>
        <w:t xml:space="preserve">r </w:t>
      </w:r>
      <w:r w:rsidR="008A3015">
        <w:rPr>
          <w:sz w:val="24"/>
          <w:szCs w:val="24"/>
        </w:rPr>
        <w:t>2</w:t>
      </w:r>
      <w:r w:rsidR="00FC5F5C">
        <w:rPr>
          <w:sz w:val="24"/>
          <w:szCs w:val="24"/>
        </w:rPr>
        <w:t xml:space="preserve"> when introducing McNie et al.’s (2016) typology</w:t>
      </w:r>
      <w:r w:rsidR="00E66123">
        <w:rPr>
          <w:sz w:val="24"/>
          <w:szCs w:val="24"/>
        </w:rPr>
        <w:t xml:space="preserve">, even where </w:t>
      </w:r>
      <w:r w:rsidR="0034466F">
        <w:rPr>
          <w:sz w:val="24"/>
          <w:szCs w:val="24"/>
        </w:rPr>
        <w:t xml:space="preserve">academic research </w:t>
      </w:r>
      <w:r w:rsidR="00FC5F5C">
        <w:rPr>
          <w:sz w:val="24"/>
          <w:szCs w:val="24"/>
        </w:rPr>
        <w:t>exhibits strong ‘Mode 2’ characteristics of</w:t>
      </w:r>
      <w:r w:rsidR="0034466F">
        <w:rPr>
          <w:sz w:val="24"/>
          <w:szCs w:val="24"/>
        </w:rPr>
        <w:t xml:space="preserve"> transdisciplinar</w:t>
      </w:r>
      <w:r w:rsidR="00FC5F5C">
        <w:rPr>
          <w:sz w:val="24"/>
          <w:szCs w:val="24"/>
        </w:rPr>
        <w:t xml:space="preserve">ity and a focus on and proximity to contexts of application, </w:t>
      </w:r>
      <w:r w:rsidR="00514ACD">
        <w:rPr>
          <w:sz w:val="24"/>
          <w:szCs w:val="24"/>
        </w:rPr>
        <w:t xml:space="preserve">disciplinarity still has a role to play, as the expertise, techniques and methodologies drawn upon have largely disciplinary foundations. </w:t>
      </w:r>
      <w:r w:rsidR="0036068F">
        <w:rPr>
          <w:sz w:val="24"/>
          <w:szCs w:val="24"/>
        </w:rPr>
        <w:t>McNie et al.’s (2016) notion therefore acknowledges that ‘disciplinary focus’ is not a binary, but rather a matter of degree.</w:t>
      </w:r>
      <w:r w:rsidR="00037C22">
        <w:rPr>
          <w:sz w:val="24"/>
          <w:szCs w:val="24"/>
        </w:rPr>
        <w:t xml:space="preserve"> In this sense, the extent of disciplinarity </w:t>
      </w:r>
      <w:r w:rsidR="00037C22">
        <w:rPr>
          <w:i/>
          <w:sz w:val="24"/>
          <w:szCs w:val="24"/>
        </w:rPr>
        <w:t>mediates</w:t>
      </w:r>
      <w:r w:rsidR="00037C22">
        <w:rPr>
          <w:sz w:val="24"/>
          <w:szCs w:val="24"/>
        </w:rPr>
        <w:t xml:space="preserve"> between academia and wider society; academics will be unlikely to disidentify with their disciplinary backgrounds, but they may overcome disciplinary boundaries to a significant extent in terms of their approaches, topics and questions.</w:t>
      </w:r>
      <w:r w:rsidR="0036068F">
        <w:rPr>
          <w:sz w:val="24"/>
          <w:szCs w:val="24"/>
        </w:rPr>
        <w:t xml:space="preserve"> </w:t>
      </w:r>
      <w:r w:rsidR="00037FC7">
        <w:rPr>
          <w:sz w:val="24"/>
          <w:szCs w:val="24"/>
        </w:rPr>
        <w:t>In the case of BoR11.1, I judged t</w:t>
      </w:r>
      <w:r w:rsidR="00921A78">
        <w:rPr>
          <w:sz w:val="24"/>
          <w:szCs w:val="24"/>
        </w:rPr>
        <w:t xml:space="preserve">here to be a weak ‘disciplinary focus’ and I coded it as a 4 on the typology’s 1-5 spectrum. </w:t>
      </w:r>
      <w:r w:rsidR="00037C22">
        <w:rPr>
          <w:sz w:val="24"/>
          <w:szCs w:val="24"/>
        </w:rPr>
        <w:t>This is because the</w:t>
      </w:r>
      <w:r w:rsidR="00921A78">
        <w:rPr>
          <w:sz w:val="24"/>
          <w:szCs w:val="24"/>
        </w:rPr>
        <w:t xml:space="preserve"> research had little grounding in or interest in advancing a discipline and was rather “organized around problems that are defined by the context of use” (McNie et al., 2016, p. 888)</w:t>
      </w:r>
      <w:r w:rsidR="00294EA2">
        <w:rPr>
          <w:sz w:val="24"/>
          <w:szCs w:val="24"/>
        </w:rPr>
        <w:t xml:space="preserve">, despite the individuals involved drawing on their distinct disciplinary backgrounds (for example </w:t>
      </w:r>
      <w:r w:rsidR="009236BC">
        <w:rPr>
          <w:sz w:val="24"/>
          <w:szCs w:val="24"/>
        </w:rPr>
        <w:t>medical physics and</w:t>
      </w:r>
      <w:r w:rsidR="00294EA2">
        <w:rPr>
          <w:sz w:val="24"/>
          <w:szCs w:val="24"/>
        </w:rPr>
        <w:t xml:space="preserve"> computing).</w:t>
      </w:r>
    </w:p>
    <w:p w14:paraId="32986752" w14:textId="5C582B47" w:rsidR="009D4507" w:rsidRPr="009D4507" w:rsidRDefault="00DD7E84" w:rsidP="00DD7E84">
      <w:pPr>
        <w:spacing w:after="120" w:line="360" w:lineRule="auto"/>
        <w:rPr>
          <w:sz w:val="24"/>
          <w:szCs w:val="24"/>
        </w:rPr>
      </w:pPr>
      <w:r>
        <w:rPr>
          <w:sz w:val="24"/>
          <w:szCs w:val="24"/>
        </w:rPr>
        <w:t>This directly influenced the research team’s approach to dealing with ‘uncertainty’</w:t>
      </w:r>
      <w:r w:rsidR="004C5700">
        <w:rPr>
          <w:sz w:val="24"/>
          <w:szCs w:val="24"/>
        </w:rPr>
        <w:t>. Drawing from McNie et al.’s (2016) description, the researchers involved in BoR11.1 treated</w:t>
      </w:r>
      <w:r>
        <w:rPr>
          <w:sz w:val="24"/>
          <w:szCs w:val="24"/>
        </w:rPr>
        <w:t xml:space="preserve"> “epistemic uncertainty ... as an accepted condition</w:t>
      </w:r>
      <w:r w:rsidR="004C5700">
        <w:rPr>
          <w:sz w:val="24"/>
          <w:szCs w:val="24"/>
        </w:rPr>
        <w:t xml:space="preserve"> of [the] ...</w:t>
      </w:r>
      <w:r>
        <w:rPr>
          <w:sz w:val="24"/>
          <w:szCs w:val="24"/>
        </w:rPr>
        <w:t xml:space="preserve"> complex </w:t>
      </w:r>
      <w:r w:rsidR="004C5700">
        <w:rPr>
          <w:sz w:val="24"/>
          <w:szCs w:val="24"/>
        </w:rPr>
        <w:t>...</w:t>
      </w:r>
      <w:r>
        <w:rPr>
          <w:sz w:val="24"/>
          <w:szCs w:val="24"/>
        </w:rPr>
        <w:t xml:space="preserve"> realities” </w:t>
      </w:r>
      <w:r w:rsidR="004C5700">
        <w:rPr>
          <w:sz w:val="24"/>
          <w:szCs w:val="24"/>
        </w:rPr>
        <w:t>(</w:t>
      </w:r>
      <w:r>
        <w:rPr>
          <w:sz w:val="24"/>
          <w:szCs w:val="24"/>
        </w:rPr>
        <w:t>p. 888)</w:t>
      </w:r>
      <w:r w:rsidR="004C5700">
        <w:rPr>
          <w:sz w:val="24"/>
          <w:szCs w:val="24"/>
        </w:rPr>
        <w:t xml:space="preserve"> wh</w:t>
      </w:r>
      <w:r w:rsidR="00550B88">
        <w:rPr>
          <w:sz w:val="24"/>
          <w:szCs w:val="24"/>
        </w:rPr>
        <w:t>ich they were studying, and</w:t>
      </w:r>
      <w:r w:rsidR="004C5700">
        <w:rPr>
          <w:sz w:val="24"/>
          <w:szCs w:val="24"/>
        </w:rPr>
        <w:t xml:space="preserve"> it was not their priority to overcome this uncertainty</w:t>
      </w:r>
      <w:r>
        <w:rPr>
          <w:sz w:val="24"/>
          <w:szCs w:val="24"/>
        </w:rPr>
        <w:t xml:space="preserve">. </w:t>
      </w:r>
      <w:r w:rsidR="00941AE6">
        <w:rPr>
          <w:sz w:val="24"/>
          <w:szCs w:val="24"/>
        </w:rPr>
        <w:t>For example,</w:t>
      </w:r>
      <w:r w:rsidR="004C5700">
        <w:rPr>
          <w:sz w:val="24"/>
          <w:szCs w:val="24"/>
        </w:rPr>
        <w:t xml:space="preserve"> </w:t>
      </w:r>
      <w:r w:rsidR="009D4507">
        <w:rPr>
          <w:sz w:val="24"/>
          <w:szCs w:val="24"/>
        </w:rPr>
        <w:t xml:space="preserve">rather than ask the complex scientific question of </w:t>
      </w:r>
      <w:r w:rsidR="00511D46" w:rsidRPr="00511D46">
        <w:rPr>
          <w:i/>
          <w:sz w:val="24"/>
          <w:szCs w:val="24"/>
        </w:rPr>
        <w:t>‘</w:t>
      </w:r>
      <w:r w:rsidR="009D4507" w:rsidRPr="00511D46">
        <w:rPr>
          <w:i/>
          <w:sz w:val="24"/>
          <w:szCs w:val="24"/>
        </w:rPr>
        <w:t>what causes deterioration in different types of patients</w:t>
      </w:r>
      <w:r w:rsidR="00511D46" w:rsidRPr="00511D46">
        <w:rPr>
          <w:i/>
          <w:sz w:val="24"/>
          <w:szCs w:val="24"/>
        </w:rPr>
        <w:t>’</w:t>
      </w:r>
      <w:r w:rsidR="009D4507">
        <w:rPr>
          <w:sz w:val="24"/>
          <w:szCs w:val="24"/>
        </w:rPr>
        <w:t xml:space="preserve">, with the implication that a very broad range of data and factors be collected, controlled and measured, the Portsmouth Team had a far more pragmatic ‘what works’ approach to informing clinical practice. This was driven by the epistemically more modest question of </w:t>
      </w:r>
      <w:r w:rsidR="00511D46" w:rsidRPr="00511D46">
        <w:rPr>
          <w:i/>
          <w:sz w:val="24"/>
          <w:szCs w:val="24"/>
        </w:rPr>
        <w:t>‘</w:t>
      </w:r>
      <w:r w:rsidR="009D4507" w:rsidRPr="00511D46">
        <w:rPr>
          <w:i/>
          <w:sz w:val="24"/>
          <w:szCs w:val="24"/>
        </w:rPr>
        <w:t xml:space="preserve">how can inpatient data that is </w:t>
      </w:r>
      <w:r w:rsidR="009D4507" w:rsidRPr="00511D46">
        <w:rPr>
          <w:i/>
          <w:sz w:val="24"/>
          <w:szCs w:val="24"/>
          <w:u w:val="single"/>
        </w:rPr>
        <w:t>already</w:t>
      </w:r>
      <w:r w:rsidR="009D4507" w:rsidRPr="00511D46">
        <w:rPr>
          <w:i/>
          <w:sz w:val="24"/>
          <w:szCs w:val="24"/>
        </w:rPr>
        <w:t xml:space="preserve"> routinely collected by hospitals be used to provide approximate predictions of inpatient deterioration and inform clinical practitioners’ priorities?</w:t>
      </w:r>
      <w:r w:rsidR="00511D46">
        <w:rPr>
          <w:i/>
          <w:sz w:val="24"/>
          <w:szCs w:val="24"/>
        </w:rPr>
        <w:t>’</w:t>
      </w:r>
      <w:r w:rsidR="009D4507">
        <w:rPr>
          <w:i/>
          <w:sz w:val="24"/>
          <w:szCs w:val="24"/>
        </w:rPr>
        <w:t xml:space="preserve"> </w:t>
      </w:r>
      <w:r w:rsidR="00722DA3">
        <w:rPr>
          <w:sz w:val="24"/>
          <w:szCs w:val="24"/>
        </w:rPr>
        <w:t xml:space="preserve">As the approach to ‘uncertainty’ was driven by a pragmatic ‘what works’ approach rather than </w:t>
      </w:r>
      <w:r w:rsidR="00B926A4">
        <w:rPr>
          <w:sz w:val="24"/>
          <w:szCs w:val="24"/>
        </w:rPr>
        <w:t>by a dedication to maximising scientific knowledge, I gave the ‘uncertainty’ attribute a value of 4.</w:t>
      </w:r>
    </w:p>
    <w:p w14:paraId="4CEB3CC7" w14:textId="2DCF104B" w:rsidR="00DD7E84" w:rsidRDefault="00BD07DF" w:rsidP="00DD7E84">
      <w:pPr>
        <w:spacing w:after="120" w:line="360" w:lineRule="auto"/>
        <w:rPr>
          <w:sz w:val="24"/>
          <w:szCs w:val="24"/>
        </w:rPr>
      </w:pPr>
      <w:r>
        <w:rPr>
          <w:sz w:val="24"/>
          <w:szCs w:val="24"/>
        </w:rPr>
        <w:t xml:space="preserve">I </w:t>
      </w:r>
      <w:r w:rsidR="00610B89">
        <w:rPr>
          <w:sz w:val="24"/>
          <w:szCs w:val="24"/>
        </w:rPr>
        <w:t>valued</w:t>
      </w:r>
      <w:r w:rsidR="00DD7E84">
        <w:rPr>
          <w:sz w:val="24"/>
          <w:szCs w:val="24"/>
        </w:rPr>
        <w:t xml:space="preserve"> ‘knowledge exchange’, ‘flexibility’ and ‘accessibility’ </w:t>
      </w:r>
      <w:r w:rsidR="00610B89">
        <w:rPr>
          <w:sz w:val="24"/>
          <w:szCs w:val="24"/>
        </w:rPr>
        <w:t>at 3, the mid-poin</w:t>
      </w:r>
      <w:r w:rsidR="002578E5">
        <w:rPr>
          <w:sz w:val="24"/>
          <w:szCs w:val="24"/>
        </w:rPr>
        <w:t>t</w:t>
      </w:r>
      <w:r w:rsidR="00DD7E84">
        <w:rPr>
          <w:sz w:val="24"/>
          <w:szCs w:val="24"/>
        </w:rPr>
        <w:t xml:space="preserve"> on the spectrum. This reflects that there was a non-negligible amount of “iterative” communication between users and researchers, and quite significant “collaboration” and “brokering” between different sectors (</w:t>
      </w:r>
      <w:r>
        <w:rPr>
          <w:sz w:val="24"/>
          <w:szCs w:val="24"/>
        </w:rPr>
        <w:t>McNie et al</w:t>
      </w:r>
      <w:r w:rsidR="00DD7E84">
        <w:rPr>
          <w:sz w:val="24"/>
          <w:szCs w:val="24"/>
        </w:rPr>
        <w:t xml:space="preserve">., p. 888). Moreover, the CHMI took steps to facilitating “easy access to [their academic] researchers and knowledge resources”, making itself “more accessible than ‘ivory tower’ research facilities”, and also making it “responsive ... to users’ needs” (ibid. pp. 889, 890). However, I did not give a higher value because these activities/attributes were all somewhat limited, for example there was significant focus on more “one-way” forms of communication which “are consistent with, and understood by, their shared epistemic communities and not with the general public”, emphasising, for example, “peer-review publications” (ibid., p. 888). </w:t>
      </w:r>
    </w:p>
    <w:p w14:paraId="18FE9A2D" w14:textId="14534BEC" w:rsidR="00FE139F" w:rsidRDefault="00DD7E84" w:rsidP="00DD7E84">
      <w:pPr>
        <w:spacing w:after="120" w:line="360" w:lineRule="auto"/>
        <w:rPr>
          <w:sz w:val="24"/>
          <w:szCs w:val="24"/>
        </w:rPr>
      </w:pPr>
      <w:r>
        <w:rPr>
          <w:sz w:val="24"/>
          <w:szCs w:val="24"/>
        </w:rPr>
        <w:t xml:space="preserve">For a similar reason, I also gave </w:t>
      </w:r>
      <w:r w:rsidR="002416E7">
        <w:rPr>
          <w:sz w:val="24"/>
          <w:szCs w:val="24"/>
        </w:rPr>
        <w:t>the</w:t>
      </w:r>
      <w:r>
        <w:rPr>
          <w:sz w:val="24"/>
          <w:szCs w:val="24"/>
        </w:rPr>
        <w:t xml:space="preserve"> low value of 2 </w:t>
      </w:r>
      <w:r w:rsidR="00960EF3">
        <w:rPr>
          <w:sz w:val="24"/>
          <w:szCs w:val="24"/>
        </w:rPr>
        <w:t>for</w:t>
      </w:r>
      <w:r>
        <w:rPr>
          <w:sz w:val="24"/>
          <w:szCs w:val="24"/>
        </w:rPr>
        <w:t xml:space="preserve"> ‘network participation’. Despite the different disciplines and professions of the research team, their interests and expertise coalesced such that they formed a relatively “homogeneous ... epistemic community” (</w:t>
      </w:r>
      <w:r w:rsidR="00960EF3">
        <w:rPr>
          <w:sz w:val="24"/>
          <w:szCs w:val="24"/>
        </w:rPr>
        <w:t>McNie et al., 2016</w:t>
      </w:r>
      <w:r>
        <w:rPr>
          <w:sz w:val="24"/>
          <w:szCs w:val="24"/>
        </w:rPr>
        <w:t>, p. 889). And this situation had implications also for the values assigned to ‘social capital’ and ‘boundary management’, both of which also received a value of 2. Regarding ‘social capital’, although “trust, and relationships [were] necessary to create and share knowledge” amongst the research team, the strongly epistemic nature of the research meant that the main basis of trust, both within the team and between the team and potential users, was “rigorous methods and norms of conducting research”, thereby reducing the importance of and “need for creating or deploying social capital” (ibid., p. 889). And, as such, the demands of ‘boundary management’ and “boundary work” were relatively insignificant, and the “risks of science’s credibility being impugned or of science becoming politicized” were relatively low (ibid., pp. 890-891).</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tblGrid>
      <w:tr w:rsidR="00DD7E84" w14:paraId="678DB88D" w14:textId="77777777" w:rsidTr="00DE5040">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44CC0240" w14:textId="77777777" w:rsidR="00DD7E84" w:rsidRPr="008707A9" w:rsidRDefault="00DD7E84" w:rsidP="00DE504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tcPr>
          <w:p w14:paraId="617F3128" w14:textId="5494A5CE" w:rsidR="00DD7E84" w:rsidRPr="00FF5CE5" w:rsidRDefault="00DD7E84" w:rsidP="00DE5040">
            <w:pPr>
              <w:spacing w:after="0" w:line="240" w:lineRule="auto"/>
              <w:jc w:val="center"/>
              <w:rPr>
                <w:rFonts w:asciiTheme="majorBidi" w:hAnsiTheme="majorBidi" w:cstheme="majorBidi"/>
                <w:b/>
              </w:rPr>
            </w:pPr>
            <w:r>
              <w:rPr>
                <w:rFonts w:asciiTheme="majorBidi" w:hAnsiTheme="majorBidi" w:cstheme="majorBidi"/>
                <w:b/>
              </w:rPr>
              <w:t>Value</w:t>
            </w:r>
            <w:r w:rsidR="00B041AC">
              <w:rPr>
                <w:rFonts w:asciiTheme="majorBidi" w:hAnsiTheme="majorBidi" w:cstheme="majorBidi"/>
                <w:b/>
              </w:rPr>
              <w:t xml:space="preserve"> (Phase 1)</w:t>
            </w:r>
          </w:p>
        </w:tc>
      </w:tr>
      <w:tr w:rsidR="00DD7E84" w14:paraId="12C0E25E" w14:textId="77777777" w:rsidTr="00DE5040">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2EDDE14"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3A6D6B79" w14:textId="77777777" w:rsidR="00DD7E84" w:rsidRPr="000B15CE" w:rsidRDefault="00DD7E84" w:rsidP="00DE5040">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4</w:t>
            </w:r>
          </w:p>
        </w:tc>
      </w:tr>
      <w:tr w:rsidR="00DD7E84" w14:paraId="12208611"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CB8E8B9"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Knowledge Exchange</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CC4BA01"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7D99F5C4"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4C3FB84"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Accessibility</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D94B969" w14:textId="77777777" w:rsidR="00DD7E84" w:rsidRPr="000B15CE" w:rsidRDefault="00DD7E84" w:rsidP="00DE5040">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463DA9F4"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6764D87"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Boundary Management</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388E81E"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DD7E84" w14:paraId="4866903B"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6ADD46D"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5BB2AD3"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DD7E84" w14:paraId="5B9A9DB3"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1B80E63"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Flexibility</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D0CB579"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5720476F"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5A0C573" w14:textId="77777777" w:rsidR="00DD7E84" w:rsidRPr="008707A9" w:rsidRDefault="00DD7E84" w:rsidP="00DE5040">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3C3BC6C"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DD7E84" w14:paraId="76ADB811"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C61631D"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0F2417B2" w14:textId="77777777" w:rsidR="00DD7E84" w:rsidRPr="000B15CE" w:rsidRDefault="00DD7E84" w:rsidP="00DE5040">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017B4B0E" w14:textId="2DBD3629" w:rsidR="00DD7E84" w:rsidRDefault="00DD7E84" w:rsidP="00DD7E84">
      <w:pPr>
        <w:pStyle w:val="Caption"/>
        <w:rPr>
          <w:sz w:val="24"/>
          <w:szCs w:val="24"/>
        </w:rPr>
      </w:pPr>
      <w:bookmarkStart w:id="148" w:name="_Ref7018648"/>
      <w:bookmarkStart w:id="149" w:name="_Toc31702046"/>
      <w:r>
        <w:t xml:space="preserve">Table </w:t>
      </w:r>
      <w:r w:rsidR="00A56355">
        <w:fldChar w:fldCharType="begin"/>
      </w:r>
      <w:r w:rsidR="00A56355">
        <w:instrText xml:space="preserve"> SEQ Table \* ARABIC </w:instrText>
      </w:r>
      <w:r w:rsidR="00A56355">
        <w:fldChar w:fldCharType="separate"/>
      </w:r>
      <w:r w:rsidR="0011424E">
        <w:rPr>
          <w:noProof/>
        </w:rPr>
        <w:t>17</w:t>
      </w:r>
      <w:r w:rsidR="00A56355">
        <w:rPr>
          <w:noProof/>
        </w:rPr>
        <w:fldChar w:fldCharType="end"/>
      </w:r>
      <w:bookmarkEnd w:id="148"/>
      <w:r>
        <w:t xml:space="preserve">. </w:t>
      </w:r>
      <w:r w:rsidRPr="00DE7CB9">
        <w:t>BoR11.1 '</w:t>
      </w:r>
      <w:r>
        <w:t>intermediary</w:t>
      </w:r>
      <w:r w:rsidRPr="00DE7CB9">
        <w:t xml:space="preserve">' values - Phase </w:t>
      </w:r>
      <w:r>
        <w:t>1</w:t>
      </w:r>
      <w:bookmarkEnd w:id="149"/>
    </w:p>
    <w:p w14:paraId="493C0ADD" w14:textId="1BD07F3D" w:rsidR="00DD7E84" w:rsidRPr="00804593" w:rsidRDefault="00DD7E84" w:rsidP="00DD7E84">
      <w:pPr>
        <w:spacing w:after="120" w:line="360" w:lineRule="auto"/>
        <w:rPr>
          <w:sz w:val="24"/>
          <w:szCs w:val="24"/>
          <w:u w:val="single"/>
        </w:rPr>
      </w:pPr>
      <w:r>
        <w:rPr>
          <w:sz w:val="24"/>
          <w:szCs w:val="24"/>
          <w:u w:val="single"/>
        </w:rPr>
        <w:t>Phase 2. (Developing an Early Warning System (EWS) for real-time clinical care)</w:t>
      </w:r>
      <w:r w:rsidR="00804593">
        <w:rPr>
          <w:sz w:val="24"/>
          <w:szCs w:val="24"/>
          <w:u w:val="single"/>
        </w:rPr>
        <w:br/>
      </w:r>
      <w:r>
        <w:rPr>
          <w:sz w:val="24"/>
          <w:szCs w:val="24"/>
        </w:rPr>
        <w:t xml:space="preserve">I judged the majority of attributes/activities to not require any </w:t>
      </w:r>
      <w:r w:rsidRPr="00F55DC1">
        <w:rPr>
          <w:sz w:val="24"/>
          <w:szCs w:val="24"/>
        </w:rPr>
        <w:t xml:space="preserve">adjustment at Phase 2 (see </w:t>
      </w:r>
      <w:r w:rsidRPr="00F55DC1">
        <w:rPr>
          <w:sz w:val="24"/>
          <w:szCs w:val="24"/>
        </w:rPr>
        <w:fldChar w:fldCharType="begin"/>
      </w:r>
      <w:r w:rsidRPr="00F55DC1">
        <w:rPr>
          <w:sz w:val="24"/>
          <w:szCs w:val="24"/>
        </w:rPr>
        <w:instrText xml:space="preserve"> REF _Ref7018708 \h </w:instrText>
      </w:r>
      <w:r>
        <w:rPr>
          <w:sz w:val="24"/>
          <w:szCs w:val="24"/>
        </w:rPr>
        <w:instrText xml:space="preserve"> \* MERGEFORMAT </w:instrText>
      </w:r>
      <w:r w:rsidRPr="00F55DC1">
        <w:rPr>
          <w:sz w:val="24"/>
          <w:szCs w:val="24"/>
        </w:rPr>
      </w:r>
      <w:r w:rsidRPr="00F55DC1">
        <w:rPr>
          <w:sz w:val="24"/>
          <w:szCs w:val="24"/>
        </w:rPr>
        <w:fldChar w:fldCharType="separate"/>
      </w:r>
      <w:r w:rsidR="0011424E" w:rsidRPr="0011424E">
        <w:rPr>
          <w:sz w:val="24"/>
          <w:szCs w:val="24"/>
        </w:rPr>
        <w:t xml:space="preserve">Table </w:t>
      </w:r>
      <w:r w:rsidR="0011424E" w:rsidRPr="0011424E">
        <w:rPr>
          <w:noProof/>
          <w:sz w:val="24"/>
          <w:szCs w:val="24"/>
        </w:rPr>
        <w:t>18</w:t>
      </w:r>
      <w:r w:rsidRPr="00F55DC1">
        <w:rPr>
          <w:sz w:val="24"/>
          <w:szCs w:val="24"/>
        </w:rPr>
        <w:fldChar w:fldCharType="end"/>
      </w:r>
      <w:r w:rsidRPr="00F55DC1">
        <w:rPr>
          <w:sz w:val="24"/>
          <w:szCs w:val="24"/>
        </w:rPr>
        <w:t>)</w:t>
      </w:r>
      <w:r>
        <w:rPr>
          <w:sz w:val="24"/>
          <w:szCs w:val="24"/>
        </w:rPr>
        <w:t xml:space="preserve"> in comparison with Phase 1, with only two exceptions – ‘accessibility’ and ‘social capital’, which both increased by one, to 4 and 3, respectively. The increased value for ‘accessibility’ reflects the appointment of one NHS scientist as Professor of Health Informatics at CHMI, which increases the accessibility of CHMI to NHS, the main ‘user’ in question. While the value for ‘social capital’ increased because the goal of expanding the application of the researcher’s model to new contexts beyond that demanded by policymakers meant that the researchers had to embark on their own efforts to mobilise wider support. As such, it could be considered that the ‘boundary management’ attribute should also have been increased to reflect this. However, I judged that this was not necessary because although a greater number of individuals would need to be engaged with, they were the same kinds of actors and stakeholders as was previously the case. As I will show, though, Phase 3 did bring greater boundary management challenges.</w:t>
      </w:r>
    </w:p>
    <w:tbl>
      <w:tblPr>
        <w:tblW w:w="6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tblGrid>
      <w:tr w:rsidR="00B041AC" w14:paraId="7B3552F5" w14:textId="77777777" w:rsidTr="005E5334">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1F798A64" w14:textId="77777777" w:rsidR="00B041AC" w:rsidRPr="008707A9" w:rsidRDefault="00B041AC" w:rsidP="00B041AC">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AE5CFEB" w14:textId="351AF1F3" w:rsidR="00B041AC" w:rsidRDefault="00B041AC" w:rsidP="00B041AC">
            <w:pPr>
              <w:spacing w:after="0" w:line="240" w:lineRule="auto"/>
              <w:jc w:val="center"/>
              <w:rPr>
                <w:rFonts w:asciiTheme="majorBidi" w:hAnsiTheme="majorBidi" w:cstheme="majorBidi"/>
                <w:b/>
              </w:rPr>
            </w:pPr>
            <w:r>
              <w:rPr>
                <w:rFonts w:asciiTheme="majorBidi" w:hAnsiTheme="majorBidi" w:cstheme="majorBidi"/>
                <w:b/>
              </w:rPr>
              <w:t>Value (Phase 1)</w:t>
            </w:r>
          </w:p>
        </w:tc>
        <w:tc>
          <w:tcPr>
            <w:tcW w:w="1753" w:type="dxa"/>
            <w:tcBorders>
              <w:top w:val="single" w:sz="4" w:space="0" w:color="auto"/>
              <w:left w:val="single" w:sz="4" w:space="0" w:color="auto"/>
              <w:bottom w:val="single" w:sz="4" w:space="0" w:color="auto"/>
              <w:right w:val="single" w:sz="4" w:space="0" w:color="auto"/>
            </w:tcBorders>
          </w:tcPr>
          <w:p w14:paraId="14BEEA75" w14:textId="572884E9" w:rsidR="00B041AC" w:rsidRPr="00FF5CE5" w:rsidRDefault="00B041AC" w:rsidP="00B041AC">
            <w:pPr>
              <w:spacing w:after="0" w:line="240" w:lineRule="auto"/>
              <w:jc w:val="center"/>
              <w:rPr>
                <w:rFonts w:asciiTheme="majorBidi" w:hAnsiTheme="majorBidi" w:cstheme="majorBidi"/>
                <w:b/>
              </w:rPr>
            </w:pPr>
            <w:r>
              <w:rPr>
                <w:rFonts w:asciiTheme="majorBidi" w:hAnsiTheme="majorBidi" w:cstheme="majorBidi"/>
                <w:b/>
              </w:rPr>
              <w:t>Value (Phase 2)</w:t>
            </w:r>
          </w:p>
        </w:tc>
      </w:tr>
      <w:tr w:rsidR="00B041AC" w14:paraId="4C020205" w14:textId="77777777" w:rsidTr="005E5334">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7BC73A5" w14:textId="77777777" w:rsidR="00B041AC" w:rsidRPr="008707A9" w:rsidRDefault="00B041AC" w:rsidP="00B041AC">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0DEC7A7" w14:textId="65C0C055" w:rsidR="00B041AC" w:rsidRPr="000B15CE" w:rsidRDefault="00B041AC" w:rsidP="00B041AC">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4</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3AD577C" w14:textId="74A1AA14" w:rsidR="00B041AC" w:rsidRPr="000B15CE" w:rsidRDefault="00B041AC" w:rsidP="00B041AC">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4</w:t>
            </w:r>
          </w:p>
        </w:tc>
      </w:tr>
      <w:tr w:rsidR="00B041AC" w14:paraId="59BCDFBE" w14:textId="77777777" w:rsidTr="005E5334">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41448B8" w14:textId="77777777" w:rsidR="00B041AC" w:rsidRPr="008707A9" w:rsidRDefault="00B041AC" w:rsidP="00B041AC">
            <w:pPr>
              <w:spacing w:after="0" w:line="240" w:lineRule="auto"/>
              <w:rPr>
                <w:rFonts w:asciiTheme="majorBidi" w:hAnsiTheme="majorBidi" w:cstheme="majorBidi"/>
              </w:rPr>
            </w:pPr>
            <w:r w:rsidRPr="008707A9">
              <w:rPr>
                <w:rFonts w:asciiTheme="majorBidi" w:hAnsiTheme="majorBidi" w:cstheme="majorBidi"/>
                <w:color w:val="000000"/>
              </w:rPr>
              <w:t>Knowledge Exchange</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6937BF0" w14:textId="2E9F5A8A" w:rsidR="00B041AC"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9367896" w14:textId="116CFF09" w:rsidR="00B041AC" w:rsidRPr="000B15CE"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B041AC" w14:paraId="4B7A9F32"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DE06047" w14:textId="77777777" w:rsidR="00B041AC" w:rsidRPr="008707A9" w:rsidRDefault="00B041AC" w:rsidP="00B041AC">
            <w:pPr>
              <w:spacing w:after="0" w:line="240" w:lineRule="auto"/>
              <w:rPr>
                <w:rFonts w:asciiTheme="majorBidi" w:hAnsiTheme="majorBidi" w:cstheme="majorBidi"/>
              </w:rPr>
            </w:pPr>
            <w:r w:rsidRPr="008707A9">
              <w:rPr>
                <w:rFonts w:asciiTheme="majorBidi" w:hAnsiTheme="majorBidi" w:cstheme="majorBidi"/>
                <w:color w:val="000000"/>
              </w:rPr>
              <w:t>Accessibility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770CC00" w14:textId="32613BEC" w:rsidR="00B041AC" w:rsidRDefault="00B041AC" w:rsidP="00B041AC">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3DA5EFB" w14:textId="6EF3EC43" w:rsidR="00B041AC" w:rsidRPr="000B15CE" w:rsidRDefault="00B041AC" w:rsidP="00B041AC">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B041AC" w14:paraId="2DD61299" w14:textId="77777777" w:rsidTr="005E5334">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A3A1D1A" w14:textId="77777777" w:rsidR="00B041AC" w:rsidRPr="008707A9" w:rsidRDefault="00B041AC" w:rsidP="00B041AC">
            <w:pPr>
              <w:spacing w:after="0" w:line="240" w:lineRule="auto"/>
              <w:rPr>
                <w:rFonts w:asciiTheme="majorBidi" w:hAnsiTheme="majorBidi" w:cstheme="majorBidi"/>
              </w:rPr>
            </w:pPr>
            <w:r w:rsidRPr="008707A9">
              <w:rPr>
                <w:rFonts w:asciiTheme="majorBidi" w:hAnsiTheme="majorBidi" w:cstheme="majorBidi"/>
                <w:color w:val="000000"/>
              </w:rPr>
              <w:t>Boundary Management</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3914BF6" w14:textId="574493C4" w:rsidR="00B041AC"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27B436A" w14:textId="204487B8" w:rsidR="00B041AC" w:rsidRPr="000B15CE"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B041AC" w14:paraId="77D9024F"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894504D" w14:textId="77777777" w:rsidR="00B041AC" w:rsidRPr="008707A9" w:rsidRDefault="00B041AC" w:rsidP="00B041AC">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EBF1A9A" w14:textId="7CE5A788" w:rsidR="00B041AC"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3CD94FD9" w14:textId="19276D82" w:rsidR="00B041AC" w:rsidRPr="000B15CE"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B041AC" w14:paraId="3FE39A43"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B3A7FAB" w14:textId="77777777" w:rsidR="00B041AC" w:rsidRPr="008707A9" w:rsidRDefault="00B041AC" w:rsidP="00B041AC">
            <w:pPr>
              <w:spacing w:after="0" w:line="240" w:lineRule="auto"/>
              <w:rPr>
                <w:rFonts w:asciiTheme="majorBidi" w:hAnsiTheme="majorBidi" w:cstheme="majorBidi"/>
              </w:rPr>
            </w:pPr>
            <w:r w:rsidRPr="008707A9">
              <w:rPr>
                <w:rFonts w:asciiTheme="majorBidi" w:hAnsiTheme="majorBidi" w:cstheme="majorBidi"/>
                <w:color w:val="000000"/>
              </w:rPr>
              <w:t>Flexibility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1CDB847" w14:textId="11590ABD" w:rsidR="00B041AC"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E409D68" w14:textId="6C1FB7F2" w:rsidR="00B041AC" w:rsidRPr="000B15CE"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B041AC" w14:paraId="73C079BF"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9A1E35E" w14:textId="77777777" w:rsidR="00B041AC" w:rsidRPr="008707A9" w:rsidRDefault="00B041AC" w:rsidP="00B041AC">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131A9B0" w14:textId="1FFDB1BB" w:rsidR="00B041AC"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4</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29C5D9E" w14:textId="24732746" w:rsidR="00B041AC" w:rsidRPr="000B15CE" w:rsidRDefault="00B041AC" w:rsidP="00B041AC">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B041AC" w14:paraId="67544EE2" w14:textId="77777777" w:rsidTr="005E5334">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A0B7E43" w14:textId="77777777" w:rsidR="00B041AC" w:rsidRPr="008707A9" w:rsidRDefault="00B041AC" w:rsidP="00B041AC">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E074E6B" w14:textId="629807D5" w:rsidR="00B041AC" w:rsidRDefault="00B041AC" w:rsidP="00B041AC">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5F79D24" w14:textId="228B5B71" w:rsidR="00B041AC" w:rsidRPr="000B15CE" w:rsidRDefault="00B041AC" w:rsidP="00B041AC">
            <w:pPr>
              <w:keepNext/>
              <w:spacing w:after="0" w:line="240" w:lineRule="auto"/>
              <w:jc w:val="center"/>
              <w:rPr>
                <w:rFonts w:asciiTheme="majorBidi" w:hAnsiTheme="majorBidi" w:cstheme="majorBidi"/>
                <w:color w:val="000000"/>
              </w:rPr>
            </w:pPr>
            <w:r>
              <w:rPr>
                <w:rFonts w:asciiTheme="majorBidi" w:hAnsiTheme="majorBidi" w:cstheme="majorBidi"/>
                <w:color w:val="000000"/>
              </w:rPr>
              <w:t>3</w:t>
            </w:r>
          </w:p>
        </w:tc>
      </w:tr>
    </w:tbl>
    <w:p w14:paraId="28632804" w14:textId="5A305B9E" w:rsidR="00DD7E84" w:rsidRDefault="00DD7E84" w:rsidP="00DD7E84">
      <w:pPr>
        <w:pStyle w:val="Caption"/>
        <w:rPr>
          <w:sz w:val="24"/>
          <w:szCs w:val="24"/>
        </w:rPr>
      </w:pPr>
      <w:bookmarkStart w:id="150" w:name="_Ref7018708"/>
      <w:bookmarkStart w:id="151" w:name="_Toc31702047"/>
      <w:r>
        <w:t xml:space="preserve">Table </w:t>
      </w:r>
      <w:r w:rsidR="00A56355">
        <w:fldChar w:fldCharType="begin"/>
      </w:r>
      <w:r w:rsidR="00A56355">
        <w:instrText xml:space="preserve"> SEQ Table \* ARABIC </w:instrText>
      </w:r>
      <w:r w:rsidR="00A56355">
        <w:fldChar w:fldCharType="separate"/>
      </w:r>
      <w:r w:rsidR="0011424E">
        <w:rPr>
          <w:noProof/>
        </w:rPr>
        <w:t>18</w:t>
      </w:r>
      <w:r w:rsidR="00A56355">
        <w:rPr>
          <w:noProof/>
        </w:rPr>
        <w:fldChar w:fldCharType="end"/>
      </w:r>
      <w:bookmarkEnd w:id="150"/>
      <w:r>
        <w:t xml:space="preserve">. </w:t>
      </w:r>
      <w:r w:rsidRPr="002F4B1A">
        <w:t>BoR11.1 'intermedia</w:t>
      </w:r>
      <w:r>
        <w:t>ry</w:t>
      </w:r>
      <w:r w:rsidRPr="002F4B1A">
        <w:t xml:space="preserve">' values </w:t>
      </w:r>
      <w:r w:rsidR="00B041AC">
        <w:t>–</w:t>
      </w:r>
      <w:r w:rsidRPr="002F4B1A">
        <w:t xml:space="preserve"> Phase</w:t>
      </w:r>
      <w:r w:rsidR="00B041AC">
        <w:t>s 1 &amp;</w:t>
      </w:r>
      <w:r w:rsidRPr="002F4B1A">
        <w:t xml:space="preserve"> </w:t>
      </w:r>
      <w:r>
        <w:t>2</w:t>
      </w:r>
      <w:bookmarkEnd w:id="151"/>
    </w:p>
    <w:p w14:paraId="306C5E0C" w14:textId="78A2D0CE" w:rsidR="00DD7E84" w:rsidRDefault="00DD7E84" w:rsidP="00DD7E84">
      <w:pPr>
        <w:spacing w:after="120" w:line="360" w:lineRule="auto"/>
        <w:rPr>
          <w:sz w:val="24"/>
          <w:szCs w:val="24"/>
        </w:rPr>
      </w:pPr>
      <w:r>
        <w:rPr>
          <w:sz w:val="24"/>
          <w:szCs w:val="24"/>
          <w:u w:val="single"/>
        </w:rPr>
        <w:t>Phase 3. (Developing and disseminating the EWS for routine hospital use)</w:t>
      </w:r>
      <w:r w:rsidR="00804593">
        <w:rPr>
          <w:sz w:val="24"/>
          <w:szCs w:val="24"/>
        </w:rPr>
        <w:br/>
      </w:r>
      <w:r>
        <w:rPr>
          <w:sz w:val="24"/>
          <w:szCs w:val="24"/>
        </w:rPr>
        <w:t xml:space="preserve">As the work associated with Phase 3 was primarily focused on developing existing knowledge and applying it in context, rather than producing new knowledge, I raised the already high value of ‘disciplinary focus’ up from 4 to 5. All other ‘intermediary’ activities/attributes received a value of 4. For ‘accessibility’ and ‘uncertainty’, this meant no change from Phase 2, but for the others, there was need for an increase of either one or two from Phase 3. </w:t>
      </w:r>
    </w:p>
    <w:p w14:paraId="4860CFF2" w14:textId="430CE5E0" w:rsidR="00DD7E84" w:rsidRDefault="00DD7E84" w:rsidP="00DD7E84">
      <w:pPr>
        <w:spacing w:after="120" w:line="360" w:lineRule="auto"/>
        <w:rPr>
          <w:sz w:val="24"/>
          <w:szCs w:val="24"/>
        </w:rPr>
      </w:pPr>
      <w:r>
        <w:rPr>
          <w:sz w:val="24"/>
          <w:szCs w:val="24"/>
        </w:rPr>
        <w:t xml:space="preserve">These increases reflected the new ‘knowledge exchange’ and ‘boundary management’ challenges associated with their two ambitions. The first of these was to engage with entrepreneurs and further technology experts, with whom some members of the research team started a spin-out company to produce a commercial product which would enable the researchers’ model to be applied digitally within a hospital. Evidence of the increased ‘boundary management’ can be seen in the quite lengthy ‘conflict of interest statements’ in some of the academic articles which I analysed as part of the documentary analysis. The second main ambition was to produce a free version of the model which the researchers hoped would be taken up by the NHS on a large scale. This involved wider forms of ‘network participation’ with a greater range of political actors and sector </w:t>
      </w:r>
      <w:r w:rsidR="00BA0417">
        <w:rPr>
          <w:sz w:val="24"/>
          <w:szCs w:val="24"/>
        </w:rPr>
        <w:t>bodies and</w:t>
      </w:r>
      <w:r>
        <w:rPr>
          <w:sz w:val="24"/>
          <w:szCs w:val="24"/>
        </w:rPr>
        <w:t xml:space="preserve"> putting greater effort into mobilising ‘social capital’ to establish trust. Moreover, it also required greater ‘flexibility’</w:t>
      </w:r>
      <w:r w:rsidR="00EF4FED">
        <w:rPr>
          <w:sz w:val="24"/>
          <w:szCs w:val="24"/>
        </w:rPr>
        <w:t>,</w:t>
      </w:r>
      <w:r>
        <w:rPr>
          <w:sz w:val="24"/>
          <w:szCs w:val="24"/>
        </w:rPr>
        <w:t xml:space="preserve"> as was evidenced when one politically powerful group within the sector demanded certain amendments to the model before they would promote its uptake NHS-wide, which the research team were willing to do despite not </w:t>
      </w:r>
      <w:r w:rsidR="00E9140E">
        <w:rPr>
          <w:sz w:val="24"/>
          <w:szCs w:val="24"/>
        </w:rPr>
        <w:t>perceiving</w:t>
      </w:r>
      <w:r>
        <w:rPr>
          <w:sz w:val="24"/>
          <w:szCs w:val="24"/>
        </w:rPr>
        <w:t xml:space="preserve"> it </w:t>
      </w:r>
      <w:r w:rsidR="00E9140E">
        <w:rPr>
          <w:sz w:val="24"/>
          <w:szCs w:val="24"/>
        </w:rPr>
        <w:t>to</w:t>
      </w:r>
      <w:r>
        <w:rPr>
          <w:sz w:val="24"/>
          <w:szCs w:val="24"/>
        </w:rPr>
        <w:t xml:space="preserve"> add </w:t>
      </w:r>
      <w:r w:rsidR="00E42F75">
        <w:rPr>
          <w:sz w:val="24"/>
          <w:szCs w:val="24"/>
        </w:rPr>
        <w:t xml:space="preserve">analytical </w:t>
      </w:r>
      <w:r>
        <w:rPr>
          <w:sz w:val="24"/>
          <w:szCs w:val="24"/>
        </w:rPr>
        <w:t xml:space="preserve">value to the model. </w:t>
      </w:r>
      <w:r w:rsidR="00A439C3" w:rsidRPr="00A439C3">
        <w:rPr>
          <w:sz w:val="24"/>
          <w:szCs w:val="24"/>
        </w:rPr>
        <w:fldChar w:fldCharType="begin"/>
      </w:r>
      <w:r w:rsidR="00A439C3" w:rsidRPr="00A439C3">
        <w:rPr>
          <w:sz w:val="24"/>
          <w:szCs w:val="24"/>
        </w:rPr>
        <w:instrText xml:space="preserve"> REF _Ref8922412 \h </w:instrText>
      </w:r>
      <w:r w:rsidR="00A439C3">
        <w:rPr>
          <w:sz w:val="24"/>
          <w:szCs w:val="24"/>
        </w:rPr>
        <w:instrText xml:space="preserve"> \* MERGEFORMAT </w:instrText>
      </w:r>
      <w:r w:rsidR="00A439C3" w:rsidRPr="00A439C3">
        <w:rPr>
          <w:sz w:val="24"/>
          <w:szCs w:val="24"/>
        </w:rPr>
      </w:r>
      <w:r w:rsidR="00A439C3" w:rsidRPr="00A439C3">
        <w:rPr>
          <w:sz w:val="24"/>
          <w:szCs w:val="24"/>
        </w:rPr>
        <w:fldChar w:fldCharType="separate"/>
      </w:r>
      <w:r w:rsidR="0011424E" w:rsidRPr="0011424E">
        <w:rPr>
          <w:sz w:val="24"/>
          <w:szCs w:val="24"/>
        </w:rPr>
        <w:t xml:space="preserve">Table </w:t>
      </w:r>
      <w:r w:rsidR="0011424E" w:rsidRPr="0011424E">
        <w:rPr>
          <w:noProof/>
          <w:sz w:val="24"/>
          <w:szCs w:val="24"/>
        </w:rPr>
        <w:t>19</w:t>
      </w:r>
      <w:r w:rsidR="00A439C3" w:rsidRPr="00A439C3">
        <w:rPr>
          <w:sz w:val="24"/>
          <w:szCs w:val="24"/>
        </w:rPr>
        <w:fldChar w:fldCharType="end"/>
      </w:r>
      <w:r w:rsidR="00A439C3">
        <w:rPr>
          <w:sz w:val="24"/>
          <w:szCs w:val="24"/>
        </w:rPr>
        <w:t xml:space="preserve"> summarises these values.</w:t>
      </w:r>
    </w:p>
    <w:tbl>
      <w:tblPr>
        <w:tblW w:w="8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gridCol w:w="1753"/>
      </w:tblGrid>
      <w:tr w:rsidR="00AA7055" w14:paraId="3689BABC" w14:textId="77777777" w:rsidTr="005E5334">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45164BBC" w14:textId="77777777" w:rsidR="00AA7055" w:rsidRPr="008707A9" w:rsidRDefault="00AA7055" w:rsidP="00AA7055">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r w:rsidRPr="008707A9">
              <w:rPr>
                <w:rFonts w:asciiTheme="majorBidi" w:hAnsiTheme="majorBidi" w:cstheme="majorBidi"/>
                <w:b/>
              </w:rPr>
              <w:t xml:space="preserve"> </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38E68FE" w14:textId="5A21D12B" w:rsidR="00AA7055" w:rsidRDefault="00AA7055" w:rsidP="00AA7055">
            <w:pPr>
              <w:spacing w:after="0" w:line="240" w:lineRule="auto"/>
              <w:jc w:val="center"/>
              <w:rPr>
                <w:rFonts w:asciiTheme="majorBidi" w:hAnsiTheme="majorBidi" w:cstheme="majorBidi"/>
                <w:b/>
              </w:rPr>
            </w:pPr>
            <w:r>
              <w:rPr>
                <w:rFonts w:asciiTheme="majorBidi" w:hAnsiTheme="majorBidi" w:cstheme="majorBidi"/>
                <w:b/>
              </w:rPr>
              <w:t>Value (Phase 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A976F06" w14:textId="5E62450C" w:rsidR="00AA7055" w:rsidRDefault="00AA7055" w:rsidP="00AA7055">
            <w:pPr>
              <w:spacing w:after="0" w:line="240" w:lineRule="auto"/>
              <w:jc w:val="center"/>
              <w:rPr>
                <w:rFonts w:asciiTheme="majorBidi" w:hAnsiTheme="majorBidi" w:cstheme="majorBidi"/>
                <w:b/>
              </w:rPr>
            </w:pPr>
            <w:r>
              <w:rPr>
                <w:rFonts w:asciiTheme="majorBidi" w:hAnsiTheme="majorBidi" w:cstheme="majorBidi"/>
                <w:b/>
              </w:rPr>
              <w:t>Value (Phase 2)</w:t>
            </w:r>
          </w:p>
        </w:tc>
        <w:tc>
          <w:tcPr>
            <w:tcW w:w="1753" w:type="dxa"/>
            <w:tcBorders>
              <w:top w:val="single" w:sz="4" w:space="0" w:color="auto"/>
              <w:left w:val="single" w:sz="4" w:space="0" w:color="auto"/>
              <w:bottom w:val="single" w:sz="4" w:space="0" w:color="auto"/>
              <w:right w:val="single" w:sz="4" w:space="0" w:color="auto"/>
            </w:tcBorders>
          </w:tcPr>
          <w:p w14:paraId="03643674" w14:textId="2937092C" w:rsidR="00AA7055" w:rsidRPr="00FF5CE5" w:rsidRDefault="00AA7055" w:rsidP="00AA7055">
            <w:pPr>
              <w:spacing w:after="0" w:line="240" w:lineRule="auto"/>
              <w:jc w:val="center"/>
              <w:rPr>
                <w:rFonts w:asciiTheme="majorBidi" w:hAnsiTheme="majorBidi" w:cstheme="majorBidi"/>
                <w:b/>
              </w:rPr>
            </w:pPr>
            <w:r>
              <w:rPr>
                <w:rFonts w:asciiTheme="majorBidi" w:hAnsiTheme="majorBidi" w:cstheme="majorBidi"/>
                <w:b/>
              </w:rPr>
              <w:t>Value (Phase 3)</w:t>
            </w:r>
          </w:p>
        </w:tc>
      </w:tr>
      <w:tr w:rsidR="00AA7055" w14:paraId="27BCF0F3" w14:textId="77777777" w:rsidTr="005E5334">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CCD99C8" w14:textId="77777777" w:rsidR="00AA7055" w:rsidRPr="008707A9" w:rsidRDefault="00AA7055" w:rsidP="00AA7055">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A665EF6" w14:textId="7AFFC2CF" w:rsidR="00AA7055" w:rsidRPr="000B15CE" w:rsidRDefault="00AA7055" w:rsidP="00AA7055">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4</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7DB7EB3" w14:textId="40E17D27" w:rsidR="00AA7055" w:rsidRPr="000B15CE" w:rsidRDefault="00AA7055" w:rsidP="00AA7055">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4</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691858A" w14:textId="0E8B0F6D" w:rsidR="00AA7055" w:rsidRPr="000B15CE" w:rsidRDefault="00AA7055" w:rsidP="00AA7055">
            <w:pPr>
              <w:spacing w:after="0" w:line="240" w:lineRule="auto"/>
              <w:jc w:val="center"/>
              <w:rPr>
                <w:rFonts w:asciiTheme="majorBidi" w:hAnsiTheme="majorBidi" w:cstheme="majorBidi"/>
                <w:color w:val="000000"/>
              </w:rPr>
            </w:pPr>
            <w:r w:rsidRPr="000B15CE">
              <w:rPr>
                <w:rFonts w:asciiTheme="majorBidi" w:hAnsiTheme="majorBidi" w:cstheme="majorBidi"/>
                <w:color w:val="000000"/>
              </w:rPr>
              <w:t>4</w:t>
            </w:r>
          </w:p>
        </w:tc>
      </w:tr>
      <w:tr w:rsidR="00AA7055" w14:paraId="46FF4159" w14:textId="77777777" w:rsidTr="005E5334">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67470BF" w14:textId="77777777" w:rsidR="00AA7055" w:rsidRPr="008707A9" w:rsidRDefault="00AA7055" w:rsidP="00AA7055">
            <w:pPr>
              <w:spacing w:after="0" w:line="240" w:lineRule="auto"/>
              <w:rPr>
                <w:rFonts w:asciiTheme="majorBidi" w:hAnsiTheme="majorBidi" w:cstheme="majorBidi"/>
              </w:rPr>
            </w:pPr>
            <w:r w:rsidRPr="008707A9">
              <w:rPr>
                <w:rFonts w:asciiTheme="majorBidi" w:hAnsiTheme="majorBidi" w:cstheme="majorBidi"/>
                <w:color w:val="000000"/>
              </w:rPr>
              <w:t>Knowledge Exchange</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7C748F8" w14:textId="258B280C"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09078F8" w14:textId="668C16E5"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0C161A65" w14:textId="0A98520D" w:rsidR="00AA7055" w:rsidRPr="000B15CE"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AA7055" w14:paraId="7CDBB9FC"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97AD710" w14:textId="77777777" w:rsidR="00AA7055" w:rsidRPr="008707A9" w:rsidRDefault="00AA7055" w:rsidP="00AA7055">
            <w:pPr>
              <w:spacing w:after="0" w:line="240" w:lineRule="auto"/>
              <w:rPr>
                <w:rFonts w:asciiTheme="majorBidi" w:hAnsiTheme="majorBidi" w:cstheme="majorBidi"/>
              </w:rPr>
            </w:pPr>
            <w:r w:rsidRPr="008707A9">
              <w:rPr>
                <w:rFonts w:asciiTheme="majorBidi" w:hAnsiTheme="majorBidi" w:cstheme="majorBidi"/>
                <w:color w:val="000000"/>
              </w:rPr>
              <w:t>Accessibility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AA715EF" w14:textId="2757346C" w:rsidR="00AA7055" w:rsidRDefault="00AA7055" w:rsidP="00AA7055">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54DB121" w14:textId="5782D5EB" w:rsidR="00AA7055" w:rsidRDefault="00AA7055" w:rsidP="00AA7055">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4</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08995197" w14:textId="117D7712" w:rsidR="00AA7055" w:rsidRPr="000B15CE" w:rsidRDefault="00AA7055" w:rsidP="00AA7055">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AA7055" w14:paraId="075AB665" w14:textId="77777777" w:rsidTr="005E5334">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47AF83A" w14:textId="77777777" w:rsidR="00AA7055" w:rsidRPr="008707A9" w:rsidRDefault="00AA7055" w:rsidP="00AA7055">
            <w:pPr>
              <w:spacing w:after="0" w:line="240" w:lineRule="auto"/>
              <w:rPr>
                <w:rFonts w:asciiTheme="majorBidi" w:hAnsiTheme="majorBidi" w:cstheme="majorBidi"/>
              </w:rPr>
            </w:pPr>
            <w:r w:rsidRPr="008707A9">
              <w:rPr>
                <w:rFonts w:asciiTheme="majorBidi" w:hAnsiTheme="majorBidi" w:cstheme="majorBidi"/>
                <w:color w:val="000000"/>
              </w:rPr>
              <w:t>Boundary Management</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1C74F3C" w14:textId="51558B89"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2C6DB82" w14:textId="59D6E793"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4C919054" w14:textId="6090EC51" w:rsidR="00AA7055" w:rsidRPr="000B15CE"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AA7055" w14:paraId="79956A68"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E13E5EE" w14:textId="77777777" w:rsidR="00AA7055" w:rsidRPr="008707A9" w:rsidRDefault="00AA7055" w:rsidP="00AA7055">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6D7DA0D" w14:textId="247EE652"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4123F4C" w14:textId="33568B31"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C68BFDE" w14:textId="11DFDC47" w:rsidR="00AA7055" w:rsidRPr="000B15CE"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AA7055" w14:paraId="217EAC68"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742011E9" w14:textId="77777777" w:rsidR="00AA7055" w:rsidRPr="008707A9" w:rsidRDefault="00AA7055" w:rsidP="00AA7055">
            <w:pPr>
              <w:spacing w:after="0" w:line="240" w:lineRule="auto"/>
              <w:rPr>
                <w:rFonts w:asciiTheme="majorBidi" w:hAnsiTheme="majorBidi" w:cstheme="majorBidi"/>
              </w:rPr>
            </w:pPr>
            <w:r w:rsidRPr="008707A9">
              <w:rPr>
                <w:rFonts w:asciiTheme="majorBidi" w:hAnsiTheme="majorBidi" w:cstheme="majorBidi"/>
                <w:color w:val="000000"/>
              </w:rPr>
              <w:t>Flexibility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028CF2A" w14:textId="1A26A182"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8BC62D9" w14:textId="570EAF5F"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0D5C1AD9" w14:textId="5B132697" w:rsidR="00AA7055" w:rsidRPr="000B15CE"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AA7055" w14:paraId="622A0CD2" w14:textId="77777777" w:rsidTr="005E5334">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3A8E6C1" w14:textId="77777777" w:rsidR="00AA7055" w:rsidRPr="008707A9" w:rsidRDefault="00AA7055" w:rsidP="00AA7055">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5D17D43" w14:textId="696AC3B9"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4</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0216679" w14:textId="3FE385D8" w:rsidR="00AA7055"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4</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1A92CD7" w14:textId="3E28D934" w:rsidR="00AA7055" w:rsidRPr="000B15CE" w:rsidRDefault="00AA7055" w:rsidP="00AA7055">
            <w:pPr>
              <w:spacing w:after="0" w:line="240" w:lineRule="auto"/>
              <w:jc w:val="center"/>
              <w:rPr>
                <w:rFonts w:asciiTheme="majorBidi" w:hAnsiTheme="majorBidi" w:cstheme="majorBidi"/>
                <w:color w:val="000000"/>
              </w:rPr>
            </w:pPr>
            <w:r>
              <w:rPr>
                <w:rFonts w:asciiTheme="majorBidi" w:hAnsiTheme="majorBidi" w:cstheme="majorBidi"/>
                <w:color w:val="000000"/>
              </w:rPr>
              <w:t>5</w:t>
            </w:r>
          </w:p>
        </w:tc>
      </w:tr>
      <w:tr w:rsidR="00AA7055" w14:paraId="40E1DE4A" w14:textId="77777777" w:rsidTr="005E5334">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23AB088" w14:textId="77777777" w:rsidR="00AA7055" w:rsidRPr="008707A9" w:rsidRDefault="00AA7055" w:rsidP="00AA7055">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3B649C3" w14:textId="1692900E" w:rsidR="00AA7055" w:rsidRDefault="00AA7055" w:rsidP="00AA7055">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BD0E1CD" w14:textId="0FAD21BC" w:rsidR="00AA7055" w:rsidRDefault="00AA7055" w:rsidP="00AA7055">
            <w:pPr>
              <w:keepNext/>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092F586" w14:textId="5C650DD7" w:rsidR="00AA7055" w:rsidRPr="000B15CE" w:rsidRDefault="00AA7055" w:rsidP="00AA7055">
            <w:pPr>
              <w:keepNext/>
              <w:spacing w:after="0" w:line="240" w:lineRule="auto"/>
              <w:jc w:val="center"/>
              <w:rPr>
                <w:rFonts w:asciiTheme="majorBidi" w:hAnsiTheme="majorBidi" w:cstheme="majorBidi"/>
                <w:color w:val="000000"/>
              </w:rPr>
            </w:pPr>
            <w:r>
              <w:rPr>
                <w:rFonts w:asciiTheme="majorBidi" w:hAnsiTheme="majorBidi" w:cstheme="majorBidi"/>
                <w:color w:val="000000"/>
              </w:rPr>
              <w:t>4</w:t>
            </w:r>
          </w:p>
        </w:tc>
      </w:tr>
    </w:tbl>
    <w:p w14:paraId="341987BD" w14:textId="22143E77" w:rsidR="00DD7E84" w:rsidRDefault="00DD7E84" w:rsidP="00DD7E84">
      <w:pPr>
        <w:pStyle w:val="Caption"/>
        <w:rPr>
          <w:sz w:val="24"/>
          <w:szCs w:val="24"/>
        </w:rPr>
      </w:pPr>
      <w:bookmarkStart w:id="152" w:name="_Ref8922412"/>
      <w:bookmarkStart w:id="153" w:name="_Toc31702048"/>
      <w:r>
        <w:t xml:space="preserve">Table </w:t>
      </w:r>
      <w:r w:rsidR="00A56355">
        <w:fldChar w:fldCharType="begin"/>
      </w:r>
      <w:r w:rsidR="00A56355">
        <w:instrText xml:space="preserve"> SEQ Table \* ARABIC </w:instrText>
      </w:r>
      <w:r w:rsidR="00A56355">
        <w:fldChar w:fldCharType="separate"/>
      </w:r>
      <w:r w:rsidR="0011424E">
        <w:rPr>
          <w:noProof/>
        </w:rPr>
        <w:t>19</w:t>
      </w:r>
      <w:r w:rsidR="00A56355">
        <w:rPr>
          <w:noProof/>
        </w:rPr>
        <w:fldChar w:fldCharType="end"/>
      </w:r>
      <w:bookmarkEnd w:id="152"/>
      <w:r>
        <w:t xml:space="preserve">. </w:t>
      </w:r>
      <w:r w:rsidRPr="005A0C6B">
        <w:t>BoR11.1 'intermedia</w:t>
      </w:r>
      <w:r>
        <w:t>ry</w:t>
      </w:r>
      <w:r w:rsidRPr="005A0C6B">
        <w:t xml:space="preserve">' values </w:t>
      </w:r>
      <w:r w:rsidR="003B1A37">
        <w:t>–</w:t>
      </w:r>
      <w:r w:rsidRPr="005A0C6B">
        <w:t xml:space="preserve"> Phase</w:t>
      </w:r>
      <w:r w:rsidR="003B1A37">
        <w:t>s 1-</w:t>
      </w:r>
      <w:r>
        <w:t>3</w:t>
      </w:r>
      <w:bookmarkEnd w:id="153"/>
    </w:p>
    <w:p w14:paraId="527922BE" w14:textId="77777777" w:rsidR="00DD7E84" w:rsidRDefault="00DD7E84" w:rsidP="00F767D2">
      <w:pPr>
        <w:pStyle w:val="Heading4"/>
      </w:pPr>
      <w:r>
        <w:t>Summary analysis</w:t>
      </w:r>
    </w:p>
    <w:p w14:paraId="5AE55522" w14:textId="50458D5E" w:rsidR="00FE139F" w:rsidRDefault="00DD7E84" w:rsidP="00DD7E84">
      <w:pPr>
        <w:spacing w:before="120" w:after="0" w:line="360" w:lineRule="auto"/>
        <w:rPr>
          <w:sz w:val="24"/>
          <w:szCs w:val="24"/>
        </w:rPr>
      </w:pPr>
      <w:r>
        <w:rPr>
          <w:sz w:val="24"/>
          <w:szCs w:val="24"/>
        </w:rPr>
        <w:t>As McNie et al. (2016) explain, any given piece or body of research can be “characterized in full by assessing where it lies on the spectrum ... for the entire suite of criteria” (p. 887). Presenting the typology in full “provides a framework to visualize ...</w:t>
      </w:r>
      <w:r>
        <w:rPr>
          <w:sz w:val="16"/>
          <w:szCs w:val="16"/>
        </w:rPr>
        <w:t xml:space="preserve"> </w:t>
      </w:r>
      <w:r w:rsidRPr="002D4DE6">
        <w:rPr>
          <w:sz w:val="24"/>
          <w:szCs w:val="24"/>
        </w:rPr>
        <w:t>the major activities and attributes of research in terms that give equal weight to the consideration of “science values” and “user values”</w:t>
      </w:r>
      <w:r w:rsidR="00813ABA">
        <w:rPr>
          <w:sz w:val="24"/>
          <w:szCs w:val="24"/>
        </w:rPr>
        <w:t>”</w:t>
      </w:r>
      <w:r w:rsidRPr="002D4DE6">
        <w:rPr>
          <w:sz w:val="24"/>
          <w:szCs w:val="24"/>
        </w:rPr>
        <w:t xml:space="preserve"> (</w:t>
      </w:r>
      <w:r w:rsidR="00E13261">
        <w:rPr>
          <w:sz w:val="24"/>
          <w:szCs w:val="24"/>
        </w:rPr>
        <w:t>ibid.</w:t>
      </w:r>
      <w:r w:rsidRPr="002D4DE6">
        <w:rPr>
          <w:sz w:val="24"/>
          <w:szCs w:val="24"/>
        </w:rPr>
        <w:t>, p. 893)</w:t>
      </w:r>
      <w:r w:rsidR="00813ABA">
        <w:rPr>
          <w:sz w:val="24"/>
          <w:szCs w:val="24"/>
        </w:rPr>
        <w:t>.</w:t>
      </w:r>
      <w:r>
        <w:rPr>
          <w:sz w:val="24"/>
          <w:szCs w:val="24"/>
        </w:rPr>
        <w:t xml:space="preserve"> </w:t>
      </w:r>
      <w:r w:rsidRPr="002D4DE6">
        <w:rPr>
          <w:sz w:val="24"/>
          <w:szCs w:val="24"/>
        </w:rPr>
        <w:fldChar w:fldCharType="begin"/>
      </w:r>
      <w:r w:rsidRPr="002D4DE6">
        <w:rPr>
          <w:sz w:val="24"/>
          <w:szCs w:val="24"/>
        </w:rPr>
        <w:instrText xml:space="preserve"> REF _Ref6890800 \h </w:instrText>
      </w:r>
      <w:r>
        <w:rPr>
          <w:sz w:val="24"/>
          <w:szCs w:val="24"/>
        </w:rPr>
        <w:instrText xml:space="preserve"> \* MERGEFORMAT </w:instrText>
      </w:r>
      <w:r w:rsidRPr="002D4DE6">
        <w:rPr>
          <w:sz w:val="24"/>
          <w:szCs w:val="24"/>
        </w:rPr>
      </w:r>
      <w:r w:rsidRPr="002D4DE6">
        <w:rPr>
          <w:sz w:val="24"/>
          <w:szCs w:val="24"/>
        </w:rPr>
        <w:fldChar w:fldCharType="separate"/>
      </w:r>
      <w:r w:rsidR="0011424E" w:rsidRPr="0011424E">
        <w:rPr>
          <w:sz w:val="24"/>
          <w:szCs w:val="24"/>
        </w:rPr>
        <w:t xml:space="preserve">Figure </w:t>
      </w:r>
      <w:r w:rsidR="0011424E" w:rsidRPr="0011424E">
        <w:rPr>
          <w:noProof/>
          <w:sz w:val="24"/>
          <w:szCs w:val="24"/>
        </w:rPr>
        <w:t>11</w:t>
      </w:r>
      <w:r w:rsidRPr="002D4DE6">
        <w:rPr>
          <w:sz w:val="24"/>
          <w:szCs w:val="24"/>
        </w:rPr>
        <w:fldChar w:fldCharType="end"/>
      </w:r>
      <w:r>
        <w:rPr>
          <w:sz w:val="24"/>
          <w:szCs w:val="24"/>
        </w:rPr>
        <w:t xml:space="preserve"> presents this visualisation for BoR11.1 (using shading to demarcate the ‘social context’, ‘intermediate’ and ‘knowledge content’).</w:t>
      </w:r>
    </w:p>
    <w:tbl>
      <w:tblPr>
        <w:tblW w:w="9016" w:type="dxa"/>
        <w:tblLook w:val="04A0" w:firstRow="1" w:lastRow="0" w:firstColumn="1" w:lastColumn="0" w:noHBand="0" w:noVBand="1"/>
      </w:tblPr>
      <w:tblGrid>
        <w:gridCol w:w="1696"/>
        <w:gridCol w:w="2694"/>
        <w:gridCol w:w="4626"/>
      </w:tblGrid>
      <w:tr w:rsidR="00DD7E84" w14:paraId="5ECD88F6" w14:textId="77777777" w:rsidTr="00DE5040">
        <w:tc>
          <w:tcPr>
            <w:tcW w:w="1696" w:type="dxa"/>
            <w:tcBorders>
              <w:top w:val="single" w:sz="4" w:space="0" w:color="auto"/>
              <w:left w:val="single" w:sz="4" w:space="0" w:color="auto"/>
              <w:bottom w:val="single" w:sz="4" w:space="0" w:color="auto"/>
              <w:right w:val="single" w:sz="4" w:space="0" w:color="auto"/>
            </w:tcBorders>
          </w:tcPr>
          <w:p w14:paraId="2B4A0CA9" w14:textId="77777777" w:rsidR="00DD7E84" w:rsidRPr="00EE46C8" w:rsidRDefault="00DD7E84" w:rsidP="00DE5040">
            <w:pPr>
              <w:spacing w:after="0" w:line="240" w:lineRule="auto"/>
              <w:rPr>
                <w:b/>
                <w:sz w:val="24"/>
                <w:szCs w:val="24"/>
              </w:rPr>
            </w:pPr>
            <w:r>
              <w:rPr>
                <w:b/>
                <w:sz w:val="24"/>
                <w:szCs w:val="24"/>
              </w:rPr>
              <w:t>Classification</w:t>
            </w:r>
          </w:p>
        </w:tc>
        <w:tc>
          <w:tcPr>
            <w:tcW w:w="2694" w:type="dxa"/>
            <w:tcBorders>
              <w:top w:val="single" w:sz="4" w:space="0" w:color="auto"/>
              <w:left w:val="single" w:sz="4" w:space="0" w:color="auto"/>
              <w:bottom w:val="single" w:sz="4" w:space="0" w:color="auto"/>
              <w:right w:val="single" w:sz="4" w:space="0" w:color="auto"/>
            </w:tcBorders>
          </w:tcPr>
          <w:p w14:paraId="52D488EF" w14:textId="77777777" w:rsidR="00DD7E84" w:rsidRPr="002B4060" w:rsidRDefault="00DD7E84" w:rsidP="00DE5040">
            <w:pPr>
              <w:spacing w:after="0" w:line="240" w:lineRule="auto"/>
              <w:rPr>
                <w:b/>
                <w:sz w:val="24"/>
                <w:szCs w:val="24"/>
              </w:rPr>
            </w:pPr>
            <w:r w:rsidRPr="002B4060">
              <w:rPr>
                <w:b/>
                <w:sz w:val="24"/>
                <w:szCs w:val="24"/>
              </w:rPr>
              <w:t>Attribute</w:t>
            </w:r>
            <w:r>
              <w:rPr>
                <w:b/>
                <w:sz w:val="24"/>
                <w:szCs w:val="24"/>
              </w:rPr>
              <w:t>s/activities</w:t>
            </w:r>
          </w:p>
        </w:tc>
        <w:tc>
          <w:tcPr>
            <w:tcW w:w="4626" w:type="dxa"/>
            <w:tcBorders>
              <w:top w:val="single" w:sz="4" w:space="0" w:color="auto"/>
              <w:left w:val="single" w:sz="4" w:space="0" w:color="auto"/>
              <w:bottom w:val="single" w:sz="4" w:space="0" w:color="auto"/>
              <w:right w:val="single" w:sz="4" w:space="0" w:color="auto"/>
            </w:tcBorders>
          </w:tcPr>
          <w:p w14:paraId="3E9614FD" w14:textId="256D43BF" w:rsidR="00DD7E84" w:rsidRPr="00B8594F" w:rsidRDefault="00A23377" w:rsidP="00DE5040">
            <w:pPr>
              <w:spacing w:after="0" w:line="240" w:lineRule="auto"/>
              <w:jc w:val="center"/>
              <w:rPr>
                <w:b/>
                <w:sz w:val="24"/>
                <w:szCs w:val="24"/>
              </w:rPr>
            </w:pPr>
            <w:r>
              <w:rPr>
                <w:b/>
                <w:sz w:val="24"/>
                <w:szCs w:val="24"/>
              </w:rPr>
              <w:t>Bounded</w:t>
            </w:r>
            <w:r w:rsidR="00DD7E84" w:rsidRPr="00B8594F">
              <w:rPr>
                <w:b/>
                <w:sz w:val="24"/>
                <w:szCs w:val="24"/>
              </w:rPr>
              <w:t xml:space="preserve"> </w:t>
            </w:r>
            <w:r>
              <w:rPr>
                <w:b/>
                <w:sz w:val="24"/>
                <w:szCs w:val="24"/>
              </w:rPr>
              <w:t xml:space="preserve">                 </w:t>
            </w:r>
            <w:r w:rsidR="00DD7E84" w:rsidRPr="00B8594F">
              <w:rPr>
                <w:b/>
                <w:sz w:val="24"/>
                <w:szCs w:val="24"/>
              </w:rPr>
              <w:t xml:space="preserve">                    </w:t>
            </w:r>
            <w:r>
              <w:rPr>
                <w:b/>
                <w:sz w:val="24"/>
                <w:szCs w:val="24"/>
              </w:rPr>
              <w:t>Unbounded</w:t>
            </w:r>
          </w:p>
          <w:p w14:paraId="1EAFF16C" w14:textId="77777777" w:rsidR="00DD7E84" w:rsidRPr="00B8594F" w:rsidRDefault="00DD7E84" w:rsidP="00DE5040">
            <w:pPr>
              <w:spacing w:after="0" w:line="240" w:lineRule="auto"/>
              <w:jc w:val="center"/>
              <w:rPr>
                <w:b/>
                <w:sz w:val="24"/>
                <w:szCs w:val="24"/>
              </w:rPr>
            </w:pPr>
            <w:r w:rsidRPr="00B8594F">
              <w:rPr>
                <w:b/>
                <w:sz w:val="24"/>
                <w:szCs w:val="24"/>
              </w:rPr>
              <w:t>1               2               3               4               5</w:t>
            </w:r>
          </w:p>
        </w:tc>
      </w:tr>
      <w:tr w:rsidR="00DD7E84" w14:paraId="71E832F8" w14:textId="77777777" w:rsidTr="00DE5040">
        <w:tc>
          <w:tcPr>
            <w:tcW w:w="1696" w:type="dxa"/>
            <w:vMerge w:val="restart"/>
            <w:tcBorders>
              <w:top w:val="single" w:sz="4" w:space="0" w:color="auto"/>
              <w:left w:val="single" w:sz="4" w:space="0" w:color="auto"/>
              <w:right w:val="single" w:sz="4" w:space="0" w:color="auto"/>
            </w:tcBorders>
            <w:shd w:val="clear" w:color="auto" w:fill="F2F2F2" w:themeFill="background1" w:themeFillShade="F2"/>
          </w:tcPr>
          <w:p w14:paraId="0E0C1F36" w14:textId="77777777" w:rsidR="00DD7E84" w:rsidRDefault="00DD7E84" w:rsidP="00DE5040">
            <w:pPr>
              <w:spacing w:after="0" w:line="240" w:lineRule="auto"/>
              <w:rPr>
                <w:sz w:val="24"/>
                <w:szCs w:val="24"/>
              </w:rPr>
            </w:pPr>
            <w:r>
              <w:rPr>
                <w:sz w:val="24"/>
                <w:szCs w:val="24"/>
              </w:rPr>
              <w:t xml:space="preserve">‘Social context’ </w:t>
            </w:r>
          </w:p>
          <w:p w14:paraId="021605EE" w14:textId="77777777" w:rsidR="00DD7E84" w:rsidRDefault="00DD7E84" w:rsidP="00DE5040">
            <w:pPr>
              <w:spacing w:after="0" w:line="240" w:lineRule="auto"/>
              <w:rPr>
                <w:sz w:val="24"/>
                <w:szCs w:val="24"/>
              </w:rPr>
            </w:pPr>
            <w:r>
              <w:rPr>
                <w:sz w:val="24"/>
                <w:szCs w:val="24"/>
              </w:rPr>
              <w:t>values</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EE2E7D" w14:textId="77777777" w:rsidR="00DD7E84" w:rsidRDefault="00DD7E84" w:rsidP="00DE5040">
            <w:pPr>
              <w:spacing w:after="0" w:line="240" w:lineRule="auto"/>
              <w:rPr>
                <w:sz w:val="24"/>
                <w:szCs w:val="24"/>
              </w:rPr>
            </w:pPr>
            <w:r>
              <w:rPr>
                <w:sz w:val="24"/>
                <w:szCs w:val="24"/>
              </w:rPr>
              <w:t>Goals</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7A3FA3" w14:textId="77777777" w:rsidR="00DD7E84" w:rsidRDefault="00DD7E84" w:rsidP="00DE5040">
            <w:pPr>
              <w:spacing w:after="0" w:line="240" w:lineRule="auto"/>
              <w:rPr>
                <w:sz w:val="24"/>
                <w:szCs w:val="24"/>
              </w:rPr>
            </w:pPr>
            <w:r>
              <w:rPr>
                <w:sz w:val="24"/>
                <w:szCs w:val="24"/>
              </w:rPr>
              <w:t xml:space="preserve">                                                                1 2 3</w:t>
            </w:r>
          </w:p>
        </w:tc>
      </w:tr>
      <w:tr w:rsidR="00DD7E84" w14:paraId="2397ACCD" w14:textId="77777777" w:rsidTr="00DE5040">
        <w:tc>
          <w:tcPr>
            <w:tcW w:w="1696" w:type="dxa"/>
            <w:vMerge/>
            <w:tcBorders>
              <w:left w:val="single" w:sz="4" w:space="0" w:color="auto"/>
              <w:right w:val="single" w:sz="4" w:space="0" w:color="auto"/>
            </w:tcBorders>
            <w:shd w:val="clear" w:color="auto" w:fill="F2F2F2" w:themeFill="background1" w:themeFillShade="F2"/>
          </w:tcPr>
          <w:p w14:paraId="73F83D5D"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5720EF" w14:textId="77777777" w:rsidR="00DD7E84" w:rsidRDefault="00DD7E84" w:rsidP="00DE5040">
            <w:pPr>
              <w:spacing w:after="0" w:line="240" w:lineRule="auto"/>
              <w:rPr>
                <w:sz w:val="24"/>
                <w:szCs w:val="24"/>
              </w:rPr>
            </w:pPr>
            <w:r>
              <w:rPr>
                <w:sz w:val="24"/>
                <w:szCs w:val="24"/>
              </w:rPr>
              <w:t>Relevance</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9725F3" w14:textId="77777777" w:rsidR="00DD7E84" w:rsidRDefault="00DD7E84" w:rsidP="00DE5040">
            <w:pPr>
              <w:spacing w:after="0" w:line="240" w:lineRule="auto"/>
              <w:rPr>
                <w:sz w:val="24"/>
                <w:szCs w:val="24"/>
              </w:rPr>
            </w:pPr>
            <w:r>
              <w:rPr>
                <w:sz w:val="24"/>
                <w:szCs w:val="24"/>
              </w:rPr>
              <w:t xml:space="preserve">                                                     1            2 3</w:t>
            </w:r>
          </w:p>
        </w:tc>
      </w:tr>
      <w:tr w:rsidR="00DD7E84" w14:paraId="5C10DC3B" w14:textId="77777777" w:rsidTr="00DE5040">
        <w:tc>
          <w:tcPr>
            <w:tcW w:w="1696" w:type="dxa"/>
            <w:vMerge/>
            <w:tcBorders>
              <w:left w:val="single" w:sz="4" w:space="0" w:color="auto"/>
              <w:right w:val="single" w:sz="4" w:space="0" w:color="auto"/>
            </w:tcBorders>
            <w:shd w:val="clear" w:color="auto" w:fill="F2F2F2" w:themeFill="background1" w:themeFillShade="F2"/>
          </w:tcPr>
          <w:p w14:paraId="0CCCFFEE"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82FD91" w14:textId="77777777" w:rsidR="00DD7E84" w:rsidRDefault="00DD7E84" w:rsidP="00DE5040">
            <w:pPr>
              <w:spacing w:after="0" w:line="240" w:lineRule="auto"/>
              <w:rPr>
                <w:sz w:val="24"/>
                <w:szCs w:val="24"/>
              </w:rPr>
            </w:pPr>
            <w:r>
              <w:rPr>
                <w:sz w:val="24"/>
                <w:szCs w:val="24"/>
              </w:rPr>
              <w:t>Evaluation</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466EAE" w14:textId="77777777" w:rsidR="00DD7E84" w:rsidRDefault="00DD7E84" w:rsidP="00DE5040">
            <w:pPr>
              <w:spacing w:after="0" w:line="240" w:lineRule="auto"/>
              <w:rPr>
                <w:sz w:val="24"/>
                <w:szCs w:val="24"/>
              </w:rPr>
            </w:pPr>
            <w:r>
              <w:rPr>
                <w:sz w:val="24"/>
                <w:szCs w:val="24"/>
              </w:rPr>
              <w:t xml:space="preserve">                                   1               2 3</w:t>
            </w:r>
          </w:p>
        </w:tc>
      </w:tr>
      <w:tr w:rsidR="00DD7E84" w14:paraId="5A6B58BB" w14:textId="77777777" w:rsidTr="00DE5040">
        <w:tc>
          <w:tcPr>
            <w:tcW w:w="1696" w:type="dxa"/>
            <w:vMerge/>
            <w:tcBorders>
              <w:left w:val="single" w:sz="4" w:space="0" w:color="auto"/>
              <w:bottom w:val="single" w:sz="4" w:space="0" w:color="auto"/>
              <w:right w:val="single" w:sz="4" w:space="0" w:color="auto"/>
            </w:tcBorders>
            <w:shd w:val="clear" w:color="auto" w:fill="F2F2F2" w:themeFill="background1" w:themeFillShade="F2"/>
          </w:tcPr>
          <w:p w14:paraId="0DDDA72B"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62C709" w14:textId="77777777" w:rsidR="00DD7E84" w:rsidRDefault="00DD7E84" w:rsidP="00DE5040">
            <w:pPr>
              <w:spacing w:after="0" w:line="240" w:lineRule="auto"/>
              <w:rPr>
                <w:sz w:val="24"/>
                <w:szCs w:val="24"/>
              </w:rPr>
            </w:pPr>
            <w:r>
              <w:rPr>
                <w:sz w:val="24"/>
                <w:szCs w:val="24"/>
              </w:rPr>
              <w:t>Outputs and outcomes</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A5066" w14:textId="77777777" w:rsidR="00DD7E84" w:rsidRDefault="00DD7E84" w:rsidP="00DE5040">
            <w:pPr>
              <w:spacing w:after="0" w:line="240" w:lineRule="auto"/>
              <w:rPr>
                <w:sz w:val="24"/>
                <w:szCs w:val="24"/>
              </w:rPr>
            </w:pPr>
            <w:r>
              <w:rPr>
                <w:sz w:val="24"/>
                <w:szCs w:val="24"/>
              </w:rPr>
              <w:t xml:space="preserve">                                                     1            2 3</w:t>
            </w:r>
          </w:p>
        </w:tc>
      </w:tr>
      <w:tr w:rsidR="00DD7E84" w14:paraId="6DBBD812" w14:textId="77777777" w:rsidTr="00DE5040">
        <w:tc>
          <w:tcPr>
            <w:tcW w:w="1696" w:type="dxa"/>
            <w:vMerge w:val="restart"/>
            <w:tcBorders>
              <w:top w:val="single" w:sz="4" w:space="0" w:color="auto"/>
              <w:left w:val="single" w:sz="4" w:space="0" w:color="auto"/>
              <w:right w:val="single" w:sz="4" w:space="0" w:color="auto"/>
            </w:tcBorders>
            <w:shd w:val="clear" w:color="auto" w:fill="D9D9D9" w:themeFill="background1" w:themeFillShade="D9"/>
          </w:tcPr>
          <w:p w14:paraId="6337EB8D" w14:textId="77777777" w:rsidR="00DD7E84" w:rsidRDefault="00DD7E84" w:rsidP="00DE5040">
            <w:pPr>
              <w:spacing w:after="0" w:line="240" w:lineRule="auto"/>
              <w:rPr>
                <w:sz w:val="24"/>
                <w:szCs w:val="24"/>
              </w:rPr>
            </w:pPr>
            <w:r>
              <w:rPr>
                <w:sz w:val="24"/>
                <w:szCs w:val="24"/>
              </w:rPr>
              <w:t>‘Intermediate’ values</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47675" w14:textId="77777777" w:rsidR="00DD7E84" w:rsidRDefault="00DD7E84" w:rsidP="00DE5040">
            <w:pPr>
              <w:spacing w:after="0" w:line="240" w:lineRule="auto"/>
              <w:rPr>
                <w:sz w:val="24"/>
                <w:szCs w:val="24"/>
              </w:rPr>
            </w:pPr>
            <w:r>
              <w:rPr>
                <w:sz w:val="24"/>
                <w:szCs w:val="24"/>
              </w:rPr>
              <w:t>Uncertainty</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15879" w14:textId="77777777" w:rsidR="00DD7E84" w:rsidRDefault="00DD7E84" w:rsidP="00DE5040">
            <w:pPr>
              <w:spacing w:after="0" w:line="240" w:lineRule="auto"/>
              <w:rPr>
                <w:sz w:val="24"/>
                <w:szCs w:val="24"/>
              </w:rPr>
            </w:pPr>
            <w:r>
              <w:rPr>
                <w:sz w:val="24"/>
                <w:szCs w:val="24"/>
              </w:rPr>
              <w:t xml:space="preserve">                                                  1 2 3</w:t>
            </w:r>
          </w:p>
        </w:tc>
      </w:tr>
      <w:tr w:rsidR="00DD7E84" w14:paraId="40E625B7" w14:textId="77777777" w:rsidTr="00DE5040">
        <w:tc>
          <w:tcPr>
            <w:tcW w:w="1696" w:type="dxa"/>
            <w:vMerge/>
            <w:tcBorders>
              <w:left w:val="single" w:sz="4" w:space="0" w:color="auto"/>
              <w:right w:val="single" w:sz="4" w:space="0" w:color="auto"/>
            </w:tcBorders>
            <w:shd w:val="clear" w:color="auto" w:fill="D9D9D9" w:themeFill="background1" w:themeFillShade="D9"/>
          </w:tcPr>
          <w:p w14:paraId="5A5D1AA1"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38880" w14:textId="77777777" w:rsidR="00DD7E84" w:rsidRDefault="00DD7E84" w:rsidP="00DE5040">
            <w:pPr>
              <w:spacing w:after="0" w:line="240" w:lineRule="auto"/>
              <w:rPr>
                <w:sz w:val="24"/>
                <w:szCs w:val="24"/>
              </w:rPr>
            </w:pPr>
            <w:r>
              <w:rPr>
                <w:sz w:val="24"/>
                <w:szCs w:val="24"/>
              </w:rPr>
              <w:t>Knowledge exchange</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287390" w14:textId="77777777" w:rsidR="00DD7E84" w:rsidRDefault="00DD7E84" w:rsidP="00DE5040">
            <w:pPr>
              <w:spacing w:after="0" w:line="240" w:lineRule="auto"/>
              <w:rPr>
                <w:sz w:val="24"/>
                <w:szCs w:val="24"/>
              </w:rPr>
            </w:pPr>
            <w:r>
              <w:rPr>
                <w:sz w:val="24"/>
                <w:szCs w:val="24"/>
              </w:rPr>
              <w:t xml:space="preserve">                                  1 2              3</w:t>
            </w:r>
          </w:p>
        </w:tc>
      </w:tr>
      <w:tr w:rsidR="00DD7E84" w14:paraId="469B16AD" w14:textId="77777777" w:rsidTr="00DE5040">
        <w:tc>
          <w:tcPr>
            <w:tcW w:w="1696" w:type="dxa"/>
            <w:vMerge/>
            <w:tcBorders>
              <w:left w:val="single" w:sz="4" w:space="0" w:color="auto"/>
              <w:right w:val="single" w:sz="4" w:space="0" w:color="auto"/>
            </w:tcBorders>
            <w:shd w:val="clear" w:color="auto" w:fill="D9D9D9" w:themeFill="background1" w:themeFillShade="D9"/>
          </w:tcPr>
          <w:p w14:paraId="5841C57B"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41DE04" w14:textId="77777777" w:rsidR="00DD7E84" w:rsidRDefault="00DD7E84" w:rsidP="00DE5040">
            <w:pPr>
              <w:spacing w:after="0" w:line="240" w:lineRule="auto"/>
              <w:rPr>
                <w:sz w:val="24"/>
                <w:szCs w:val="24"/>
              </w:rPr>
            </w:pPr>
            <w:r>
              <w:rPr>
                <w:sz w:val="24"/>
                <w:szCs w:val="24"/>
              </w:rPr>
              <w:t>Accessibility</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F3397" w14:textId="77777777" w:rsidR="00DD7E84" w:rsidRDefault="00DD7E84" w:rsidP="00DE5040">
            <w:pPr>
              <w:tabs>
                <w:tab w:val="left" w:pos="1227"/>
                <w:tab w:val="center" w:pos="2185"/>
                <w:tab w:val="left" w:pos="2595"/>
              </w:tabs>
              <w:spacing w:after="0" w:line="240" w:lineRule="auto"/>
              <w:rPr>
                <w:sz w:val="24"/>
                <w:szCs w:val="24"/>
              </w:rPr>
            </w:pPr>
            <w:r>
              <w:rPr>
                <w:sz w:val="24"/>
                <w:szCs w:val="24"/>
              </w:rPr>
              <w:t xml:space="preserve">                                   1               2 3</w:t>
            </w:r>
          </w:p>
        </w:tc>
      </w:tr>
      <w:tr w:rsidR="00DD7E84" w14:paraId="25072E8B" w14:textId="77777777" w:rsidTr="00DE5040">
        <w:tc>
          <w:tcPr>
            <w:tcW w:w="1696" w:type="dxa"/>
            <w:vMerge/>
            <w:tcBorders>
              <w:left w:val="single" w:sz="4" w:space="0" w:color="auto"/>
              <w:right w:val="single" w:sz="4" w:space="0" w:color="auto"/>
            </w:tcBorders>
            <w:shd w:val="clear" w:color="auto" w:fill="D9D9D9" w:themeFill="background1" w:themeFillShade="D9"/>
          </w:tcPr>
          <w:p w14:paraId="46C1B733"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DFCE4" w14:textId="77777777" w:rsidR="00DD7E84" w:rsidRDefault="00DD7E84" w:rsidP="00DE5040">
            <w:pPr>
              <w:spacing w:after="0" w:line="240" w:lineRule="auto"/>
              <w:rPr>
                <w:sz w:val="24"/>
                <w:szCs w:val="24"/>
              </w:rPr>
            </w:pPr>
            <w:r>
              <w:rPr>
                <w:sz w:val="24"/>
                <w:szCs w:val="24"/>
              </w:rPr>
              <w:t>Boundary management</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FB76BF" w14:textId="77777777" w:rsidR="00DD7E84" w:rsidRDefault="00DD7E84" w:rsidP="00DE5040">
            <w:pPr>
              <w:spacing w:after="0" w:line="240" w:lineRule="auto"/>
              <w:rPr>
                <w:sz w:val="24"/>
                <w:szCs w:val="24"/>
              </w:rPr>
            </w:pPr>
            <w:r>
              <w:rPr>
                <w:sz w:val="24"/>
                <w:szCs w:val="24"/>
              </w:rPr>
              <w:t xml:space="preserve">                 1 2                               3</w:t>
            </w:r>
          </w:p>
        </w:tc>
      </w:tr>
      <w:tr w:rsidR="00DD7E84" w14:paraId="348209B0" w14:textId="77777777" w:rsidTr="00DE5040">
        <w:tc>
          <w:tcPr>
            <w:tcW w:w="1696" w:type="dxa"/>
            <w:vMerge/>
            <w:tcBorders>
              <w:left w:val="single" w:sz="4" w:space="0" w:color="auto"/>
              <w:right w:val="single" w:sz="4" w:space="0" w:color="auto"/>
            </w:tcBorders>
            <w:shd w:val="clear" w:color="auto" w:fill="D9D9D9" w:themeFill="background1" w:themeFillShade="D9"/>
          </w:tcPr>
          <w:p w14:paraId="1F9143F8"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940C9" w14:textId="77777777" w:rsidR="00DD7E84" w:rsidRDefault="00DD7E84" w:rsidP="00DE5040">
            <w:pPr>
              <w:spacing w:after="0" w:line="240" w:lineRule="auto"/>
              <w:rPr>
                <w:sz w:val="24"/>
                <w:szCs w:val="24"/>
              </w:rPr>
            </w:pPr>
            <w:r>
              <w:rPr>
                <w:sz w:val="24"/>
                <w:szCs w:val="24"/>
              </w:rPr>
              <w:t>Network</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721A1" w14:textId="77777777" w:rsidR="00DD7E84" w:rsidRDefault="00DD7E84" w:rsidP="00DE5040">
            <w:pPr>
              <w:spacing w:after="0" w:line="240" w:lineRule="auto"/>
              <w:rPr>
                <w:sz w:val="24"/>
                <w:szCs w:val="24"/>
              </w:rPr>
            </w:pPr>
            <w:r>
              <w:rPr>
                <w:sz w:val="24"/>
                <w:szCs w:val="24"/>
              </w:rPr>
              <w:t xml:space="preserve">                 1 2                               3                         </w:t>
            </w:r>
          </w:p>
        </w:tc>
      </w:tr>
      <w:tr w:rsidR="00DD7E84" w14:paraId="1565E36D" w14:textId="77777777" w:rsidTr="00DE5040">
        <w:tc>
          <w:tcPr>
            <w:tcW w:w="1696" w:type="dxa"/>
            <w:vMerge/>
            <w:tcBorders>
              <w:left w:val="single" w:sz="4" w:space="0" w:color="auto"/>
              <w:right w:val="single" w:sz="4" w:space="0" w:color="auto"/>
            </w:tcBorders>
            <w:shd w:val="clear" w:color="auto" w:fill="D9D9D9" w:themeFill="background1" w:themeFillShade="D9"/>
          </w:tcPr>
          <w:p w14:paraId="7BBA6380"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88190A" w14:textId="77777777" w:rsidR="00DD7E84" w:rsidRDefault="00DD7E84" w:rsidP="00DE5040">
            <w:pPr>
              <w:spacing w:after="0" w:line="240" w:lineRule="auto"/>
              <w:rPr>
                <w:sz w:val="24"/>
                <w:szCs w:val="24"/>
              </w:rPr>
            </w:pPr>
            <w:r>
              <w:rPr>
                <w:sz w:val="24"/>
                <w:szCs w:val="24"/>
              </w:rPr>
              <w:t>Flexibility</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357211" w14:textId="77777777" w:rsidR="00DD7E84" w:rsidRDefault="00DD7E84" w:rsidP="00DE5040">
            <w:pPr>
              <w:spacing w:after="0" w:line="240" w:lineRule="auto"/>
              <w:rPr>
                <w:sz w:val="24"/>
                <w:szCs w:val="24"/>
              </w:rPr>
            </w:pPr>
            <w:r>
              <w:rPr>
                <w:sz w:val="24"/>
                <w:szCs w:val="24"/>
              </w:rPr>
              <w:t xml:space="preserve">                                  1 2              3</w:t>
            </w:r>
          </w:p>
        </w:tc>
      </w:tr>
      <w:tr w:rsidR="00DD7E84" w14:paraId="265EAE09" w14:textId="77777777" w:rsidTr="00DE5040">
        <w:tc>
          <w:tcPr>
            <w:tcW w:w="1696" w:type="dxa"/>
            <w:vMerge/>
            <w:tcBorders>
              <w:left w:val="single" w:sz="4" w:space="0" w:color="auto"/>
              <w:right w:val="single" w:sz="4" w:space="0" w:color="auto"/>
            </w:tcBorders>
            <w:shd w:val="clear" w:color="auto" w:fill="D9D9D9" w:themeFill="background1" w:themeFillShade="D9"/>
          </w:tcPr>
          <w:p w14:paraId="00D279A2"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0F5B3" w14:textId="77777777" w:rsidR="00DD7E84" w:rsidRDefault="00DD7E84" w:rsidP="00DE5040">
            <w:pPr>
              <w:spacing w:after="0" w:line="240" w:lineRule="auto"/>
              <w:rPr>
                <w:sz w:val="24"/>
                <w:szCs w:val="24"/>
              </w:rPr>
            </w:pPr>
            <w:r>
              <w:rPr>
                <w:sz w:val="24"/>
                <w:szCs w:val="24"/>
              </w:rPr>
              <w:t>Social capital</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2E9032" w14:textId="77777777" w:rsidR="00DD7E84" w:rsidRDefault="00DD7E84" w:rsidP="00DE5040">
            <w:pPr>
              <w:spacing w:after="0" w:line="240" w:lineRule="auto"/>
              <w:rPr>
                <w:sz w:val="24"/>
                <w:szCs w:val="24"/>
              </w:rPr>
            </w:pPr>
            <w:r>
              <w:rPr>
                <w:sz w:val="24"/>
                <w:szCs w:val="24"/>
              </w:rPr>
              <w:t xml:space="preserve">                   1              2                3</w:t>
            </w:r>
          </w:p>
        </w:tc>
      </w:tr>
      <w:tr w:rsidR="00DD7E84" w14:paraId="75C16F9D" w14:textId="77777777" w:rsidTr="00B53CD5">
        <w:tc>
          <w:tcPr>
            <w:tcW w:w="1696" w:type="dxa"/>
            <w:vMerge/>
            <w:tcBorders>
              <w:left w:val="single" w:sz="4" w:space="0" w:color="auto"/>
              <w:bottom w:val="single" w:sz="4" w:space="0" w:color="auto"/>
              <w:right w:val="single" w:sz="4" w:space="0" w:color="auto"/>
            </w:tcBorders>
            <w:shd w:val="clear" w:color="auto" w:fill="D9D9D9" w:themeFill="background1" w:themeFillShade="D9"/>
          </w:tcPr>
          <w:p w14:paraId="19476597"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110EEC" w14:textId="77777777" w:rsidR="00DD7E84" w:rsidRDefault="00DD7E84" w:rsidP="00DE5040">
            <w:pPr>
              <w:spacing w:after="0" w:line="240" w:lineRule="auto"/>
              <w:rPr>
                <w:sz w:val="24"/>
                <w:szCs w:val="24"/>
              </w:rPr>
            </w:pPr>
            <w:r>
              <w:rPr>
                <w:sz w:val="24"/>
                <w:szCs w:val="24"/>
              </w:rPr>
              <w:t>Disciplinary focus</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764F00" w14:textId="77777777" w:rsidR="00DD7E84" w:rsidRDefault="00DD7E84" w:rsidP="00DE5040">
            <w:pPr>
              <w:spacing w:after="0" w:line="240" w:lineRule="auto"/>
              <w:rPr>
                <w:sz w:val="24"/>
                <w:szCs w:val="24"/>
              </w:rPr>
            </w:pPr>
            <w:r>
              <w:rPr>
                <w:sz w:val="24"/>
                <w:szCs w:val="24"/>
              </w:rPr>
              <w:t xml:space="preserve">                                                   1 2              3</w:t>
            </w:r>
          </w:p>
        </w:tc>
      </w:tr>
      <w:tr w:rsidR="00DD7E84" w14:paraId="0A570E5B" w14:textId="77777777" w:rsidTr="00B53CD5">
        <w:tc>
          <w:tcPr>
            <w:tcW w:w="169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8E3D838" w14:textId="77777777" w:rsidR="00DD7E84" w:rsidRDefault="00DD7E84" w:rsidP="00DE5040">
            <w:pPr>
              <w:spacing w:after="0" w:line="240" w:lineRule="auto"/>
              <w:rPr>
                <w:sz w:val="24"/>
                <w:szCs w:val="24"/>
              </w:rPr>
            </w:pPr>
            <w:r>
              <w:rPr>
                <w:sz w:val="24"/>
                <w:szCs w:val="24"/>
              </w:rPr>
              <w:t xml:space="preserve">‘Knowledge content’ </w:t>
            </w:r>
          </w:p>
          <w:p w14:paraId="77EA8B52" w14:textId="77777777" w:rsidR="00DD7E84" w:rsidRDefault="00DD7E84" w:rsidP="00DE5040">
            <w:pPr>
              <w:spacing w:after="0" w:line="240" w:lineRule="auto"/>
              <w:rPr>
                <w:sz w:val="24"/>
                <w:szCs w:val="24"/>
              </w:rPr>
            </w:pPr>
            <w:r>
              <w:rPr>
                <w:sz w:val="24"/>
                <w:szCs w:val="24"/>
              </w:rPr>
              <w:t>values</w:t>
            </w: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BEFC4B8" w14:textId="77777777" w:rsidR="00DD7E84" w:rsidRDefault="00DD7E84" w:rsidP="00DE5040">
            <w:pPr>
              <w:spacing w:after="0" w:line="240" w:lineRule="auto"/>
              <w:rPr>
                <w:sz w:val="24"/>
                <w:szCs w:val="24"/>
              </w:rPr>
            </w:pPr>
            <w:r>
              <w:rPr>
                <w:sz w:val="24"/>
                <w:szCs w:val="24"/>
              </w:rPr>
              <w:t>Expertise</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85AB178" w14:textId="77777777" w:rsidR="00DD7E84" w:rsidRDefault="00DD7E84" w:rsidP="00DE5040">
            <w:pPr>
              <w:spacing w:after="0" w:line="240" w:lineRule="auto"/>
              <w:rPr>
                <w:sz w:val="24"/>
                <w:szCs w:val="24"/>
              </w:rPr>
            </w:pPr>
            <w:r>
              <w:rPr>
                <w:sz w:val="24"/>
                <w:szCs w:val="24"/>
              </w:rPr>
              <w:t xml:space="preserve">                 1 2             3 </w:t>
            </w:r>
          </w:p>
        </w:tc>
      </w:tr>
      <w:tr w:rsidR="00DD7E84" w14:paraId="1D509D6E" w14:textId="77777777" w:rsidTr="00B53CD5">
        <w:tc>
          <w:tcPr>
            <w:tcW w:w="1696" w:type="dxa"/>
            <w:vMerge/>
            <w:tcBorders>
              <w:left w:val="single" w:sz="4" w:space="0" w:color="auto"/>
              <w:bottom w:val="single" w:sz="4" w:space="0" w:color="auto"/>
              <w:right w:val="single" w:sz="4" w:space="0" w:color="auto"/>
            </w:tcBorders>
            <w:shd w:val="clear" w:color="auto" w:fill="A6A6A6" w:themeFill="background1" w:themeFillShade="A6"/>
          </w:tcPr>
          <w:p w14:paraId="48CE70A8"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2C4AE54" w14:textId="77777777" w:rsidR="00DD7E84" w:rsidRDefault="00DD7E84" w:rsidP="00DE5040">
            <w:pPr>
              <w:spacing w:after="0" w:line="240" w:lineRule="auto"/>
              <w:rPr>
                <w:sz w:val="24"/>
                <w:szCs w:val="24"/>
              </w:rPr>
            </w:pPr>
            <w:r>
              <w:rPr>
                <w:sz w:val="24"/>
                <w:szCs w:val="24"/>
              </w:rPr>
              <w:t>Learning</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E60A96D" w14:textId="77777777" w:rsidR="00DD7E84" w:rsidRDefault="00DD7E84" w:rsidP="00DE5040">
            <w:pPr>
              <w:keepNext/>
              <w:spacing w:after="0" w:line="240" w:lineRule="auto"/>
              <w:rPr>
                <w:sz w:val="24"/>
                <w:szCs w:val="24"/>
              </w:rPr>
            </w:pPr>
            <w:r>
              <w:rPr>
                <w:sz w:val="24"/>
                <w:szCs w:val="24"/>
              </w:rPr>
              <w:t xml:space="preserve">  1               2              3</w:t>
            </w:r>
          </w:p>
        </w:tc>
      </w:tr>
      <w:tr w:rsidR="00DD7E84" w14:paraId="5C3B826A" w14:textId="77777777" w:rsidTr="00B53CD5">
        <w:tc>
          <w:tcPr>
            <w:tcW w:w="1696" w:type="dxa"/>
            <w:vMerge/>
            <w:tcBorders>
              <w:left w:val="single" w:sz="4" w:space="0" w:color="auto"/>
              <w:bottom w:val="single" w:sz="4" w:space="0" w:color="auto"/>
              <w:right w:val="single" w:sz="4" w:space="0" w:color="auto"/>
            </w:tcBorders>
            <w:shd w:val="clear" w:color="auto" w:fill="A6A6A6" w:themeFill="background1" w:themeFillShade="A6"/>
          </w:tcPr>
          <w:p w14:paraId="38B44ED7"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8416BB0" w14:textId="77777777" w:rsidR="00DD7E84" w:rsidRDefault="00DD7E84" w:rsidP="00DE5040">
            <w:pPr>
              <w:spacing w:after="0" w:line="240" w:lineRule="auto"/>
              <w:rPr>
                <w:sz w:val="24"/>
                <w:szCs w:val="24"/>
              </w:rPr>
            </w:pPr>
            <w:r>
              <w:rPr>
                <w:sz w:val="24"/>
                <w:szCs w:val="24"/>
              </w:rPr>
              <w:t>Human capital</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0CD3A20" w14:textId="77777777" w:rsidR="00DD7E84" w:rsidRDefault="00DD7E84" w:rsidP="00DE5040">
            <w:pPr>
              <w:keepNext/>
              <w:spacing w:after="0" w:line="240" w:lineRule="auto"/>
              <w:rPr>
                <w:sz w:val="24"/>
                <w:szCs w:val="24"/>
              </w:rPr>
            </w:pPr>
            <w:r>
              <w:rPr>
                <w:sz w:val="24"/>
                <w:szCs w:val="24"/>
              </w:rPr>
              <w:t>1 2              3</w:t>
            </w:r>
          </w:p>
        </w:tc>
      </w:tr>
      <w:tr w:rsidR="00B53CD5" w14:paraId="5381C545" w14:textId="77777777" w:rsidTr="00B610A0">
        <w:tc>
          <w:tcPr>
            <w:tcW w:w="439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3D778EA" w14:textId="5BABAD00" w:rsidR="00B53CD5" w:rsidRDefault="00B53CD5" w:rsidP="00B53CD5">
            <w:pPr>
              <w:spacing w:after="0" w:line="240" w:lineRule="auto"/>
              <w:jc w:val="center"/>
              <w:rPr>
                <w:sz w:val="24"/>
                <w:szCs w:val="24"/>
              </w:rPr>
            </w:pPr>
            <w:r>
              <w:rPr>
                <w:sz w:val="24"/>
                <w:szCs w:val="24"/>
              </w:rPr>
              <w:t>Average</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C466447" w14:textId="17D2908E" w:rsidR="00B53CD5" w:rsidRDefault="00430FFE" w:rsidP="00DE5040">
            <w:pPr>
              <w:keepNext/>
              <w:spacing w:after="0" w:line="240" w:lineRule="auto"/>
              <w:rPr>
                <w:sz w:val="24"/>
                <w:szCs w:val="24"/>
              </w:rPr>
            </w:pPr>
            <w:r>
              <w:rPr>
                <w:sz w:val="24"/>
                <w:szCs w:val="24"/>
              </w:rPr>
              <w:t xml:space="preserve">                      </w:t>
            </w:r>
            <w:r w:rsidR="00A06A77">
              <w:rPr>
                <w:sz w:val="24"/>
                <w:szCs w:val="24"/>
              </w:rPr>
              <w:t xml:space="preserve">          1</w:t>
            </w:r>
            <w:r w:rsidR="00FE4AD0">
              <w:rPr>
                <w:sz w:val="24"/>
                <w:szCs w:val="24"/>
              </w:rPr>
              <w:t xml:space="preserve">    2</w:t>
            </w:r>
            <w:r w:rsidR="00EE2E4C">
              <w:rPr>
                <w:sz w:val="24"/>
                <w:szCs w:val="24"/>
              </w:rPr>
              <w:t xml:space="preserve">             3</w:t>
            </w:r>
          </w:p>
        </w:tc>
      </w:tr>
    </w:tbl>
    <w:p w14:paraId="7206FD77" w14:textId="4412D285" w:rsidR="00DD7E84" w:rsidRDefault="00DD7E84" w:rsidP="00DD7E84">
      <w:pPr>
        <w:pStyle w:val="Caption"/>
        <w:rPr>
          <w:sz w:val="24"/>
          <w:szCs w:val="24"/>
        </w:rPr>
      </w:pPr>
      <w:bookmarkStart w:id="154" w:name="_Ref6890800"/>
      <w:bookmarkStart w:id="155" w:name="_Toc31702080"/>
      <w:r>
        <w:t xml:space="preserve">Figure </w:t>
      </w:r>
      <w:r>
        <w:rPr>
          <w:noProof/>
        </w:rPr>
        <w:fldChar w:fldCharType="begin"/>
      </w:r>
      <w:r>
        <w:rPr>
          <w:noProof/>
        </w:rPr>
        <w:instrText xml:space="preserve"> SEQ Figure \* ARABIC </w:instrText>
      </w:r>
      <w:r>
        <w:rPr>
          <w:noProof/>
        </w:rPr>
        <w:fldChar w:fldCharType="separate"/>
      </w:r>
      <w:r w:rsidR="0011424E">
        <w:rPr>
          <w:noProof/>
        </w:rPr>
        <w:t>11</w:t>
      </w:r>
      <w:r>
        <w:rPr>
          <w:noProof/>
        </w:rPr>
        <w:fldChar w:fldCharType="end"/>
      </w:r>
      <w:bookmarkEnd w:id="154"/>
      <w:r>
        <w:t>. BoR11.1 typology</w:t>
      </w:r>
      <w:bookmarkEnd w:id="155"/>
    </w:p>
    <w:p w14:paraId="1136A52F" w14:textId="35B682AB" w:rsidR="00DD7E84" w:rsidRDefault="00DD7E84" w:rsidP="00DD7E84">
      <w:pPr>
        <w:spacing w:before="120" w:after="120" w:line="360" w:lineRule="auto"/>
        <w:rPr>
          <w:sz w:val="24"/>
          <w:szCs w:val="24"/>
        </w:rPr>
      </w:pPr>
      <w:r>
        <w:rPr>
          <w:sz w:val="24"/>
          <w:szCs w:val="24"/>
        </w:rPr>
        <w:t xml:space="preserve">This visualisation helps with summarising the BoR for my analytical purposes. </w:t>
      </w:r>
      <w:r w:rsidR="000B4BEF">
        <w:rPr>
          <w:sz w:val="24"/>
          <w:szCs w:val="24"/>
        </w:rPr>
        <w:t xml:space="preserve">Throughout the </w:t>
      </w:r>
      <w:r w:rsidR="008363B1">
        <w:rPr>
          <w:sz w:val="24"/>
          <w:szCs w:val="24"/>
        </w:rPr>
        <w:t xml:space="preserve">whole research process, </w:t>
      </w:r>
      <w:r>
        <w:rPr>
          <w:sz w:val="24"/>
          <w:szCs w:val="24"/>
        </w:rPr>
        <w:t xml:space="preserve">BoR11.1 is strongly engaged in and driven by the ‘social context’ beyond the boundaries of academia, especially in terms of the ultimate goals of the research. By contrast, the ‘knowledge content’ is, for the most part, grounded within academic boundaries. Its progress is dominated by </w:t>
      </w:r>
      <w:r w:rsidR="00A022A5">
        <w:rPr>
          <w:sz w:val="24"/>
          <w:szCs w:val="24"/>
        </w:rPr>
        <w:t>scientifically trained</w:t>
      </w:r>
      <w:r>
        <w:rPr>
          <w:sz w:val="24"/>
          <w:szCs w:val="24"/>
        </w:rPr>
        <w:t xml:space="preserve"> individuals with significant specialist expertise in research and academic publishing. However, by Phase 3, the work is no longer primarily </w:t>
      </w:r>
      <w:r w:rsidR="00A022A5">
        <w:rPr>
          <w:sz w:val="24"/>
          <w:szCs w:val="24"/>
        </w:rPr>
        <w:t>research focused</w:t>
      </w:r>
      <w:r>
        <w:rPr>
          <w:sz w:val="24"/>
          <w:szCs w:val="24"/>
        </w:rPr>
        <w:t>. It is focused rather on developing the underpinning research for both commercial consumption and NHS uptake. By Phase 3, all attributes/activities except for the those related to the ‘knowledge content’, have values of 4 or 5 on the typology’s spectrum, even those ‘intermediate’ attributes/activities which at Phases 1 and 2 were towards the low end of the spectrum</w:t>
      </w:r>
      <w:r w:rsidR="004A548F">
        <w:rPr>
          <w:sz w:val="24"/>
          <w:szCs w:val="24"/>
        </w:rPr>
        <w:t xml:space="preserve"> (i.e. ‘accessibility’</w:t>
      </w:r>
      <w:r w:rsidR="007920BF">
        <w:rPr>
          <w:sz w:val="24"/>
          <w:szCs w:val="24"/>
        </w:rPr>
        <w:t xml:space="preserve"> and</w:t>
      </w:r>
      <w:r w:rsidR="004A548F">
        <w:rPr>
          <w:sz w:val="24"/>
          <w:szCs w:val="24"/>
        </w:rPr>
        <w:t xml:space="preserve"> ‘boundary management’</w:t>
      </w:r>
      <w:r w:rsidR="007920BF">
        <w:rPr>
          <w:sz w:val="24"/>
          <w:szCs w:val="24"/>
        </w:rPr>
        <w:t>)</w:t>
      </w:r>
      <w:r>
        <w:rPr>
          <w:sz w:val="24"/>
          <w:szCs w:val="24"/>
        </w:rPr>
        <w:t>.</w:t>
      </w:r>
      <w:r w:rsidR="0013005E">
        <w:rPr>
          <w:sz w:val="24"/>
          <w:szCs w:val="24"/>
        </w:rPr>
        <w:t xml:space="preserve"> As the research progresses, m</w:t>
      </w:r>
      <w:r>
        <w:rPr>
          <w:sz w:val="24"/>
          <w:szCs w:val="24"/>
        </w:rPr>
        <w:t>ore and more of the research team’s effort is being expended on ‘boundary management’, ‘network participation’ and mobilising ‘social capital’ in order to achieve their ambitions of commercialisation and policy influence, and less is being focused on publishing and fine-tuning the model.</w:t>
      </w:r>
      <w:r w:rsidR="00183338">
        <w:rPr>
          <w:sz w:val="24"/>
          <w:szCs w:val="24"/>
        </w:rPr>
        <w:t xml:space="preserve"> The outputs are increasingly ‘user-focused’ (‘use-focused outputs’ being one of the five forms of ‘boundary transaction’)</w:t>
      </w:r>
      <w:r w:rsidR="00032886">
        <w:rPr>
          <w:sz w:val="24"/>
          <w:szCs w:val="24"/>
        </w:rPr>
        <w:t>, taking the form of patents and other forms of codified knowledge, such as toolkits and technologies.</w:t>
      </w:r>
      <w:r>
        <w:rPr>
          <w:sz w:val="24"/>
          <w:szCs w:val="24"/>
        </w:rPr>
        <w:t xml:space="preserve"> What publishing does take place is not so much a report of new and improved capabilities of the model, but more about showing how the model compares in practice with competitors, while some knowledge goes unpublished due to commercial confidentiality. </w:t>
      </w:r>
    </w:p>
    <w:p w14:paraId="786BC5BA" w14:textId="7C56D9D2" w:rsidR="00DD7E84" w:rsidRDefault="00DD7E84" w:rsidP="00DD7E84">
      <w:pPr>
        <w:spacing w:before="120" w:after="120" w:line="360" w:lineRule="auto"/>
        <w:rPr>
          <w:sz w:val="24"/>
          <w:szCs w:val="24"/>
        </w:rPr>
      </w:pPr>
      <w:r>
        <w:rPr>
          <w:sz w:val="24"/>
          <w:szCs w:val="24"/>
        </w:rPr>
        <w:t>All five of t</w:t>
      </w:r>
      <w:r w:rsidR="00D61D20">
        <w:rPr>
          <w:sz w:val="24"/>
          <w:szCs w:val="24"/>
        </w:rPr>
        <w:t xml:space="preserve">he different forms of ‘boundary transaction’ </w:t>
      </w:r>
      <w:r>
        <w:rPr>
          <w:sz w:val="24"/>
          <w:szCs w:val="24"/>
        </w:rPr>
        <w:t>played a part in BoR11.1. The CHMI is an example of a ‘boundary structure’. It engaged in significant ‘outreach’, first as part of building a research ‘collaboration’ team with NHS Trust scientists and medical practitioners, and later with wider policy and sector bodies and technology entrepreneurs</w:t>
      </w:r>
      <w:r w:rsidR="004F5BA3">
        <w:rPr>
          <w:sz w:val="24"/>
          <w:szCs w:val="24"/>
        </w:rPr>
        <w:t>, and this collaboration manifested in co-authored journal articles</w:t>
      </w:r>
      <w:r>
        <w:rPr>
          <w:sz w:val="24"/>
          <w:szCs w:val="24"/>
        </w:rPr>
        <w:t>. At least one key ‘boundary-spanner’, appointed to a CHMI professorship from his previous research post within the NHS, was one of the main driving forces underpinning the research team’s initial studies and then later success in leveraging support from external stakeholders. There were also several ‘use-focused outputs’ of the research, most obviously the commercial device which digitised and streamlined application of the research team’s model, but also in the form of journal articles targeting practitioner audiences.</w:t>
      </w:r>
      <w:r w:rsidR="004F5BA3">
        <w:rPr>
          <w:sz w:val="24"/>
          <w:szCs w:val="24"/>
        </w:rPr>
        <w:t xml:space="preserve"> </w:t>
      </w:r>
      <w:r w:rsidR="00921F07">
        <w:rPr>
          <w:sz w:val="24"/>
          <w:szCs w:val="24"/>
        </w:rPr>
        <w:t>Significantly, several of the academics involved took co-ownership over the company</w:t>
      </w:r>
      <w:r w:rsidR="000D7EC2">
        <w:rPr>
          <w:sz w:val="24"/>
          <w:szCs w:val="24"/>
        </w:rPr>
        <w:t xml:space="preserve"> which went on to finalise the development, promotion and marketing of the product, so that this company had the effective characteristics of a spin-out (although technically it was not a spin-out as it existed in a different form prior to the academics’ taking a share). </w:t>
      </w:r>
    </w:p>
    <w:p w14:paraId="40CA72FA" w14:textId="7779864D" w:rsidR="00567D8B" w:rsidRDefault="00802FB9" w:rsidP="00DD7E84">
      <w:pPr>
        <w:spacing w:before="120" w:after="120" w:line="360" w:lineRule="auto"/>
        <w:rPr>
          <w:sz w:val="24"/>
          <w:szCs w:val="24"/>
        </w:rPr>
      </w:pPr>
      <w:r>
        <w:rPr>
          <w:sz w:val="24"/>
          <w:szCs w:val="24"/>
        </w:rPr>
        <w:t xml:space="preserve">Overall, BoR11.1 is one of only three of the nineteen sampled BoRs to receive an overall value above the mid-value of 3 (BoR11.1’s overall average value is 3.38). </w:t>
      </w:r>
      <w:r w:rsidR="00C7544F">
        <w:rPr>
          <w:sz w:val="24"/>
          <w:szCs w:val="24"/>
        </w:rPr>
        <w:t xml:space="preserve">Although underpinned by academic research and strongly scientific knowledge content, the focus on developing, marketing and commercialising a product for private </w:t>
      </w:r>
      <w:r w:rsidR="0071778A">
        <w:rPr>
          <w:sz w:val="24"/>
          <w:szCs w:val="24"/>
        </w:rPr>
        <w:t xml:space="preserve">profit which characterised much of the BoR meant that its strategies, relationships, dissemination practices – in short, its boundary transactions – were in many ways more akin to those of a small </w:t>
      </w:r>
      <w:r w:rsidR="005B2054">
        <w:rPr>
          <w:sz w:val="24"/>
          <w:szCs w:val="24"/>
        </w:rPr>
        <w:t xml:space="preserve">knowledge-intensive </w:t>
      </w:r>
      <w:r w:rsidR="0071778A">
        <w:rPr>
          <w:sz w:val="24"/>
          <w:szCs w:val="24"/>
        </w:rPr>
        <w:t>business rather than an academic department.</w:t>
      </w:r>
      <w:r w:rsidR="00BD7695">
        <w:rPr>
          <w:sz w:val="24"/>
          <w:szCs w:val="24"/>
        </w:rPr>
        <w:t xml:space="preserve"> I stress that I do not intend to criticise these practices – the researchers were by no means solely motivated by profit and worked hard to ensure that a free</w:t>
      </w:r>
      <w:r w:rsidR="008F136C">
        <w:rPr>
          <w:sz w:val="24"/>
          <w:szCs w:val="24"/>
        </w:rPr>
        <w:t>, paper-based</w:t>
      </w:r>
      <w:r w:rsidR="00BD7695">
        <w:rPr>
          <w:sz w:val="24"/>
          <w:szCs w:val="24"/>
        </w:rPr>
        <w:t xml:space="preserve"> version of their potentially life-saving product could be rolled out on the NHS</w:t>
      </w:r>
      <w:r w:rsidR="008F136C">
        <w:rPr>
          <w:sz w:val="24"/>
          <w:szCs w:val="24"/>
        </w:rPr>
        <w:t>, alongside a technological one which would be sold commercially (both abroad and in the UK)</w:t>
      </w:r>
      <w:r w:rsidR="00BD7695">
        <w:rPr>
          <w:sz w:val="24"/>
          <w:szCs w:val="24"/>
        </w:rPr>
        <w:t>.</w:t>
      </w:r>
      <w:r w:rsidR="00CF1208">
        <w:rPr>
          <w:sz w:val="24"/>
          <w:szCs w:val="24"/>
        </w:rPr>
        <w:t xml:space="preserve"> And if I was able to continue my analysis of this ongoing body of research further into the future, different results might emerge. But nonetheless, </w:t>
      </w:r>
      <w:r w:rsidR="00376FEB">
        <w:rPr>
          <w:sz w:val="24"/>
          <w:szCs w:val="24"/>
        </w:rPr>
        <w:t>BoR11.1</w:t>
      </w:r>
      <w:r w:rsidR="00CF1208">
        <w:rPr>
          <w:sz w:val="24"/>
          <w:szCs w:val="24"/>
        </w:rPr>
        <w:t xml:space="preserve"> as it stands provides an interesting case study in how the boundaries of academic knowledge production are being pushed</w:t>
      </w:r>
      <w:r w:rsidR="002F175F">
        <w:rPr>
          <w:sz w:val="24"/>
          <w:szCs w:val="24"/>
        </w:rPr>
        <w:t>.</w:t>
      </w:r>
    </w:p>
    <w:p w14:paraId="598D5F9D" w14:textId="7FADE728" w:rsidR="00DD7E84" w:rsidRDefault="00302EF9" w:rsidP="00DD7E84">
      <w:pPr>
        <w:pStyle w:val="Heading3"/>
        <w:spacing w:before="120"/>
      </w:pPr>
      <w:bookmarkStart w:id="156" w:name="_Toc31701983"/>
      <w:r>
        <w:t xml:space="preserve">Illustrative case 2. </w:t>
      </w:r>
      <w:r w:rsidR="00F13478">
        <w:t>‘</w:t>
      </w:r>
      <w:r w:rsidR="003D5D89">
        <w:t>Moderate</w:t>
      </w:r>
      <w:r w:rsidR="00B31FA6">
        <w:t xml:space="preserve">ly bounded’ </w:t>
      </w:r>
      <w:r w:rsidR="00C45C3C">
        <w:t>research (BoR5)</w:t>
      </w:r>
      <w:bookmarkEnd w:id="156"/>
    </w:p>
    <w:p w14:paraId="1F99EB5F" w14:textId="61814DAD" w:rsidR="00DD7E84" w:rsidRDefault="00DD7E84" w:rsidP="00DD7E84">
      <w:pPr>
        <w:spacing w:after="120" w:line="360" w:lineRule="auto"/>
        <w:rPr>
          <w:sz w:val="24"/>
          <w:szCs w:val="24"/>
        </w:rPr>
      </w:pPr>
      <w:r>
        <w:rPr>
          <w:sz w:val="24"/>
          <w:szCs w:val="24"/>
        </w:rPr>
        <w:t xml:space="preserve">BoR5 is titled ‘Sea Mammal Research &amp; Impact’. It is based at the Sea Mammal Research Unit (SMRU), based in the School of Biology and St Andrews University. SMRU started life in as a non-academic public research unit within the Natural Environment Research Council (NERC), created to fulfil NERC’s obligation to advise the UK Government on seal management according to NERC’s Royal Charter and the Conservation of Seals Act 1970. In 1996, SMRU was moved to St Andrews School of Biology, with NERC continuing to provide the funding necessary for SMRU to complete its statutory work. The overall discipline which best describes SMRU’s research is marine ecology, with particular focus on the interdisciplinary subfield of marine mammalogy. This implies that while SMRU research makes some fundamental advances in knowledge, the ‘use’ of knowledge is a major driver of the research. </w:t>
      </w:r>
    </w:p>
    <w:p w14:paraId="37EB1B63" w14:textId="20CAF8FD" w:rsidR="00820FCD" w:rsidRPr="00820FCD" w:rsidRDefault="00A80F15" w:rsidP="00820FCD">
      <w:pPr>
        <w:spacing w:after="120" w:line="360" w:lineRule="auto"/>
        <w:rPr>
          <w:sz w:val="24"/>
          <w:szCs w:val="24"/>
        </w:rPr>
      </w:pPr>
      <w:r>
        <w:rPr>
          <w:sz w:val="24"/>
          <w:szCs w:val="24"/>
        </w:rPr>
        <w:t xml:space="preserve">In terms of the institutional and epistemic context, BoR5 </w:t>
      </w:r>
      <w:r w:rsidR="0035124F">
        <w:rPr>
          <w:sz w:val="24"/>
          <w:szCs w:val="24"/>
        </w:rPr>
        <w:t>(from REF UoA5, Biology)</w:t>
      </w:r>
      <w:r w:rsidR="00D144A5">
        <w:rPr>
          <w:sz w:val="24"/>
          <w:szCs w:val="24"/>
        </w:rPr>
        <w:t xml:space="preserve"> wa</w:t>
      </w:r>
      <w:r>
        <w:rPr>
          <w:sz w:val="24"/>
          <w:szCs w:val="24"/>
        </w:rPr>
        <w:t xml:space="preserve">s </w:t>
      </w:r>
      <w:r w:rsidR="00D144A5">
        <w:rPr>
          <w:sz w:val="24"/>
          <w:szCs w:val="24"/>
        </w:rPr>
        <w:t xml:space="preserve">sampled as </w:t>
      </w:r>
      <w:r>
        <w:rPr>
          <w:sz w:val="24"/>
          <w:szCs w:val="24"/>
        </w:rPr>
        <w:t xml:space="preserve">a </w:t>
      </w:r>
      <w:r w:rsidR="0035124F">
        <w:rPr>
          <w:sz w:val="24"/>
          <w:szCs w:val="24"/>
        </w:rPr>
        <w:t xml:space="preserve">Basic </w:t>
      </w:r>
      <w:r>
        <w:rPr>
          <w:sz w:val="24"/>
          <w:szCs w:val="24"/>
        </w:rPr>
        <w:t xml:space="preserve">life science in a ‘more prestigious’ departmental context. </w:t>
      </w:r>
      <w:r w:rsidR="00A71457" w:rsidRPr="00726961">
        <w:rPr>
          <w:sz w:val="24"/>
          <w:szCs w:val="24"/>
        </w:rPr>
        <w:fldChar w:fldCharType="begin"/>
      </w:r>
      <w:r w:rsidR="00A71457" w:rsidRPr="00726961">
        <w:rPr>
          <w:sz w:val="24"/>
          <w:szCs w:val="24"/>
        </w:rPr>
        <w:instrText xml:space="preserve"> REF _Ref8917840 \h </w:instrText>
      </w:r>
      <w:r w:rsidR="00726961">
        <w:rPr>
          <w:sz w:val="24"/>
          <w:szCs w:val="24"/>
        </w:rPr>
        <w:instrText xml:space="preserve"> \* MERGEFORMAT </w:instrText>
      </w:r>
      <w:r w:rsidR="00A71457" w:rsidRPr="00726961">
        <w:rPr>
          <w:sz w:val="24"/>
          <w:szCs w:val="24"/>
        </w:rPr>
      </w:r>
      <w:r w:rsidR="00A71457" w:rsidRPr="00726961">
        <w:rPr>
          <w:sz w:val="24"/>
          <w:szCs w:val="24"/>
        </w:rPr>
        <w:fldChar w:fldCharType="separate"/>
      </w:r>
      <w:r w:rsidR="0011424E" w:rsidRPr="0011424E">
        <w:rPr>
          <w:sz w:val="24"/>
          <w:szCs w:val="24"/>
        </w:rPr>
        <w:t xml:space="preserve">Table </w:t>
      </w:r>
      <w:r w:rsidR="0011424E" w:rsidRPr="0011424E">
        <w:rPr>
          <w:noProof/>
          <w:sz w:val="24"/>
          <w:szCs w:val="24"/>
        </w:rPr>
        <w:t>20</w:t>
      </w:r>
      <w:r w:rsidR="00A71457" w:rsidRPr="00726961">
        <w:rPr>
          <w:sz w:val="24"/>
          <w:szCs w:val="24"/>
        </w:rPr>
        <w:fldChar w:fldCharType="end"/>
      </w:r>
      <w:r w:rsidR="00A71457">
        <w:rPr>
          <w:sz w:val="24"/>
          <w:szCs w:val="24"/>
        </w:rPr>
        <w:t xml:space="preserve"> </w:t>
      </w:r>
      <w:r>
        <w:rPr>
          <w:sz w:val="24"/>
          <w:szCs w:val="24"/>
        </w:rPr>
        <w:t>presents BoR</w:t>
      </w:r>
      <w:r w:rsidR="00E87E0A">
        <w:rPr>
          <w:sz w:val="24"/>
          <w:szCs w:val="24"/>
        </w:rPr>
        <w:t>5</w:t>
      </w:r>
      <w:r>
        <w:rPr>
          <w:sz w:val="24"/>
          <w:szCs w:val="24"/>
        </w:rPr>
        <w:t>’s typology values by the three ‘research dimensions’ (‘social context’, ‘intermediary’ and ‘knowledge content’) and, for comparison, shows how these compare with other research sharing its contextual characteristics</w:t>
      </w:r>
      <w:r w:rsidR="00E87E0A">
        <w:rPr>
          <w:sz w:val="24"/>
          <w:szCs w:val="24"/>
        </w:rPr>
        <w:t xml:space="preserve"> </w:t>
      </w:r>
      <w:r>
        <w:rPr>
          <w:sz w:val="24"/>
          <w:szCs w:val="24"/>
        </w:rPr>
        <w:t xml:space="preserve">and with the overall sample average. </w:t>
      </w:r>
      <w:r w:rsidR="00B52B6D">
        <w:rPr>
          <w:sz w:val="24"/>
          <w:szCs w:val="24"/>
        </w:rPr>
        <w:t>It shows that BoR5 has relatively high knowledge content and intermediary values, but low social context values.</w:t>
      </w:r>
    </w:p>
    <w:tbl>
      <w:tblPr>
        <w:tblStyle w:val="TableGrid"/>
        <w:tblW w:w="0" w:type="auto"/>
        <w:tblLook w:val="04A0" w:firstRow="1" w:lastRow="0" w:firstColumn="1" w:lastColumn="0" w:noHBand="0" w:noVBand="1"/>
      </w:tblPr>
      <w:tblGrid>
        <w:gridCol w:w="2689"/>
        <w:gridCol w:w="1559"/>
        <w:gridCol w:w="1353"/>
        <w:gridCol w:w="2236"/>
      </w:tblGrid>
      <w:tr w:rsidR="00E87E0A" w14:paraId="1040FEFB" w14:textId="77777777" w:rsidTr="00F11A06">
        <w:trPr>
          <w:trHeight w:val="151"/>
        </w:trPr>
        <w:tc>
          <w:tcPr>
            <w:tcW w:w="2689" w:type="dxa"/>
            <w:tcBorders>
              <w:bottom w:val="single" w:sz="2" w:space="0" w:color="auto"/>
            </w:tcBorders>
          </w:tcPr>
          <w:p w14:paraId="02B11B1F" w14:textId="77777777" w:rsidR="00E87E0A" w:rsidRPr="006600EC" w:rsidRDefault="00E87E0A" w:rsidP="00EC1474">
            <w:pPr>
              <w:rPr>
                <w:sz w:val="22"/>
                <w:szCs w:val="22"/>
              </w:rPr>
            </w:pPr>
          </w:p>
        </w:tc>
        <w:tc>
          <w:tcPr>
            <w:tcW w:w="1559" w:type="dxa"/>
            <w:tcBorders>
              <w:bottom w:val="single" w:sz="2" w:space="0" w:color="auto"/>
            </w:tcBorders>
          </w:tcPr>
          <w:p w14:paraId="5F6A323A" w14:textId="77777777" w:rsidR="00E87E0A" w:rsidRPr="006600EC" w:rsidRDefault="00E87E0A" w:rsidP="00EC1474">
            <w:pPr>
              <w:jc w:val="center"/>
              <w:rPr>
                <w:sz w:val="22"/>
                <w:szCs w:val="22"/>
              </w:rPr>
            </w:pPr>
            <w:r w:rsidRPr="006600EC">
              <w:rPr>
                <w:sz w:val="22"/>
                <w:szCs w:val="22"/>
              </w:rPr>
              <w:t>Social Context</w:t>
            </w:r>
            <w:r>
              <w:rPr>
                <w:sz w:val="22"/>
                <w:szCs w:val="22"/>
              </w:rPr>
              <w:t xml:space="preserve"> </w:t>
            </w:r>
          </w:p>
        </w:tc>
        <w:tc>
          <w:tcPr>
            <w:tcW w:w="1353" w:type="dxa"/>
            <w:tcBorders>
              <w:bottom w:val="single" w:sz="2" w:space="0" w:color="auto"/>
            </w:tcBorders>
          </w:tcPr>
          <w:p w14:paraId="0815BD3C" w14:textId="77777777" w:rsidR="00E87E0A" w:rsidRPr="006600EC" w:rsidRDefault="00E87E0A" w:rsidP="00EC1474">
            <w:pPr>
              <w:jc w:val="center"/>
              <w:rPr>
                <w:sz w:val="22"/>
                <w:szCs w:val="22"/>
              </w:rPr>
            </w:pPr>
            <w:r>
              <w:rPr>
                <w:sz w:val="22"/>
                <w:szCs w:val="22"/>
              </w:rPr>
              <w:t xml:space="preserve">Intermediary </w:t>
            </w:r>
          </w:p>
        </w:tc>
        <w:tc>
          <w:tcPr>
            <w:tcW w:w="2236" w:type="dxa"/>
            <w:tcBorders>
              <w:bottom w:val="single" w:sz="2" w:space="0" w:color="auto"/>
            </w:tcBorders>
          </w:tcPr>
          <w:p w14:paraId="450948F7" w14:textId="77777777" w:rsidR="00E87E0A" w:rsidRPr="006600EC" w:rsidRDefault="00E87E0A" w:rsidP="00EC1474">
            <w:pPr>
              <w:jc w:val="center"/>
              <w:rPr>
                <w:sz w:val="22"/>
                <w:szCs w:val="22"/>
              </w:rPr>
            </w:pPr>
            <w:r>
              <w:rPr>
                <w:sz w:val="22"/>
                <w:szCs w:val="22"/>
              </w:rPr>
              <w:t xml:space="preserve">Knowledge Content </w:t>
            </w:r>
          </w:p>
        </w:tc>
      </w:tr>
      <w:tr w:rsidR="00E87E0A" w14:paraId="21BA5567" w14:textId="77777777" w:rsidTr="00F11A06">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28828F18" w14:textId="1D29B74E" w:rsidR="00E87E0A" w:rsidRPr="002104F8" w:rsidRDefault="00E87E0A" w:rsidP="00EC1474">
            <w:pPr>
              <w:rPr>
                <w:i/>
                <w:sz w:val="22"/>
                <w:szCs w:val="22"/>
              </w:rPr>
            </w:pPr>
            <w:r>
              <w:rPr>
                <w:b/>
                <w:sz w:val="22"/>
                <w:szCs w:val="22"/>
              </w:rPr>
              <w:t>BoR5</w:t>
            </w:r>
            <w:r w:rsidR="002104F8">
              <w:rPr>
                <w:b/>
                <w:sz w:val="22"/>
                <w:szCs w:val="22"/>
              </w:rPr>
              <w:t xml:space="preserve"> </w:t>
            </w:r>
            <w:r w:rsidR="002104F8">
              <w:rPr>
                <w:i/>
                <w:sz w:val="22"/>
                <w:szCs w:val="22"/>
              </w:rPr>
              <w:t>(basic, life, ‘more prestigious’)</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3B85021" w14:textId="3EE1E4A3" w:rsidR="00E87E0A" w:rsidRPr="00C75942" w:rsidRDefault="00A83084" w:rsidP="00EC1474">
            <w:pPr>
              <w:jc w:val="center"/>
              <w:rPr>
                <w:b/>
                <w:sz w:val="22"/>
                <w:szCs w:val="22"/>
              </w:rPr>
            </w:pPr>
            <w:r w:rsidRPr="00C75942">
              <w:rPr>
                <w:b/>
                <w:sz w:val="22"/>
                <w:szCs w:val="22"/>
              </w:rPr>
              <w:t>2.83</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0E6D59C" w14:textId="660232D6" w:rsidR="00E87E0A" w:rsidRPr="00C75942" w:rsidRDefault="00A83084" w:rsidP="00EC1474">
            <w:pPr>
              <w:jc w:val="center"/>
              <w:rPr>
                <w:b/>
                <w:sz w:val="22"/>
                <w:szCs w:val="22"/>
              </w:rPr>
            </w:pPr>
            <w:r w:rsidRPr="00C75942">
              <w:rPr>
                <w:b/>
                <w:sz w:val="22"/>
                <w:szCs w:val="22"/>
              </w:rPr>
              <w:t>2.63</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29D906B" w14:textId="6EAFFDB4" w:rsidR="00E87E0A" w:rsidRPr="00C75942" w:rsidRDefault="00A83084" w:rsidP="00EC1474">
            <w:pPr>
              <w:jc w:val="center"/>
              <w:rPr>
                <w:b/>
                <w:sz w:val="22"/>
                <w:szCs w:val="22"/>
              </w:rPr>
            </w:pPr>
            <w:r w:rsidRPr="00C75942">
              <w:rPr>
                <w:b/>
                <w:sz w:val="22"/>
                <w:szCs w:val="22"/>
              </w:rPr>
              <w:t>1.67</w:t>
            </w:r>
          </w:p>
        </w:tc>
      </w:tr>
      <w:tr w:rsidR="00F11A06" w14:paraId="7FE33FEA" w14:textId="77777777" w:rsidTr="00F11A06">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046B2611" w14:textId="14017498" w:rsidR="00F11A06" w:rsidRDefault="00F11A06" w:rsidP="00F11A06">
            <w:pPr>
              <w:rPr>
                <w:sz w:val="22"/>
                <w:szCs w:val="22"/>
              </w:rPr>
            </w:pPr>
            <w:r>
              <w:rPr>
                <w:sz w:val="22"/>
                <w:szCs w:val="22"/>
              </w:rPr>
              <w:t>‘Basic’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D9FFEE5" w14:textId="3077E24F" w:rsidR="00F11A06" w:rsidRDefault="00F11A06" w:rsidP="00F11A06">
            <w:pPr>
              <w:jc w:val="center"/>
              <w:rPr>
                <w:sz w:val="22"/>
                <w:szCs w:val="22"/>
              </w:rPr>
            </w:pPr>
            <w:r>
              <w:rPr>
                <w:sz w:val="22"/>
                <w:szCs w:val="22"/>
              </w:rPr>
              <w:t>3.24</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E024AD2" w14:textId="0231B962" w:rsidR="00F11A06" w:rsidRDefault="00F11A06" w:rsidP="00F11A06">
            <w:pPr>
              <w:jc w:val="center"/>
              <w:rPr>
                <w:sz w:val="22"/>
                <w:szCs w:val="22"/>
              </w:rPr>
            </w:pPr>
            <w:r>
              <w:rPr>
                <w:sz w:val="22"/>
                <w:szCs w:val="22"/>
              </w:rPr>
              <w:t>2.37</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8FD1388" w14:textId="48A19F6C" w:rsidR="00F11A06" w:rsidRDefault="00F11A06" w:rsidP="00F11A06">
            <w:pPr>
              <w:jc w:val="center"/>
              <w:rPr>
                <w:sz w:val="22"/>
                <w:szCs w:val="22"/>
              </w:rPr>
            </w:pPr>
            <w:r>
              <w:rPr>
                <w:sz w:val="22"/>
                <w:szCs w:val="22"/>
              </w:rPr>
              <w:t>1.52</w:t>
            </w:r>
          </w:p>
        </w:tc>
      </w:tr>
      <w:tr w:rsidR="00F11A06" w14:paraId="5A630CAF" w14:textId="77777777" w:rsidTr="00F11A06">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4C17E958" w14:textId="4CAEFDE4" w:rsidR="00F11A06" w:rsidRDefault="00F11A06" w:rsidP="00F11A06">
            <w:pPr>
              <w:rPr>
                <w:sz w:val="22"/>
                <w:szCs w:val="22"/>
              </w:rPr>
            </w:pPr>
            <w:r>
              <w:rPr>
                <w:sz w:val="22"/>
                <w:szCs w:val="22"/>
              </w:rPr>
              <w:t>‘Life’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C5FC031" w14:textId="24FAB15D" w:rsidR="00F11A06" w:rsidRDefault="00F11A06" w:rsidP="00F11A06">
            <w:pPr>
              <w:jc w:val="center"/>
              <w:rPr>
                <w:sz w:val="22"/>
                <w:szCs w:val="22"/>
              </w:rPr>
            </w:pPr>
            <w:r>
              <w:rPr>
                <w:sz w:val="22"/>
                <w:szCs w:val="22"/>
              </w:rPr>
              <w:t>3.17</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05CEEDF" w14:textId="3D2F366C" w:rsidR="00F11A06" w:rsidRDefault="00F11A06" w:rsidP="00F11A06">
            <w:pPr>
              <w:jc w:val="center"/>
              <w:rPr>
                <w:sz w:val="22"/>
                <w:szCs w:val="22"/>
              </w:rPr>
            </w:pPr>
            <w:r>
              <w:rPr>
                <w:sz w:val="22"/>
                <w:szCs w:val="22"/>
              </w:rPr>
              <w:t>2.42</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8449709" w14:textId="56A01B10" w:rsidR="00F11A06" w:rsidRDefault="00F11A06" w:rsidP="00F11A06">
            <w:pPr>
              <w:jc w:val="center"/>
              <w:rPr>
                <w:sz w:val="22"/>
                <w:szCs w:val="22"/>
              </w:rPr>
            </w:pPr>
            <w:r>
              <w:rPr>
                <w:sz w:val="22"/>
                <w:szCs w:val="22"/>
              </w:rPr>
              <w:t>1.72</w:t>
            </w:r>
          </w:p>
        </w:tc>
      </w:tr>
      <w:tr w:rsidR="00F11A06" w14:paraId="1CDD9DB5" w14:textId="77777777" w:rsidTr="00F11A06">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24EA7C4E" w14:textId="552C4220" w:rsidR="00F11A06" w:rsidRDefault="00F11A06" w:rsidP="00F11A06">
            <w:pPr>
              <w:rPr>
                <w:sz w:val="22"/>
                <w:szCs w:val="22"/>
              </w:rPr>
            </w:pPr>
            <w:r>
              <w:rPr>
                <w:sz w:val="22"/>
                <w:szCs w:val="22"/>
              </w:rPr>
              <w:t>‘More prestigious’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AF70EF" w14:textId="048D83FE" w:rsidR="00F11A06" w:rsidRDefault="00F11A06" w:rsidP="00F11A06">
            <w:pPr>
              <w:jc w:val="center"/>
              <w:rPr>
                <w:sz w:val="22"/>
                <w:szCs w:val="22"/>
              </w:rPr>
            </w:pPr>
            <w:r>
              <w:rPr>
                <w:sz w:val="22"/>
                <w:szCs w:val="22"/>
              </w:rPr>
              <w:t>3.4</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F8C6E4C" w14:textId="713C9B83" w:rsidR="00F11A06" w:rsidRDefault="00F11A06" w:rsidP="00F11A06">
            <w:pPr>
              <w:jc w:val="center"/>
              <w:rPr>
                <w:sz w:val="22"/>
                <w:szCs w:val="22"/>
              </w:rPr>
            </w:pPr>
            <w:r>
              <w:rPr>
                <w:sz w:val="22"/>
                <w:szCs w:val="22"/>
              </w:rPr>
              <w:t>2.46</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9701B8C" w14:textId="5320C8F0" w:rsidR="00F11A06" w:rsidRDefault="00F11A06" w:rsidP="00F11A06">
            <w:pPr>
              <w:jc w:val="center"/>
              <w:rPr>
                <w:sz w:val="22"/>
                <w:szCs w:val="22"/>
              </w:rPr>
            </w:pPr>
            <w:r>
              <w:rPr>
                <w:sz w:val="22"/>
                <w:szCs w:val="22"/>
              </w:rPr>
              <w:t>1.54</w:t>
            </w:r>
          </w:p>
        </w:tc>
      </w:tr>
      <w:tr w:rsidR="00F11A06" w14:paraId="5FBF7718" w14:textId="77777777" w:rsidTr="00F11A06">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7CF7E60B" w14:textId="77777777" w:rsidR="00F11A06" w:rsidRPr="00251410" w:rsidRDefault="00F11A06" w:rsidP="00F11A06">
            <w:pPr>
              <w:rPr>
                <w:b/>
                <w:sz w:val="22"/>
                <w:szCs w:val="22"/>
              </w:rPr>
            </w:pPr>
            <w:r w:rsidRPr="00251410">
              <w:rPr>
                <w:b/>
                <w:sz w:val="22"/>
                <w:szCs w:val="22"/>
              </w:rPr>
              <w:t>Sample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41242A" w14:textId="77777777" w:rsidR="00F11A06" w:rsidRPr="00251410" w:rsidRDefault="00F11A06" w:rsidP="00F11A06">
            <w:pPr>
              <w:jc w:val="center"/>
              <w:rPr>
                <w:b/>
                <w:sz w:val="22"/>
                <w:szCs w:val="22"/>
              </w:rPr>
            </w:pPr>
            <w:r w:rsidRPr="00251410">
              <w:rPr>
                <w:b/>
                <w:sz w:val="22"/>
                <w:szCs w:val="22"/>
              </w:rPr>
              <w:t>3.54</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1535F3" w14:textId="77777777" w:rsidR="00F11A06" w:rsidRPr="00251410" w:rsidRDefault="00F11A06" w:rsidP="00F11A06">
            <w:pPr>
              <w:jc w:val="center"/>
              <w:rPr>
                <w:b/>
                <w:sz w:val="22"/>
                <w:szCs w:val="22"/>
              </w:rPr>
            </w:pPr>
            <w:r w:rsidRPr="00251410">
              <w:rPr>
                <w:b/>
                <w:sz w:val="22"/>
                <w:szCs w:val="22"/>
              </w:rPr>
              <w:t>2.43</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3C38B2F" w14:textId="77777777" w:rsidR="00F11A06" w:rsidRPr="00251410" w:rsidRDefault="00F11A06" w:rsidP="00820FCD">
            <w:pPr>
              <w:keepNext/>
              <w:jc w:val="center"/>
              <w:rPr>
                <w:b/>
                <w:sz w:val="22"/>
                <w:szCs w:val="22"/>
              </w:rPr>
            </w:pPr>
            <w:r w:rsidRPr="00251410">
              <w:rPr>
                <w:b/>
                <w:sz w:val="22"/>
                <w:szCs w:val="22"/>
              </w:rPr>
              <w:t>1.58</w:t>
            </w:r>
          </w:p>
        </w:tc>
      </w:tr>
    </w:tbl>
    <w:p w14:paraId="71952B75" w14:textId="13947639" w:rsidR="00E87E0A" w:rsidRDefault="00820FCD" w:rsidP="00820FCD">
      <w:pPr>
        <w:pStyle w:val="Caption"/>
        <w:rPr>
          <w:sz w:val="24"/>
          <w:szCs w:val="24"/>
        </w:rPr>
      </w:pPr>
      <w:bookmarkStart w:id="157" w:name="_Ref8917840"/>
      <w:bookmarkStart w:id="158" w:name="_Ref8849058"/>
      <w:bookmarkStart w:id="159" w:name="_Toc31702049"/>
      <w:r>
        <w:t xml:space="preserve">Table </w:t>
      </w:r>
      <w:r w:rsidR="00A56355">
        <w:fldChar w:fldCharType="begin"/>
      </w:r>
      <w:r w:rsidR="00A56355">
        <w:instrText xml:space="preserve"> SEQ Table \* ARABIC </w:instrText>
      </w:r>
      <w:r w:rsidR="00A56355">
        <w:fldChar w:fldCharType="separate"/>
      </w:r>
      <w:r w:rsidR="0011424E">
        <w:rPr>
          <w:noProof/>
        </w:rPr>
        <w:t>20</w:t>
      </w:r>
      <w:r w:rsidR="00A56355">
        <w:rPr>
          <w:noProof/>
        </w:rPr>
        <w:fldChar w:fldCharType="end"/>
      </w:r>
      <w:bookmarkEnd w:id="157"/>
      <w:r>
        <w:t>. BoR</w:t>
      </w:r>
      <w:r w:rsidR="00E317D6">
        <w:t>5</w:t>
      </w:r>
      <w:r>
        <w:t xml:space="preserve"> typology values by 'research dimension' (with comparator values)</w:t>
      </w:r>
      <w:bookmarkEnd w:id="158"/>
      <w:bookmarkEnd w:id="159"/>
    </w:p>
    <w:p w14:paraId="17E64853" w14:textId="53BF70C0" w:rsidR="00E87E0A" w:rsidRDefault="00341595" w:rsidP="00DD7E84">
      <w:pPr>
        <w:spacing w:after="120" w:line="360" w:lineRule="auto"/>
        <w:rPr>
          <w:sz w:val="24"/>
          <w:szCs w:val="24"/>
        </w:rPr>
      </w:pPr>
      <w:r>
        <w:rPr>
          <w:sz w:val="24"/>
          <w:szCs w:val="24"/>
        </w:rPr>
        <w:t>As before, I will start by discussing the ‘social context’ in detail</w:t>
      </w:r>
      <w:r w:rsidR="00BA787B">
        <w:rPr>
          <w:sz w:val="24"/>
          <w:szCs w:val="24"/>
        </w:rPr>
        <w:t>.</w:t>
      </w:r>
    </w:p>
    <w:p w14:paraId="6EE74D1D" w14:textId="77777777" w:rsidR="00DD7E84" w:rsidRDefault="00DD7E84" w:rsidP="00F767D2">
      <w:pPr>
        <w:pStyle w:val="Heading4"/>
      </w:pPr>
      <w:r>
        <w:t>‘Social context values’ (goals, relevance, evaluation and outputs &amp; outcomes)</w:t>
      </w:r>
    </w:p>
    <w:p w14:paraId="573147AA" w14:textId="1913AC50" w:rsidR="00DD7E84" w:rsidRPr="00F767D2" w:rsidRDefault="00DD7E84" w:rsidP="00DD7E84">
      <w:pPr>
        <w:spacing w:after="120" w:line="360" w:lineRule="auto"/>
        <w:rPr>
          <w:sz w:val="24"/>
          <w:szCs w:val="24"/>
          <w:u w:val="single"/>
        </w:rPr>
      </w:pPr>
      <w:r w:rsidRPr="00594051">
        <w:rPr>
          <w:sz w:val="24"/>
          <w:szCs w:val="24"/>
          <w:u w:val="single"/>
        </w:rPr>
        <w:t>Phase 1</w:t>
      </w:r>
      <w:r>
        <w:rPr>
          <w:sz w:val="24"/>
          <w:szCs w:val="24"/>
          <w:u w:val="single"/>
        </w:rPr>
        <w:t>. (Co-advancement of science and technology)</w:t>
      </w:r>
      <w:r w:rsidR="00F767D2">
        <w:rPr>
          <w:sz w:val="24"/>
          <w:szCs w:val="24"/>
          <w:u w:val="single"/>
        </w:rPr>
        <w:br/>
      </w:r>
      <w:r>
        <w:rPr>
          <w:sz w:val="24"/>
          <w:szCs w:val="24"/>
        </w:rPr>
        <w:t>Sea mammals, such as seals, are top predators in marine ecosystems. As such, they often are in competition with human fisheries for fish and this has prompted calls from fisheries for governments to control seal populations. Sustainable control requires detailed knowledge about both population distribution and seal behaviour, particularly behaviour related to foraging habits. Therefore, driven by the desire to inform economic, environmental and political debate around seal population management, research at SMRU from the 1990s focused on improving instrumentation for remotely tracking and collecting data about seals in their natural habitats.</w:t>
      </w:r>
    </w:p>
    <w:p w14:paraId="18973753" w14:textId="394DC16E" w:rsidR="00DD7E84" w:rsidRDefault="00DD7E84" w:rsidP="00DD7E84">
      <w:pPr>
        <w:spacing w:after="120" w:line="360" w:lineRule="auto"/>
        <w:rPr>
          <w:sz w:val="24"/>
          <w:szCs w:val="24"/>
        </w:rPr>
      </w:pPr>
      <w:r>
        <w:rPr>
          <w:sz w:val="24"/>
          <w:szCs w:val="24"/>
        </w:rPr>
        <w:t>I gave the ‘goals’ attribute a value of 3. This is because the immediate goals were strongly scientific, focused on advancing knowledge within the interdisciplinary sub-field of mammalogy (which brings together elements of marine zoology and ecology)</w:t>
      </w:r>
      <w:r w:rsidR="005F659F">
        <w:rPr>
          <w:sz w:val="24"/>
          <w:szCs w:val="24"/>
        </w:rPr>
        <w:t>, but the longer-term goals were to in</w:t>
      </w:r>
      <w:r w:rsidR="002016FA">
        <w:rPr>
          <w:sz w:val="24"/>
          <w:szCs w:val="24"/>
        </w:rPr>
        <w:t>form and influence policy about balancing economic needs and conservation</w:t>
      </w:r>
      <w:r>
        <w:rPr>
          <w:sz w:val="24"/>
          <w:szCs w:val="24"/>
        </w:rPr>
        <w:t>. For similar reasons I gave the same value of 3 to the ‘relevance’ attribute. Although the ultimate aim of the research was to produce information of relevance to the social context of political debate, economic aquaculture and seal conservation, the knowledge produced also had broader scientific relevance (a point which directly informs Phase 3, as I will explain below).</w:t>
      </w:r>
    </w:p>
    <w:p w14:paraId="7C323A93" w14:textId="0C8C3825" w:rsidR="00DD7E84" w:rsidRDefault="00DD7E84" w:rsidP="00DD7E84">
      <w:pPr>
        <w:spacing w:before="120" w:after="120" w:line="360" w:lineRule="auto"/>
        <w:rPr>
          <w:sz w:val="24"/>
          <w:szCs w:val="24"/>
        </w:rPr>
      </w:pPr>
      <w:r>
        <w:rPr>
          <w:sz w:val="24"/>
          <w:szCs w:val="24"/>
        </w:rPr>
        <w:t>I gave lower values for ‘outputs &amp; outcomes’ and ‘evaluation’</w:t>
      </w:r>
      <w:r w:rsidR="00935878">
        <w:rPr>
          <w:sz w:val="24"/>
          <w:szCs w:val="24"/>
        </w:rPr>
        <w:t xml:space="preserve"> –</w:t>
      </w:r>
      <w:r>
        <w:rPr>
          <w:sz w:val="24"/>
          <w:szCs w:val="24"/>
        </w:rPr>
        <w:t xml:space="preserve"> a 2 for both. The outputs are predominantly what McNie et al. (2016) would term “narrow”, taking the form of “peer-reviewed publications, ... patents, ... [and] new methods and processes”, while the “primary outcome is new knowledge and the improved understanding of phenomena” (p. 890). These are all relatively science-focused characteristics. As such, the ‘evaluation’ and success criteria </w:t>
      </w:r>
      <w:r w:rsidR="00670DC6">
        <w:rPr>
          <w:sz w:val="24"/>
          <w:szCs w:val="24"/>
        </w:rPr>
        <w:t xml:space="preserve">at Phase 1 </w:t>
      </w:r>
      <w:r>
        <w:rPr>
          <w:sz w:val="24"/>
          <w:szCs w:val="24"/>
        </w:rPr>
        <w:t xml:space="preserve">were mainly defined in terms of their success in these “narrow” outputs (ibid., p. 890). </w:t>
      </w:r>
      <w:r w:rsidRPr="00C05E45">
        <w:rPr>
          <w:sz w:val="24"/>
          <w:szCs w:val="24"/>
        </w:rPr>
        <w:fldChar w:fldCharType="begin"/>
      </w:r>
      <w:r w:rsidRPr="00C05E45">
        <w:rPr>
          <w:sz w:val="24"/>
          <w:szCs w:val="24"/>
        </w:rPr>
        <w:instrText xml:space="preserve"> REF _Ref7019403 \h </w:instrText>
      </w:r>
      <w:r>
        <w:rPr>
          <w:sz w:val="24"/>
          <w:szCs w:val="24"/>
        </w:rPr>
        <w:instrText xml:space="preserve"> \* MERGEFORMAT </w:instrText>
      </w:r>
      <w:r w:rsidRPr="00C05E45">
        <w:rPr>
          <w:sz w:val="24"/>
          <w:szCs w:val="24"/>
        </w:rPr>
      </w:r>
      <w:r w:rsidRPr="00C05E45">
        <w:rPr>
          <w:sz w:val="24"/>
          <w:szCs w:val="24"/>
        </w:rPr>
        <w:fldChar w:fldCharType="separate"/>
      </w:r>
      <w:r w:rsidR="0011424E" w:rsidRPr="0011424E">
        <w:rPr>
          <w:sz w:val="24"/>
          <w:szCs w:val="24"/>
        </w:rPr>
        <w:t xml:space="preserve">Table </w:t>
      </w:r>
      <w:r w:rsidR="0011424E" w:rsidRPr="0011424E">
        <w:rPr>
          <w:noProof/>
          <w:sz w:val="24"/>
          <w:szCs w:val="24"/>
        </w:rPr>
        <w:t>21</w:t>
      </w:r>
      <w:r w:rsidRPr="00C05E45">
        <w:rPr>
          <w:sz w:val="24"/>
          <w:szCs w:val="24"/>
        </w:rPr>
        <w:fldChar w:fldCharType="end"/>
      </w:r>
      <w:r>
        <w:rPr>
          <w:sz w:val="24"/>
          <w:szCs w:val="24"/>
        </w:rPr>
        <w:t xml:space="preserve"> summarises these values.</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tblGrid>
      <w:tr w:rsidR="00DD7E84" w14:paraId="03FC5840" w14:textId="77777777" w:rsidTr="00DE5040">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2DFE07EC" w14:textId="77777777" w:rsidR="00DD7E84" w:rsidRPr="008707A9" w:rsidRDefault="00DD7E84" w:rsidP="00DE504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tcPr>
          <w:p w14:paraId="0582BF95" w14:textId="67398F72" w:rsidR="00DD7E84" w:rsidRPr="00FF5CE5" w:rsidRDefault="00DD7E84" w:rsidP="00DE5040">
            <w:pPr>
              <w:spacing w:after="0" w:line="240" w:lineRule="auto"/>
              <w:jc w:val="center"/>
              <w:rPr>
                <w:rFonts w:asciiTheme="majorBidi" w:hAnsiTheme="majorBidi" w:cstheme="majorBidi"/>
                <w:b/>
              </w:rPr>
            </w:pPr>
            <w:r>
              <w:rPr>
                <w:rFonts w:asciiTheme="majorBidi" w:hAnsiTheme="majorBidi" w:cstheme="majorBidi"/>
                <w:b/>
              </w:rPr>
              <w:t>Value</w:t>
            </w:r>
            <w:r w:rsidR="00F90851">
              <w:rPr>
                <w:rFonts w:asciiTheme="majorBidi" w:hAnsiTheme="majorBidi" w:cstheme="majorBidi"/>
                <w:b/>
              </w:rPr>
              <w:t xml:space="preserve"> (Phase 1)</w:t>
            </w:r>
          </w:p>
        </w:tc>
      </w:tr>
      <w:tr w:rsidR="00DD7E84" w14:paraId="171CA6F4"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24DAB"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58FA585C"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003377FA"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DADD7"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7642EAB7"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7B216E6F"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E7149"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609CD197"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DD7E84" w14:paraId="4F618453"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69DB2"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Outputs</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492C9BCB"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6B1E4C3A" w14:textId="402F464B" w:rsidR="00DD7E84" w:rsidRDefault="00DD7E84" w:rsidP="00DD7E84">
      <w:pPr>
        <w:pStyle w:val="Caption"/>
        <w:rPr>
          <w:sz w:val="24"/>
          <w:szCs w:val="24"/>
        </w:rPr>
      </w:pPr>
      <w:bookmarkStart w:id="160" w:name="_Ref7019403"/>
      <w:bookmarkStart w:id="161" w:name="_Toc31702050"/>
      <w:r>
        <w:t xml:space="preserve">Table </w:t>
      </w:r>
      <w:r w:rsidR="00A56355">
        <w:fldChar w:fldCharType="begin"/>
      </w:r>
      <w:r w:rsidR="00A56355">
        <w:instrText xml:space="preserve"> SEQ Table \* ARABIC </w:instrText>
      </w:r>
      <w:r w:rsidR="00A56355">
        <w:fldChar w:fldCharType="separate"/>
      </w:r>
      <w:r w:rsidR="0011424E">
        <w:rPr>
          <w:noProof/>
        </w:rPr>
        <w:t>21</w:t>
      </w:r>
      <w:r w:rsidR="00A56355">
        <w:rPr>
          <w:noProof/>
        </w:rPr>
        <w:fldChar w:fldCharType="end"/>
      </w:r>
      <w:bookmarkEnd w:id="160"/>
      <w:r>
        <w:t xml:space="preserve">. </w:t>
      </w:r>
      <w:r w:rsidRPr="00EB705F">
        <w:t>BoR</w:t>
      </w:r>
      <w:r>
        <w:t>5</w:t>
      </w:r>
      <w:r w:rsidRPr="00EB705F">
        <w:t xml:space="preserve"> '</w:t>
      </w:r>
      <w:r>
        <w:t>social context</w:t>
      </w:r>
      <w:r w:rsidRPr="00EB705F">
        <w:t xml:space="preserve">' values - Phase </w:t>
      </w:r>
      <w:r>
        <w:t>1</w:t>
      </w:r>
      <w:bookmarkEnd w:id="161"/>
    </w:p>
    <w:p w14:paraId="531C5687" w14:textId="122C06CC" w:rsidR="00DD7E84" w:rsidRPr="00EB521E" w:rsidRDefault="00DD7E84" w:rsidP="00EB521E">
      <w:pPr>
        <w:spacing w:before="120" w:after="120" w:line="360" w:lineRule="auto"/>
        <w:rPr>
          <w:sz w:val="24"/>
          <w:szCs w:val="24"/>
          <w:u w:val="single"/>
        </w:rPr>
      </w:pPr>
      <w:r>
        <w:rPr>
          <w:sz w:val="24"/>
          <w:szCs w:val="24"/>
          <w:u w:val="single"/>
        </w:rPr>
        <w:t>Phase 2. (Methodological innovations)</w:t>
      </w:r>
      <w:r w:rsidR="00EB521E">
        <w:rPr>
          <w:sz w:val="24"/>
          <w:szCs w:val="24"/>
          <w:u w:val="single"/>
        </w:rPr>
        <w:br/>
      </w:r>
      <w:r>
        <w:rPr>
          <w:sz w:val="24"/>
          <w:szCs w:val="24"/>
        </w:rPr>
        <w:t xml:space="preserve">The data obtained by the instrumentation developed at Phase 1 was </w:t>
      </w:r>
      <w:r w:rsidR="0099182F">
        <w:rPr>
          <w:sz w:val="24"/>
          <w:szCs w:val="24"/>
        </w:rPr>
        <w:t>extensive</w:t>
      </w:r>
      <w:r>
        <w:rPr>
          <w:sz w:val="24"/>
          <w:szCs w:val="24"/>
        </w:rPr>
        <w:t xml:space="preserve"> and extremely complex. This meant that SMRU then needed methodological advances to cope with this new data. This mainly took the form of statistical research and innovation, with the aims of estimating the error inherent in existing methods and in maximising the analytical potential of </w:t>
      </w:r>
      <w:r w:rsidR="00A022A5">
        <w:rPr>
          <w:sz w:val="24"/>
          <w:szCs w:val="24"/>
        </w:rPr>
        <w:t>newly acquired</w:t>
      </w:r>
      <w:r>
        <w:rPr>
          <w:sz w:val="24"/>
          <w:szCs w:val="24"/>
        </w:rPr>
        <w:t xml:space="preserve"> data. For example, SMRU’s statistical research involved using their new instrumentation and techniques to calculate estimates of the errors inherent in the data from satellite systems used by different research groups around the world. They also proposed and tested novel statistical methods. </w:t>
      </w:r>
    </w:p>
    <w:p w14:paraId="01306817" w14:textId="744D693F" w:rsidR="00DD7E84" w:rsidRDefault="00DD7E84" w:rsidP="00DD7E84">
      <w:pPr>
        <w:spacing w:after="120" w:line="360" w:lineRule="auto"/>
        <w:rPr>
          <w:sz w:val="24"/>
          <w:szCs w:val="24"/>
        </w:rPr>
      </w:pPr>
      <w:r>
        <w:rPr>
          <w:sz w:val="24"/>
          <w:szCs w:val="24"/>
        </w:rPr>
        <w:t>Regarding the typology (s</w:t>
      </w:r>
      <w:r w:rsidRPr="00176923">
        <w:rPr>
          <w:sz w:val="24"/>
          <w:szCs w:val="24"/>
        </w:rPr>
        <w:t xml:space="preserve">ee </w:t>
      </w:r>
      <w:r w:rsidRPr="00176923">
        <w:rPr>
          <w:sz w:val="24"/>
          <w:szCs w:val="24"/>
        </w:rPr>
        <w:fldChar w:fldCharType="begin"/>
      </w:r>
      <w:r w:rsidRPr="00176923">
        <w:rPr>
          <w:sz w:val="24"/>
          <w:szCs w:val="24"/>
        </w:rPr>
        <w:instrText xml:space="preserve"> REF _Ref7019453 \h </w:instrText>
      </w:r>
      <w:r>
        <w:rPr>
          <w:sz w:val="24"/>
          <w:szCs w:val="24"/>
        </w:rPr>
        <w:instrText xml:space="preserve"> \* MERGEFORMAT </w:instrText>
      </w:r>
      <w:r w:rsidRPr="00176923">
        <w:rPr>
          <w:sz w:val="24"/>
          <w:szCs w:val="24"/>
        </w:rPr>
      </w:r>
      <w:r w:rsidRPr="00176923">
        <w:rPr>
          <w:sz w:val="24"/>
          <w:szCs w:val="24"/>
        </w:rPr>
        <w:fldChar w:fldCharType="separate"/>
      </w:r>
      <w:r w:rsidR="0011424E" w:rsidRPr="0011424E">
        <w:rPr>
          <w:sz w:val="24"/>
          <w:szCs w:val="24"/>
        </w:rPr>
        <w:t xml:space="preserve">Table </w:t>
      </w:r>
      <w:r w:rsidR="0011424E" w:rsidRPr="0011424E">
        <w:rPr>
          <w:noProof/>
          <w:sz w:val="24"/>
          <w:szCs w:val="24"/>
        </w:rPr>
        <w:t>22</w:t>
      </w:r>
      <w:r w:rsidRPr="00176923">
        <w:rPr>
          <w:sz w:val="24"/>
          <w:szCs w:val="24"/>
        </w:rPr>
        <w:fldChar w:fldCharType="end"/>
      </w:r>
      <w:r w:rsidRPr="00176923">
        <w:rPr>
          <w:sz w:val="24"/>
          <w:szCs w:val="24"/>
        </w:rPr>
        <w:t>),</w:t>
      </w:r>
      <w:r>
        <w:rPr>
          <w:sz w:val="24"/>
          <w:szCs w:val="24"/>
        </w:rPr>
        <w:t xml:space="preserve"> I judged all values to be the same for Phase 2 as they were at Phase 1 – 3 for ‘goals’ and ‘relevance’, and 2 for ‘outputs &amp; outcomes’ and ‘evaluation’. </w:t>
      </w:r>
      <w:r w:rsidR="00EF3941">
        <w:rPr>
          <w:sz w:val="24"/>
          <w:szCs w:val="24"/>
        </w:rPr>
        <w:t xml:space="preserve">This is because, even </w:t>
      </w:r>
      <w:r>
        <w:rPr>
          <w:sz w:val="24"/>
          <w:szCs w:val="24"/>
        </w:rPr>
        <w:t xml:space="preserve">though the content of Phase 2 had moved on from and built upon that from Phase 1, its relation to the ‘social context’ was, according to my interpretation, the same. </w:t>
      </w:r>
    </w:p>
    <w:tbl>
      <w:tblPr>
        <w:tblW w:w="6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tblGrid>
      <w:tr w:rsidR="00FE7D96" w14:paraId="2A821EDD" w14:textId="77777777" w:rsidTr="00FE7D96">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3915F52D" w14:textId="77777777" w:rsidR="00FE7D96" w:rsidRPr="008707A9" w:rsidRDefault="00FE7D96" w:rsidP="00DE504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82981DF" w14:textId="6BB176AF" w:rsidR="00FE7D96" w:rsidRPr="00FE7D96" w:rsidRDefault="00FE7D96" w:rsidP="00DE5040">
            <w:pPr>
              <w:spacing w:after="0" w:line="240" w:lineRule="auto"/>
              <w:jc w:val="center"/>
              <w:rPr>
                <w:rFonts w:asciiTheme="majorBidi" w:hAnsiTheme="majorBidi" w:cstheme="majorBidi"/>
                <w:b/>
              </w:rPr>
            </w:pPr>
            <w:r>
              <w:rPr>
                <w:rFonts w:asciiTheme="majorBidi" w:hAnsiTheme="majorBidi" w:cstheme="majorBidi"/>
                <w:b/>
              </w:rPr>
              <w:t>Value (Phase 1)</w:t>
            </w:r>
          </w:p>
        </w:tc>
        <w:tc>
          <w:tcPr>
            <w:tcW w:w="1753" w:type="dxa"/>
            <w:tcBorders>
              <w:top w:val="single" w:sz="4" w:space="0" w:color="auto"/>
              <w:left w:val="single" w:sz="4" w:space="0" w:color="auto"/>
              <w:bottom w:val="single" w:sz="4" w:space="0" w:color="auto"/>
              <w:right w:val="single" w:sz="4" w:space="0" w:color="auto"/>
            </w:tcBorders>
          </w:tcPr>
          <w:p w14:paraId="1A6B8961" w14:textId="7F2843DD" w:rsidR="00FE7D96" w:rsidRPr="00FF5CE5" w:rsidRDefault="00FE7D96" w:rsidP="00DE5040">
            <w:pPr>
              <w:spacing w:after="0" w:line="240" w:lineRule="auto"/>
              <w:jc w:val="center"/>
              <w:rPr>
                <w:rFonts w:asciiTheme="majorBidi" w:hAnsiTheme="majorBidi" w:cstheme="majorBidi"/>
                <w:b/>
              </w:rPr>
            </w:pPr>
            <w:r>
              <w:rPr>
                <w:rFonts w:asciiTheme="majorBidi" w:hAnsiTheme="majorBidi" w:cstheme="majorBidi"/>
                <w:b/>
              </w:rPr>
              <w:t>Value (Phase 2)</w:t>
            </w:r>
          </w:p>
        </w:tc>
      </w:tr>
      <w:tr w:rsidR="00FE7D96" w14:paraId="3CD91B0D" w14:textId="77777777" w:rsidTr="00FE7D96">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6C8D8" w14:textId="77777777" w:rsidR="00FE7D96" w:rsidRPr="008707A9" w:rsidRDefault="00FE7D96" w:rsidP="00FE7D96">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C3C856B" w14:textId="3E04AD1F" w:rsidR="00FE7D96" w:rsidRDefault="00FE7D96" w:rsidP="00FE7D96">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1CB3E807" w14:textId="6B6852C7" w:rsidR="00FE7D96" w:rsidRPr="000B15CE" w:rsidRDefault="00FE7D96" w:rsidP="00FE7D96">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FE7D96" w14:paraId="3284DF47" w14:textId="77777777" w:rsidTr="00FE7D96">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F98A3" w14:textId="77777777" w:rsidR="00FE7D96" w:rsidRPr="008707A9" w:rsidRDefault="00FE7D96" w:rsidP="00FE7D96">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201A922" w14:textId="54724E22" w:rsidR="00FE7D96" w:rsidRDefault="00FE7D96" w:rsidP="00FE7D96">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55BF9A07" w14:textId="58D72DB7" w:rsidR="00FE7D96" w:rsidRPr="000B15CE" w:rsidRDefault="00FE7D96" w:rsidP="00FE7D96">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FE7D96" w14:paraId="3C04D82B" w14:textId="77777777" w:rsidTr="00FE7D96">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66D60" w14:textId="77777777" w:rsidR="00FE7D96" w:rsidRPr="008707A9" w:rsidRDefault="00FE7D96" w:rsidP="00FE7D96">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1F05DEF" w14:textId="402C6051" w:rsidR="00FE7D96" w:rsidRDefault="00FE7D96" w:rsidP="00FE7D96">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104ED9C3" w14:textId="24C26D85" w:rsidR="00FE7D96" w:rsidRPr="000B15CE" w:rsidRDefault="00FE7D96" w:rsidP="00FE7D96">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FE7D96" w14:paraId="48FAD807" w14:textId="77777777" w:rsidTr="00FE7D96">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5CAA8" w14:textId="77777777" w:rsidR="00FE7D96" w:rsidRPr="008707A9" w:rsidRDefault="00FE7D96" w:rsidP="00FE7D96">
            <w:pPr>
              <w:spacing w:after="0" w:line="240" w:lineRule="auto"/>
              <w:rPr>
                <w:rFonts w:asciiTheme="majorBidi" w:hAnsiTheme="majorBidi" w:cstheme="majorBidi"/>
              </w:rPr>
            </w:pPr>
            <w:r w:rsidRPr="008707A9">
              <w:rPr>
                <w:rFonts w:asciiTheme="majorBidi" w:hAnsiTheme="majorBidi" w:cstheme="majorBidi"/>
                <w:color w:val="000000"/>
              </w:rPr>
              <w:t>Outputs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24F93FB" w14:textId="0177E7D5" w:rsidR="00FE7D96" w:rsidRDefault="00FE7D96" w:rsidP="00FE7D96">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2A9C4B20" w14:textId="0D5072C4" w:rsidR="00FE7D96" w:rsidRPr="000B15CE" w:rsidRDefault="00FE7D96" w:rsidP="00FE7D96">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5A3E505E" w14:textId="4E593096" w:rsidR="00DD7E84" w:rsidRDefault="00DD7E84" w:rsidP="00DD7E84">
      <w:pPr>
        <w:pStyle w:val="Caption"/>
        <w:rPr>
          <w:sz w:val="24"/>
          <w:szCs w:val="24"/>
        </w:rPr>
      </w:pPr>
      <w:bookmarkStart w:id="162" w:name="_Ref7019453"/>
      <w:bookmarkStart w:id="163" w:name="_Toc31702051"/>
      <w:r>
        <w:t xml:space="preserve">Table </w:t>
      </w:r>
      <w:r w:rsidR="00A56355">
        <w:fldChar w:fldCharType="begin"/>
      </w:r>
      <w:r w:rsidR="00A56355">
        <w:instrText xml:space="preserve"> SEQ Table \* ARABIC </w:instrText>
      </w:r>
      <w:r w:rsidR="00A56355">
        <w:fldChar w:fldCharType="separate"/>
      </w:r>
      <w:r w:rsidR="0011424E">
        <w:rPr>
          <w:noProof/>
        </w:rPr>
        <w:t>22</w:t>
      </w:r>
      <w:r w:rsidR="00A56355">
        <w:rPr>
          <w:noProof/>
        </w:rPr>
        <w:fldChar w:fldCharType="end"/>
      </w:r>
      <w:bookmarkEnd w:id="162"/>
      <w:r>
        <w:t xml:space="preserve">. </w:t>
      </w:r>
      <w:r w:rsidRPr="00577A80">
        <w:t xml:space="preserve">BoR5 'social context' values </w:t>
      </w:r>
      <w:r w:rsidR="00311EAB">
        <w:t>–</w:t>
      </w:r>
      <w:r w:rsidRPr="00577A80">
        <w:t xml:space="preserve"> Phase</w:t>
      </w:r>
      <w:r w:rsidR="00311EAB">
        <w:t xml:space="preserve">s 1 &amp; </w:t>
      </w:r>
      <w:r>
        <w:t>2</w:t>
      </w:r>
      <w:bookmarkEnd w:id="163"/>
    </w:p>
    <w:p w14:paraId="0429A845" w14:textId="05B0E0A1" w:rsidR="00DD7E84" w:rsidRPr="003A473F" w:rsidRDefault="00DD7E84" w:rsidP="00DD7E84">
      <w:pPr>
        <w:spacing w:after="120" w:line="360" w:lineRule="auto"/>
        <w:rPr>
          <w:sz w:val="24"/>
          <w:szCs w:val="24"/>
          <w:u w:val="single"/>
        </w:rPr>
      </w:pPr>
      <w:r>
        <w:rPr>
          <w:sz w:val="24"/>
          <w:szCs w:val="24"/>
          <w:u w:val="single"/>
        </w:rPr>
        <w:t>Phase 3. (Disseminati</w:t>
      </w:r>
      <w:r w:rsidR="007800B1">
        <w:rPr>
          <w:sz w:val="24"/>
          <w:szCs w:val="24"/>
          <w:u w:val="single"/>
        </w:rPr>
        <w:t>on and revenue-generation</w:t>
      </w:r>
      <w:r>
        <w:rPr>
          <w:sz w:val="24"/>
          <w:szCs w:val="24"/>
          <w:u w:val="single"/>
        </w:rPr>
        <w:t>)</w:t>
      </w:r>
      <w:r w:rsidR="003A473F">
        <w:rPr>
          <w:sz w:val="24"/>
          <w:szCs w:val="24"/>
          <w:u w:val="single"/>
        </w:rPr>
        <w:br/>
      </w:r>
      <w:r>
        <w:rPr>
          <w:sz w:val="24"/>
          <w:szCs w:val="24"/>
        </w:rPr>
        <w:t xml:space="preserve">SMRU researchers believed that their technological, methodological and theoretical advances had potentially broader applications in conservation management, as well as for those sectors potentially affected by conservation regulations, such as the energy and naval industries, whose operations often bring them into contact with marine life. Phase 3 centres around SMRU’s efforts to explore, develop and explain their technologies’ potential broader applicability. </w:t>
      </w:r>
    </w:p>
    <w:p w14:paraId="4D290D99" w14:textId="31D596C7" w:rsidR="00DD7E84" w:rsidRDefault="00DD7E84" w:rsidP="00DD7E84">
      <w:pPr>
        <w:spacing w:after="120" w:line="360" w:lineRule="auto"/>
        <w:rPr>
          <w:sz w:val="24"/>
          <w:szCs w:val="24"/>
        </w:rPr>
      </w:pPr>
      <w:r>
        <w:rPr>
          <w:sz w:val="24"/>
          <w:szCs w:val="24"/>
        </w:rPr>
        <w:t>On the typolog</w:t>
      </w:r>
      <w:r w:rsidRPr="00AB6E65">
        <w:rPr>
          <w:sz w:val="24"/>
          <w:szCs w:val="24"/>
        </w:rPr>
        <w:t xml:space="preserve">y (see </w:t>
      </w:r>
      <w:r w:rsidRPr="00AB6E65">
        <w:rPr>
          <w:sz w:val="24"/>
          <w:szCs w:val="24"/>
        </w:rPr>
        <w:fldChar w:fldCharType="begin"/>
      </w:r>
      <w:r w:rsidRPr="00AB6E65">
        <w:rPr>
          <w:sz w:val="24"/>
          <w:szCs w:val="24"/>
        </w:rPr>
        <w:instrText xml:space="preserve"> REF _Ref7019500 \h </w:instrText>
      </w:r>
      <w:r>
        <w:rPr>
          <w:sz w:val="24"/>
          <w:szCs w:val="24"/>
        </w:rPr>
        <w:instrText xml:space="preserve"> \* MERGEFORMAT </w:instrText>
      </w:r>
      <w:r w:rsidRPr="00AB6E65">
        <w:rPr>
          <w:sz w:val="24"/>
          <w:szCs w:val="24"/>
        </w:rPr>
      </w:r>
      <w:r w:rsidRPr="00AB6E65">
        <w:rPr>
          <w:sz w:val="24"/>
          <w:szCs w:val="24"/>
        </w:rPr>
        <w:fldChar w:fldCharType="separate"/>
      </w:r>
      <w:r w:rsidR="0011424E" w:rsidRPr="0011424E">
        <w:rPr>
          <w:sz w:val="24"/>
          <w:szCs w:val="24"/>
        </w:rPr>
        <w:t xml:space="preserve">Table </w:t>
      </w:r>
      <w:r w:rsidR="0011424E" w:rsidRPr="0011424E">
        <w:rPr>
          <w:noProof/>
          <w:sz w:val="24"/>
          <w:szCs w:val="24"/>
        </w:rPr>
        <w:t>23</w:t>
      </w:r>
      <w:r w:rsidRPr="00AB6E65">
        <w:rPr>
          <w:sz w:val="24"/>
          <w:szCs w:val="24"/>
        </w:rPr>
        <w:fldChar w:fldCharType="end"/>
      </w:r>
      <w:r w:rsidRPr="00AB6E65">
        <w:rPr>
          <w:sz w:val="24"/>
          <w:szCs w:val="24"/>
        </w:rPr>
        <w:t>),</w:t>
      </w:r>
      <w:r>
        <w:rPr>
          <w:sz w:val="24"/>
          <w:szCs w:val="24"/>
        </w:rPr>
        <w:t xml:space="preserve"> all four of the ‘social context’ values were increased by one – 4 for ‘goals’ and ‘relevance’, and 3 for ‘evaluation’ and ‘outputs &amp; outcomes’. This judgement was based on the following factors. I judged the goals of Phase 3 to be more “outcomes-oriented” (McNie et al., 2016, p. 888) than previously. This was evidenced by the outputs of Phase 3, which were focused not so much on producing new fundamental scientific knowledge, but rather on highlighting the relevance of their earlier work to conservation management. Moreover, although these outputs were still predominantly taking typical forms of publications, these publications were more focused and targeted at specific audiences. Furthermore, other kinds of outputs and outcomes did emerge, including workshops with practitioners on how to apply SMRU’s methods in different contexts. There were also commercial outcomes, with SMRU selling their technologies via SMRU’s spin-out company, SMRU Instrumentation. Lastly, the </w:t>
      </w:r>
      <w:r w:rsidR="00E26F46">
        <w:rPr>
          <w:sz w:val="24"/>
          <w:szCs w:val="24"/>
        </w:rPr>
        <w:t xml:space="preserve">criteria of </w:t>
      </w:r>
      <w:r>
        <w:rPr>
          <w:sz w:val="24"/>
          <w:szCs w:val="24"/>
        </w:rPr>
        <w:t xml:space="preserve">success of the work at Phase 3 was </w:t>
      </w:r>
      <w:r w:rsidR="00E26F46">
        <w:rPr>
          <w:sz w:val="24"/>
          <w:szCs w:val="24"/>
        </w:rPr>
        <w:t xml:space="preserve">the </w:t>
      </w:r>
      <w:r w:rsidR="00B61731">
        <w:rPr>
          <w:sz w:val="24"/>
          <w:szCs w:val="24"/>
        </w:rPr>
        <w:t xml:space="preserve">interest in and </w:t>
      </w:r>
      <w:r w:rsidR="00E26F46">
        <w:rPr>
          <w:sz w:val="24"/>
          <w:szCs w:val="24"/>
        </w:rPr>
        <w:t>uptake of</w:t>
      </w:r>
      <w:r>
        <w:rPr>
          <w:sz w:val="24"/>
          <w:szCs w:val="24"/>
        </w:rPr>
        <w:t xml:space="preserve"> these methods and technologies </w:t>
      </w:r>
      <w:r w:rsidR="00675D7A">
        <w:rPr>
          <w:sz w:val="24"/>
          <w:szCs w:val="24"/>
        </w:rPr>
        <w:t>by others</w:t>
      </w:r>
      <w:r>
        <w:rPr>
          <w:sz w:val="24"/>
          <w:szCs w:val="24"/>
        </w:rPr>
        <w:t xml:space="preserve">. </w:t>
      </w:r>
    </w:p>
    <w:tbl>
      <w:tblPr>
        <w:tblW w:w="8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gridCol w:w="1753"/>
      </w:tblGrid>
      <w:tr w:rsidR="00311EAB" w14:paraId="615B82EE" w14:textId="77777777" w:rsidTr="00061230">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3AFB78B4" w14:textId="77777777" w:rsidR="00311EAB" w:rsidRPr="008707A9" w:rsidRDefault="00311EAB" w:rsidP="00311EAB">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D56D644" w14:textId="7E257EE3" w:rsidR="00311EAB" w:rsidRDefault="00311EAB" w:rsidP="00311EAB">
            <w:pPr>
              <w:spacing w:after="0" w:line="240" w:lineRule="auto"/>
              <w:jc w:val="center"/>
              <w:rPr>
                <w:rFonts w:asciiTheme="majorBidi" w:hAnsiTheme="majorBidi" w:cstheme="majorBidi"/>
                <w:b/>
              </w:rPr>
            </w:pPr>
            <w:r>
              <w:rPr>
                <w:rFonts w:asciiTheme="majorBidi" w:hAnsiTheme="majorBidi" w:cstheme="majorBidi"/>
                <w:b/>
              </w:rPr>
              <w:t>Value (Phase 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A359F53" w14:textId="7F81C199" w:rsidR="00311EAB" w:rsidRDefault="00311EAB" w:rsidP="00311EAB">
            <w:pPr>
              <w:spacing w:after="0" w:line="240" w:lineRule="auto"/>
              <w:jc w:val="center"/>
              <w:rPr>
                <w:rFonts w:asciiTheme="majorBidi" w:hAnsiTheme="majorBidi" w:cstheme="majorBidi"/>
                <w:b/>
              </w:rPr>
            </w:pPr>
            <w:r>
              <w:rPr>
                <w:rFonts w:asciiTheme="majorBidi" w:hAnsiTheme="majorBidi" w:cstheme="majorBidi"/>
                <w:b/>
              </w:rPr>
              <w:t>Value (Phase 2)</w:t>
            </w:r>
          </w:p>
        </w:tc>
        <w:tc>
          <w:tcPr>
            <w:tcW w:w="1753" w:type="dxa"/>
            <w:tcBorders>
              <w:top w:val="single" w:sz="4" w:space="0" w:color="auto"/>
              <w:left w:val="single" w:sz="4" w:space="0" w:color="auto"/>
              <w:bottom w:val="single" w:sz="4" w:space="0" w:color="auto"/>
              <w:right w:val="single" w:sz="4" w:space="0" w:color="auto"/>
            </w:tcBorders>
          </w:tcPr>
          <w:p w14:paraId="5C526E3A" w14:textId="2764F8B5" w:rsidR="00311EAB" w:rsidRPr="00FF5CE5" w:rsidRDefault="00311EAB" w:rsidP="00311EAB">
            <w:pPr>
              <w:spacing w:after="0" w:line="240" w:lineRule="auto"/>
              <w:jc w:val="center"/>
              <w:rPr>
                <w:rFonts w:asciiTheme="majorBidi" w:hAnsiTheme="majorBidi" w:cstheme="majorBidi"/>
                <w:b/>
              </w:rPr>
            </w:pPr>
            <w:r>
              <w:rPr>
                <w:rFonts w:asciiTheme="majorBidi" w:hAnsiTheme="majorBidi" w:cstheme="majorBidi"/>
                <w:b/>
              </w:rPr>
              <w:t>Value</w:t>
            </w:r>
            <w:r w:rsidR="0028437C">
              <w:rPr>
                <w:rFonts w:asciiTheme="majorBidi" w:hAnsiTheme="majorBidi" w:cstheme="majorBidi"/>
                <w:b/>
              </w:rPr>
              <w:t xml:space="preserve"> (Phase 3)</w:t>
            </w:r>
          </w:p>
        </w:tc>
      </w:tr>
      <w:tr w:rsidR="00311EAB" w14:paraId="3EC43DA0" w14:textId="77777777" w:rsidTr="0006123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AD8D4" w14:textId="77777777" w:rsidR="00311EAB" w:rsidRPr="008707A9" w:rsidRDefault="00311EAB" w:rsidP="00311EAB">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9FDB2A3" w14:textId="2FED0398" w:rsidR="00311EAB" w:rsidRDefault="00311EAB" w:rsidP="00311EA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B964D68" w14:textId="32AF9F2F" w:rsidR="00311EAB" w:rsidRDefault="00311EAB" w:rsidP="00311EA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311CF3DD" w14:textId="162DF17F" w:rsidR="00311EAB" w:rsidRPr="000B15CE" w:rsidRDefault="00311EAB" w:rsidP="00311EAB">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311EAB" w14:paraId="26BD332C" w14:textId="77777777" w:rsidTr="0006123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D02E3" w14:textId="77777777" w:rsidR="00311EAB" w:rsidRPr="008707A9" w:rsidRDefault="00311EAB" w:rsidP="00311EAB">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45C6523" w14:textId="167A940F" w:rsidR="00311EAB" w:rsidRDefault="00311EAB" w:rsidP="00311EA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22CF24C" w14:textId="778ECFF3" w:rsidR="00311EAB" w:rsidRDefault="00311EAB" w:rsidP="00311EA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1BE47730" w14:textId="5024786E" w:rsidR="00311EAB" w:rsidRPr="000B15CE" w:rsidRDefault="00311EAB" w:rsidP="00311EAB">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311EAB" w14:paraId="6E482F47" w14:textId="77777777" w:rsidTr="0006123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0E471" w14:textId="77777777" w:rsidR="00311EAB" w:rsidRPr="008707A9" w:rsidRDefault="00311EAB" w:rsidP="00311EAB">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B9DFE13" w14:textId="3CCC8893" w:rsidR="00311EAB" w:rsidRDefault="00311EAB" w:rsidP="00311EA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C1F6D46" w14:textId="0DA04D71" w:rsidR="00311EAB" w:rsidRDefault="00311EAB" w:rsidP="00311EA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7728AB7F" w14:textId="31581B63" w:rsidR="00311EAB" w:rsidRPr="000B15CE" w:rsidRDefault="00311EAB" w:rsidP="00311EA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311EAB" w14:paraId="28E9778E" w14:textId="77777777" w:rsidTr="0006123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AB8A4" w14:textId="77777777" w:rsidR="00311EAB" w:rsidRPr="008707A9" w:rsidRDefault="00311EAB" w:rsidP="00311EAB">
            <w:pPr>
              <w:spacing w:after="0" w:line="240" w:lineRule="auto"/>
              <w:rPr>
                <w:rFonts w:asciiTheme="majorBidi" w:hAnsiTheme="majorBidi" w:cstheme="majorBidi"/>
              </w:rPr>
            </w:pPr>
            <w:r w:rsidRPr="008707A9">
              <w:rPr>
                <w:rFonts w:asciiTheme="majorBidi" w:hAnsiTheme="majorBidi" w:cstheme="majorBidi"/>
                <w:color w:val="000000"/>
              </w:rPr>
              <w:t>Outputs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67D097E" w14:textId="59C799F4" w:rsidR="00311EAB" w:rsidRDefault="00311EAB" w:rsidP="00311EAB">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0826834" w14:textId="5969FE6E" w:rsidR="00311EAB" w:rsidRDefault="00311EAB" w:rsidP="00311EAB">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679A6389" w14:textId="7CAFD4C4" w:rsidR="00311EAB" w:rsidRPr="000B15CE" w:rsidRDefault="00311EAB" w:rsidP="00311EAB">
            <w:pPr>
              <w:keepNext/>
              <w:spacing w:after="0" w:line="240" w:lineRule="auto"/>
              <w:jc w:val="center"/>
              <w:rPr>
                <w:rFonts w:asciiTheme="majorBidi" w:hAnsiTheme="majorBidi" w:cstheme="majorBidi"/>
                <w:color w:val="000000"/>
              </w:rPr>
            </w:pPr>
            <w:r>
              <w:rPr>
                <w:rFonts w:asciiTheme="majorBidi" w:hAnsiTheme="majorBidi" w:cstheme="majorBidi"/>
                <w:color w:val="000000"/>
              </w:rPr>
              <w:t>3</w:t>
            </w:r>
          </w:p>
        </w:tc>
      </w:tr>
    </w:tbl>
    <w:p w14:paraId="1F9C54EF" w14:textId="46C732D6" w:rsidR="00DD7E84" w:rsidRDefault="00DD7E84" w:rsidP="00DD7E84">
      <w:pPr>
        <w:pStyle w:val="Caption"/>
        <w:rPr>
          <w:sz w:val="24"/>
          <w:szCs w:val="24"/>
        </w:rPr>
      </w:pPr>
      <w:bookmarkStart w:id="164" w:name="_Ref7019500"/>
      <w:bookmarkStart w:id="165" w:name="_Toc31702052"/>
      <w:r>
        <w:t xml:space="preserve">Table </w:t>
      </w:r>
      <w:r w:rsidR="00A56355">
        <w:fldChar w:fldCharType="begin"/>
      </w:r>
      <w:r w:rsidR="00A56355">
        <w:instrText xml:space="preserve"> SEQ Table \* ARABIC </w:instrText>
      </w:r>
      <w:r w:rsidR="00A56355">
        <w:fldChar w:fldCharType="separate"/>
      </w:r>
      <w:r w:rsidR="0011424E">
        <w:rPr>
          <w:noProof/>
        </w:rPr>
        <w:t>23</w:t>
      </w:r>
      <w:r w:rsidR="00A56355">
        <w:rPr>
          <w:noProof/>
        </w:rPr>
        <w:fldChar w:fldCharType="end"/>
      </w:r>
      <w:bookmarkEnd w:id="164"/>
      <w:r>
        <w:t xml:space="preserve">. </w:t>
      </w:r>
      <w:r w:rsidRPr="00577A80">
        <w:t xml:space="preserve">BoR5 'social context' values </w:t>
      </w:r>
      <w:r>
        <w:t>–</w:t>
      </w:r>
      <w:r w:rsidRPr="00577A80">
        <w:t xml:space="preserve"> Phase</w:t>
      </w:r>
      <w:r w:rsidR="0028437C">
        <w:t>s 1-</w:t>
      </w:r>
      <w:r>
        <w:t>3</w:t>
      </w:r>
      <w:bookmarkEnd w:id="165"/>
    </w:p>
    <w:p w14:paraId="4B732034" w14:textId="77777777" w:rsidR="00DD7E84" w:rsidRDefault="00DD7E84" w:rsidP="00F767D2">
      <w:pPr>
        <w:pStyle w:val="Heading4"/>
      </w:pPr>
      <w:r>
        <w:t>‘Knowledge content’ values (expertise, learning, human capital)</w:t>
      </w:r>
    </w:p>
    <w:p w14:paraId="4167120E" w14:textId="5336DBBA" w:rsidR="00DD7E84" w:rsidRDefault="00DD7E84" w:rsidP="00F767D2">
      <w:pPr>
        <w:spacing w:after="120" w:line="360" w:lineRule="auto"/>
        <w:rPr>
          <w:sz w:val="24"/>
          <w:szCs w:val="24"/>
        </w:rPr>
      </w:pPr>
      <w:r>
        <w:rPr>
          <w:sz w:val="24"/>
          <w:szCs w:val="24"/>
          <w:u w:val="single"/>
        </w:rPr>
        <w:t>Phases 1, 2 and 3 combined</w:t>
      </w:r>
      <w:r w:rsidR="00F767D2">
        <w:rPr>
          <w:sz w:val="24"/>
          <w:szCs w:val="24"/>
        </w:rPr>
        <w:br/>
      </w:r>
      <w:r>
        <w:rPr>
          <w:sz w:val="24"/>
          <w:szCs w:val="24"/>
        </w:rPr>
        <w:t>I have combined discussion of Phases 1, 2 and 3 because none of the ‘knowledge content’ values changed across the three phases</w:t>
      </w:r>
      <w:r w:rsidR="00AF62EF">
        <w:rPr>
          <w:sz w:val="24"/>
          <w:szCs w:val="24"/>
        </w:rPr>
        <w:t xml:space="preserve"> </w:t>
      </w:r>
      <w:r w:rsidR="00AF62EF" w:rsidRPr="00AF62EF">
        <w:rPr>
          <w:sz w:val="24"/>
          <w:szCs w:val="24"/>
        </w:rPr>
        <w:t xml:space="preserve">(see </w:t>
      </w:r>
      <w:r w:rsidR="00AF62EF" w:rsidRPr="00AF62EF">
        <w:rPr>
          <w:sz w:val="24"/>
          <w:szCs w:val="24"/>
        </w:rPr>
        <w:fldChar w:fldCharType="begin"/>
      </w:r>
      <w:r w:rsidR="00AF62EF" w:rsidRPr="00AF62EF">
        <w:rPr>
          <w:sz w:val="24"/>
          <w:szCs w:val="24"/>
        </w:rPr>
        <w:instrText xml:space="preserve"> REF _Ref8922619 \h </w:instrText>
      </w:r>
      <w:r w:rsidR="00AF62EF">
        <w:rPr>
          <w:sz w:val="24"/>
          <w:szCs w:val="24"/>
        </w:rPr>
        <w:instrText xml:space="preserve"> \* MERGEFORMAT </w:instrText>
      </w:r>
      <w:r w:rsidR="00AF62EF" w:rsidRPr="00AF62EF">
        <w:rPr>
          <w:sz w:val="24"/>
          <w:szCs w:val="24"/>
        </w:rPr>
      </w:r>
      <w:r w:rsidR="00AF62EF" w:rsidRPr="00AF62EF">
        <w:rPr>
          <w:sz w:val="24"/>
          <w:szCs w:val="24"/>
        </w:rPr>
        <w:fldChar w:fldCharType="separate"/>
      </w:r>
      <w:r w:rsidR="0011424E" w:rsidRPr="0011424E">
        <w:rPr>
          <w:sz w:val="24"/>
          <w:szCs w:val="24"/>
        </w:rPr>
        <w:t xml:space="preserve">Table </w:t>
      </w:r>
      <w:r w:rsidR="0011424E" w:rsidRPr="0011424E">
        <w:rPr>
          <w:noProof/>
          <w:sz w:val="24"/>
          <w:szCs w:val="24"/>
        </w:rPr>
        <w:t>24</w:t>
      </w:r>
      <w:r w:rsidR="00AF62EF" w:rsidRPr="00AF62EF">
        <w:rPr>
          <w:sz w:val="24"/>
          <w:szCs w:val="24"/>
        </w:rPr>
        <w:fldChar w:fldCharType="end"/>
      </w:r>
      <w:r w:rsidR="00AF62EF" w:rsidRPr="00AF62EF">
        <w:rPr>
          <w:sz w:val="24"/>
          <w:szCs w:val="24"/>
        </w:rPr>
        <w:t>)</w:t>
      </w:r>
      <w:r w:rsidRPr="00AF62EF">
        <w:rPr>
          <w:sz w:val="24"/>
          <w:szCs w:val="24"/>
        </w:rPr>
        <w:t>.</w:t>
      </w:r>
      <w:r>
        <w:rPr>
          <w:sz w:val="24"/>
          <w:szCs w:val="24"/>
        </w:rPr>
        <w:t xml:space="preserve"> I gave ‘expertise’ a value of 1 at all three phases. This reflects that, in this contested political space, the “credibility to produce knowledge” that will feed into policy was based on appearing objective and neutral, and this meant displaying the “specific training, norms and behaviours … consistent with those in academia” and “being considered experts in their field and … by society” (McNie et al., 2016, p. 887). All those involved in the conduct of research were academic scientists based at SMRU and having relevant doctoral qualifications. However, I chose to give a slightly higher value of 2 for the ‘human capital’ attribute. This is because, despite the high academic qualifications of all those involved in producing and defining the knowledge content associated with this BoR, it was also important that at least some of these researchers exhibited other “kinds of skills and training”, for example “soft skills” associated with “communication, translation and mediation” (ibid., p. 890). The political nature of the social context, which meant that the credibility to produce knowledge had to be grounded in scientific expertise, is precisely why it was also important these scientific experts had these ‘soft’ skills in addition to their scientific training.</w:t>
      </w:r>
    </w:p>
    <w:p w14:paraId="2A2C6DCB" w14:textId="70203637" w:rsidR="00DD7E84" w:rsidRDefault="00DD7E84" w:rsidP="00DD7E84">
      <w:pPr>
        <w:spacing w:before="120" w:after="120" w:line="360" w:lineRule="auto"/>
        <w:rPr>
          <w:sz w:val="24"/>
          <w:szCs w:val="24"/>
        </w:rPr>
      </w:pPr>
      <w:r>
        <w:rPr>
          <w:sz w:val="24"/>
          <w:szCs w:val="24"/>
        </w:rPr>
        <w:t>I gave a value of 2 for ‘learning’ at all three phases. Although, as I will show below, the dissemination of the research (‘knowledge exchange’) involved slightly more significant boundary-crossing interactions, the actual knowledge content of what was learned was, at each phase, primarily theoretical, “focused on understanding theories” (ibid., p. 888) in the sub-disciplin</w:t>
      </w:r>
      <w:r w:rsidR="00395003">
        <w:rPr>
          <w:sz w:val="24"/>
          <w:szCs w:val="24"/>
        </w:rPr>
        <w:t>e</w:t>
      </w:r>
      <w:r>
        <w:rPr>
          <w:sz w:val="24"/>
          <w:szCs w:val="24"/>
        </w:rPr>
        <w:t xml:space="preserve"> of mammalogy. As one of my interview participants explained, SMRU are keen to ensure that they maintain their image as credible and objective informants, and therefore deliberately avoided involvement in research or argumentation about “developing new policies” (ibid., p. 888)</w:t>
      </w:r>
      <w:r w:rsidR="001314F2">
        <w:rPr>
          <w:sz w:val="24"/>
          <w:szCs w:val="24"/>
        </w:rPr>
        <w:t>, that is</w:t>
      </w:r>
      <w:r w:rsidR="00021219">
        <w:rPr>
          <w:sz w:val="24"/>
          <w:szCs w:val="24"/>
        </w:rPr>
        <w:t xml:space="preserve"> they do not</w:t>
      </w:r>
      <w:r>
        <w:rPr>
          <w:sz w:val="24"/>
          <w:szCs w:val="24"/>
        </w:rPr>
        <w:t xml:space="preserve"> attempt to improve</w:t>
      </w:r>
      <w:r w:rsidR="00021219">
        <w:rPr>
          <w:sz w:val="24"/>
          <w:szCs w:val="24"/>
        </w:rPr>
        <w:t xml:space="preserve"> or influence</w:t>
      </w:r>
      <w:r>
        <w:rPr>
          <w:sz w:val="24"/>
          <w:szCs w:val="24"/>
        </w:rPr>
        <w:t xml:space="preserve"> other aspects of the policymaking process other than the evidence base on which policy is formulated.</w:t>
      </w:r>
    </w:p>
    <w:tbl>
      <w:tblPr>
        <w:tblW w:w="8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gridCol w:w="1753"/>
      </w:tblGrid>
      <w:tr w:rsidR="004B0BFB" w14:paraId="35EBC17C" w14:textId="47C3074C" w:rsidTr="004B0BFB">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35051ECA" w14:textId="77777777" w:rsidR="004B0BFB" w:rsidRPr="008707A9" w:rsidRDefault="004B0BFB" w:rsidP="004B0BFB">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tcPr>
          <w:p w14:paraId="207AFA5C" w14:textId="6B3E944A" w:rsidR="004B0BFB" w:rsidRPr="00FF5CE5" w:rsidRDefault="004B0BFB" w:rsidP="004B0BFB">
            <w:pPr>
              <w:spacing w:after="0" w:line="240" w:lineRule="auto"/>
              <w:jc w:val="center"/>
              <w:rPr>
                <w:rFonts w:asciiTheme="majorBidi" w:hAnsiTheme="majorBidi" w:cstheme="majorBidi"/>
                <w:b/>
              </w:rPr>
            </w:pPr>
            <w:r>
              <w:rPr>
                <w:rFonts w:asciiTheme="majorBidi" w:hAnsiTheme="majorBidi" w:cstheme="majorBidi"/>
                <w:b/>
              </w:rPr>
              <w:t>Value (Phase 1)</w:t>
            </w:r>
          </w:p>
        </w:tc>
        <w:tc>
          <w:tcPr>
            <w:tcW w:w="1753" w:type="dxa"/>
            <w:tcBorders>
              <w:top w:val="single" w:sz="4" w:space="0" w:color="auto"/>
              <w:left w:val="single" w:sz="4" w:space="0" w:color="auto"/>
              <w:bottom w:val="single" w:sz="4" w:space="0" w:color="auto"/>
              <w:right w:val="single" w:sz="4" w:space="0" w:color="auto"/>
            </w:tcBorders>
          </w:tcPr>
          <w:p w14:paraId="1CB7C602" w14:textId="5638298F" w:rsidR="004B0BFB" w:rsidRDefault="004B0BFB" w:rsidP="004B0BFB">
            <w:pPr>
              <w:spacing w:after="0" w:line="240" w:lineRule="auto"/>
              <w:jc w:val="center"/>
              <w:rPr>
                <w:rFonts w:asciiTheme="majorBidi" w:hAnsiTheme="majorBidi" w:cstheme="majorBidi"/>
                <w:b/>
              </w:rPr>
            </w:pPr>
            <w:r>
              <w:rPr>
                <w:rFonts w:asciiTheme="majorBidi" w:hAnsiTheme="majorBidi" w:cstheme="majorBidi"/>
                <w:b/>
              </w:rPr>
              <w:t>Value (Phase 2)</w:t>
            </w:r>
          </w:p>
        </w:tc>
        <w:tc>
          <w:tcPr>
            <w:tcW w:w="1753" w:type="dxa"/>
            <w:tcBorders>
              <w:top w:val="single" w:sz="4" w:space="0" w:color="auto"/>
              <w:left w:val="single" w:sz="4" w:space="0" w:color="auto"/>
              <w:bottom w:val="single" w:sz="4" w:space="0" w:color="auto"/>
              <w:right w:val="single" w:sz="4" w:space="0" w:color="auto"/>
            </w:tcBorders>
          </w:tcPr>
          <w:p w14:paraId="153E7085" w14:textId="0D170FF6" w:rsidR="004B0BFB" w:rsidRDefault="004B0BFB" w:rsidP="004B0BFB">
            <w:pPr>
              <w:spacing w:after="0" w:line="240" w:lineRule="auto"/>
              <w:jc w:val="center"/>
              <w:rPr>
                <w:rFonts w:asciiTheme="majorBidi" w:hAnsiTheme="majorBidi" w:cstheme="majorBidi"/>
                <w:b/>
              </w:rPr>
            </w:pPr>
            <w:r>
              <w:rPr>
                <w:rFonts w:asciiTheme="majorBidi" w:hAnsiTheme="majorBidi" w:cstheme="majorBidi"/>
                <w:b/>
              </w:rPr>
              <w:t>Value (Phase 3)</w:t>
            </w:r>
          </w:p>
        </w:tc>
      </w:tr>
      <w:tr w:rsidR="004B0BFB" w14:paraId="37F1047E" w14:textId="1BEC16EE" w:rsidTr="004B0BFB">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06A7050" w14:textId="77777777" w:rsidR="004B0BFB" w:rsidRPr="008707A9" w:rsidRDefault="004B0BFB" w:rsidP="004B0BFB">
            <w:pPr>
              <w:spacing w:after="0" w:line="240" w:lineRule="auto"/>
              <w:rPr>
                <w:rFonts w:asciiTheme="majorBidi" w:hAnsiTheme="majorBidi" w:cstheme="majorBidi"/>
              </w:rPr>
            </w:pPr>
            <w:r w:rsidRPr="008707A9">
              <w:rPr>
                <w:rFonts w:asciiTheme="majorBidi" w:hAnsiTheme="majorBidi" w:cstheme="majorBidi"/>
                <w:color w:val="000000"/>
              </w:rPr>
              <w:t>Expertise</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E6384BA" w14:textId="77777777" w:rsidR="004B0BFB" w:rsidRPr="000B15CE" w:rsidRDefault="004B0BFB" w:rsidP="004B0BFB">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tcPr>
          <w:p w14:paraId="4F93DA94" w14:textId="0BE0081B" w:rsidR="004B0BFB" w:rsidRDefault="004B0BFB" w:rsidP="004B0BFB">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tcPr>
          <w:p w14:paraId="250645E5" w14:textId="6F0D5188" w:rsidR="004B0BFB" w:rsidRDefault="004B0BFB" w:rsidP="004B0BFB">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4B0BFB" w14:paraId="2070F7B3" w14:textId="4FD4EDB3" w:rsidTr="004B0BFB">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446201A" w14:textId="77777777" w:rsidR="004B0BFB" w:rsidRPr="008707A9" w:rsidRDefault="004B0BFB" w:rsidP="004B0BFB">
            <w:pPr>
              <w:spacing w:after="0" w:line="240" w:lineRule="auto"/>
              <w:rPr>
                <w:rFonts w:asciiTheme="majorBidi" w:hAnsiTheme="majorBidi" w:cstheme="majorBidi"/>
              </w:rPr>
            </w:pPr>
            <w:r w:rsidRPr="008707A9">
              <w:rPr>
                <w:rFonts w:asciiTheme="majorBidi" w:hAnsiTheme="majorBidi" w:cstheme="majorBidi"/>
                <w:color w:val="000000"/>
              </w:rPr>
              <w:t>Learning</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014A667B" w14:textId="77777777" w:rsidR="004B0BFB" w:rsidRPr="000B15CE" w:rsidRDefault="004B0BFB" w:rsidP="004B0BF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tcPr>
          <w:p w14:paraId="76AA160B" w14:textId="2CA3B320" w:rsidR="004B0BFB" w:rsidRDefault="004B0BFB" w:rsidP="004B0BF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tcPr>
          <w:p w14:paraId="250063AA" w14:textId="6CFDC624" w:rsidR="004B0BFB" w:rsidRDefault="004B0BFB" w:rsidP="004B0BF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4B0BFB" w14:paraId="4878CC5D" w14:textId="1018A965" w:rsidTr="004B0BFB">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8DB3EFF" w14:textId="77777777" w:rsidR="004B0BFB" w:rsidRPr="008707A9" w:rsidRDefault="004B0BFB" w:rsidP="004B0BFB">
            <w:pPr>
              <w:spacing w:after="0" w:line="240" w:lineRule="auto"/>
              <w:rPr>
                <w:rFonts w:asciiTheme="majorBidi" w:hAnsiTheme="majorBidi" w:cstheme="majorBidi"/>
              </w:rPr>
            </w:pPr>
            <w:r w:rsidRPr="008707A9">
              <w:rPr>
                <w:rFonts w:asciiTheme="majorBidi" w:hAnsiTheme="majorBidi" w:cstheme="majorBidi"/>
                <w:color w:val="000000"/>
              </w:rPr>
              <w:t>Human Capital</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E0C77DD" w14:textId="77777777" w:rsidR="004B0BFB" w:rsidRPr="000B15CE" w:rsidRDefault="004B0BFB" w:rsidP="004B0BFB">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tcPr>
          <w:p w14:paraId="3FF736C3" w14:textId="1F1B98C3" w:rsidR="004B0BFB" w:rsidRDefault="004B0BFB" w:rsidP="004B0BFB">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tcPr>
          <w:p w14:paraId="5873C788" w14:textId="5EA7371B" w:rsidR="004B0BFB" w:rsidRDefault="004B0BFB" w:rsidP="00E6307C">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1ECCE1F4" w14:textId="39BF726E" w:rsidR="004B0BFB" w:rsidRPr="00BF1F95" w:rsidRDefault="00E6307C" w:rsidP="00E6307C">
      <w:pPr>
        <w:pStyle w:val="Caption"/>
        <w:rPr>
          <w:sz w:val="24"/>
          <w:szCs w:val="24"/>
        </w:rPr>
      </w:pPr>
      <w:bookmarkStart w:id="166" w:name="_Ref8922619"/>
      <w:bookmarkStart w:id="167" w:name="_Toc31702053"/>
      <w:r>
        <w:t xml:space="preserve">Table </w:t>
      </w:r>
      <w:r w:rsidR="00A56355">
        <w:fldChar w:fldCharType="begin"/>
      </w:r>
      <w:r w:rsidR="00A56355">
        <w:instrText xml:space="preserve"> SEQ Table \* ARABIC </w:instrText>
      </w:r>
      <w:r w:rsidR="00A56355">
        <w:fldChar w:fldCharType="separate"/>
      </w:r>
      <w:r w:rsidR="0011424E">
        <w:rPr>
          <w:noProof/>
        </w:rPr>
        <w:t>24</w:t>
      </w:r>
      <w:r w:rsidR="00A56355">
        <w:rPr>
          <w:noProof/>
        </w:rPr>
        <w:fldChar w:fldCharType="end"/>
      </w:r>
      <w:bookmarkEnd w:id="166"/>
      <w:r>
        <w:t xml:space="preserve">. </w:t>
      </w:r>
      <w:r w:rsidRPr="00EB705F">
        <w:t>BoR</w:t>
      </w:r>
      <w:r>
        <w:t>5</w:t>
      </w:r>
      <w:r w:rsidRPr="00EB705F">
        <w:t xml:space="preserve"> '</w:t>
      </w:r>
      <w:r>
        <w:t>social context</w:t>
      </w:r>
      <w:r w:rsidRPr="00EB705F">
        <w:t>' values - Phase</w:t>
      </w:r>
      <w:r>
        <w:t>s</w:t>
      </w:r>
      <w:r w:rsidRPr="00EB705F">
        <w:t xml:space="preserve"> </w:t>
      </w:r>
      <w:r>
        <w:t>1-3</w:t>
      </w:r>
      <w:bookmarkEnd w:id="167"/>
    </w:p>
    <w:p w14:paraId="057CBBE6" w14:textId="77777777" w:rsidR="00DD7E84" w:rsidRDefault="00DD7E84" w:rsidP="00DD7E84">
      <w:pPr>
        <w:pStyle w:val="Heading4"/>
      </w:pPr>
      <w:r>
        <w:t>‘Intermediary’ values (uncertainty, knowledge exchange, accessibility, boundary management, network participation, flexibility, disciplinary focus, and social capital)</w:t>
      </w:r>
    </w:p>
    <w:p w14:paraId="76A19004" w14:textId="026EAFF6" w:rsidR="00DD7E84" w:rsidRDefault="00DD7E84" w:rsidP="00DD7E84">
      <w:pPr>
        <w:spacing w:after="120" w:line="360" w:lineRule="auto"/>
        <w:rPr>
          <w:sz w:val="24"/>
          <w:szCs w:val="24"/>
        </w:rPr>
      </w:pPr>
      <w:r>
        <w:rPr>
          <w:sz w:val="24"/>
          <w:szCs w:val="24"/>
          <w:u w:val="single"/>
        </w:rPr>
        <w:t>Phase 1. (Co-advancement of science and technology)</w:t>
      </w:r>
      <w:r w:rsidR="004C1B76">
        <w:rPr>
          <w:sz w:val="24"/>
          <w:szCs w:val="24"/>
        </w:rPr>
        <w:br/>
      </w:r>
      <w:r>
        <w:rPr>
          <w:sz w:val="24"/>
          <w:szCs w:val="24"/>
        </w:rPr>
        <w:t>I judged all the ‘intermediate’ values at Phase 1 to be either a 2 (‘uncertainty’, ‘boundary management’, ‘flexibility’, ‘social capital’) or a 3 (‘knowledge exchange’, ‘accessibility’, ‘net</w:t>
      </w:r>
      <w:r w:rsidRPr="00946D23">
        <w:rPr>
          <w:sz w:val="24"/>
          <w:szCs w:val="24"/>
        </w:rPr>
        <w:t xml:space="preserve">work participation’ and ‘disciplinary focus’) on the typology’s spectrum (summarised in </w:t>
      </w:r>
      <w:r w:rsidRPr="00946D23">
        <w:rPr>
          <w:sz w:val="24"/>
          <w:szCs w:val="24"/>
        </w:rPr>
        <w:fldChar w:fldCharType="begin"/>
      </w:r>
      <w:r w:rsidRPr="00946D23">
        <w:rPr>
          <w:sz w:val="24"/>
          <w:szCs w:val="24"/>
        </w:rPr>
        <w:instrText xml:space="preserve"> REF _Ref7019809 \h </w:instrText>
      </w:r>
      <w:r>
        <w:rPr>
          <w:sz w:val="24"/>
          <w:szCs w:val="24"/>
        </w:rPr>
        <w:instrText xml:space="preserve"> \* MERGEFORMAT </w:instrText>
      </w:r>
      <w:r w:rsidRPr="00946D23">
        <w:rPr>
          <w:sz w:val="24"/>
          <w:szCs w:val="24"/>
        </w:rPr>
      </w:r>
      <w:r w:rsidRPr="00946D23">
        <w:rPr>
          <w:sz w:val="24"/>
          <w:szCs w:val="24"/>
        </w:rPr>
        <w:fldChar w:fldCharType="separate"/>
      </w:r>
      <w:r w:rsidR="0011424E" w:rsidRPr="0011424E">
        <w:rPr>
          <w:sz w:val="24"/>
          <w:szCs w:val="24"/>
        </w:rPr>
        <w:t xml:space="preserve">Table </w:t>
      </w:r>
      <w:r w:rsidR="0011424E" w:rsidRPr="0011424E">
        <w:rPr>
          <w:noProof/>
          <w:sz w:val="24"/>
          <w:szCs w:val="24"/>
        </w:rPr>
        <w:t>25</w:t>
      </w:r>
      <w:r w:rsidRPr="00946D23">
        <w:rPr>
          <w:sz w:val="24"/>
          <w:szCs w:val="24"/>
        </w:rPr>
        <w:fldChar w:fldCharType="end"/>
      </w:r>
      <w:r w:rsidRPr="00946D23">
        <w:rPr>
          <w:sz w:val="24"/>
          <w:szCs w:val="24"/>
        </w:rPr>
        <w:t>).</w:t>
      </w:r>
      <w:r>
        <w:rPr>
          <w:sz w:val="24"/>
          <w:szCs w:val="24"/>
        </w:rPr>
        <w:t xml:space="preserve"> </w:t>
      </w:r>
    </w:p>
    <w:p w14:paraId="2F1EF0ED" w14:textId="3C7ECF96" w:rsidR="00DD7E84" w:rsidRDefault="00DD7E84" w:rsidP="00DD7E84">
      <w:pPr>
        <w:spacing w:after="120" w:line="360" w:lineRule="auto"/>
        <w:rPr>
          <w:sz w:val="24"/>
          <w:szCs w:val="24"/>
        </w:rPr>
      </w:pPr>
      <w:r>
        <w:rPr>
          <w:sz w:val="24"/>
          <w:szCs w:val="24"/>
        </w:rPr>
        <w:t xml:space="preserve">Starting with ‘disciplinary focus’, I gave this attribute a value of 3 because, on the one hand, the SMRU brings together a “transdisciplinary” (McNie et al., 2016, p. 888) group of experts, including ecologists, zoologists, statisticians and engineers, whose integration is “organised around problems” (ibid., p. 888) generated beyond academia. That is, it is oriented towards informing the real-life context of marine life and its interaction with human society, and the political dynamics this throws up vis-à-vis tensions between economic activity and ecological conservation. On the other hand, this integration of scientific expertise and the approach and content of the research is “largely guided by </w:t>
      </w:r>
      <w:r w:rsidR="00DD7E5C">
        <w:rPr>
          <w:sz w:val="24"/>
          <w:szCs w:val="24"/>
        </w:rPr>
        <w:t xml:space="preserve">... </w:t>
      </w:r>
      <w:r>
        <w:rPr>
          <w:sz w:val="24"/>
          <w:szCs w:val="24"/>
        </w:rPr>
        <w:t xml:space="preserve">disciplines” (ibid., p. 887), specifically the sub-discipline of mammalogy. </w:t>
      </w:r>
    </w:p>
    <w:p w14:paraId="510D7728" w14:textId="77777777" w:rsidR="00DD7E84" w:rsidRDefault="00DD7E84" w:rsidP="00DD7E84">
      <w:pPr>
        <w:spacing w:after="120" w:line="360" w:lineRule="auto"/>
        <w:rPr>
          <w:sz w:val="24"/>
          <w:szCs w:val="24"/>
        </w:rPr>
      </w:pPr>
      <w:r>
        <w:rPr>
          <w:sz w:val="24"/>
          <w:szCs w:val="24"/>
        </w:rPr>
        <w:t xml:space="preserve">For similar reasons, I also gave the ‘accessibility’ attribute a value of 3. On the one hand, the SMRU’s remit and focus, including its history as a body to produce statutory scientific information to the UK government, gives it some “proximity” (ibid., p. 889) to the relevant social context. But there are limits to this accessibility, as I found from interviewing a professor at SMRU. For example, organisationally, since moving from NERC to St Andrews University, SMRU has been focused on establishing its internal legitimacy as part of the School of Biology, as they felt the need to overcome their identity as a governmental research unit. Transitioning into a valued contributor to the broader discipline of biology has meant the need to somewhat limit their ‘accessibility’ to external actors, and to focus on more traditional departmental activities, such as building a base of undergraduate, postgraduate and research students, and publishing in disciplinary journals. Moreover, my interview revealed that SMRU are discerning when it comes to which kinds of actors they will conduct research for, as they generally will refuse to conduct research if they believe the sponsor has a particular agenda which is likely to influence how they use that research. </w:t>
      </w:r>
    </w:p>
    <w:p w14:paraId="0CA1292E" w14:textId="77777777" w:rsidR="00DD7E84" w:rsidRDefault="00DD7E84" w:rsidP="00DD7E84">
      <w:pPr>
        <w:spacing w:after="120" w:line="360" w:lineRule="auto"/>
        <w:rPr>
          <w:sz w:val="24"/>
          <w:szCs w:val="24"/>
        </w:rPr>
      </w:pPr>
      <w:r>
        <w:rPr>
          <w:sz w:val="24"/>
          <w:szCs w:val="24"/>
        </w:rPr>
        <w:t xml:space="preserve">These characteristics influence the ‘flexibility’ attribute even more strongly, which I valued at 2. Although there is some ‘flexibility’ in the sense that SMRU are willing and able “to respond to emerging opportunities … and users’ needs … in strategic ways”, they are relatively “inflexible” in terms of their “rules of operations” which centre around “rather predictable forms of research conduct and applications” (McNie et al., 2016, p. 890). </w:t>
      </w:r>
    </w:p>
    <w:p w14:paraId="1DB56F8D" w14:textId="77777777" w:rsidR="00DD7E84" w:rsidRDefault="00DD7E84" w:rsidP="00DD7E84">
      <w:pPr>
        <w:spacing w:after="120" w:line="360" w:lineRule="auto"/>
        <w:rPr>
          <w:sz w:val="24"/>
          <w:szCs w:val="24"/>
        </w:rPr>
      </w:pPr>
      <w:r>
        <w:rPr>
          <w:sz w:val="24"/>
          <w:szCs w:val="24"/>
        </w:rPr>
        <w:t>Regarding SMRU’s approach to dealing with ‘uncertainty’, I judged this to be a value of 2. Guided by their preference for producing an objective evidence base for policymakers to draw from, the SMRU’s approach to uncertainty tended towards the more scientific approach of ‘reducing’ “epistemic uncertainty” and “ensuring the highest degree of accuracy and precision” (ibid., p. 888). One of the implications for this is that the knowledge produced is relatively complex, and SMRU researchers must engage in quite significant and broad forms of ‘knowledge exchange’ and ‘network participation’ in order to ensure the relevant information is picked up and appropriately interpreted by stakeholders and policymakers. It is for this reason I give the slightly higher value of 3 to ‘knowledge exchange’ and ‘network participation’.</w:t>
      </w:r>
    </w:p>
    <w:p w14:paraId="548543A5" w14:textId="77777777" w:rsidR="00DD7E84" w:rsidRDefault="00DD7E84" w:rsidP="00DD7E84">
      <w:pPr>
        <w:spacing w:after="120" w:line="360" w:lineRule="auto"/>
        <w:rPr>
          <w:sz w:val="24"/>
          <w:szCs w:val="24"/>
        </w:rPr>
      </w:pPr>
      <w:r>
        <w:rPr>
          <w:sz w:val="24"/>
          <w:szCs w:val="24"/>
        </w:rPr>
        <w:t>SMRU’s position as objective and disinterested experts influences their experience in these knowledge exchange and dissemination networks. Despite the political and contested nature of the issues on which SMRU are informing, this image of objective expert lowers the “risk of politicization” (ibid., p. 890) of their work, meaning the need for engaging in ‘boundary management’ is reduced – SMRU may engage in various cross-boundary networks and activities, but they do so with distinctly academic identities, and their lack of interest in policy outcomes means that these identities go relatively unchallenged. I therefore gave the ‘boundary management’ activity a value of 2. For similar reasons, I also gave the ‘social capital’ attribute the same value of 2. Since trust in SMRU is predominantly grounded in their scientific “methods and norms”, there is relatively “negligible” need to “develop” and “deploy” social capital (ibid., p. 889).</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tblGrid>
      <w:tr w:rsidR="00DD7E84" w14:paraId="6E84B5BA" w14:textId="77777777" w:rsidTr="00DE5040">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1780FF77" w14:textId="77777777" w:rsidR="00DD7E84" w:rsidRPr="008707A9" w:rsidRDefault="00DD7E84" w:rsidP="00DE504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tcPr>
          <w:p w14:paraId="4AD528A2" w14:textId="1761E9E5" w:rsidR="00DD7E84" w:rsidRPr="00FF5CE5" w:rsidRDefault="00DD7E84" w:rsidP="00DE5040">
            <w:pPr>
              <w:spacing w:after="0" w:line="240" w:lineRule="auto"/>
              <w:jc w:val="center"/>
              <w:rPr>
                <w:rFonts w:asciiTheme="majorBidi" w:hAnsiTheme="majorBidi" w:cstheme="majorBidi"/>
                <w:b/>
              </w:rPr>
            </w:pPr>
            <w:r>
              <w:rPr>
                <w:rFonts w:asciiTheme="majorBidi" w:hAnsiTheme="majorBidi" w:cstheme="majorBidi"/>
                <w:b/>
              </w:rPr>
              <w:t>Value</w:t>
            </w:r>
            <w:r w:rsidR="00047B4C">
              <w:rPr>
                <w:rFonts w:asciiTheme="majorBidi" w:hAnsiTheme="majorBidi" w:cstheme="majorBidi"/>
                <w:b/>
              </w:rPr>
              <w:t xml:space="preserve"> (Phase 1)</w:t>
            </w:r>
          </w:p>
        </w:tc>
      </w:tr>
      <w:tr w:rsidR="00DD7E84" w14:paraId="3650526A" w14:textId="77777777" w:rsidTr="00DE5040">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743C8978"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172A5D2"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DD7E84" w14:paraId="1B333C9D"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2768047"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Knowledge Exchange</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724007A"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70E285FA"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7A902EB"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Accessibility</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49E1A778" w14:textId="77777777" w:rsidR="00DD7E84" w:rsidRPr="000B15CE" w:rsidRDefault="00DD7E84" w:rsidP="00DE5040">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027CA4C7"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D3AAA6D"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Boundary Management</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0EA8F2F0"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DD7E84" w14:paraId="7BF66583"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2CA13A1"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D5FB6D9"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2D2C234F"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6A13E1D"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Flexibility</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2D8AB2F"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DD7E84" w14:paraId="32DD6421"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153637F" w14:textId="77777777" w:rsidR="00DD7E84" w:rsidRPr="008707A9" w:rsidRDefault="00DD7E84" w:rsidP="00DE5040">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471CB1CA"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4BD60AE4"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72572658"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466EE70"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6D6C9C40" w14:textId="6F1956C1" w:rsidR="00DD7E84" w:rsidRDefault="00DD7E84" w:rsidP="00DD7E84">
      <w:pPr>
        <w:pStyle w:val="Caption"/>
        <w:rPr>
          <w:sz w:val="24"/>
          <w:szCs w:val="24"/>
        </w:rPr>
      </w:pPr>
      <w:bookmarkStart w:id="168" w:name="_Ref7019809"/>
      <w:bookmarkStart w:id="169" w:name="_Toc31702054"/>
      <w:r>
        <w:t xml:space="preserve">Table </w:t>
      </w:r>
      <w:r w:rsidR="00A56355">
        <w:fldChar w:fldCharType="begin"/>
      </w:r>
      <w:r w:rsidR="00A56355">
        <w:instrText xml:space="preserve"> SEQ Table \* ARABIC </w:instrText>
      </w:r>
      <w:r w:rsidR="00A56355">
        <w:fldChar w:fldCharType="separate"/>
      </w:r>
      <w:r w:rsidR="0011424E">
        <w:rPr>
          <w:noProof/>
        </w:rPr>
        <w:t>25</w:t>
      </w:r>
      <w:r w:rsidR="00A56355">
        <w:rPr>
          <w:noProof/>
        </w:rPr>
        <w:fldChar w:fldCharType="end"/>
      </w:r>
      <w:bookmarkEnd w:id="168"/>
      <w:r>
        <w:t xml:space="preserve">. </w:t>
      </w:r>
      <w:r w:rsidRPr="00577A80">
        <w:t xml:space="preserve">BoR5 </w:t>
      </w:r>
      <w:r>
        <w:t>‘intermediary’</w:t>
      </w:r>
      <w:r w:rsidRPr="00577A80">
        <w:t xml:space="preserve"> values </w:t>
      </w:r>
      <w:r>
        <w:t>–</w:t>
      </w:r>
      <w:r w:rsidRPr="00577A80">
        <w:t xml:space="preserve"> Phase</w:t>
      </w:r>
      <w:r>
        <w:t xml:space="preserve"> 1</w:t>
      </w:r>
      <w:bookmarkEnd w:id="169"/>
    </w:p>
    <w:p w14:paraId="34EB86C6" w14:textId="6BD02F68" w:rsidR="00DD7E84" w:rsidRDefault="00DD7E84" w:rsidP="00DD7E84">
      <w:pPr>
        <w:spacing w:after="120" w:line="360" w:lineRule="auto"/>
        <w:rPr>
          <w:sz w:val="24"/>
          <w:szCs w:val="24"/>
        </w:rPr>
      </w:pPr>
      <w:r>
        <w:rPr>
          <w:sz w:val="24"/>
          <w:szCs w:val="24"/>
          <w:u w:val="single"/>
        </w:rPr>
        <w:t>Phase 2. (Methodological innovations)</w:t>
      </w:r>
      <w:r w:rsidR="00ED62FA">
        <w:rPr>
          <w:sz w:val="24"/>
          <w:szCs w:val="24"/>
        </w:rPr>
        <w:br/>
      </w:r>
      <w:r>
        <w:rPr>
          <w:sz w:val="24"/>
          <w:szCs w:val="24"/>
        </w:rPr>
        <w:t xml:space="preserve">As summarised in </w:t>
      </w:r>
      <w:r w:rsidRPr="002174FF">
        <w:rPr>
          <w:sz w:val="24"/>
          <w:szCs w:val="24"/>
        </w:rPr>
        <w:fldChar w:fldCharType="begin"/>
      </w:r>
      <w:r w:rsidRPr="002174FF">
        <w:rPr>
          <w:sz w:val="24"/>
          <w:szCs w:val="24"/>
        </w:rPr>
        <w:instrText xml:space="preserve"> REF _Ref7019902 \h </w:instrText>
      </w:r>
      <w:r>
        <w:rPr>
          <w:sz w:val="24"/>
          <w:szCs w:val="24"/>
        </w:rPr>
        <w:instrText xml:space="preserve"> \* MERGEFORMAT </w:instrText>
      </w:r>
      <w:r w:rsidRPr="002174FF">
        <w:rPr>
          <w:sz w:val="24"/>
          <w:szCs w:val="24"/>
        </w:rPr>
      </w:r>
      <w:r w:rsidRPr="002174FF">
        <w:rPr>
          <w:sz w:val="24"/>
          <w:szCs w:val="24"/>
        </w:rPr>
        <w:fldChar w:fldCharType="separate"/>
      </w:r>
      <w:r w:rsidR="0011424E" w:rsidRPr="0011424E">
        <w:rPr>
          <w:sz w:val="24"/>
          <w:szCs w:val="24"/>
        </w:rPr>
        <w:t xml:space="preserve">Table </w:t>
      </w:r>
      <w:r w:rsidR="0011424E" w:rsidRPr="0011424E">
        <w:rPr>
          <w:noProof/>
          <w:sz w:val="24"/>
          <w:szCs w:val="24"/>
        </w:rPr>
        <w:t>26</w:t>
      </w:r>
      <w:r w:rsidRPr="002174FF">
        <w:rPr>
          <w:sz w:val="24"/>
          <w:szCs w:val="24"/>
        </w:rPr>
        <w:fldChar w:fldCharType="end"/>
      </w:r>
      <w:r>
        <w:rPr>
          <w:sz w:val="24"/>
          <w:szCs w:val="24"/>
        </w:rPr>
        <w:t xml:space="preserve">, three of the ‘intermediate’ values changed in Phase 2 in relation to Phase 1 – ‘disciplinary focus’, ‘social capital’ and ‘uncertainty’. </w:t>
      </w:r>
      <w:r w:rsidR="003B5588">
        <w:rPr>
          <w:sz w:val="24"/>
          <w:szCs w:val="24"/>
        </w:rPr>
        <w:t>Regarding ‘disciplinary focus’, I judged that this should receive a lower (more academically ‘bounded’) value at Phase 2 than at Phase 1 because t</w:t>
      </w:r>
      <w:r>
        <w:rPr>
          <w:sz w:val="24"/>
          <w:szCs w:val="24"/>
        </w:rPr>
        <w:t xml:space="preserve">he methodological, statistical research which characterises Phase 2 meant that this work was couched more in terms of ecological theory. </w:t>
      </w:r>
      <w:r w:rsidR="003952D7">
        <w:rPr>
          <w:sz w:val="24"/>
          <w:szCs w:val="24"/>
        </w:rPr>
        <w:t>And, i</w:t>
      </w:r>
      <w:r>
        <w:rPr>
          <w:sz w:val="24"/>
          <w:szCs w:val="24"/>
        </w:rPr>
        <w:t>n line with this increased disciplinary and methodological focus, the issue of ‘social capital’ became even less of an issue than was previously the case, and I coded this as a 1.</w:t>
      </w:r>
    </w:p>
    <w:p w14:paraId="4A9E3B90" w14:textId="6B4AF831" w:rsidR="00DD7E84" w:rsidRDefault="00DD7E84" w:rsidP="00DD7E84">
      <w:pPr>
        <w:spacing w:after="120" w:line="360" w:lineRule="auto"/>
        <w:rPr>
          <w:sz w:val="24"/>
          <w:szCs w:val="24"/>
        </w:rPr>
      </w:pPr>
      <w:r>
        <w:rPr>
          <w:sz w:val="24"/>
          <w:szCs w:val="24"/>
        </w:rPr>
        <w:t xml:space="preserve">By contrast, I judged ‘uncertainty’ to be a 3, an increased from Phase 1. As McNie et al. (2016) explain, in some cases, “[m]ore information does not necessarily reduce uncertainty and can in fact increase it” (p. 888). This is part of the challenge that SMRU faced after technological advances gave them access to broader and deeper (literally) data about seal behaviour. Several of the journal articles associated with BoR5 emphasise the complexity of studying seals due to their being part of an ‘open’ and unpredictable ecological system. The statistical research conducted at Phase 2 was about attempting to “manage” (ibid., p. 888) the uncertainty inherent in the data; that is, to make the data more manageable for reporting and advising purposes. </w:t>
      </w:r>
    </w:p>
    <w:tbl>
      <w:tblPr>
        <w:tblW w:w="6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tblGrid>
      <w:tr w:rsidR="00022DEB" w14:paraId="2215BB8A" w14:textId="77777777" w:rsidTr="00022DEB">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335FD0CA" w14:textId="77777777" w:rsidR="00022DEB" w:rsidRPr="008707A9" w:rsidRDefault="00022DEB" w:rsidP="00022DEB">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7E68783" w14:textId="27C89A93" w:rsidR="00022DEB" w:rsidRDefault="00022DEB" w:rsidP="00022DEB">
            <w:pPr>
              <w:spacing w:after="0" w:line="240" w:lineRule="auto"/>
              <w:jc w:val="center"/>
              <w:rPr>
                <w:rFonts w:asciiTheme="majorBidi" w:hAnsiTheme="majorBidi" w:cstheme="majorBidi"/>
                <w:b/>
              </w:rPr>
            </w:pPr>
            <w:r>
              <w:rPr>
                <w:rFonts w:asciiTheme="majorBidi" w:hAnsiTheme="majorBidi" w:cstheme="majorBidi"/>
                <w:b/>
              </w:rPr>
              <w:t>Value</w:t>
            </w:r>
            <w:r w:rsidR="00047B4C">
              <w:rPr>
                <w:rFonts w:asciiTheme="majorBidi" w:hAnsiTheme="majorBidi" w:cstheme="majorBidi"/>
                <w:b/>
              </w:rPr>
              <w:t xml:space="preserve"> (Phase 1)</w:t>
            </w:r>
          </w:p>
        </w:tc>
        <w:tc>
          <w:tcPr>
            <w:tcW w:w="1753" w:type="dxa"/>
            <w:tcBorders>
              <w:top w:val="single" w:sz="4" w:space="0" w:color="auto"/>
              <w:left w:val="single" w:sz="4" w:space="0" w:color="auto"/>
              <w:bottom w:val="single" w:sz="4" w:space="0" w:color="auto"/>
              <w:right w:val="single" w:sz="4" w:space="0" w:color="auto"/>
            </w:tcBorders>
          </w:tcPr>
          <w:p w14:paraId="7DD9A82D" w14:textId="077C3AD3" w:rsidR="00022DEB" w:rsidRPr="00FF5CE5" w:rsidRDefault="00047B4C" w:rsidP="00022DEB">
            <w:pPr>
              <w:spacing w:after="0" w:line="240" w:lineRule="auto"/>
              <w:jc w:val="center"/>
              <w:rPr>
                <w:rFonts w:asciiTheme="majorBidi" w:hAnsiTheme="majorBidi" w:cstheme="majorBidi"/>
                <w:b/>
              </w:rPr>
            </w:pPr>
            <w:r>
              <w:rPr>
                <w:rFonts w:asciiTheme="majorBidi" w:hAnsiTheme="majorBidi" w:cstheme="majorBidi"/>
                <w:b/>
              </w:rPr>
              <w:t>Value (Phase 2)</w:t>
            </w:r>
          </w:p>
        </w:tc>
      </w:tr>
      <w:tr w:rsidR="00022DEB" w14:paraId="611D368C" w14:textId="77777777" w:rsidTr="00022DEB">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6C853E8" w14:textId="77777777" w:rsidR="00022DEB" w:rsidRPr="008707A9" w:rsidRDefault="00022DEB" w:rsidP="00022DEB">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35BE3B9" w14:textId="5608D4D8" w:rsidR="00022DEB"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3E47BCA7" w14:textId="35BBAC52" w:rsidR="00022DEB" w:rsidRPr="000B15CE"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022DEB" w14:paraId="079CA550" w14:textId="77777777" w:rsidTr="00022DEB">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8C27792" w14:textId="77777777" w:rsidR="00022DEB" w:rsidRPr="008707A9" w:rsidRDefault="00022DEB" w:rsidP="00022DEB">
            <w:pPr>
              <w:spacing w:after="0" w:line="240" w:lineRule="auto"/>
              <w:rPr>
                <w:rFonts w:asciiTheme="majorBidi" w:hAnsiTheme="majorBidi" w:cstheme="majorBidi"/>
              </w:rPr>
            </w:pPr>
            <w:r w:rsidRPr="008707A9">
              <w:rPr>
                <w:rFonts w:asciiTheme="majorBidi" w:hAnsiTheme="majorBidi" w:cstheme="majorBidi"/>
                <w:color w:val="000000"/>
              </w:rPr>
              <w:t>Knowledge Exchange</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703ACE4" w14:textId="2BDA3D22" w:rsidR="00022DEB"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771E64C" w14:textId="3FAF4218" w:rsidR="00022DEB" w:rsidRPr="000B15CE"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022DEB" w14:paraId="003C95A4" w14:textId="77777777" w:rsidTr="00022DEB">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F7EAE47" w14:textId="77777777" w:rsidR="00022DEB" w:rsidRPr="008707A9" w:rsidRDefault="00022DEB" w:rsidP="00022DEB">
            <w:pPr>
              <w:spacing w:after="0" w:line="240" w:lineRule="auto"/>
              <w:rPr>
                <w:rFonts w:asciiTheme="majorBidi" w:hAnsiTheme="majorBidi" w:cstheme="majorBidi"/>
              </w:rPr>
            </w:pPr>
            <w:r w:rsidRPr="008707A9">
              <w:rPr>
                <w:rFonts w:asciiTheme="majorBidi" w:hAnsiTheme="majorBidi" w:cstheme="majorBidi"/>
                <w:color w:val="000000"/>
              </w:rPr>
              <w:t>Accessibility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2352BD8" w14:textId="6E6812F2" w:rsidR="00022DEB" w:rsidRDefault="00022DEB" w:rsidP="00022DEB">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9F0A6D1" w14:textId="01D58D37" w:rsidR="00022DEB" w:rsidRPr="000B15CE" w:rsidRDefault="00022DEB" w:rsidP="00022DEB">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022DEB" w14:paraId="6DED563E" w14:textId="77777777" w:rsidTr="00022DEB">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F4575C4" w14:textId="77777777" w:rsidR="00022DEB" w:rsidRPr="008707A9" w:rsidRDefault="00022DEB" w:rsidP="00022DEB">
            <w:pPr>
              <w:spacing w:after="0" w:line="240" w:lineRule="auto"/>
              <w:rPr>
                <w:rFonts w:asciiTheme="majorBidi" w:hAnsiTheme="majorBidi" w:cstheme="majorBidi"/>
              </w:rPr>
            </w:pPr>
            <w:r w:rsidRPr="008707A9">
              <w:rPr>
                <w:rFonts w:asciiTheme="majorBidi" w:hAnsiTheme="majorBidi" w:cstheme="majorBidi"/>
                <w:color w:val="000000"/>
              </w:rPr>
              <w:t>Boundary Management</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298C044" w14:textId="29ABC6B3" w:rsidR="00022DEB"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6C3BB18" w14:textId="57F476D1" w:rsidR="00022DEB" w:rsidRPr="000B15CE"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022DEB" w14:paraId="1AE46CA6" w14:textId="77777777" w:rsidTr="00022DEB">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5127026" w14:textId="77777777" w:rsidR="00022DEB" w:rsidRPr="008707A9" w:rsidRDefault="00022DEB" w:rsidP="00022DEB">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006AD15" w14:textId="3DF29360" w:rsidR="00022DEB"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F6543BC" w14:textId="20C84649" w:rsidR="00022DEB" w:rsidRPr="000B15CE"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022DEB" w14:paraId="3481130A" w14:textId="77777777" w:rsidTr="00022DEB">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828DEC4" w14:textId="77777777" w:rsidR="00022DEB" w:rsidRPr="008707A9" w:rsidRDefault="00022DEB" w:rsidP="00022DEB">
            <w:pPr>
              <w:spacing w:after="0" w:line="240" w:lineRule="auto"/>
              <w:rPr>
                <w:rFonts w:asciiTheme="majorBidi" w:hAnsiTheme="majorBidi" w:cstheme="majorBidi"/>
              </w:rPr>
            </w:pPr>
            <w:r w:rsidRPr="008707A9">
              <w:rPr>
                <w:rFonts w:asciiTheme="majorBidi" w:hAnsiTheme="majorBidi" w:cstheme="majorBidi"/>
                <w:color w:val="000000"/>
              </w:rPr>
              <w:t>Flexibility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942FCCA" w14:textId="1E0C9541" w:rsidR="00022DEB"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2F6E376" w14:textId="4A88D70C" w:rsidR="00022DEB" w:rsidRPr="000B15CE"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022DEB" w14:paraId="358F7673" w14:textId="77777777" w:rsidTr="00022DEB">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6C4330F" w14:textId="77777777" w:rsidR="00022DEB" w:rsidRPr="008707A9" w:rsidRDefault="00022DEB" w:rsidP="00022DEB">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A5A2548" w14:textId="63C6AE1C" w:rsidR="00022DEB"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3FE7AAC7" w14:textId="105C1D08" w:rsidR="00022DEB" w:rsidRPr="000B15CE" w:rsidRDefault="00022DEB" w:rsidP="00022DEB">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022DEB" w14:paraId="3C21B8C6" w14:textId="77777777" w:rsidTr="00022DEB">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BBFF1AB" w14:textId="77777777" w:rsidR="00022DEB" w:rsidRPr="008707A9" w:rsidRDefault="00022DEB" w:rsidP="00022DEB">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CE29A04" w14:textId="58125DA9" w:rsidR="00022DEB" w:rsidRDefault="00022DEB" w:rsidP="00022DEB">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DA7096E" w14:textId="7CEDC9ED" w:rsidR="00022DEB" w:rsidRPr="000B15CE" w:rsidRDefault="00022DEB" w:rsidP="00022DEB">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r>
    </w:tbl>
    <w:p w14:paraId="74BA487C" w14:textId="3306DA29" w:rsidR="00DD7E84" w:rsidRPr="00853DA8" w:rsidRDefault="00DD7E84" w:rsidP="00DD7E84">
      <w:pPr>
        <w:pStyle w:val="Caption"/>
      </w:pPr>
      <w:bookmarkStart w:id="170" w:name="_Ref7019902"/>
      <w:bookmarkStart w:id="171" w:name="_Toc31702055"/>
      <w:r>
        <w:t xml:space="preserve">Table </w:t>
      </w:r>
      <w:r w:rsidR="00A56355">
        <w:fldChar w:fldCharType="begin"/>
      </w:r>
      <w:r w:rsidR="00A56355">
        <w:instrText xml:space="preserve"> SEQ Table \* ARABIC </w:instrText>
      </w:r>
      <w:r w:rsidR="00A56355">
        <w:fldChar w:fldCharType="separate"/>
      </w:r>
      <w:r w:rsidR="0011424E">
        <w:rPr>
          <w:noProof/>
        </w:rPr>
        <w:t>26</w:t>
      </w:r>
      <w:r w:rsidR="00A56355">
        <w:rPr>
          <w:noProof/>
        </w:rPr>
        <w:fldChar w:fldCharType="end"/>
      </w:r>
      <w:bookmarkEnd w:id="170"/>
      <w:r>
        <w:t xml:space="preserve">. </w:t>
      </w:r>
      <w:r w:rsidRPr="00577A80">
        <w:t xml:space="preserve">BoR5 </w:t>
      </w:r>
      <w:r>
        <w:t>‘intermediary’</w:t>
      </w:r>
      <w:r w:rsidRPr="00577A80">
        <w:t xml:space="preserve"> values </w:t>
      </w:r>
      <w:r>
        <w:t>–</w:t>
      </w:r>
      <w:r w:rsidRPr="00577A80">
        <w:t xml:space="preserve"> Phase</w:t>
      </w:r>
      <w:r w:rsidR="002D33B5">
        <w:t>s 1 &amp;</w:t>
      </w:r>
      <w:r>
        <w:t xml:space="preserve"> 2</w:t>
      </w:r>
      <w:bookmarkEnd w:id="171"/>
    </w:p>
    <w:p w14:paraId="297BC4F8" w14:textId="77777777" w:rsidR="00DD7E84" w:rsidRDefault="00DD7E84" w:rsidP="00DD7E84">
      <w:pPr>
        <w:spacing w:after="120" w:line="360" w:lineRule="auto"/>
        <w:rPr>
          <w:sz w:val="24"/>
          <w:szCs w:val="24"/>
          <w:u w:val="single"/>
        </w:rPr>
      </w:pPr>
      <w:r>
        <w:rPr>
          <w:sz w:val="24"/>
          <w:szCs w:val="24"/>
          <w:u w:val="single"/>
        </w:rPr>
        <w:t>Phase 3. (Disseminating technologies and techniques, generating revenue)</w:t>
      </w:r>
    </w:p>
    <w:p w14:paraId="0C4024C1" w14:textId="212B4D1B" w:rsidR="00DD7E84" w:rsidRDefault="00DD7E84" w:rsidP="00DD7E84">
      <w:pPr>
        <w:spacing w:after="120" w:line="360" w:lineRule="auto"/>
        <w:rPr>
          <w:sz w:val="24"/>
          <w:szCs w:val="24"/>
        </w:rPr>
      </w:pPr>
      <w:r w:rsidRPr="0073459C">
        <w:rPr>
          <w:sz w:val="24"/>
          <w:szCs w:val="24"/>
        </w:rPr>
        <w:t xml:space="preserve">As </w:t>
      </w:r>
      <w:r w:rsidRPr="0073459C">
        <w:rPr>
          <w:sz w:val="24"/>
          <w:szCs w:val="24"/>
        </w:rPr>
        <w:fldChar w:fldCharType="begin"/>
      </w:r>
      <w:r w:rsidRPr="0073459C">
        <w:rPr>
          <w:sz w:val="24"/>
          <w:szCs w:val="24"/>
        </w:rPr>
        <w:instrText xml:space="preserve"> REF _Ref7019980 \h </w:instrText>
      </w:r>
      <w:r>
        <w:rPr>
          <w:sz w:val="24"/>
          <w:szCs w:val="24"/>
        </w:rPr>
        <w:instrText xml:space="preserve"> \* MERGEFORMAT </w:instrText>
      </w:r>
      <w:r w:rsidRPr="0073459C">
        <w:rPr>
          <w:sz w:val="24"/>
          <w:szCs w:val="24"/>
        </w:rPr>
      </w:r>
      <w:r w:rsidRPr="0073459C">
        <w:rPr>
          <w:sz w:val="24"/>
          <w:szCs w:val="24"/>
        </w:rPr>
        <w:fldChar w:fldCharType="separate"/>
      </w:r>
      <w:r w:rsidR="0011424E" w:rsidRPr="0011424E">
        <w:rPr>
          <w:sz w:val="24"/>
          <w:szCs w:val="24"/>
        </w:rPr>
        <w:t xml:space="preserve">Table </w:t>
      </w:r>
      <w:r w:rsidR="0011424E" w:rsidRPr="0011424E">
        <w:rPr>
          <w:noProof/>
          <w:sz w:val="24"/>
          <w:szCs w:val="24"/>
        </w:rPr>
        <w:t>27</w:t>
      </w:r>
      <w:r w:rsidRPr="0073459C">
        <w:rPr>
          <w:sz w:val="24"/>
          <w:szCs w:val="24"/>
        </w:rPr>
        <w:fldChar w:fldCharType="end"/>
      </w:r>
      <w:r w:rsidRPr="0073459C">
        <w:rPr>
          <w:sz w:val="24"/>
          <w:szCs w:val="24"/>
        </w:rPr>
        <w:t xml:space="preserve"> shows,</w:t>
      </w:r>
      <w:r>
        <w:rPr>
          <w:sz w:val="24"/>
          <w:szCs w:val="24"/>
        </w:rPr>
        <w:t xml:space="preserve"> I increased four of the attribute/activity values at Phase 3 – ‘boundary management’, ‘network participation’, ‘disciplinary focus’ and ‘social capital’. </w:t>
      </w:r>
    </w:p>
    <w:p w14:paraId="13CEBE9B" w14:textId="77777777" w:rsidR="00DD7E84" w:rsidRDefault="00DD7E84" w:rsidP="00DD7E84">
      <w:pPr>
        <w:spacing w:after="120" w:line="360" w:lineRule="auto"/>
        <w:rPr>
          <w:sz w:val="24"/>
          <w:szCs w:val="24"/>
        </w:rPr>
      </w:pPr>
      <w:r>
        <w:rPr>
          <w:sz w:val="24"/>
          <w:szCs w:val="24"/>
        </w:rPr>
        <w:t xml:space="preserve">SMRU broadened both their academic and non-academic networks, including more disparate scientific disciplines, conservation practitioners, and researchers from non-academic public research institutes (both at home and abroad) in order to disseminate their technologies and methods. This also stretched as far as commercialisation, leading to networks engaging private sector industry. I therefore increased my valuation of ‘network participation’ on the typology’s spectrum from 3 to 4. </w:t>
      </w:r>
    </w:p>
    <w:p w14:paraId="7D730683" w14:textId="77777777" w:rsidR="00DD7E84" w:rsidRDefault="00DD7E84" w:rsidP="00DD7E84">
      <w:pPr>
        <w:spacing w:after="120" w:line="360" w:lineRule="auto"/>
        <w:rPr>
          <w:sz w:val="24"/>
          <w:szCs w:val="24"/>
        </w:rPr>
      </w:pPr>
      <w:r>
        <w:rPr>
          <w:sz w:val="24"/>
          <w:szCs w:val="24"/>
        </w:rPr>
        <w:t xml:space="preserve">These developments also influenced my valuation of other activities/attributes. This more interventionist approach, where SMRU more actively aimed to disseminate and commercialise their methods had implications for ‘boundary management’ and the need for deploying ‘social capital’, both of which I increased up to a value of 3. </w:t>
      </w:r>
    </w:p>
    <w:p w14:paraId="40CDD75C" w14:textId="77777777" w:rsidR="00DD7E84" w:rsidRDefault="00DD7E84" w:rsidP="00DD7E84">
      <w:pPr>
        <w:spacing w:after="120" w:line="360" w:lineRule="auto"/>
        <w:rPr>
          <w:sz w:val="24"/>
          <w:szCs w:val="24"/>
        </w:rPr>
      </w:pPr>
      <w:r>
        <w:rPr>
          <w:sz w:val="24"/>
          <w:szCs w:val="24"/>
        </w:rPr>
        <w:t>In the case of ‘disciplinary focus’, I originally valued this as a 3 at Phase 1, but reduced this to a 2 at Phase 2, reflecting the greater disciplinary focus associated with SMRU’s methodological innovations and statistical research. The work at Phase 3 goes back to a similar level of disciplinary focus as at Phase 1, and I accordingly have valued this attribute as a 3 at this phase.</w:t>
      </w:r>
    </w:p>
    <w:tbl>
      <w:tblPr>
        <w:tblW w:w="8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gridCol w:w="1753"/>
      </w:tblGrid>
      <w:tr w:rsidR="002D33B5" w14:paraId="79F5870B" w14:textId="77777777" w:rsidTr="002D33B5">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33CBC35B" w14:textId="77777777" w:rsidR="002D33B5" w:rsidRPr="008707A9" w:rsidRDefault="002D33B5" w:rsidP="002D33B5">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23E3A32" w14:textId="53D1AF87" w:rsidR="002D33B5" w:rsidRDefault="002D33B5" w:rsidP="002D33B5">
            <w:pPr>
              <w:spacing w:after="0" w:line="240" w:lineRule="auto"/>
              <w:jc w:val="center"/>
              <w:rPr>
                <w:rFonts w:asciiTheme="majorBidi" w:hAnsiTheme="majorBidi" w:cstheme="majorBidi"/>
                <w:b/>
              </w:rPr>
            </w:pPr>
            <w:r>
              <w:rPr>
                <w:rFonts w:asciiTheme="majorBidi" w:hAnsiTheme="majorBidi" w:cstheme="majorBidi"/>
                <w:b/>
              </w:rPr>
              <w:t>Value</w:t>
            </w:r>
            <w:r w:rsidR="00047B4C">
              <w:rPr>
                <w:rFonts w:asciiTheme="majorBidi" w:hAnsiTheme="majorBidi" w:cstheme="majorBidi"/>
                <w:b/>
              </w:rPr>
              <w:t xml:space="preserve"> (Phase 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1AC148D" w14:textId="092FDEB6" w:rsidR="002D33B5" w:rsidRDefault="002D33B5" w:rsidP="002D33B5">
            <w:pPr>
              <w:spacing w:after="0" w:line="240" w:lineRule="auto"/>
              <w:jc w:val="center"/>
              <w:rPr>
                <w:rFonts w:asciiTheme="majorBidi" w:hAnsiTheme="majorBidi" w:cstheme="majorBidi"/>
                <w:b/>
              </w:rPr>
            </w:pPr>
            <w:r>
              <w:rPr>
                <w:rFonts w:asciiTheme="majorBidi" w:hAnsiTheme="majorBidi" w:cstheme="majorBidi"/>
                <w:b/>
              </w:rPr>
              <w:t>Value</w:t>
            </w:r>
            <w:r w:rsidR="00047B4C">
              <w:rPr>
                <w:rFonts w:asciiTheme="majorBidi" w:hAnsiTheme="majorBidi" w:cstheme="majorBidi"/>
                <w:b/>
              </w:rPr>
              <w:t xml:space="preserve"> (Phase 2)</w:t>
            </w:r>
          </w:p>
        </w:tc>
        <w:tc>
          <w:tcPr>
            <w:tcW w:w="1753" w:type="dxa"/>
            <w:tcBorders>
              <w:top w:val="single" w:sz="4" w:space="0" w:color="auto"/>
              <w:left w:val="single" w:sz="4" w:space="0" w:color="auto"/>
              <w:bottom w:val="single" w:sz="4" w:space="0" w:color="auto"/>
              <w:right w:val="single" w:sz="4" w:space="0" w:color="auto"/>
            </w:tcBorders>
          </w:tcPr>
          <w:p w14:paraId="2B125938" w14:textId="1ACEEB18" w:rsidR="002D33B5" w:rsidRPr="00FF5CE5" w:rsidRDefault="002D33B5" w:rsidP="002D33B5">
            <w:pPr>
              <w:spacing w:after="0" w:line="240" w:lineRule="auto"/>
              <w:jc w:val="center"/>
              <w:rPr>
                <w:rFonts w:asciiTheme="majorBidi" w:hAnsiTheme="majorBidi" w:cstheme="majorBidi"/>
                <w:b/>
              </w:rPr>
            </w:pPr>
            <w:r>
              <w:rPr>
                <w:rFonts w:asciiTheme="majorBidi" w:hAnsiTheme="majorBidi" w:cstheme="majorBidi"/>
                <w:b/>
              </w:rPr>
              <w:t>Value</w:t>
            </w:r>
            <w:r w:rsidR="00047B4C">
              <w:rPr>
                <w:rFonts w:asciiTheme="majorBidi" w:hAnsiTheme="majorBidi" w:cstheme="majorBidi"/>
                <w:b/>
              </w:rPr>
              <w:t xml:space="preserve"> (Phase 3)</w:t>
            </w:r>
          </w:p>
        </w:tc>
      </w:tr>
      <w:tr w:rsidR="002D33B5" w14:paraId="006812AD" w14:textId="77777777" w:rsidTr="002D33B5">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B4A98B2" w14:textId="77777777" w:rsidR="002D33B5" w:rsidRPr="008707A9" w:rsidRDefault="002D33B5" w:rsidP="002D33B5">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A3DDE73" w14:textId="38C92AE0"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CB66A73" w14:textId="187EAA4B"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7D0CD7D" w14:textId="719D5AEF" w:rsidR="002D33B5" w:rsidRPr="000B15CE"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2D33B5" w14:paraId="24AE0D34" w14:textId="77777777" w:rsidTr="002D33B5">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3A1174B" w14:textId="77777777" w:rsidR="002D33B5" w:rsidRPr="008707A9" w:rsidRDefault="002D33B5" w:rsidP="002D33B5">
            <w:pPr>
              <w:spacing w:after="0" w:line="240" w:lineRule="auto"/>
              <w:rPr>
                <w:rFonts w:asciiTheme="majorBidi" w:hAnsiTheme="majorBidi" w:cstheme="majorBidi"/>
              </w:rPr>
            </w:pPr>
            <w:r w:rsidRPr="008707A9">
              <w:rPr>
                <w:rFonts w:asciiTheme="majorBidi" w:hAnsiTheme="majorBidi" w:cstheme="majorBidi"/>
                <w:color w:val="000000"/>
              </w:rPr>
              <w:t>Knowledge Exchange</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80AD2A8" w14:textId="4E57CDB2"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AE1CC1A" w14:textId="197B0653"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460764AD" w14:textId="3D1E9FB6" w:rsidR="002D33B5" w:rsidRPr="000B15CE"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2D33B5" w14:paraId="7FD4DC89" w14:textId="77777777" w:rsidTr="002D33B5">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43D3AE3" w14:textId="77777777" w:rsidR="002D33B5" w:rsidRPr="008707A9" w:rsidRDefault="002D33B5" w:rsidP="002D33B5">
            <w:pPr>
              <w:spacing w:after="0" w:line="240" w:lineRule="auto"/>
              <w:rPr>
                <w:rFonts w:asciiTheme="majorBidi" w:hAnsiTheme="majorBidi" w:cstheme="majorBidi"/>
              </w:rPr>
            </w:pPr>
            <w:r w:rsidRPr="008707A9">
              <w:rPr>
                <w:rFonts w:asciiTheme="majorBidi" w:hAnsiTheme="majorBidi" w:cstheme="majorBidi"/>
                <w:color w:val="000000"/>
              </w:rPr>
              <w:t>Accessibility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3E7C0AC" w14:textId="1FAE5DC5" w:rsidR="002D33B5" w:rsidRDefault="002D33B5" w:rsidP="002D33B5">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1A57796" w14:textId="7F500A35" w:rsidR="002D33B5" w:rsidRDefault="002D33B5" w:rsidP="002D33B5">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C08FCBD" w14:textId="235FEA1F" w:rsidR="002D33B5" w:rsidRPr="000B15CE" w:rsidRDefault="002D33B5" w:rsidP="002D33B5">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2D33B5" w14:paraId="495E6780" w14:textId="77777777" w:rsidTr="002D33B5">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41D79F8" w14:textId="77777777" w:rsidR="002D33B5" w:rsidRPr="008707A9" w:rsidRDefault="002D33B5" w:rsidP="002D33B5">
            <w:pPr>
              <w:spacing w:after="0" w:line="240" w:lineRule="auto"/>
              <w:rPr>
                <w:rFonts w:asciiTheme="majorBidi" w:hAnsiTheme="majorBidi" w:cstheme="majorBidi"/>
              </w:rPr>
            </w:pPr>
            <w:r w:rsidRPr="008707A9">
              <w:rPr>
                <w:rFonts w:asciiTheme="majorBidi" w:hAnsiTheme="majorBidi" w:cstheme="majorBidi"/>
                <w:color w:val="000000"/>
              </w:rPr>
              <w:t>Boundary Management</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E941671" w14:textId="3CA48392"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08E942D" w14:textId="0E585CAC"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9DCDEDC" w14:textId="33E9848B" w:rsidR="002D33B5" w:rsidRPr="000B15CE"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2D33B5" w14:paraId="209EEE69" w14:textId="77777777" w:rsidTr="002D33B5">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5B58193" w14:textId="77777777" w:rsidR="002D33B5" w:rsidRPr="008707A9" w:rsidRDefault="002D33B5" w:rsidP="002D33B5">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4478710" w14:textId="6EE7E3C9"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5D95311" w14:textId="511A83CA"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F38C9B4" w14:textId="18D7475C" w:rsidR="002D33B5" w:rsidRPr="000B15CE"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4</w:t>
            </w:r>
          </w:p>
        </w:tc>
      </w:tr>
      <w:tr w:rsidR="002D33B5" w14:paraId="5F1348C5" w14:textId="77777777" w:rsidTr="002D33B5">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C2CFAD4" w14:textId="77777777" w:rsidR="002D33B5" w:rsidRPr="008707A9" w:rsidRDefault="002D33B5" w:rsidP="002D33B5">
            <w:pPr>
              <w:spacing w:after="0" w:line="240" w:lineRule="auto"/>
              <w:rPr>
                <w:rFonts w:asciiTheme="majorBidi" w:hAnsiTheme="majorBidi" w:cstheme="majorBidi"/>
              </w:rPr>
            </w:pPr>
            <w:r w:rsidRPr="008707A9">
              <w:rPr>
                <w:rFonts w:asciiTheme="majorBidi" w:hAnsiTheme="majorBidi" w:cstheme="majorBidi"/>
                <w:color w:val="000000"/>
              </w:rPr>
              <w:t>Flexibility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A0E159C" w14:textId="013EBA46"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918702B" w14:textId="5E7CB365"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349F51D6" w14:textId="4D5460F5" w:rsidR="002D33B5" w:rsidRPr="000B15CE"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2D33B5" w14:paraId="15AB43BB" w14:textId="77777777" w:rsidTr="002D33B5">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1DB9918" w14:textId="77777777" w:rsidR="002D33B5" w:rsidRPr="008707A9" w:rsidRDefault="002D33B5" w:rsidP="002D33B5">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0382273" w14:textId="70FB0AB9"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E02E574" w14:textId="69D74920" w:rsidR="002D33B5"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08CD3EE" w14:textId="7994014D" w:rsidR="002D33B5" w:rsidRPr="000B15CE" w:rsidRDefault="002D33B5" w:rsidP="002D33B5">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2D33B5" w14:paraId="3A6F5AA4" w14:textId="77777777" w:rsidTr="002D33B5">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6652277C" w14:textId="77777777" w:rsidR="002D33B5" w:rsidRPr="008707A9" w:rsidRDefault="002D33B5" w:rsidP="002D33B5">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4D8EF0B" w14:textId="031D3C73" w:rsidR="002D33B5" w:rsidRDefault="002D33B5" w:rsidP="002D33B5">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E07C4B9" w14:textId="13A4C9DE" w:rsidR="002D33B5" w:rsidRDefault="002D33B5" w:rsidP="002D33B5">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8C1B5FB" w14:textId="10295DFF" w:rsidR="002D33B5" w:rsidRPr="000B15CE" w:rsidRDefault="002D33B5" w:rsidP="002D33B5">
            <w:pPr>
              <w:keepNext/>
              <w:spacing w:after="0" w:line="240" w:lineRule="auto"/>
              <w:jc w:val="center"/>
              <w:rPr>
                <w:rFonts w:asciiTheme="majorBidi" w:hAnsiTheme="majorBidi" w:cstheme="majorBidi"/>
                <w:color w:val="000000"/>
              </w:rPr>
            </w:pPr>
            <w:r>
              <w:rPr>
                <w:rFonts w:asciiTheme="majorBidi" w:hAnsiTheme="majorBidi" w:cstheme="majorBidi"/>
                <w:color w:val="000000"/>
              </w:rPr>
              <w:t>3</w:t>
            </w:r>
          </w:p>
        </w:tc>
      </w:tr>
    </w:tbl>
    <w:p w14:paraId="5CF5142D" w14:textId="12DB2847" w:rsidR="00DD7E84" w:rsidRPr="00466BB0" w:rsidRDefault="00DD7E84" w:rsidP="00DD7E84">
      <w:pPr>
        <w:pStyle w:val="Caption"/>
        <w:rPr>
          <w:sz w:val="24"/>
          <w:szCs w:val="24"/>
        </w:rPr>
      </w:pPr>
      <w:bookmarkStart w:id="172" w:name="_Ref7019980"/>
      <w:bookmarkStart w:id="173" w:name="_Toc31702056"/>
      <w:r>
        <w:t xml:space="preserve">Table </w:t>
      </w:r>
      <w:r w:rsidR="00A56355">
        <w:fldChar w:fldCharType="begin"/>
      </w:r>
      <w:r w:rsidR="00A56355">
        <w:instrText xml:space="preserve"> SEQ Table \* ARABIC </w:instrText>
      </w:r>
      <w:r w:rsidR="00A56355">
        <w:fldChar w:fldCharType="separate"/>
      </w:r>
      <w:r w:rsidR="0011424E">
        <w:rPr>
          <w:noProof/>
        </w:rPr>
        <w:t>27</w:t>
      </w:r>
      <w:r w:rsidR="00A56355">
        <w:rPr>
          <w:noProof/>
        </w:rPr>
        <w:fldChar w:fldCharType="end"/>
      </w:r>
      <w:bookmarkEnd w:id="172"/>
      <w:r>
        <w:t xml:space="preserve">. </w:t>
      </w:r>
      <w:r w:rsidRPr="00577A80">
        <w:t xml:space="preserve">BoR5 </w:t>
      </w:r>
      <w:r>
        <w:t>‘intermediary’</w:t>
      </w:r>
      <w:r w:rsidRPr="00577A80">
        <w:t xml:space="preserve"> values </w:t>
      </w:r>
      <w:r>
        <w:t>–</w:t>
      </w:r>
      <w:r w:rsidRPr="00577A80">
        <w:t xml:space="preserve"> Phase</w:t>
      </w:r>
      <w:r w:rsidR="00F74967">
        <w:t>s 1-</w:t>
      </w:r>
      <w:r>
        <w:t>3</w:t>
      </w:r>
      <w:bookmarkEnd w:id="173"/>
    </w:p>
    <w:p w14:paraId="4113F0F1" w14:textId="77777777" w:rsidR="00DD7E84" w:rsidRDefault="00DD7E84" w:rsidP="004C1B76">
      <w:pPr>
        <w:pStyle w:val="Heading4"/>
      </w:pPr>
      <w:r>
        <w:t>Summary analysis</w:t>
      </w:r>
    </w:p>
    <w:p w14:paraId="7252DDF2" w14:textId="46B9A699" w:rsidR="00C0491D" w:rsidRPr="00B67CA7" w:rsidRDefault="00DD7E84" w:rsidP="00DD7E84">
      <w:pPr>
        <w:spacing w:before="120" w:after="120" w:line="360" w:lineRule="auto"/>
      </w:pPr>
      <w:r w:rsidRPr="00054EAA">
        <w:rPr>
          <w:sz w:val="24"/>
          <w:szCs w:val="24"/>
        </w:rPr>
        <w:fldChar w:fldCharType="begin"/>
      </w:r>
      <w:r w:rsidRPr="00054EAA">
        <w:rPr>
          <w:sz w:val="24"/>
          <w:szCs w:val="24"/>
        </w:rPr>
        <w:instrText xml:space="preserve"> REF _Ref7032334 \h </w:instrText>
      </w:r>
      <w:r>
        <w:rPr>
          <w:sz w:val="24"/>
          <w:szCs w:val="24"/>
        </w:rPr>
        <w:instrText xml:space="preserve"> \* MERGEFORMAT </w:instrText>
      </w:r>
      <w:r w:rsidRPr="00054EAA">
        <w:rPr>
          <w:sz w:val="24"/>
          <w:szCs w:val="24"/>
        </w:rPr>
      </w:r>
      <w:r w:rsidRPr="00054EAA">
        <w:rPr>
          <w:sz w:val="24"/>
          <w:szCs w:val="24"/>
        </w:rPr>
        <w:fldChar w:fldCharType="separate"/>
      </w:r>
      <w:r w:rsidR="0011424E" w:rsidRPr="0011424E">
        <w:rPr>
          <w:sz w:val="24"/>
          <w:szCs w:val="24"/>
        </w:rPr>
        <w:t xml:space="preserve">Figure </w:t>
      </w:r>
      <w:r w:rsidR="0011424E" w:rsidRPr="0011424E">
        <w:rPr>
          <w:noProof/>
          <w:sz w:val="24"/>
          <w:szCs w:val="24"/>
        </w:rPr>
        <w:t>12</w:t>
      </w:r>
      <w:r w:rsidRPr="00054EAA">
        <w:rPr>
          <w:sz w:val="24"/>
          <w:szCs w:val="24"/>
        </w:rPr>
        <w:fldChar w:fldCharType="end"/>
      </w:r>
      <w:r>
        <w:rPr>
          <w:sz w:val="24"/>
          <w:szCs w:val="24"/>
        </w:rPr>
        <w:t xml:space="preserve"> presents BoR5’s typology in full. It </w:t>
      </w:r>
      <w:r w:rsidR="00F40531">
        <w:rPr>
          <w:sz w:val="24"/>
          <w:szCs w:val="24"/>
        </w:rPr>
        <w:t>highlights</w:t>
      </w:r>
      <w:r>
        <w:rPr>
          <w:sz w:val="24"/>
          <w:szCs w:val="24"/>
        </w:rPr>
        <w:t xml:space="preserve"> that </w:t>
      </w:r>
      <w:r w:rsidR="00F40531">
        <w:rPr>
          <w:sz w:val="24"/>
          <w:szCs w:val="24"/>
        </w:rPr>
        <w:t>BoR5</w:t>
      </w:r>
      <w:r>
        <w:rPr>
          <w:sz w:val="24"/>
          <w:szCs w:val="24"/>
        </w:rPr>
        <w:t xml:space="preserve"> is far less directly</w:t>
      </w:r>
      <w:r w:rsidR="00C66E37">
        <w:rPr>
          <w:sz w:val="24"/>
          <w:szCs w:val="24"/>
        </w:rPr>
        <w:t xml:space="preserve"> and intensively</w:t>
      </w:r>
      <w:r>
        <w:rPr>
          <w:sz w:val="24"/>
          <w:szCs w:val="24"/>
        </w:rPr>
        <w:t xml:space="preserve"> engaged in the social context than was the case with BoR11.1, discussed above (</w:t>
      </w:r>
      <w:r w:rsidRPr="004738F1">
        <w:rPr>
          <w:sz w:val="24"/>
          <w:szCs w:val="24"/>
        </w:rPr>
        <w:t xml:space="preserve">see </w:t>
      </w:r>
      <w:r w:rsidRPr="004738F1">
        <w:rPr>
          <w:sz w:val="24"/>
          <w:szCs w:val="24"/>
        </w:rPr>
        <w:fldChar w:fldCharType="begin"/>
      </w:r>
      <w:r w:rsidRPr="004738F1">
        <w:rPr>
          <w:sz w:val="24"/>
          <w:szCs w:val="24"/>
        </w:rPr>
        <w:instrText xml:space="preserve"> REF _Ref6890800 \h </w:instrText>
      </w:r>
      <w:r>
        <w:rPr>
          <w:sz w:val="24"/>
          <w:szCs w:val="24"/>
        </w:rPr>
        <w:instrText xml:space="preserve"> \* MERGEFORMAT </w:instrText>
      </w:r>
      <w:r w:rsidRPr="004738F1">
        <w:rPr>
          <w:sz w:val="24"/>
          <w:szCs w:val="24"/>
        </w:rPr>
      </w:r>
      <w:r w:rsidRPr="004738F1">
        <w:rPr>
          <w:sz w:val="24"/>
          <w:szCs w:val="24"/>
        </w:rPr>
        <w:fldChar w:fldCharType="separate"/>
      </w:r>
      <w:r w:rsidR="0011424E" w:rsidRPr="0011424E">
        <w:rPr>
          <w:sz w:val="24"/>
          <w:szCs w:val="24"/>
        </w:rPr>
        <w:t xml:space="preserve">Figure </w:t>
      </w:r>
      <w:r w:rsidR="0011424E" w:rsidRPr="0011424E">
        <w:rPr>
          <w:noProof/>
          <w:sz w:val="24"/>
          <w:szCs w:val="24"/>
        </w:rPr>
        <w:t>11</w:t>
      </w:r>
      <w:r w:rsidRPr="004738F1">
        <w:rPr>
          <w:sz w:val="24"/>
          <w:szCs w:val="24"/>
        </w:rPr>
        <w:fldChar w:fldCharType="end"/>
      </w:r>
      <w:r w:rsidRPr="004738F1">
        <w:rPr>
          <w:sz w:val="24"/>
          <w:szCs w:val="24"/>
        </w:rPr>
        <w:t>)</w:t>
      </w:r>
      <w:r>
        <w:rPr>
          <w:sz w:val="24"/>
          <w:szCs w:val="24"/>
        </w:rPr>
        <w:t xml:space="preserve">. Although its ultimate goals are to inform decisions beyond academic boundaries, its immediate outputs are predominantly scientific. This is also reflected in the low ‘knowledge content’ values, albeit that the boundary-crossing networks that SMRU engage in has forced them to learn to combine their ‘hard’ scientific skills with some ‘softer’ skills, as reflected in the values for ‘network participation’ and ‘human capital’. However, even when engaging with wider networks, the strong emphasis on scientific expertise colours the image and identities that SMRU carry. This explains why, for the most part, the need for expending effort on ‘boundary management’ and mobilising ‘social capital’ is relatively low; in the contexts of the boundary-crossing networks that SMRU engage in, it is their academic/scientific capital </w:t>
      </w:r>
      <w:r>
        <w:rPr>
          <w:sz w:val="24"/>
          <w:szCs w:val="24"/>
        </w:rPr>
        <w:fldChar w:fldCharType="begin"/>
      </w:r>
      <w:r>
        <w:rPr>
          <w:sz w:val="24"/>
          <w:szCs w:val="24"/>
        </w:rPr>
        <w:instrText xml:space="preserve"> ADDIN EN.CITE &lt;EndNote&gt;&lt;Cite&gt;&lt;Author&gt;Langa&lt;/Author&gt;&lt;Year&gt;2011&lt;/Year&gt;&lt;IDText&gt;Scientific Capital and Engagement in African Universities: The Case of the Social Sciences at Makerere University&lt;/IDText&gt;&lt;DisplayText&gt;(Langa, 2011)&lt;/DisplayText&gt;&lt;record&gt;&lt;urls&gt;&lt;related-urls&gt;&lt;url&gt;http://ahero.uwc.ac.za/index.php?module=cshe&amp;amp;action=downloadfile&amp;amp;fileid=18409092513365623383047&lt;/url&gt;&lt;/related-urls&gt;&lt;/urls&gt;&lt;titles&gt;&lt;title&gt;Scientific Capital and Engagement in African Universities: The Case of the Social Sciences at Makerere University&lt;/title&gt;&lt;/titles&gt;&lt;contributors&gt;&lt;authors&gt;&lt;author&gt;Langa, Patrício V.&lt;/author&gt;&lt;/authors&gt;&lt;/contributors&gt;&lt;added-date format="utc"&gt;1556198412&lt;/added-date&gt;&lt;ref-type name="Report"&gt;27&lt;/ref-type&gt;&lt;dates&gt;&lt;year&gt;2011&lt;/year&gt;&lt;/dates&gt;&lt;rec-number&gt;7769&lt;/rec-number&gt;&lt;publisher&gt;Centre for Higher Education Transformation&lt;/publisher&gt;&lt;last-updated-date format="utc"&gt;1556198517&lt;/last-updated-date&gt;&lt;/record&gt;&lt;/Cite&gt;&lt;/EndNote&gt;</w:instrText>
      </w:r>
      <w:r>
        <w:rPr>
          <w:sz w:val="24"/>
          <w:szCs w:val="24"/>
        </w:rPr>
        <w:fldChar w:fldCharType="separate"/>
      </w:r>
      <w:r>
        <w:rPr>
          <w:noProof/>
          <w:sz w:val="24"/>
          <w:szCs w:val="24"/>
        </w:rPr>
        <w:t>(Langa, 2011)</w:t>
      </w:r>
      <w:r>
        <w:rPr>
          <w:sz w:val="24"/>
          <w:szCs w:val="24"/>
        </w:rPr>
        <w:fldChar w:fldCharType="end"/>
      </w:r>
      <w:r>
        <w:rPr>
          <w:sz w:val="24"/>
          <w:szCs w:val="24"/>
        </w:rPr>
        <w:t xml:space="preserve"> that is important</w:t>
      </w:r>
      <w:r w:rsidR="0068737B">
        <w:rPr>
          <w:sz w:val="24"/>
          <w:szCs w:val="24"/>
        </w:rPr>
        <w:t xml:space="preserve"> and, for the most part, it is sufficient for their legitimacy to contribute to debates</w:t>
      </w:r>
      <w:r>
        <w:rPr>
          <w:sz w:val="24"/>
          <w:szCs w:val="24"/>
        </w:rPr>
        <w:t xml:space="preserve">. </w:t>
      </w:r>
    </w:p>
    <w:tbl>
      <w:tblPr>
        <w:tblW w:w="9016" w:type="dxa"/>
        <w:tblLook w:val="04A0" w:firstRow="1" w:lastRow="0" w:firstColumn="1" w:lastColumn="0" w:noHBand="0" w:noVBand="1"/>
      </w:tblPr>
      <w:tblGrid>
        <w:gridCol w:w="1696"/>
        <w:gridCol w:w="2694"/>
        <w:gridCol w:w="4626"/>
      </w:tblGrid>
      <w:tr w:rsidR="00DD7E84" w14:paraId="7C0E73B7" w14:textId="77777777" w:rsidTr="00DE5040">
        <w:tc>
          <w:tcPr>
            <w:tcW w:w="1696" w:type="dxa"/>
            <w:tcBorders>
              <w:top w:val="single" w:sz="4" w:space="0" w:color="auto"/>
              <w:left w:val="single" w:sz="4" w:space="0" w:color="auto"/>
              <w:bottom w:val="single" w:sz="4" w:space="0" w:color="auto"/>
              <w:right w:val="single" w:sz="4" w:space="0" w:color="auto"/>
            </w:tcBorders>
          </w:tcPr>
          <w:p w14:paraId="21FC7247" w14:textId="77777777" w:rsidR="00DD7E84" w:rsidRPr="00EE46C8" w:rsidRDefault="00DD7E84" w:rsidP="00DE5040">
            <w:pPr>
              <w:spacing w:after="0" w:line="240" w:lineRule="auto"/>
              <w:rPr>
                <w:b/>
                <w:sz w:val="24"/>
                <w:szCs w:val="24"/>
              </w:rPr>
            </w:pPr>
            <w:r>
              <w:rPr>
                <w:b/>
                <w:sz w:val="24"/>
                <w:szCs w:val="24"/>
              </w:rPr>
              <w:t>Classification</w:t>
            </w:r>
          </w:p>
        </w:tc>
        <w:tc>
          <w:tcPr>
            <w:tcW w:w="2694" w:type="dxa"/>
            <w:tcBorders>
              <w:top w:val="single" w:sz="4" w:space="0" w:color="auto"/>
              <w:left w:val="single" w:sz="4" w:space="0" w:color="auto"/>
              <w:bottom w:val="single" w:sz="4" w:space="0" w:color="auto"/>
              <w:right w:val="single" w:sz="4" w:space="0" w:color="auto"/>
            </w:tcBorders>
          </w:tcPr>
          <w:p w14:paraId="6CB8D0B4" w14:textId="77777777" w:rsidR="00DD7E84" w:rsidRPr="002B4060" w:rsidRDefault="00DD7E84" w:rsidP="00DE5040">
            <w:pPr>
              <w:spacing w:after="0" w:line="240" w:lineRule="auto"/>
              <w:rPr>
                <w:b/>
                <w:sz w:val="24"/>
                <w:szCs w:val="24"/>
              </w:rPr>
            </w:pPr>
            <w:r w:rsidRPr="002B4060">
              <w:rPr>
                <w:b/>
                <w:sz w:val="24"/>
                <w:szCs w:val="24"/>
              </w:rPr>
              <w:t>Attribute</w:t>
            </w:r>
            <w:r>
              <w:rPr>
                <w:b/>
                <w:sz w:val="24"/>
                <w:szCs w:val="24"/>
              </w:rPr>
              <w:t>s/activities</w:t>
            </w:r>
          </w:p>
        </w:tc>
        <w:tc>
          <w:tcPr>
            <w:tcW w:w="4626" w:type="dxa"/>
            <w:tcBorders>
              <w:top w:val="single" w:sz="4" w:space="0" w:color="auto"/>
              <w:left w:val="single" w:sz="4" w:space="0" w:color="auto"/>
              <w:bottom w:val="single" w:sz="4" w:space="0" w:color="auto"/>
              <w:right w:val="single" w:sz="4" w:space="0" w:color="auto"/>
            </w:tcBorders>
          </w:tcPr>
          <w:p w14:paraId="092B6B1A" w14:textId="77777777" w:rsidR="00DD7E84" w:rsidRPr="00B8594F" w:rsidRDefault="00DD7E84" w:rsidP="00DE5040">
            <w:pPr>
              <w:spacing w:after="0" w:line="240" w:lineRule="auto"/>
              <w:jc w:val="center"/>
              <w:rPr>
                <w:b/>
                <w:sz w:val="24"/>
                <w:szCs w:val="24"/>
              </w:rPr>
            </w:pPr>
            <w:r w:rsidRPr="00B8594F">
              <w:rPr>
                <w:b/>
                <w:sz w:val="24"/>
                <w:szCs w:val="24"/>
              </w:rPr>
              <w:t>Science-oriente</w:t>
            </w:r>
            <w:r>
              <w:rPr>
                <w:b/>
                <w:sz w:val="24"/>
                <w:szCs w:val="24"/>
              </w:rPr>
              <w:t>d</w:t>
            </w:r>
            <w:r w:rsidRPr="00B8594F">
              <w:rPr>
                <w:b/>
                <w:sz w:val="24"/>
                <w:szCs w:val="24"/>
              </w:rPr>
              <w:t xml:space="preserve">                     User-oriented</w:t>
            </w:r>
          </w:p>
          <w:p w14:paraId="61B87286" w14:textId="77777777" w:rsidR="00DD7E84" w:rsidRPr="00B8594F" w:rsidRDefault="00DD7E84" w:rsidP="00DE5040">
            <w:pPr>
              <w:spacing w:after="0" w:line="240" w:lineRule="auto"/>
              <w:jc w:val="center"/>
              <w:rPr>
                <w:b/>
                <w:sz w:val="24"/>
                <w:szCs w:val="24"/>
              </w:rPr>
            </w:pPr>
            <w:r w:rsidRPr="00B8594F">
              <w:rPr>
                <w:b/>
                <w:sz w:val="24"/>
                <w:szCs w:val="24"/>
              </w:rPr>
              <w:t>1               2               3               4               5</w:t>
            </w:r>
          </w:p>
        </w:tc>
      </w:tr>
      <w:tr w:rsidR="00DD7E84" w14:paraId="5B58C35F" w14:textId="77777777" w:rsidTr="00DE5040">
        <w:tc>
          <w:tcPr>
            <w:tcW w:w="1696" w:type="dxa"/>
            <w:vMerge w:val="restart"/>
            <w:tcBorders>
              <w:top w:val="single" w:sz="4" w:space="0" w:color="auto"/>
              <w:left w:val="single" w:sz="4" w:space="0" w:color="auto"/>
              <w:right w:val="single" w:sz="4" w:space="0" w:color="auto"/>
            </w:tcBorders>
            <w:shd w:val="clear" w:color="auto" w:fill="F2F2F2" w:themeFill="background1" w:themeFillShade="F2"/>
          </w:tcPr>
          <w:p w14:paraId="517A290B" w14:textId="77777777" w:rsidR="00DD7E84" w:rsidRDefault="00DD7E84" w:rsidP="00DE5040">
            <w:pPr>
              <w:spacing w:after="0" w:line="240" w:lineRule="auto"/>
              <w:rPr>
                <w:sz w:val="24"/>
                <w:szCs w:val="24"/>
              </w:rPr>
            </w:pPr>
            <w:r>
              <w:rPr>
                <w:sz w:val="24"/>
                <w:szCs w:val="24"/>
              </w:rPr>
              <w:t xml:space="preserve">‘Social context’ </w:t>
            </w:r>
          </w:p>
          <w:p w14:paraId="568564AF" w14:textId="77777777" w:rsidR="00DD7E84" w:rsidRDefault="00DD7E84" w:rsidP="00DE5040">
            <w:pPr>
              <w:spacing w:after="0" w:line="240" w:lineRule="auto"/>
              <w:rPr>
                <w:sz w:val="24"/>
                <w:szCs w:val="24"/>
              </w:rPr>
            </w:pPr>
            <w:r>
              <w:rPr>
                <w:sz w:val="24"/>
                <w:szCs w:val="24"/>
              </w:rPr>
              <w:t>Values</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7477AC" w14:textId="77777777" w:rsidR="00DD7E84" w:rsidRDefault="00DD7E84" w:rsidP="00DE5040">
            <w:pPr>
              <w:spacing w:after="0" w:line="240" w:lineRule="auto"/>
              <w:rPr>
                <w:sz w:val="24"/>
                <w:szCs w:val="24"/>
              </w:rPr>
            </w:pPr>
            <w:r>
              <w:rPr>
                <w:sz w:val="24"/>
                <w:szCs w:val="24"/>
              </w:rPr>
              <w:t>Goals</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1FE31E" w14:textId="77777777" w:rsidR="00DD7E84" w:rsidRDefault="00DD7E84" w:rsidP="00DE5040">
            <w:pPr>
              <w:spacing w:after="0" w:line="240" w:lineRule="auto"/>
              <w:rPr>
                <w:sz w:val="24"/>
                <w:szCs w:val="24"/>
              </w:rPr>
            </w:pPr>
            <w:r>
              <w:rPr>
                <w:sz w:val="24"/>
                <w:szCs w:val="24"/>
              </w:rPr>
              <w:t xml:space="preserve">                                  1 2              3</w:t>
            </w:r>
          </w:p>
        </w:tc>
      </w:tr>
      <w:tr w:rsidR="00DD7E84" w14:paraId="37E0231D" w14:textId="77777777" w:rsidTr="00DE5040">
        <w:tc>
          <w:tcPr>
            <w:tcW w:w="1696" w:type="dxa"/>
            <w:vMerge/>
            <w:tcBorders>
              <w:left w:val="single" w:sz="4" w:space="0" w:color="auto"/>
              <w:right w:val="single" w:sz="4" w:space="0" w:color="auto"/>
            </w:tcBorders>
            <w:shd w:val="clear" w:color="auto" w:fill="F2F2F2" w:themeFill="background1" w:themeFillShade="F2"/>
          </w:tcPr>
          <w:p w14:paraId="774C0CAB"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8EF14F" w14:textId="77777777" w:rsidR="00DD7E84" w:rsidRDefault="00DD7E84" w:rsidP="00DE5040">
            <w:pPr>
              <w:spacing w:after="0" w:line="240" w:lineRule="auto"/>
              <w:rPr>
                <w:sz w:val="24"/>
                <w:szCs w:val="24"/>
              </w:rPr>
            </w:pPr>
            <w:r>
              <w:rPr>
                <w:sz w:val="24"/>
                <w:szCs w:val="24"/>
              </w:rPr>
              <w:t>Relevance</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CC40D5" w14:textId="77777777" w:rsidR="00DD7E84" w:rsidRDefault="00DD7E84" w:rsidP="00DE5040">
            <w:pPr>
              <w:spacing w:after="0" w:line="240" w:lineRule="auto"/>
              <w:rPr>
                <w:sz w:val="24"/>
                <w:szCs w:val="24"/>
              </w:rPr>
            </w:pPr>
            <w:r>
              <w:rPr>
                <w:sz w:val="24"/>
                <w:szCs w:val="24"/>
              </w:rPr>
              <w:t xml:space="preserve">                                  1 2              3  </w:t>
            </w:r>
          </w:p>
        </w:tc>
      </w:tr>
      <w:tr w:rsidR="00DD7E84" w14:paraId="3E9A6620" w14:textId="77777777" w:rsidTr="00DE5040">
        <w:tc>
          <w:tcPr>
            <w:tcW w:w="1696" w:type="dxa"/>
            <w:vMerge/>
            <w:tcBorders>
              <w:left w:val="single" w:sz="4" w:space="0" w:color="auto"/>
              <w:right w:val="single" w:sz="4" w:space="0" w:color="auto"/>
            </w:tcBorders>
            <w:shd w:val="clear" w:color="auto" w:fill="F2F2F2" w:themeFill="background1" w:themeFillShade="F2"/>
          </w:tcPr>
          <w:p w14:paraId="2CAFF391"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1FC7F5" w14:textId="77777777" w:rsidR="00DD7E84" w:rsidRDefault="00DD7E84" w:rsidP="00DE5040">
            <w:pPr>
              <w:spacing w:after="0" w:line="240" w:lineRule="auto"/>
              <w:rPr>
                <w:sz w:val="24"/>
                <w:szCs w:val="24"/>
              </w:rPr>
            </w:pPr>
            <w:r>
              <w:rPr>
                <w:sz w:val="24"/>
                <w:szCs w:val="24"/>
              </w:rPr>
              <w:t>Evaluation</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46EA61" w14:textId="77777777" w:rsidR="00DD7E84" w:rsidRDefault="00DD7E84" w:rsidP="00DE5040">
            <w:pPr>
              <w:spacing w:after="0" w:line="240" w:lineRule="auto"/>
              <w:rPr>
                <w:sz w:val="24"/>
                <w:szCs w:val="24"/>
              </w:rPr>
            </w:pPr>
            <w:r>
              <w:rPr>
                <w:sz w:val="24"/>
                <w:szCs w:val="24"/>
              </w:rPr>
              <w:t xml:space="preserve">                  1 2            3</w:t>
            </w:r>
          </w:p>
        </w:tc>
      </w:tr>
      <w:tr w:rsidR="00DD7E84" w14:paraId="4457A731" w14:textId="77777777" w:rsidTr="00DE5040">
        <w:tc>
          <w:tcPr>
            <w:tcW w:w="1696" w:type="dxa"/>
            <w:vMerge/>
            <w:tcBorders>
              <w:left w:val="single" w:sz="4" w:space="0" w:color="auto"/>
              <w:bottom w:val="single" w:sz="4" w:space="0" w:color="auto"/>
              <w:right w:val="single" w:sz="4" w:space="0" w:color="auto"/>
            </w:tcBorders>
            <w:shd w:val="clear" w:color="auto" w:fill="F2F2F2" w:themeFill="background1" w:themeFillShade="F2"/>
          </w:tcPr>
          <w:p w14:paraId="444CC021"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73780C" w14:textId="77777777" w:rsidR="00DD7E84" w:rsidRDefault="00DD7E84" w:rsidP="00DE5040">
            <w:pPr>
              <w:spacing w:after="0" w:line="240" w:lineRule="auto"/>
              <w:rPr>
                <w:sz w:val="24"/>
                <w:szCs w:val="24"/>
              </w:rPr>
            </w:pPr>
            <w:r>
              <w:rPr>
                <w:sz w:val="24"/>
                <w:szCs w:val="24"/>
              </w:rPr>
              <w:t>Outputs and outcomes</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D137D5" w14:textId="77777777" w:rsidR="00DD7E84" w:rsidRDefault="00DD7E84" w:rsidP="00DE5040">
            <w:pPr>
              <w:spacing w:after="0" w:line="240" w:lineRule="auto"/>
              <w:rPr>
                <w:sz w:val="24"/>
                <w:szCs w:val="24"/>
              </w:rPr>
            </w:pPr>
            <w:r>
              <w:rPr>
                <w:sz w:val="24"/>
                <w:szCs w:val="24"/>
              </w:rPr>
              <w:t xml:space="preserve">                  1 2            3</w:t>
            </w:r>
          </w:p>
        </w:tc>
      </w:tr>
      <w:tr w:rsidR="00DD7E84" w14:paraId="7778A70A" w14:textId="77777777" w:rsidTr="00DE5040">
        <w:tc>
          <w:tcPr>
            <w:tcW w:w="1696" w:type="dxa"/>
            <w:vMerge w:val="restart"/>
            <w:tcBorders>
              <w:top w:val="single" w:sz="4" w:space="0" w:color="auto"/>
              <w:left w:val="single" w:sz="4" w:space="0" w:color="auto"/>
              <w:right w:val="single" w:sz="4" w:space="0" w:color="auto"/>
            </w:tcBorders>
            <w:shd w:val="clear" w:color="auto" w:fill="D9D9D9" w:themeFill="background1" w:themeFillShade="D9"/>
          </w:tcPr>
          <w:p w14:paraId="71B5E135" w14:textId="77777777" w:rsidR="00DD7E84" w:rsidRDefault="00DD7E84" w:rsidP="00DE5040">
            <w:pPr>
              <w:spacing w:after="0" w:line="240" w:lineRule="auto"/>
              <w:rPr>
                <w:sz w:val="24"/>
                <w:szCs w:val="24"/>
              </w:rPr>
            </w:pPr>
            <w:r>
              <w:rPr>
                <w:sz w:val="24"/>
                <w:szCs w:val="24"/>
              </w:rPr>
              <w:t>‘Intermediate’ values</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8DA95C" w14:textId="77777777" w:rsidR="00DD7E84" w:rsidRDefault="00DD7E84" w:rsidP="00DE5040">
            <w:pPr>
              <w:spacing w:after="0" w:line="240" w:lineRule="auto"/>
              <w:rPr>
                <w:sz w:val="24"/>
                <w:szCs w:val="24"/>
              </w:rPr>
            </w:pPr>
            <w:r>
              <w:rPr>
                <w:sz w:val="24"/>
                <w:szCs w:val="24"/>
              </w:rPr>
              <w:t>Uncertainty</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A7190B" w14:textId="77777777" w:rsidR="00DD7E84" w:rsidRDefault="00DD7E84" w:rsidP="00DE5040">
            <w:pPr>
              <w:spacing w:after="0" w:line="240" w:lineRule="auto"/>
              <w:rPr>
                <w:sz w:val="24"/>
                <w:szCs w:val="24"/>
              </w:rPr>
            </w:pPr>
            <w:r>
              <w:rPr>
                <w:sz w:val="24"/>
                <w:szCs w:val="24"/>
              </w:rPr>
              <w:t xml:space="preserve">                   1             2 3</w:t>
            </w:r>
          </w:p>
        </w:tc>
      </w:tr>
      <w:tr w:rsidR="00DD7E84" w14:paraId="02F36460" w14:textId="77777777" w:rsidTr="00DE5040">
        <w:tc>
          <w:tcPr>
            <w:tcW w:w="1696" w:type="dxa"/>
            <w:vMerge/>
            <w:tcBorders>
              <w:left w:val="single" w:sz="4" w:space="0" w:color="auto"/>
              <w:right w:val="single" w:sz="4" w:space="0" w:color="auto"/>
            </w:tcBorders>
            <w:shd w:val="clear" w:color="auto" w:fill="D9D9D9" w:themeFill="background1" w:themeFillShade="D9"/>
          </w:tcPr>
          <w:p w14:paraId="6AAD2823"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E9AA26" w14:textId="77777777" w:rsidR="00DD7E84" w:rsidRDefault="00DD7E84" w:rsidP="00DE5040">
            <w:pPr>
              <w:spacing w:after="0" w:line="240" w:lineRule="auto"/>
              <w:rPr>
                <w:sz w:val="24"/>
                <w:szCs w:val="24"/>
              </w:rPr>
            </w:pPr>
            <w:r>
              <w:rPr>
                <w:sz w:val="24"/>
                <w:szCs w:val="24"/>
              </w:rPr>
              <w:t>Knowledge exchange</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3128B5" w14:textId="77777777" w:rsidR="00DD7E84" w:rsidRDefault="00DD7E84" w:rsidP="00DE5040">
            <w:pPr>
              <w:spacing w:after="0" w:line="240" w:lineRule="auto"/>
              <w:rPr>
                <w:sz w:val="24"/>
                <w:szCs w:val="24"/>
              </w:rPr>
            </w:pPr>
            <w:r>
              <w:rPr>
                <w:sz w:val="24"/>
                <w:szCs w:val="24"/>
              </w:rPr>
              <w:t xml:space="preserve">                                1 2 3</w:t>
            </w:r>
          </w:p>
        </w:tc>
      </w:tr>
      <w:tr w:rsidR="00DD7E84" w14:paraId="2BAFA22F" w14:textId="77777777" w:rsidTr="00DE5040">
        <w:tc>
          <w:tcPr>
            <w:tcW w:w="1696" w:type="dxa"/>
            <w:vMerge/>
            <w:tcBorders>
              <w:left w:val="single" w:sz="4" w:space="0" w:color="auto"/>
              <w:right w:val="single" w:sz="4" w:space="0" w:color="auto"/>
            </w:tcBorders>
            <w:shd w:val="clear" w:color="auto" w:fill="D9D9D9" w:themeFill="background1" w:themeFillShade="D9"/>
          </w:tcPr>
          <w:p w14:paraId="4E5E6854"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D533DD" w14:textId="77777777" w:rsidR="00DD7E84" w:rsidRDefault="00DD7E84" w:rsidP="00DE5040">
            <w:pPr>
              <w:spacing w:after="0" w:line="240" w:lineRule="auto"/>
              <w:rPr>
                <w:sz w:val="24"/>
                <w:szCs w:val="24"/>
              </w:rPr>
            </w:pPr>
            <w:r>
              <w:rPr>
                <w:sz w:val="24"/>
                <w:szCs w:val="24"/>
              </w:rPr>
              <w:t>Accessibility</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36B7F" w14:textId="77777777" w:rsidR="00DD7E84" w:rsidRDefault="00DD7E84" w:rsidP="00DE5040">
            <w:pPr>
              <w:tabs>
                <w:tab w:val="left" w:pos="1227"/>
                <w:tab w:val="center" w:pos="2185"/>
                <w:tab w:val="left" w:pos="2595"/>
              </w:tabs>
              <w:spacing w:after="0" w:line="240" w:lineRule="auto"/>
              <w:rPr>
                <w:sz w:val="24"/>
                <w:szCs w:val="24"/>
              </w:rPr>
            </w:pPr>
            <w:r>
              <w:rPr>
                <w:sz w:val="24"/>
                <w:szCs w:val="24"/>
              </w:rPr>
              <w:t xml:space="preserve">                                1 2 3</w:t>
            </w:r>
          </w:p>
        </w:tc>
      </w:tr>
      <w:tr w:rsidR="00DD7E84" w14:paraId="697BAC24" w14:textId="77777777" w:rsidTr="00DE5040">
        <w:tc>
          <w:tcPr>
            <w:tcW w:w="1696" w:type="dxa"/>
            <w:vMerge/>
            <w:tcBorders>
              <w:left w:val="single" w:sz="4" w:space="0" w:color="auto"/>
              <w:right w:val="single" w:sz="4" w:space="0" w:color="auto"/>
            </w:tcBorders>
            <w:shd w:val="clear" w:color="auto" w:fill="D9D9D9" w:themeFill="background1" w:themeFillShade="D9"/>
          </w:tcPr>
          <w:p w14:paraId="0BED9DA6"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5A21A" w14:textId="77777777" w:rsidR="00DD7E84" w:rsidRDefault="00DD7E84" w:rsidP="00DE5040">
            <w:pPr>
              <w:spacing w:after="0" w:line="240" w:lineRule="auto"/>
              <w:rPr>
                <w:sz w:val="24"/>
                <w:szCs w:val="24"/>
              </w:rPr>
            </w:pPr>
            <w:r>
              <w:rPr>
                <w:sz w:val="24"/>
                <w:szCs w:val="24"/>
              </w:rPr>
              <w:t>Boundary management</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E88D25" w14:textId="77777777" w:rsidR="00DD7E84" w:rsidRDefault="00DD7E84" w:rsidP="00DE5040">
            <w:pPr>
              <w:spacing w:after="0" w:line="240" w:lineRule="auto"/>
              <w:rPr>
                <w:sz w:val="24"/>
                <w:szCs w:val="24"/>
              </w:rPr>
            </w:pPr>
            <w:r>
              <w:rPr>
                <w:sz w:val="24"/>
                <w:szCs w:val="24"/>
              </w:rPr>
              <w:t xml:space="preserve">                   1 2           3</w:t>
            </w:r>
          </w:p>
        </w:tc>
      </w:tr>
      <w:tr w:rsidR="00DD7E84" w14:paraId="722B22BE" w14:textId="77777777" w:rsidTr="00DE5040">
        <w:tc>
          <w:tcPr>
            <w:tcW w:w="1696" w:type="dxa"/>
            <w:vMerge/>
            <w:tcBorders>
              <w:left w:val="single" w:sz="4" w:space="0" w:color="auto"/>
              <w:right w:val="single" w:sz="4" w:space="0" w:color="auto"/>
            </w:tcBorders>
            <w:shd w:val="clear" w:color="auto" w:fill="D9D9D9" w:themeFill="background1" w:themeFillShade="D9"/>
          </w:tcPr>
          <w:p w14:paraId="4887C9E7"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59812E" w14:textId="77777777" w:rsidR="00DD7E84" w:rsidRDefault="00DD7E84" w:rsidP="00DE5040">
            <w:pPr>
              <w:spacing w:after="0" w:line="240" w:lineRule="auto"/>
              <w:rPr>
                <w:sz w:val="24"/>
                <w:szCs w:val="24"/>
              </w:rPr>
            </w:pPr>
            <w:r>
              <w:rPr>
                <w:sz w:val="24"/>
                <w:szCs w:val="24"/>
              </w:rPr>
              <w:t>Network</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D8885" w14:textId="77777777" w:rsidR="00DD7E84" w:rsidRDefault="00DD7E84" w:rsidP="00DE5040">
            <w:pPr>
              <w:spacing w:after="0" w:line="240" w:lineRule="auto"/>
              <w:rPr>
                <w:sz w:val="24"/>
                <w:szCs w:val="24"/>
              </w:rPr>
            </w:pPr>
            <w:r>
              <w:rPr>
                <w:sz w:val="24"/>
                <w:szCs w:val="24"/>
              </w:rPr>
              <w:t xml:space="preserve">                                  1 2              3</w:t>
            </w:r>
          </w:p>
        </w:tc>
      </w:tr>
      <w:tr w:rsidR="00DD7E84" w14:paraId="5AC96A24" w14:textId="77777777" w:rsidTr="00DE5040">
        <w:tc>
          <w:tcPr>
            <w:tcW w:w="1696" w:type="dxa"/>
            <w:vMerge/>
            <w:tcBorders>
              <w:left w:val="single" w:sz="4" w:space="0" w:color="auto"/>
              <w:right w:val="single" w:sz="4" w:space="0" w:color="auto"/>
            </w:tcBorders>
            <w:shd w:val="clear" w:color="auto" w:fill="D9D9D9" w:themeFill="background1" w:themeFillShade="D9"/>
          </w:tcPr>
          <w:p w14:paraId="7BE0B759"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6D9EC" w14:textId="77777777" w:rsidR="00DD7E84" w:rsidRDefault="00DD7E84" w:rsidP="00DE5040">
            <w:pPr>
              <w:spacing w:after="0" w:line="240" w:lineRule="auto"/>
              <w:rPr>
                <w:sz w:val="24"/>
                <w:szCs w:val="24"/>
              </w:rPr>
            </w:pPr>
            <w:r>
              <w:rPr>
                <w:sz w:val="24"/>
                <w:szCs w:val="24"/>
              </w:rPr>
              <w:t>Flexibility</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433809" w14:textId="77777777" w:rsidR="00DD7E84" w:rsidRDefault="00DD7E84" w:rsidP="00DE5040">
            <w:pPr>
              <w:spacing w:after="0" w:line="240" w:lineRule="auto"/>
              <w:rPr>
                <w:sz w:val="24"/>
                <w:szCs w:val="24"/>
              </w:rPr>
            </w:pPr>
            <w:r>
              <w:rPr>
                <w:sz w:val="24"/>
                <w:szCs w:val="24"/>
              </w:rPr>
              <w:t xml:space="preserve">                 1 2 3</w:t>
            </w:r>
          </w:p>
        </w:tc>
      </w:tr>
      <w:tr w:rsidR="00DD7E84" w14:paraId="02E7DA13" w14:textId="77777777" w:rsidTr="00DE5040">
        <w:tc>
          <w:tcPr>
            <w:tcW w:w="1696" w:type="dxa"/>
            <w:vMerge/>
            <w:tcBorders>
              <w:left w:val="single" w:sz="4" w:space="0" w:color="auto"/>
              <w:right w:val="single" w:sz="4" w:space="0" w:color="auto"/>
            </w:tcBorders>
            <w:shd w:val="clear" w:color="auto" w:fill="D9D9D9" w:themeFill="background1" w:themeFillShade="D9"/>
          </w:tcPr>
          <w:p w14:paraId="7BF9BBBE"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471F8" w14:textId="77777777" w:rsidR="00DD7E84" w:rsidRDefault="00DD7E84" w:rsidP="00DE5040">
            <w:pPr>
              <w:spacing w:after="0" w:line="240" w:lineRule="auto"/>
              <w:rPr>
                <w:sz w:val="24"/>
                <w:szCs w:val="24"/>
              </w:rPr>
            </w:pPr>
            <w:r>
              <w:rPr>
                <w:sz w:val="24"/>
                <w:szCs w:val="24"/>
              </w:rPr>
              <w:t>Social capital</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B4FA01" w14:textId="77777777" w:rsidR="00DD7E84" w:rsidRDefault="00DD7E84" w:rsidP="00DE5040">
            <w:pPr>
              <w:spacing w:after="0" w:line="240" w:lineRule="auto"/>
              <w:rPr>
                <w:sz w:val="24"/>
                <w:szCs w:val="24"/>
              </w:rPr>
            </w:pPr>
            <w:r>
              <w:rPr>
                <w:sz w:val="24"/>
                <w:szCs w:val="24"/>
              </w:rPr>
              <w:t>2                  1              3</w:t>
            </w:r>
          </w:p>
        </w:tc>
      </w:tr>
      <w:tr w:rsidR="00DD7E84" w14:paraId="4114A531" w14:textId="77777777" w:rsidTr="00DE5040">
        <w:tc>
          <w:tcPr>
            <w:tcW w:w="1696" w:type="dxa"/>
            <w:vMerge/>
            <w:tcBorders>
              <w:left w:val="single" w:sz="4" w:space="0" w:color="auto"/>
              <w:bottom w:val="single" w:sz="4" w:space="0" w:color="auto"/>
              <w:right w:val="single" w:sz="4" w:space="0" w:color="auto"/>
            </w:tcBorders>
            <w:shd w:val="clear" w:color="auto" w:fill="D9D9D9" w:themeFill="background1" w:themeFillShade="D9"/>
          </w:tcPr>
          <w:p w14:paraId="13A5B8FC"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B66A39" w14:textId="77777777" w:rsidR="00DD7E84" w:rsidRDefault="00DD7E84" w:rsidP="00DE5040">
            <w:pPr>
              <w:spacing w:after="0" w:line="240" w:lineRule="auto"/>
              <w:rPr>
                <w:sz w:val="24"/>
                <w:szCs w:val="24"/>
              </w:rPr>
            </w:pPr>
            <w:r>
              <w:rPr>
                <w:sz w:val="24"/>
                <w:szCs w:val="24"/>
              </w:rPr>
              <w:t>Disciplinary focus</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5F2EA" w14:textId="77777777" w:rsidR="00DD7E84" w:rsidRDefault="00DD7E84" w:rsidP="00DE5040">
            <w:pPr>
              <w:spacing w:after="0" w:line="240" w:lineRule="auto"/>
              <w:rPr>
                <w:sz w:val="24"/>
                <w:szCs w:val="24"/>
              </w:rPr>
            </w:pPr>
            <w:r>
              <w:rPr>
                <w:sz w:val="24"/>
                <w:szCs w:val="24"/>
              </w:rPr>
              <w:t xml:space="preserve">                    2            1 3</w:t>
            </w:r>
          </w:p>
        </w:tc>
      </w:tr>
      <w:tr w:rsidR="00DD7E84" w14:paraId="50642567" w14:textId="77777777" w:rsidTr="00DE5040">
        <w:tc>
          <w:tcPr>
            <w:tcW w:w="1696" w:type="dxa"/>
            <w:vMerge w:val="restart"/>
            <w:tcBorders>
              <w:top w:val="single" w:sz="4" w:space="0" w:color="auto"/>
              <w:left w:val="single" w:sz="4" w:space="0" w:color="auto"/>
              <w:right w:val="single" w:sz="4" w:space="0" w:color="auto"/>
            </w:tcBorders>
            <w:shd w:val="clear" w:color="auto" w:fill="A6A6A6" w:themeFill="background1" w:themeFillShade="A6"/>
          </w:tcPr>
          <w:p w14:paraId="50122CC1" w14:textId="77777777" w:rsidR="00DD7E84" w:rsidRDefault="00DD7E84" w:rsidP="00DE5040">
            <w:pPr>
              <w:spacing w:after="0" w:line="240" w:lineRule="auto"/>
              <w:rPr>
                <w:sz w:val="24"/>
                <w:szCs w:val="24"/>
              </w:rPr>
            </w:pPr>
            <w:r>
              <w:rPr>
                <w:sz w:val="24"/>
                <w:szCs w:val="24"/>
              </w:rPr>
              <w:t xml:space="preserve">‘Knowledge content’ </w:t>
            </w:r>
          </w:p>
          <w:p w14:paraId="644BCDCA" w14:textId="77777777" w:rsidR="00DD7E84" w:rsidRDefault="00DD7E84" w:rsidP="00DE5040">
            <w:pPr>
              <w:spacing w:after="0" w:line="240" w:lineRule="auto"/>
              <w:rPr>
                <w:sz w:val="24"/>
                <w:szCs w:val="24"/>
              </w:rPr>
            </w:pPr>
            <w:r>
              <w:rPr>
                <w:sz w:val="24"/>
                <w:szCs w:val="24"/>
              </w:rPr>
              <w:t>values</w:t>
            </w: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B22AAE1" w14:textId="77777777" w:rsidR="00DD7E84" w:rsidRDefault="00DD7E84" w:rsidP="00DE5040">
            <w:pPr>
              <w:spacing w:after="0" w:line="240" w:lineRule="auto"/>
              <w:rPr>
                <w:sz w:val="24"/>
                <w:szCs w:val="24"/>
              </w:rPr>
            </w:pPr>
            <w:r>
              <w:rPr>
                <w:sz w:val="24"/>
                <w:szCs w:val="24"/>
              </w:rPr>
              <w:t>Expertise</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C02542E" w14:textId="77777777" w:rsidR="00DD7E84" w:rsidRDefault="00DD7E84" w:rsidP="00DE5040">
            <w:pPr>
              <w:spacing w:after="0" w:line="240" w:lineRule="auto"/>
              <w:rPr>
                <w:sz w:val="24"/>
                <w:szCs w:val="24"/>
              </w:rPr>
            </w:pPr>
            <w:r>
              <w:rPr>
                <w:sz w:val="24"/>
                <w:szCs w:val="24"/>
              </w:rPr>
              <w:t>1 2 3</w:t>
            </w:r>
          </w:p>
        </w:tc>
      </w:tr>
      <w:tr w:rsidR="00DD7E84" w14:paraId="56AE1C45" w14:textId="77777777" w:rsidTr="00DE5040">
        <w:tc>
          <w:tcPr>
            <w:tcW w:w="1696" w:type="dxa"/>
            <w:vMerge/>
            <w:tcBorders>
              <w:left w:val="single" w:sz="4" w:space="0" w:color="auto"/>
              <w:right w:val="single" w:sz="4" w:space="0" w:color="auto"/>
            </w:tcBorders>
            <w:shd w:val="clear" w:color="auto" w:fill="A6A6A6" w:themeFill="background1" w:themeFillShade="A6"/>
          </w:tcPr>
          <w:p w14:paraId="2CFBBF34"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0E2FF1D" w14:textId="77777777" w:rsidR="00DD7E84" w:rsidRDefault="00DD7E84" w:rsidP="00DE5040">
            <w:pPr>
              <w:spacing w:after="0" w:line="240" w:lineRule="auto"/>
              <w:rPr>
                <w:sz w:val="24"/>
                <w:szCs w:val="24"/>
              </w:rPr>
            </w:pPr>
            <w:r>
              <w:rPr>
                <w:sz w:val="24"/>
                <w:szCs w:val="24"/>
              </w:rPr>
              <w:t>Learning</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F61D17B" w14:textId="77777777" w:rsidR="00DD7E84" w:rsidRDefault="00DD7E84" w:rsidP="00DE5040">
            <w:pPr>
              <w:keepNext/>
              <w:spacing w:after="0" w:line="240" w:lineRule="auto"/>
              <w:rPr>
                <w:sz w:val="24"/>
                <w:szCs w:val="24"/>
              </w:rPr>
            </w:pPr>
            <w:r>
              <w:rPr>
                <w:sz w:val="24"/>
                <w:szCs w:val="24"/>
              </w:rPr>
              <w:t>1 2 3</w:t>
            </w:r>
          </w:p>
        </w:tc>
      </w:tr>
      <w:tr w:rsidR="00DD7E84" w14:paraId="461B67BF" w14:textId="77777777" w:rsidTr="00DE5040">
        <w:tc>
          <w:tcPr>
            <w:tcW w:w="1696" w:type="dxa"/>
            <w:vMerge/>
            <w:tcBorders>
              <w:left w:val="single" w:sz="4" w:space="0" w:color="auto"/>
              <w:bottom w:val="single" w:sz="4" w:space="0" w:color="auto"/>
              <w:right w:val="single" w:sz="4" w:space="0" w:color="auto"/>
            </w:tcBorders>
            <w:shd w:val="clear" w:color="auto" w:fill="A6A6A6" w:themeFill="background1" w:themeFillShade="A6"/>
          </w:tcPr>
          <w:p w14:paraId="707F72EF"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4691BEE" w14:textId="77777777" w:rsidR="00DD7E84" w:rsidRDefault="00DD7E84" w:rsidP="00DE5040">
            <w:pPr>
              <w:spacing w:after="0" w:line="240" w:lineRule="auto"/>
              <w:rPr>
                <w:sz w:val="24"/>
                <w:szCs w:val="24"/>
              </w:rPr>
            </w:pPr>
            <w:r>
              <w:rPr>
                <w:sz w:val="24"/>
                <w:szCs w:val="24"/>
              </w:rPr>
              <w:t>Human capital</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F6162E3" w14:textId="77777777" w:rsidR="00DD7E84" w:rsidRDefault="00DD7E84" w:rsidP="00DE5040">
            <w:pPr>
              <w:keepNext/>
              <w:spacing w:after="0" w:line="240" w:lineRule="auto"/>
              <w:rPr>
                <w:sz w:val="24"/>
                <w:szCs w:val="24"/>
              </w:rPr>
            </w:pPr>
            <w:r>
              <w:rPr>
                <w:sz w:val="24"/>
                <w:szCs w:val="24"/>
              </w:rPr>
              <w:t xml:space="preserve">                 1 2 3</w:t>
            </w:r>
          </w:p>
        </w:tc>
      </w:tr>
    </w:tbl>
    <w:p w14:paraId="2467D697" w14:textId="3E916536" w:rsidR="00DD7E84" w:rsidRDefault="00DD7E84" w:rsidP="00DD7E84">
      <w:pPr>
        <w:pStyle w:val="Caption"/>
        <w:rPr>
          <w:sz w:val="24"/>
          <w:szCs w:val="24"/>
        </w:rPr>
      </w:pPr>
      <w:bookmarkStart w:id="174" w:name="_Ref7032334"/>
      <w:bookmarkStart w:id="175" w:name="_Toc31702081"/>
      <w:r>
        <w:t xml:space="preserve">Figure </w:t>
      </w:r>
      <w:r>
        <w:rPr>
          <w:noProof/>
        </w:rPr>
        <w:fldChar w:fldCharType="begin"/>
      </w:r>
      <w:r>
        <w:rPr>
          <w:noProof/>
        </w:rPr>
        <w:instrText xml:space="preserve"> SEQ Figure \* ARABIC </w:instrText>
      </w:r>
      <w:r>
        <w:rPr>
          <w:noProof/>
        </w:rPr>
        <w:fldChar w:fldCharType="separate"/>
      </w:r>
      <w:r w:rsidR="0011424E">
        <w:rPr>
          <w:noProof/>
        </w:rPr>
        <w:t>12</w:t>
      </w:r>
      <w:r>
        <w:rPr>
          <w:noProof/>
        </w:rPr>
        <w:fldChar w:fldCharType="end"/>
      </w:r>
      <w:bookmarkEnd w:id="174"/>
      <w:r>
        <w:t>. BoR5 typology</w:t>
      </w:r>
      <w:bookmarkEnd w:id="175"/>
    </w:p>
    <w:p w14:paraId="221C4850" w14:textId="157C7913" w:rsidR="00DD7E84" w:rsidRDefault="00DD7E84" w:rsidP="00DD7E84">
      <w:pPr>
        <w:spacing w:before="120" w:after="120" w:line="360" w:lineRule="auto"/>
        <w:rPr>
          <w:sz w:val="24"/>
          <w:szCs w:val="24"/>
        </w:rPr>
      </w:pPr>
      <w:r>
        <w:rPr>
          <w:sz w:val="24"/>
          <w:szCs w:val="24"/>
        </w:rPr>
        <w:t>Like CHMI</w:t>
      </w:r>
      <w:r w:rsidR="008E59B4">
        <w:rPr>
          <w:sz w:val="24"/>
          <w:szCs w:val="24"/>
        </w:rPr>
        <w:t xml:space="preserve"> (from BoR11.1, discussed above)</w:t>
      </w:r>
      <w:r>
        <w:rPr>
          <w:sz w:val="24"/>
          <w:szCs w:val="24"/>
        </w:rPr>
        <w:t>, SMRU is a boundary structure, what I term a ‘transdisciplinary’ boundary structure, in that it brings together biologists, physicists, statisticians and technologists whose expertise coalesces around the sub-field of marine mammalogy. Also resembling CHMI, SMRU has its own off-shoot boundary structures in the form of SMRU Consulting and SMRU Instrumentation, spin-outs which aim to generate revenue based on SMRU technology and expertise. More than just a boundary structure, SMRU can be conceptualised as a ‘boundary-</w:t>
      </w:r>
      <w:r>
        <w:rPr>
          <w:i/>
          <w:sz w:val="24"/>
          <w:szCs w:val="24"/>
        </w:rPr>
        <w:t>spanning</w:t>
      </w:r>
      <w:r>
        <w:rPr>
          <w:sz w:val="24"/>
          <w:szCs w:val="24"/>
        </w:rPr>
        <w:t xml:space="preserve"> structure’, since for two decades it existed as a non-academic public research institute conducting scientific research directly for policy and regulatory purposes. It now continues these functions, but it does so through its outreach, networking and use-oriented outputs. These take the form of technologies, workshops, seminars, advice, consultancy, as well as journal articles targeting broad audiences beyond SMRU’s own specialism. </w:t>
      </w:r>
      <w:r w:rsidR="00D3614E">
        <w:rPr>
          <w:sz w:val="24"/>
          <w:szCs w:val="24"/>
        </w:rPr>
        <w:t>Unlike the researchers from CHMI (BoR11.1) though, SMRU researchers were careful to uphold a strict, ‘bounded’ notion of academic identity</w:t>
      </w:r>
      <w:r w:rsidR="004216F5">
        <w:rPr>
          <w:sz w:val="24"/>
          <w:szCs w:val="24"/>
        </w:rPr>
        <w:t xml:space="preserve"> in their transactions</w:t>
      </w:r>
      <w:r w:rsidR="009A302A">
        <w:rPr>
          <w:sz w:val="24"/>
          <w:szCs w:val="24"/>
        </w:rPr>
        <w:t>. For example,</w:t>
      </w:r>
      <w:r w:rsidR="004216F5">
        <w:rPr>
          <w:sz w:val="24"/>
          <w:szCs w:val="24"/>
        </w:rPr>
        <w:t xml:space="preserve"> the funds raised from the spin-out did not go to shareholders, but only to pay for salaries of its staff and for the development of technologies used to enable SMRU’s basic research</w:t>
      </w:r>
      <w:r w:rsidR="009A302A">
        <w:rPr>
          <w:sz w:val="24"/>
          <w:szCs w:val="24"/>
        </w:rPr>
        <w:t>. Moreover,</w:t>
      </w:r>
      <w:r w:rsidR="004216F5">
        <w:rPr>
          <w:sz w:val="24"/>
          <w:szCs w:val="24"/>
        </w:rPr>
        <w:t xml:space="preserve"> its outreach with those involved in making policy or affected by policy did not involve any attempts to influence a specific policy, but only aimed to inform (in contrast with CHMI researchers who worked for uptake of their specific benchmarking model, potentially in competition with others)</w:t>
      </w:r>
      <w:r w:rsidR="0009791E">
        <w:rPr>
          <w:sz w:val="24"/>
          <w:szCs w:val="24"/>
        </w:rPr>
        <w:t xml:space="preserve">. </w:t>
      </w:r>
    </w:p>
    <w:p w14:paraId="633D9229" w14:textId="24265BC4" w:rsidR="001B7987" w:rsidRDefault="001B7987" w:rsidP="00DD7E84">
      <w:pPr>
        <w:spacing w:before="120" w:after="120" w:line="360" w:lineRule="auto"/>
        <w:rPr>
          <w:sz w:val="24"/>
          <w:szCs w:val="24"/>
        </w:rPr>
      </w:pPr>
      <w:r>
        <w:rPr>
          <w:sz w:val="24"/>
          <w:szCs w:val="24"/>
        </w:rPr>
        <w:t>In sum,</w:t>
      </w:r>
      <w:r w:rsidR="001F5A49">
        <w:rPr>
          <w:sz w:val="24"/>
          <w:szCs w:val="24"/>
        </w:rPr>
        <w:t xml:space="preserve"> my analysis sees the boundary transactions associated BoR5’s research as reinforcing the distinctive value, legitimacy and identity of academia and there</w:t>
      </w:r>
      <w:r>
        <w:rPr>
          <w:sz w:val="24"/>
          <w:szCs w:val="24"/>
        </w:rPr>
        <w:t xml:space="preserve">by </w:t>
      </w:r>
      <w:r w:rsidR="001F5A49">
        <w:rPr>
          <w:sz w:val="24"/>
          <w:szCs w:val="24"/>
        </w:rPr>
        <w:t>functioning towards the reproduction of academic boundaries. This is not due to some unique approach developed by SMRU researchers, but by (i) working within a particular kind of (use-inspired basic)</w:t>
      </w:r>
      <w:r>
        <w:rPr>
          <w:sz w:val="24"/>
          <w:szCs w:val="24"/>
        </w:rPr>
        <w:t xml:space="preserve"> disciplinary context such that the contribution to ‘impactful’ knowledge was inseparable from their contribution to ‘basic’ scientific knowledge, and </w:t>
      </w:r>
      <w:r w:rsidR="001F5A49">
        <w:rPr>
          <w:sz w:val="24"/>
          <w:szCs w:val="24"/>
        </w:rPr>
        <w:t>(ii)</w:t>
      </w:r>
      <w:r>
        <w:rPr>
          <w:sz w:val="24"/>
          <w:szCs w:val="24"/>
        </w:rPr>
        <w:t xml:space="preserve"> placing great reliance on their academic and scientific capital as the basis for legitimacy in informing policy debates and decision</w:t>
      </w:r>
      <w:r w:rsidR="00A918C0">
        <w:rPr>
          <w:sz w:val="24"/>
          <w:szCs w:val="24"/>
        </w:rPr>
        <w:t>-</w:t>
      </w:r>
      <w:r w:rsidR="003E736A">
        <w:rPr>
          <w:sz w:val="24"/>
          <w:szCs w:val="24"/>
        </w:rPr>
        <w:t>making.</w:t>
      </w:r>
    </w:p>
    <w:p w14:paraId="03DFDAE5" w14:textId="6DB386E9" w:rsidR="00DD7E84" w:rsidRDefault="00302EF9" w:rsidP="00DD7E84">
      <w:pPr>
        <w:pStyle w:val="Heading3"/>
      </w:pPr>
      <w:bookmarkStart w:id="176" w:name="_Toc31701984"/>
      <w:r>
        <w:t xml:space="preserve">Illustrative case 3. </w:t>
      </w:r>
      <w:r w:rsidR="004F5998">
        <w:t>‘</w:t>
      </w:r>
      <w:r w:rsidR="00F13478">
        <w:t>B</w:t>
      </w:r>
      <w:r w:rsidR="004F5998">
        <w:t xml:space="preserve">ounded’ </w:t>
      </w:r>
      <w:r w:rsidR="005403F3">
        <w:t>research (BoR4.2)</w:t>
      </w:r>
      <w:bookmarkEnd w:id="176"/>
    </w:p>
    <w:p w14:paraId="3DDD45BA" w14:textId="068D96EA" w:rsidR="00DD7E84" w:rsidRDefault="00DD7E84" w:rsidP="00DD7E84">
      <w:pPr>
        <w:spacing w:before="120" w:after="120" w:line="360" w:lineRule="auto"/>
        <w:rPr>
          <w:sz w:val="24"/>
          <w:szCs w:val="24"/>
        </w:rPr>
      </w:pPr>
      <w:r>
        <w:rPr>
          <w:sz w:val="24"/>
          <w:szCs w:val="24"/>
        </w:rPr>
        <w:t xml:space="preserve">The third and final illustrative case is that of BoR4.2, ‘Informing MDMA Policy’, based </w:t>
      </w:r>
      <w:r w:rsidR="00B33D94">
        <w:rPr>
          <w:sz w:val="24"/>
          <w:szCs w:val="24"/>
        </w:rPr>
        <w:t xml:space="preserve">at </w:t>
      </w:r>
      <w:r>
        <w:rPr>
          <w:sz w:val="24"/>
          <w:szCs w:val="24"/>
        </w:rPr>
        <w:t xml:space="preserve">the University of East London’s (UEL), School of Psychology. Specifically, the researchers involved belong to the </w:t>
      </w:r>
      <w:r w:rsidRPr="001E5A57">
        <w:rPr>
          <w:sz w:val="24"/>
          <w:szCs w:val="24"/>
        </w:rPr>
        <w:t>Drugs and Addictive Behaviours Research Group (</w:t>
      </w:r>
      <w:r>
        <w:rPr>
          <w:sz w:val="24"/>
          <w:szCs w:val="24"/>
        </w:rPr>
        <w:t>DABRG</w:t>
      </w:r>
      <w:r w:rsidRPr="001E5A57">
        <w:rPr>
          <w:sz w:val="24"/>
          <w:szCs w:val="24"/>
        </w:rPr>
        <w:t>)</w:t>
      </w:r>
      <w:r>
        <w:rPr>
          <w:sz w:val="24"/>
          <w:szCs w:val="24"/>
        </w:rPr>
        <w:t xml:space="preserve">, whose members also established the wider Substance Use and Misuse (SUM) network, through which its research is disseminated amongst policy actors, other user groups, and also other scientific specialists from different disciplines. </w:t>
      </w:r>
      <w:r w:rsidR="0061775A">
        <w:rPr>
          <w:sz w:val="24"/>
          <w:szCs w:val="24"/>
        </w:rPr>
        <w:t xml:space="preserve">The context of this research is that the School of Psychology represents a ‘less prestigious’ institutional context, and the research is ‘Basic/Applied’ and belongs to the ‘life’ branch of sciences. </w:t>
      </w:r>
      <w:r w:rsidR="00F715B1">
        <w:rPr>
          <w:sz w:val="24"/>
          <w:szCs w:val="24"/>
        </w:rPr>
        <w:t xml:space="preserve">As </w:t>
      </w:r>
      <w:r w:rsidR="00354129" w:rsidRPr="00354129">
        <w:rPr>
          <w:sz w:val="24"/>
          <w:szCs w:val="24"/>
        </w:rPr>
        <w:fldChar w:fldCharType="begin"/>
      </w:r>
      <w:r w:rsidR="00354129" w:rsidRPr="00354129">
        <w:rPr>
          <w:sz w:val="24"/>
          <w:szCs w:val="24"/>
        </w:rPr>
        <w:instrText xml:space="preserve"> REF _Ref8918539 \h </w:instrText>
      </w:r>
      <w:r w:rsidR="00354129">
        <w:rPr>
          <w:sz w:val="24"/>
          <w:szCs w:val="24"/>
        </w:rPr>
        <w:instrText xml:space="preserve"> \* MERGEFORMAT </w:instrText>
      </w:r>
      <w:r w:rsidR="00354129" w:rsidRPr="00354129">
        <w:rPr>
          <w:sz w:val="24"/>
          <w:szCs w:val="24"/>
        </w:rPr>
      </w:r>
      <w:r w:rsidR="00354129" w:rsidRPr="00354129">
        <w:rPr>
          <w:sz w:val="24"/>
          <w:szCs w:val="24"/>
        </w:rPr>
        <w:fldChar w:fldCharType="separate"/>
      </w:r>
      <w:r w:rsidR="0011424E" w:rsidRPr="0011424E">
        <w:rPr>
          <w:sz w:val="24"/>
          <w:szCs w:val="24"/>
        </w:rPr>
        <w:t xml:space="preserve">Table </w:t>
      </w:r>
      <w:r w:rsidR="0011424E" w:rsidRPr="0011424E">
        <w:rPr>
          <w:noProof/>
          <w:sz w:val="24"/>
          <w:szCs w:val="24"/>
        </w:rPr>
        <w:t>28</w:t>
      </w:r>
      <w:r w:rsidR="00354129" w:rsidRPr="00354129">
        <w:rPr>
          <w:sz w:val="24"/>
          <w:szCs w:val="24"/>
        </w:rPr>
        <w:fldChar w:fldCharType="end"/>
      </w:r>
      <w:r w:rsidR="00354129">
        <w:rPr>
          <w:sz w:val="24"/>
          <w:szCs w:val="24"/>
        </w:rPr>
        <w:t xml:space="preserve"> shows, BoR4.2 has very low values across all dimensions. </w:t>
      </w:r>
    </w:p>
    <w:tbl>
      <w:tblPr>
        <w:tblStyle w:val="TableGrid"/>
        <w:tblW w:w="0" w:type="auto"/>
        <w:tblLook w:val="04A0" w:firstRow="1" w:lastRow="0" w:firstColumn="1" w:lastColumn="0" w:noHBand="0" w:noVBand="1"/>
      </w:tblPr>
      <w:tblGrid>
        <w:gridCol w:w="2689"/>
        <w:gridCol w:w="1559"/>
        <w:gridCol w:w="1353"/>
        <w:gridCol w:w="2236"/>
      </w:tblGrid>
      <w:tr w:rsidR="005E5CF2" w14:paraId="61365183" w14:textId="77777777" w:rsidTr="006D474E">
        <w:trPr>
          <w:trHeight w:val="151"/>
        </w:trPr>
        <w:tc>
          <w:tcPr>
            <w:tcW w:w="2689" w:type="dxa"/>
            <w:tcBorders>
              <w:bottom w:val="single" w:sz="2" w:space="0" w:color="auto"/>
            </w:tcBorders>
          </w:tcPr>
          <w:p w14:paraId="3DE65FDE" w14:textId="77777777" w:rsidR="005E5CF2" w:rsidRPr="006600EC" w:rsidRDefault="005E5CF2" w:rsidP="006D474E">
            <w:pPr>
              <w:rPr>
                <w:sz w:val="22"/>
                <w:szCs w:val="22"/>
              </w:rPr>
            </w:pPr>
          </w:p>
        </w:tc>
        <w:tc>
          <w:tcPr>
            <w:tcW w:w="1559" w:type="dxa"/>
            <w:tcBorders>
              <w:bottom w:val="single" w:sz="2" w:space="0" w:color="auto"/>
            </w:tcBorders>
          </w:tcPr>
          <w:p w14:paraId="49F89DF7" w14:textId="77777777" w:rsidR="005E5CF2" w:rsidRPr="006600EC" w:rsidRDefault="005E5CF2" w:rsidP="006D474E">
            <w:pPr>
              <w:jc w:val="center"/>
              <w:rPr>
                <w:sz w:val="22"/>
                <w:szCs w:val="22"/>
              </w:rPr>
            </w:pPr>
            <w:r w:rsidRPr="006600EC">
              <w:rPr>
                <w:sz w:val="22"/>
                <w:szCs w:val="22"/>
              </w:rPr>
              <w:t>Social Context</w:t>
            </w:r>
            <w:r>
              <w:rPr>
                <w:sz w:val="22"/>
                <w:szCs w:val="22"/>
              </w:rPr>
              <w:t xml:space="preserve"> </w:t>
            </w:r>
          </w:p>
        </w:tc>
        <w:tc>
          <w:tcPr>
            <w:tcW w:w="1353" w:type="dxa"/>
            <w:tcBorders>
              <w:bottom w:val="single" w:sz="2" w:space="0" w:color="auto"/>
            </w:tcBorders>
          </w:tcPr>
          <w:p w14:paraId="61D0F029" w14:textId="77777777" w:rsidR="005E5CF2" w:rsidRPr="006600EC" w:rsidRDefault="005E5CF2" w:rsidP="006D474E">
            <w:pPr>
              <w:jc w:val="center"/>
              <w:rPr>
                <w:sz w:val="22"/>
                <w:szCs w:val="22"/>
              </w:rPr>
            </w:pPr>
            <w:r>
              <w:rPr>
                <w:sz w:val="22"/>
                <w:szCs w:val="22"/>
              </w:rPr>
              <w:t xml:space="preserve">Intermediary </w:t>
            </w:r>
          </w:p>
        </w:tc>
        <w:tc>
          <w:tcPr>
            <w:tcW w:w="2236" w:type="dxa"/>
            <w:tcBorders>
              <w:bottom w:val="single" w:sz="2" w:space="0" w:color="auto"/>
            </w:tcBorders>
          </w:tcPr>
          <w:p w14:paraId="279A3029" w14:textId="77777777" w:rsidR="005E5CF2" w:rsidRPr="006600EC" w:rsidRDefault="005E5CF2" w:rsidP="006D474E">
            <w:pPr>
              <w:jc w:val="center"/>
              <w:rPr>
                <w:sz w:val="22"/>
                <w:szCs w:val="22"/>
              </w:rPr>
            </w:pPr>
            <w:r>
              <w:rPr>
                <w:sz w:val="22"/>
                <w:szCs w:val="22"/>
              </w:rPr>
              <w:t xml:space="preserve">Knowledge Content </w:t>
            </w:r>
          </w:p>
        </w:tc>
      </w:tr>
      <w:tr w:rsidR="005E5CF2" w14:paraId="7857056D" w14:textId="77777777" w:rsidTr="006D474E">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7BE1E667" w14:textId="08BB3C85" w:rsidR="005E5CF2" w:rsidRPr="00DC380F" w:rsidRDefault="005E5CF2" w:rsidP="006D474E">
            <w:pPr>
              <w:rPr>
                <w:i/>
                <w:sz w:val="22"/>
                <w:szCs w:val="22"/>
              </w:rPr>
            </w:pPr>
            <w:r>
              <w:rPr>
                <w:b/>
                <w:sz w:val="22"/>
                <w:szCs w:val="22"/>
              </w:rPr>
              <w:t>BoR4.2</w:t>
            </w:r>
            <w:r w:rsidR="00DC380F">
              <w:rPr>
                <w:b/>
                <w:sz w:val="22"/>
                <w:szCs w:val="22"/>
              </w:rPr>
              <w:t xml:space="preserve"> </w:t>
            </w:r>
            <w:r w:rsidR="00DC380F">
              <w:rPr>
                <w:i/>
                <w:sz w:val="22"/>
                <w:szCs w:val="22"/>
              </w:rPr>
              <w:t>(basic/applied, life, ‘less prestigious’)</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450F920" w14:textId="0AAEC03B" w:rsidR="005E5CF2" w:rsidRPr="009E1FB8" w:rsidRDefault="009E1FB8" w:rsidP="006D474E">
            <w:pPr>
              <w:jc w:val="center"/>
              <w:rPr>
                <w:b/>
                <w:sz w:val="22"/>
                <w:szCs w:val="22"/>
              </w:rPr>
            </w:pPr>
            <w:r w:rsidRPr="009E1FB8">
              <w:rPr>
                <w:b/>
                <w:sz w:val="22"/>
                <w:szCs w:val="22"/>
              </w:rPr>
              <w:t>2.58</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1721644" w14:textId="056BF7BE" w:rsidR="005E5CF2" w:rsidRPr="009E1FB8" w:rsidRDefault="009E1FB8" w:rsidP="006D474E">
            <w:pPr>
              <w:jc w:val="center"/>
              <w:rPr>
                <w:b/>
                <w:sz w:val="22"/>
                <w:szCs w:val="22"/>
              </w:rPr>
            </w:pPr>
            <w:r w:rsidRPr="009E1FB8">
              <w:rPr>
                <w:b/>
                <w:sz w:val="22"/>
                <w:szCs w:val="22"/>
              </w:rPr>
              <w:t>1.58</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0CD2026" w14:textId="5EBA7011" w:rsidR="005E5CF2" w:rsidRPr="009E1FB8" w:rsidRDefault="009E1FB8" w:rsidP="006D474E">
            <w:pPr>
              <w:jc w:val="center"/>
              <w:rPr>
                <w:b/>
                <w:sz w:val="22"/>
                <w:szCs w:val="22"/>
              </w:rPr>
            </w:pPr>
            <w:r w:rsidRPr="009E1FB8">
              <w:rPr>
                <w:b/>
                <w:sz w:val="22"/>
                <w:szCs w:val="22"/>
              </w:rPr>
              <w:t>1.11</w:t>
            </w:r>
          </w:p>
        </w:tc>
      </w:tr>
      <w:tr w:rsidR="005E5CF2" w14:paraId="1D893E8D" w14:textId="77777777" w:rsidTr="006D474E">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3D782C92" w14:textId="0F2AEB58" w:rsidR="005E5CF2" w:rsidRDefault="005E5CF2" w:rsidP="006D474E">
            <w:pPr>
              <w:rPr>
                <w:sz w:val="22"/>
                <w:szCs w:val="22"/>
              </w:rPr>
            </w:pPr>
            <w:r>
              <w:rPr>
                <w:sz w:val="22"/>
                <w:szCs w:val="22"/>
              </w:rPr>
              <w:t>‘Basic/Applied’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52AE30" w14:textId="05D7F94D" w:rsidR="005E5CF2" w:rsidRDefault="0056070D" w:rsidP="006D474E">
            <w:pPr>
              <w:jc w:val="center"/>
              <w:rPr>
                <w:sz w:val="22"/>
                <w:szCs w:val="22"/>
              </w:rPr>
            </w:pPr>
            <w:r>
              <w:rPr>
                <w:sz w:val="22"/>
                <w:szCs w:val="22"/>
              </w:rPr>
              <w:t>3.06</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CF13669" w14:textId="4BAB2E79" w:rsidR="005E5CF2" w:rsidRDefault="0056070D" w:rsidP="006D474E">
            <w:pPr>
              <w:jc w:val="center"/>
              <w:rPr>
                <w:sz w:val="22"/>
                <w:szCs w:val="22"/>
              </w:rPr>
            </w:pPr>
            <w:r>
              <w:rPr>
                <w:sz w:val="22"/>
                <w:szCs w:val="22"/>
              </w:rPr>
              <w:t>2.3</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CC14537" w14:textId="1FE2D178" w:rsidR="005E5CF2" w:rsidRDefault="0056070D" w:rsidP="006D474E">
            <w:pPr>
              <w:jc w:val="center"/>
              <w:rPr>
                <w:sz w:val="22"/>
                <w:szCs w:val="22"/>
              </w:rPr>
            </w:pPr>
            <w:r>
              <w:rPr>
                <w:sz w:val="22"/>
                <w:szCs w:val="22"/>
              </w:rPr>
              <w:t>1.78</w:t>
            </w:r>
          </w:p>
        </w:tc>
      </w:tr>
      <w:tr w:rsidR="005E5CF2" w14:paraId="0A8599A9" w14:textId="77777777" w:rsidTr="006D474E">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35316C88" w14:textId="77777777" w:rsidR="005E5CF2" w:rsidRDefault="005E5CF2" w:rsidP="006D474E">
            <w:pPr>
              <w:rPr>
                <w:sz w:val="22"/>
                <w:szCs w:val="22"/>
              </w:rPr>
            </w:pPr>
            <w:r>
              <w:rPr>
                <w:sz w:val="22"/>
                <w:szCs w:val="22"/>
              </w:rPr>
              <w:t>‘Life’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41D77EB" w14:textId="77777777" w:rsidR="005E5CF2" w:rsidRDefault="005E5CF2" w:rsidP="006D474E">
            <w:pPr>
              <w:jc w:val="center"/>
              <w:rPr>
                <w:sz w:val="22"/>
                <w:szCs w:val="22"/>
              </w:rPr>
            </w:pPr>
            <w:r>
              <w:rPr>
                <w:sz w:val="22"/>
                <w:szCs w:val="22"/>
              </w:rPr>
              <w:t>3.17</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98E5C65" w14:textId="77777777" w:rsidR="005E5CF2" w:rsidRDefault="005E5CF2" w:rsidP="006D474E">
            <w:pPr>
              <w:jc w:val="center"/>
              <w:rPr>
                <w:sz w:val="22"/>
                <w:szCs w:val="22"/>
              </w:rPr>
            </w:pPr>
            <w:r>
              <w:rPr>
                <w:sz w:val="22"/>
                <w:szCs w:val="22"/>
              </w:rPr>
              <w:t>2.42</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57B695B" w14:textId="77777777" w:rsidR="005E5CF2" w:rsidRDefault="005E5CF2" w:rsidP="006D474E">
            <w:pPr>
              <w:jc w:val="center"/>
              <w:rPr>
                <w:sz w:val="22"/>
                <w:szCs w:val="22"/>
              </w:rPr>
            </w:pPr>
            <w:r>
              <w:rPr>
                <w:sz w:val="22"/>
                <w:szCs w:val="22"/>
              </w:rPr>
              <w:t>1.72</w:t>
            </w:r>
          </w:p>
        </w:tc>
      </w:tr>
      <w:tr w:rsidR="0056070D" w14:paraId="125AFF3B" w14:textId="77777777" w:rsidTr="006D474E">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42649474" w14:textId="250BB8C0" w:rsidR="0056070D" w:rsidRDefault="0056070D" w:rsidP="0056070D">
            <w:pPr>
              <w:rPr>
                <w:sz w:val="22"/>
                <w:szCs w:val="22"/>
              </w:rPr>
            </w:pPr>
            <w:r>
              <w:rPr>
                <w:sz w:val="22"/>
                <w:szCs w:val="22"/>
              </w:rPr>
              <w:t>‘Less prestigious’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9FF87D" w14:textId="492A18AC" w:rsidR="0056070D" w:rsidRDefault="0056070D" w:rsidP="0056070D">
            <w:pPr>
              <w:jc w:val="center"/>
              <w:rPr>
                <w:sz w:val="22"/>
                <w:szCs w:val="22"/>
              </w:rPr>
            </w:pPr>
            <w:r>
              <w:rPr>
                <w:sz w:val="22"/>
                <w:szCs w:val="22"/>
              </w:rPr>
              <w:t>3.49</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F0C9ECA" w14:textId="6F015D91" w:rsidR="0056070D" w:rsidRDefault="0056070D" w:rsidP="0056070D">
            <w:pPr>
              <w:jc w:val="center"/>
              <w:rPr>
                <w:sz w:val="22"/>
                <w:szCs w:val="22"/>
              </w:rPr>
            </w:pPr>
            <w:r>
              <w:rPr>
                <w:sz w:val="22"/>
                <w:szCs w:val="22"/>
              </w:rPr>
              <w:t>2.63</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2347AE1" w14:textId="226F70C6" w:rsidR="0056070D" w:rsidRDefault="0056070D" w:rsidP="0056070D">
            <w:pPr>
              <w:jc w:val="center"/>
              <w:rPr>
                <w:sz w:val="22"/>
                <w:szCs w:val="22"/>
              </w:rPr>
            </w:pPr>
            <w:r>
              <w:rPr>
                <w:sz w:val="22"/>
                <w:szCs w:val="22"/>
              </w:rPr>
              <w:t>1.78</w:t>
            </w:r>
          </w:p>
        </w:tc>
      </w:tr>
      <w:tr w:rsidR="0056070D" w14:paraId="38A2A571" w14:textId="77777777" w:rsidTr="006D474E">
        <w:trPr>
          <w:trHeight w:val="152"/>
        </w:trPr>
        <w:tc>
          <w:tcPr>
            <w:tcW w:w="2689" w:type="dxa"/>
            <w:tcBorders>
              <w:top w:val="single" w:sz="2" w:space="0" w:color="auto"/>
              <w:left w:val="single" w:sz="2" w:space="0" w:color="auto"/>
              <w:bottom w:val="single" w:sz="2" w:space="0" w:color="auto"/>
              <w:right w:val="single" w:sz="2" w:space="0" w:color="auto"/>
            </w:tcBorders>
            <w:shd w:val="clear" w:color="auto" w:fill="FFFFFF" w:themeFill="background1"/>
          </w:tcPr>
          <w:p w14:paraId="47FE26B7" w14:textId="77777777" w:rsidR="0056070D" w:rsidRPr="00251410" w:rsidRDefault="0056070D" w:rsidP="0056070D">
            <w:pPr>
              <w:rPr>
                <w:b/>
                <w:sz w:val="22"/>
                <w:szCs w:val="22"/>
              </w:rPr>
            </w:pPr>
            <w:r w:rsidRPr="00251410">
              <w:rPr>
                <w:b/>
                <w:sz w:val="22"/>
                <w:szCs w:val="22"/>
              </w:rPr>
              <w:t>Sample average</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C2021BA" w14:textId="77777777" w:rsidR="0056070D" w:rsidRPr="00251410" w:rsidRDefault="0056070D" w:rsidP="0056070D">
            <w:pPr>
              <w:jc w:val="center"/>
              <w:rPr>
                <w:b/>
                <w:sz w:val="22"/>
                <w:szCs w:val="22"/>
              </w:rPr>
            </w:pPr>
            <w:r w:rsidRPr="00251410">
              <w:rPr>
                <w:b/>
                <w:sz w:val="22"/>
                <w:szCs w:val="22"/>
              </w:rPr>
              <w:t>3.54</w:t>
            </w:r>
          </w:p>
        </w:tc>
        <w:tc>
          <w:tcPr>
            <w:tcW w:w="13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7BAE84F" w14:textId="77777777" w:rsidR="0056070D" w:rsidRPr="00251410" w:rsidRDefault="0056070D" w:rsidP="0056070D">
            <w:pPr>
              <w:jc w:val="center"/>
              <w:rPr>
                <w:b/>
                <w:sz w:val="22"/>
                <w:szCs w:val="22"/>
              </w:rPr>
            </w:pPr>
            <w:r w:rsidRPr="00251410">
              <w:rPr>
                <w:b/>
                <w:sz w:val="22"/>
                <w:szCs w:val="22"/>
              </w:rPr>
              <w:t>2.43</w:t>
            </w:r>
          </w:p>
        </w:tc>
        <w:tc>
          <w:tcPr>
            <w:tcW w:w="223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86F15C2" w14:textId="77777777" w:rsidR="0056070D" w:rsidRPr="00251410" w:rsidRDefault="0056070D" w:rsidP="00744574">
            <w:pPr>
              <w:keepNext/>
              <w:jc w:val="center"/>
              <w:rPr>
                <w:b/>
                <w:sz w:val="22"/>
                <w:szCs w:val="22"/>
              </w:rPr>
            </w:pPr>
            <w:r w:rsidRPr="00251410">
              <w:rPr>
                <w:b/>
                <w:sz w:val="22"/>
                <w:szCs w:val="22"/>
              </w:rPr>
              <w:t>1.58</w:t>
            </w:r>
          </w:p>
        </w:tc>
      </w:tr>
    </w:tbl>
    <w:p w14:paraId="3830A994" w14:textId="2FC0DAF3" w:rsidR="005E5CF2" w:rsidRDefault="00744574" w:rsidP="00744574">
      <w:pPr>
        <w:pStyle w:val="Caption"/>
        <w:rPr>
          <w:sz w:val="24"/>
          <w:szCs w:val="24"/>
        </w:rPr>
      </w:pPr>
      <w:bookmarkStart w:id="177" w:name="_Ref8918539"/>
      <w:bookmarkStart w:id="178" w:name="_Toc31702057"/>
      <w:r>
        <w:t xml:space="preserve">Table </w:t>
      </w:r>
      <w:r w:rsidR="00A56355">
        <w:fldChar w:fldCharType="begin"/>
      </w:r>
      <w:r w:rsidR="00A56355">
        <w:instrText xml:space="preserve"> SEQ Table \* ARABIC </w:instrText>
      </w:r>
      <w:r w:rsidR="00A56355">
        <w:fldChar w:fldCharType="separate"/>
      </w:r>
      <w:r w:rsidR="0011424E">
        <w:rPr>
          <w:noProof/>
        </w:rPr>
        <w:t>28</w:t>
      </w:r>
      <w:r w:rsidR="00A56355">
        <w:rPr>
          <w:noProof/>
        </w:rPr>
        <w:fldChar w:fldCharType="end"/>
      </w:r>
      <w:bookmarkEnd w:id="177"/>
      <w:r>
        <w:t>. BoR4.2 typology values by 'research dimension' (with comparator values)</w:t>
      </w:r>
      <w:bookmarkEnd w:id="178"/>
    </w:p>
    <w:p w14:paraId="6CC8D5CC" w14:textId="77777777" w:rsidR="00DD7E84" w:rsidRDefault="00DD7E84" w:rsidP="004C1B76">
      <w:pPr>
        <w:spacing w:after="120" w:line="360" w:lineRule="auto"/>
        <w:rPr>
          <w:sz w:val="24"/>
          <w:szCs w:val="24"/>
        </w:rPr>
      </w:pPr>
      <w:r>
        <w:rPr>
          <w:sz w:val="24"/>
          <w:szCs w:val="24"/>
        </w:rPr>
        <w:t>As with the other two illustrations, I will start by describing my coding of the ‘social context’ attributes.</w:t>
      </w:r>
    </w:p>
    <w:p w14:paraId="6FBEDC28" w14:textId="77777777" w:rsidR="00DD7E84" w:rsidRPr="00400186" w:rsidRDefault="00DD7E84" w:rsidP="004C1B76">
      <w:pPr>
        <w:pStyle w:val="Heading4"/>
      </w:pPr>
      <w:r>
        <w:t>‘Social context’ values (goals, relevance, evaluation, outputs &amp; outcomes)</w:t>
      </w:r>
    </w:p>
    <w:p w14:paraId="1E860DBA" w14:textId="53D2BFEE" w:rsidR="00DD7E84" w:rsidRDefault="00DD7E84" w:rsidP="00DD7E84">
      <w:pPr>
        <w:spacing w:before="120" w:after="120" w:line="360" w:lineRule="auto"/>
        <w:rPr>
          <w:sz w:val="24"/>
          <w:szCs w:val="24"/>
        </w:rPr>
      </w:pPr>
      <w:r w:rsidRPr="008607CB">
        <w:rPr>
          <w:sz w:val="24"/>
          <w:szCs w:val="24"/>
          <w:u w:val="single"/>
        </w:rPr>
        <w:t xml:space="preserve">Phase 1. </w:t>
      </w:r>
      <w:r>
        <w:rPr>
          <w:sz w:val="24"/>
          <w:szCs w:val="24"/>
          <w:u w:val="single"/>
        </w:rPr>
        <w:t xml:space="preserve">Contributing to psychopharmacological understanding of </w:t>
      </w:r>
      <w:r w:rsidRPr="008607CB">
        <w:rPr>
          <w:sz w:val="24"/>
          <w:szCs w:val="24"/>
          <w:u w:val="single"/>
        </w:rPr>
        <w:t>MDMA (ecstasy)</w:t>
      </w:r>
      <w:r>
        <w:rPr>
          <w:sz w:val="24"/>
          <w:szCs w:val="24"/>
          <w:u w:val="single"/>
        </w:rPr>
        <w:br/>
      </w:r>
      <w:r>
        <w:rPr>
          <w:sz w:val="24"/>
          <w:szCs w:val="24"/>
        </w:rPr>
        <w:t xml:space="preserve">DABRG’s research is best described as belonging to the inherently interdisciplinary and use-inspired field of </w:t>
      </w:r>
      <w:r w:rsidRPr="001C4DE7">
        <w:rPr>
          <w:i/>
          <w:sz w:val="24"/>
          <w:szCs w:val="24"/>
        </w:rPr>
        <w:t>psychopharmacology</w:t>
      </w:r>
      <w:r>
        <w:rPr>
          <w:sz w:val="24"/>
          <w:szCs w:val="24"/>
        </w:rPr>
        <w:t xml:space="preserve">, which is concerned with the effect of both licit and illicit pharmaceuticals </w:t>
      </w:r>
      <w:r w:rsidRPr="00E21E44">
        <w:rPr>
          <w:sz w:val="24"/>
          <w:szCs w:val="24"/>
        </w:rPr>
        <w:t xml:space="preserve">on cognitive </w:t>
      </w:r>
      <w:r w:rsidR="00D80E95">
        <w:rPr>
          <w:sz w:val="24"/>
          <w:szCs w:val="24"/>
        </w:rPr>
        <w:t>functionin</w:t>
      </w:r>
      <w:r w:rsidR="00F70913">
        <w:rPr>
          <w:sz w:val="24"/>
          <w:szCs w:val="24"/>
        </w:rPr>
        <w:t>g</w:t>
      </w:r>
      <w:r>
        <w:rPr>
          <w:sz w:val="24"/>
          <w:szCs w:val="24"/>
        </w:rPr>
        <w:t xml:space="preserve">. Within this disciplinary context, the main guiding principle for their research agenda has been delineating the extent of long-term health impacts of exposure to certain drugs in order to inform the health profession, drug users, and government policy. </w:t>
      </w:r>
    </w:p>
    <w:p w14:paraId="17C95172" w14:textId="77777777" w:rsidR="00DD7E84" w:rsidRPr="00D17054" w:rsidRDefault="00DD7E84" w:rsidP="00DD7E84">
      <w:pPr>
        <w:spacing w:after="120" w:line="360" w:lineRule="auto"/>
        <w:rPr>
          <w:i/>
          <w:sz w:val="24"/>
          <w:szCs w:val="24"/>
        </w:rPr>
      </w:pPr>
      <w:r>
        <w:rPr>
          <w:sz w:val="24"/>
          <w:szCs w:val="24"/>
        </w:rPr>
        <w:t xml:space="preserve">In this case, the drug in question was MDMA, popularly known as ‘ecstasy’. In the 1990s, there were reports that MDMA could have certain benefits to the user, and some who believed that these could potentially outweigh the known risks. DABRG were originally therefore interested in two main questions: </w:t>
      </w:r>
      <w:r w:rsidRPr="00FF4051">
        <w:rPr>
          <w:i/>
          <w:sz w:val="24"/>
          <w:szCs w:val="24"/>
        </w:rPr>
        <w:t xml:space="preserve">Do the negative effects of MDMA outweigh apparent benefits? What psychopharmacological mechanisms underpin observed effects? </w:t>
      </w:r>
    </w:p>
    <w:p w14:paraId="214630B9" w14:textId="77777777" w:rsidR="00DD7E84" w:rsidRDefault="00DD7E84" w:rsidP="00DD7E84">
      <w:pPr>
        <w:spacing w:after="120" w:line="360" w:lineRule="auto"/>
        <w:rPr>
          <w:sz w:val="24"/>
          <w:szCs w:val="24"/>
        </w:rPr>
      </w:pPr>
      <w:r>
        <w:rPr>
          <w:sz w:val="24"/>
          <w:szCs w:val="24"/>
        </w:rPr>
        <w:t xml:space="preserve">DABRG conducted systematic reviews and novel empirical studies. Based on this work, DABRG were able to provide in greater detail than previous studies the significant negative effects of MDMA on cognitive functioning and mood in both the short and long term. Moreover, they showed that the strength of these effects correlate with both frequency and quantity of MDMA use. Additionally, in terms of the underpinning scientific mechanisms, they provided strong evidence in support of their hypothesis that these effects are the direct result of damage to neurons which release a chemical (serotonin) that is associated both with the feeling of elation brought on by ecstasy pills and with cognitive functioning (e.g. memory). </w:t>
      </w:r>
    </w:p>
    <w:p w14:paraId="1CC7E66D" w14:textId="5B726B10" w:rsidR="00DD7E84" w:rsidRDefault="00DD7E84" w:rsidP="00DD7E84">
      <w:pPr>
        <w:spacing w:after="120" w:line="360" w:lineRule="auto"/>
        <w:rPr>
          <w:sz w:val="24"/>
          <w:szCs w:val="24"/>
        </w:rPr>
      </w:pPr>
      <w:r>
        <w:rPr>
          <w:sz w:val="24"/>
          <w:szCs w:val="24"/>
        </w:rPr>
        <w:t>On the typology (summarised</w:t>
      </w:r>
      <w:r w:rsidRPr="00CB521B">
        <w:rPr>
          <w:sz w:val="24"/>
          <w:szCs w:val="24"/>
        </w:rPr>
        <w:t xml:space="preserve"> in </w:t>
      </w:r>
      <w:r w:rsidRPr="00CB521B">
        <w:rPr>
          <w:sz w:val="24"/>
          <w:szCs w:val="24"/>
        </w:rPr>
        <w:fldChar w:fldCharType="begin"/>
      </w:r>
      <w:r w:rsidRPr="00CB521B">
        <w:rPr>
          <w:sz w:val="24"/>
          <w:szCs w:val="24"/>
        </w:rPr>
        <w:instrText xml:space="preserve"> REF _Ref7087962 \h </w:instrText>
      </w:r>
      <w:r>
        <w:rPr>
          <w:sz w:val="24"/>
          <w:szCs w:val="24"/>
        </w:rPr>
        <w:instrText xml:space="preserve"> \* MERGEFORMAT </w:instrText>
      </w:r>
      <w:r w:rsidRPr="00CB521B">
        <w:rPr>
          <w:sz w:val="24"/>
          <w:szCs w:val="24"/>
        </w:rPr>
      </w:r>
      <w:r w:rsidRPr="00CB521B">
        <w:rPr>
          <w:sz w:val="24"/>
          <w:szCs w:val="24"/>
        </w:rPr>
        <w:fldChar w:fldCharType="separate"/>
      </w:r>
      <w:r w:rsidR="0011424E" w:rsidRPr="0011424E">
        <w:rPr>
          <w:sz w:val="24"/>
          <w:szCs w:val="24"/>
        </w:rPr>
        <w:t xml:space="preserve">Table </w:t>
      </w:r>
      <w:r w:rsidR="0011424E" w:rsidRPr="0011424E">
        <w:rPr>
          <w:noProof/>
          <w:sz w:val="24"/>
          <w:szCs w:val="24"/>
        </w:rPr>
        <w:t>29</w:t>
      </w:r>
      <w:r w:rsidRPr="00CB521B">
        <w:rPr>
          <w:sz w:val="24"/>
          <w:szCs w:val="24"/>
        </w:rPr>
        <w:fldChar w:fldCharType="end"/>
      </w:r>
      <w:r w:rsidRPr="00CB521B">
        <w:rPr>
          <w:sz w:val="24"/>
          <w:szCs w:val="24"/>
        </w:rPr>
        <w:t>),</w:t>
      </w:r>
      <w:r w:rsidR="009D3AF7">
        <w:rPr>
          <w:sz w:val="24"/>
          <w:szCs w:val="24"/>
        </w:rPr>
        <w:t xml:space="preserve"> I judged </w:t>
      </w:r>
      <w:r>
        <w:rPr>
          <w:sz w:val="24"/>
          <w:szCs w:val="24"/>
        </w:rPr>
        <w:t xml:space="preserve">both the ‘goals’ and ‘relevance’ of this research to have a value of 3, since they were, in my view, in equal part scientific </w:t>
      </w:r>
      <w:r>
        <w:rPr>
          <w:i/>
          <w:sz w:val="24"/>
          <w:szCs w:val="24"/>
        </w:rPr>
        <w:t xml:space="preserve">and </w:t>
      </w:r>
      <w:r>
        <w:rPr>
          <w:sz w:val="24"/>
          <w:szCs w:val="24"/>
        </w:rPr>
        <w:t xml:space="preserve">oriented towards and of relevance to contexts of use; that is, this research fits the definition of what has been termed ‘use-inspired basic’ research (Hughes et al., 2016; Stokes, 1997). However, I gave lower values to ‘outputs and outcomes’ (1) and ‘evaluation’ (2). The outputs and outcomes were, at this stage, strongly scientific, taking the form of specialist academic publications targeted at DABRG’s immediate scientific community. As such, although the researchers evaluated their own work partly in terms of its potential relevance, at this phase, the main site evaluation was that of scientific opinion by peer review.  </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tblGrid>
      <w:tr w:rsidR="00DD7E84" w14:paraId="4F7AFD61" w14:textId="77777777" w:rsidTr="00DE5040">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3BDFA66F" w14:textId="77777777" w:rsidR="00DD7E84" w:rsidRPr="008707A9" w:rsidRDefault="00DD7E84" w:rsidP="00DE504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tcPr>
          <w:p w14:paraId="0E00CB11" w14:textId="77777777" w:rsidR="00DD7E84" w:rsidRPr="00FF5CE5" w:rsidRDefault="00DD7E84" w:rsidP="00DE5040">
            <w:pPr>
              <w:spacing w:after="0" w:line="240" w:lineRule="auto"/>
              <w:jc w:val="center"/>
              <w:rPr>
                <w:rFonts w:asciiTheme="majorBidi" w:hAnsiTheme="majorBidi" w:cstheme="majorBidi"/>
                <w:b/>
              </w:rPr>
            </w:pPr>
            <w:r>
              <w:rPr>
                <w:rFonts w:asciiTheme="majorBidi" w:hAnsiTheme="majorBidi" w:cstheme="majorBidi"/>
                <w:b/>
              </w:rPr>
              <w:t>Value</w:t>
            </w:r>
          </w:p>
        </w:tc>
      </w:tr>
      <w:tr w:rsidR="00DD7E84" w14:paraId="7A1A5969"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7408A"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7A53C0DA"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00691DB2"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518D7"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72F6C825"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DD7E84" w14:paraId="6BC83C94"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4D8A7"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5E187834"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DD7E84" w14:paraId="2C10E2EC"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8E3DC"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Outputs</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64DA76EA" w14:textId="77777777" w:rsidR="00DD7E84" w:rsidRPr="000B15CE" w:rsidRDefault="00DD7E84" w:rsidP="00DE5040">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r>
    </w:tbl>
    <w:p w14:paraId="1EDE5180" w14:textId="717971F0" w:rsidR="00DD7E84" w:rsidRPr="00FC29C0" w:rsidRDefault="00DD7E84" w:rsidP="00DD7E84">
      <w:pPr>
        <w:pStyle w:val="Caption"/>
      </w:pPr>
      <w:bookmarkStart w:id="179" w:name="_Ref7087962"/>
      <w:bookmarkStart w:id="180" w:name="_Toc31702058"/>
      <w:r>
        <w:t xml:space="preserve">Table </w:t>
      </w:r>
      <w:r w:rsidR="00A56355">
        <w:fldChar w:fldCharType="begin"/>
      </w:r>
      <w:r w:rsidR="00A56355">
        <w:instrText xml:space="preserve"> SEQ Table \* ARABIC </w:instrText>
      </w:r>
      <w:r w:rsidR="00A56355">
        <w:fldChar w:fldCharType="separate"/>
      </w:r>
      <w:r w:rsidR="0011424E">
        <w:rPr>
          <w:noProof/>
        </w:rPr>
        <w:t>29</w:t>
      </w:r>
      <w:r w:rsidR="00A56355">
        <w:rPr>
          <w:noProof/>
        </w:rPr>
        <w:fldChar w:fldCharType="end"/>
      </w:r>
      <w:bookmarkEnd w:id="179"/>
      <w:r>
        <w:t xml:space="preserve">. </w:t>
      </w:r>
      <w:r w:rsidRPr="00E26C55">
        <w:t>BoR</w:t>
      </w:r>
      <w:r>
        <w:t>4.2</w:t>
      </w:r>
      <w:r w:rsidRPr="00E26C55">
        <w:t xml:space="preserve"> 'social context' values - Phase 1</w:t>
      </w:r>
      <w:bookmarkEnd w:id="180"/>
    </w:p>
    <w:p w14:paraId="51E96634" w14:textId="77777777" w:rsidR="00DD7E84" w:rsidRPr="003F379F" w:rsidRDefault="00DD7E84" w:rsidP="00DD7E84">
      <w:pPr>
        <w:spacing w:before="120" w:after="0" w:line="360" w:lineRule="auto"/>
        <w:rPr>
          <w:sz w:val="24"/>
          <w:szCs w:val="24"/>
          <w:u w:val="single"/>
        </w:rPr>
      </w:pPr>
      <w:r w:rsidRPr="008F0046">
        <w:rPr>
          <w:sz w:val="24"/>
          <w:szCs w:val="24"/>
          <w:u w:val="single"/>
        </w:rPr>
        <w:t xml:space="preserve">Phase 2. </w:t>
      </w:r>
      <w:r>
        <w:rPr>
          <w:sz w:val="24"/>
          <w:szCs w:val="24"/>
          <w:u w:val="single"/>
        </w:rPr>
        <w:t>Contributing to practical debates around MDMA</w:t>
      </w:r>
      <w:r>
        <w:rPr>
          <w:sz w:val="24"/>
          <w:szCs w:val="24"/>
          <w:u w:val="single"/>
        </w:rPr>
        <w:br/>
      </w:r>
      <w:r>
        <w:rPr>
          <w:sz w:val="24"/>
          <w:szCs w:val="24"/>
        </w:rPr>
        <w:t xml:space="preserve">Having advanced the scientific understanding of the causes and effects of MDMA, DABRG follow-up work focused on ascertaining the extent, nature and mediating factors (i.e. frequency, length and conditions of MDMA use) of negative effects in users. This research advanced understanding of the real-life contexts of MDMA use and its impacts. The strengthened body of evidence produced by this research influenced the UK Government’s decision to maintain MDMA’s status as a Class A drug, which went against official recommendation by the UK Advisory Council on the Misuse of Drugs that it be reduced to Class B. </w:t>
      </w:r>
    </w:p>
    <w:p w14:paraId="0202B668" w14:textId="66FDF671" w:rsidR="00DD7E84" w:rsidRDefault="00DD7E84" w:rsidP="00DD7E84">
      <w:pPr>
        <w:spacing w:before="120" w:after="120" w:line="360" w:lineRule="auto"/>
        <w:rPr>
          <w:sz w:val="24"/>
          <w:szCs w:val="24"/>
        </w:rPr>
      </w:pPr>
      <w:r>
        <w:rPr>
          <w:sz w:val="24"/>
          <w:szCs w:val="24"/>
        </w:rPr>
        <w:t>I judged that the ‘goals’ and ‘relevance’ of the research was equivalent to that in Phase 1 (both values of 3). However, the ‘evaluation’ and ‘outputs &amp; outcomes’ of this phase of research did involve slightly more engagement in the ‘social’ context</w:t>
      </w:r>
      <w:r w:rsidR="00A96C3B">
        <w:rPr>
          <w:sz w:val="24"/>
          <w:szCs w:val="24"/>
        </w:rPr>
        <w:t xml:space="preserve"> (i.e. in the form of advising </w:t>
      </w:r>
      <w:r w:rsidR="002F3F7F">
        <w:rPr>
          <w:sz w:val="24"/>
          <w:szCs w:val="24"/>
        </w:rPr>
        <w:t xml:space="preserve">and aiming to shape </w:t>
      </w:r>
      <w:r w:rsidR="00A96C3B">
        <w:rPr>
          <w:sz w:val="24"/>
          <w:szCs w:val="24"/>
        </w:rPr>
        <w:t>government</w:t>
      </w:r>
      <w:r w:rsidR="002F3F7F">
        <w:rPr>
          <w:sz w:val="24"/>
          <w:szCs w:val="24"/>
        </w:rPr>
        <w:t xml:space="preserve"> policy</w:t>
      </w:r>
      <w:r w:rsidR="00A96C3B">
        <w:rPr>
          <w:sz w:val="24"/>
          <w:szCs w:val="24"/>
        </w:rPr>
        <w:t>)</w:t>
      </w:r>
      <w:r>
        <w:rPr>
          <w:sz w:val="24"/>
          <w:szCs w:val="24"/>
        </w:rPr>
        <w:t>, and I increased both values by one, that is, a 3 for ‘evaluation’ and a 2 for ‘outputs &amp; outcomes’. These values are summarised i</w:t>
      </w:r>
      <w:r w:rsidRPr="00064B07">
        <w:rPr>
          <w:sz w:val="24"/>
          <w:szCs w:val="24"/>
        </w:rPr>
        <w:t xml:space="preserve">n </w:t>
      </w:r>
      <w:r w:rsidRPr="00064B07">
        <w:rPr>
          <w:sz w:val="24"/>
          <w:szCs w:val="24"/>
        </w:rPr>
        <w:fldChar w:fldCharType="begin"/>
      </w:r>
      <w:r w:rsidRPr="00064B07">
        <w:rPr>
          <w:sz w:val="24"/>
          <w:szCs w:val="24"/>
        </w:rPr>
        <w:instrText xml:space="preserve"> REF _Ref7095703 \h </w:instrText>
      </w:r>
      <w:r>
        <w:rPr>
          <w:sz w:val="24"/>
          <w:szCs w:val="24"/>
        </w:rPr>
        <w:instrText xml:space="preserve"> \* MERGEFORMAT </w:instrText>
      </w:r>
      <w:r w:rsidRPr="00064B07">
        <w:rPr>
          <w:sz w:val="24"/>
          <w:szCs w:val="24"/>
        </w:rPr>
      </w:r>
      <w:r w:rsidRPr="00064B07">
        <w:rPr>
          <w:sz w:val="24"/>
          <w:szCs w:val="24"/>
        </w:rPr>
        <w:fldChar w:fldCharType="separate"/>
      </w:r>
      <w:r w:rsidR="0011424E" w:rsidRPr="0011424E">
        <w:rPr>
          <w:sz w:val="24"/>
          <w:szCs w:val="24"/>
        </w:rPr>
        <w:t xml:space="preserve">Table </w:t>
      </w:r>
      <w:r w:rsidR="0011424E" w:rsidRPr="0011424E">
        <w:rPr>
          <w:noProof/>
          <w:sz w:val="24"/>
          <w:szCs w:val="24"/>
        </w:rPr>
        <w:t>30</w:t>
      </w:r>
      <w:r w:rsidRPr="00064B07">
        <w:rPr>
          <w:sz w:val="24"/>
          <w:szCs w:val="24"/>
        </w:rPr>
        <w:fldChar w:fldCharType="end"/>
      </w:r>
      <w:r w:rsidRPr="00064B07">
        <w:rPr>
          <w:sz w:val="24"/>
          <w:szCs w:val="24"/>
        </w:rPr>
        <w:t>.</w:t>
      </w:r>
    </w:p>
    <w:tbl>
      <w:tblPr>
        <w:tblW w:w="6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tblGrid>
      <w:tr w:rsidR="003A17FA" w14:paraId="31994231" w14:textId="77777777" w:rsidTr="0023700E">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3D1C5B45" w14:textId="77777777" w:rsidR="003A17FA" w:rsidRPr="008707A9" w:rsidRDefault="003A17FA" w:rsidP="003A17FA">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3DE1719" w14:textId="58379D3F" w:rsidR="003A17FA" w:rsidRDefault="003A17FA" w:rsidP="003A17FA">
            <w:pPr>
              <w:spacing w:after="0" w:line="240" w:lineRule="auto"/>
              <w:jc w:val="center"/>
              <w:rPr>
                <w:rFonts w:asciiTheme="majorBidi" w:hAnsiTheme="majorBidi" w:cstheme="majorBidi"/>
                <w:b/>
              </w:rPr>
            </w:pPr>
            <w:r>
              <w:rPr>
                <w:rFonts w:asciiTheme="majorBidi" w:hAnsiTheme="majorBidi" w:cstheme="majorBidi"/>
                <w:b/>
              </w:rPr>
              <w:t>Value (Phase 1)</w:t>
            </w:r>
          </w:p>
        </w:tc>
        <w:tc>
          <w:tcPr>
            <w:tcW w:w="1753" w:type="dxa"/>
            <w:tcBorders>
              <w:top w:val="single" w:sz="4" w:space="0" w:color="auto"/>
              <w:left w:val="single" w:sz="4" w:space="0" w:color="auto"/>
              <w:bottom w:val="single" w:sz="4" w:space="0" w:color="auto"/>
              <w:right w:val="single" w:sz="4" w:space="0" w:color="auto"/>
            </w:tcBorders>
          </w:tcPr>
          <w:p w14:paraId="03E63559" w14:textId="3A576FA2" w:rsidR="003A17FA" w:rsidRPr="00FF5CE5" w:rsidRDefault="003A17FA" w:rsidP="003A17FA">
            <w:pPr>
              <w:spacing w:after="0" w:line="240" w:lineRule="auto"/>
              <w:jc w:val="center"/>
              <w:rPr>
                <w:rFonts w:asciiTheme="majorBidi" w:hAnsiTheme="majorBidi" w:cstheme="majorBidi"/>
                <w:b/>
              </w:rPr>
            </w:pPr>
            <w:r>
              <w:rPr>
                <w:rFonts w:asciiTheme="majorBidi" w:hAnsiTheme="majorBidi" w:cstheme="majorBidi"/>
                <w:b/>
              </w:rPr>
              <w:t>Value (Phase 2)</w:t>
            </w:r>
          </w:p>
        </w:tc>
      </w:tr>
      <w:tr w:rsidR="003A17FA" w14:paraId="71F26252" w14:textId="77777777" w:rsidTr="0023700E">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D27BE" w14:textId="77777777" w:rsidR="003A17FA" w:rsidRPr="008707A9" w:rsidRDefault="003A17FA" w:rsidP="003A17FA">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FE05962" w14:textId="28788DE7" w:rsidR="003A17FA"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453A8AFA" w14:textId="7FB820D2" w:rsidR="003A17FA" w:rsidRPr="000B15CE"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3A17FA" w14:paraId="17CC34C7" w14:textId="77777777" w:rsidTr="0023700E">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2EB42" w14:textId="77777777" w:rsidR="003A17FA" w:rsidRPr="008707A9" w:rsidRDefault="003A17FA" w:rsidP="003A17FA">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7332A8C" w14:textId="287F8B98" w:rsidR="003A17FA"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3CF82C67" w14:textId="6A92DDAA" w:rsidR="003A17FA" w:rsidRPr="000B15CE"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3A17FA" w14:paraId="3B173948" w14:textId="77777777" w:rsidTr="0023700E">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1631A" w14:textId="77777777" w:rsidR="003A17FA" w:rsidRPr="008707A9" w:rsidRDefault="003A17FA" w:rsidP="003A17FA">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D9F13A4" w14:textId="2833303A" w:rsidR="003A17FA"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0613A7C1" w14:textId="4C764CF7" w:rsidR="003A17FA" w:rsidRPr="000B15CE"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3A17FA" w14:paraId="448049B6" w14:textId="77777777" w:rsidTr="0023700E">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D5268" w14:textId="77777777" w:rsidR="003A17FA" w:rsidRPr="008707A9" w:rsidRDefault="003A17FA" w:rsidP="003A17FA">
            <w:pPr>
              <w:spacing w:after="0" w:line="240" w:lineRule="auto"/>
              <w:rPr>
                <w:rFonts w:asciiTheme="majorBidi" w:hAnsiTheme="majorBidi" w:cstheme="majorBidi"/>
              </w:rPr>
            </w:pPr>
            <w:r w:rsidRPr="008707A9">
              <w:rPr>
                <w:rFonts w:asciiTheme="majorBidi" w:hAnsiTheme="majorBidi" w:cstheme="majorBidi"/>
                <w:color w:val="000000"/>
              </w:rPr>
              <w:t>Outputs</w:t>
            </w:r>
            <w:r>
              <w:rPr>
                <w:rFonts w:asciiTheme="majorBidi" w:hAnsiTheme="majorBidi" w:cstheme="majorBidi"/>
                <w:color w:val="000000"/>
              </w:rPr>
              <w:t xml:space="preserve"> &amp; outcomes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62C5A68" w14:textId="789DEA18" w:rsidR="003A17FA" w:rsidRDefault="003A17FA" w:rsidP="003A17FA">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tcPr>
          <w:p w14:paraId="054F0BB1" w14:textId="430549D5" w:rsidR="003A17FA" w:rsidRPr="000B15CE" w:rsidRDefault="003A17FA" w:rsidP="003A17FA">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08989EBE" w14:textId="683B6FCB" w:rsidR="00DD7E84" w:rsidRDefault="00DD7E84" w:rsidP="00DD7E84">
      <w:pPr>
        <w:pStyle w:val="Caption"/>
      </w:pPr>
      <w:bookmarkStart w:id="181" w:name="_Ref7095703"/>
      <w:bookmarkStart w:id="182" w:name="_Toc31702059"/>
      <w:r>
        <w:t xml:space="preserve">Table </w:t>
      </w:r>
      <w:r w:rsidR="00A56355">
        <w:fldChar w:fldCharType="begin"/>
      </w:r>
      <w:r w:rsidR="00A56355">
        <w:instrText xml:space="preserve"> SEQ Table \* ARABIC </w:instrText>
      </w:r>
      <w:r w:rsidR="00A56355">
        <w:fldChar w:fldCharType="separate"/>
      </w:r>
      <w:r w:rsidR="0011424E">
        <w:rPr>
          <w:noProof/>
        </w:rPr>
        <w:t>30</w:t>
      </w:r>
      <w:r w:rsidR="00A56355">
        <w:rPr>
          <w:noProof/>
        </w:rPr>
        <w:fldChar w:fldCharType="end"/>
      </w:r>
      <w:bookmarkEnd w:id="181"/>
      <w:r>
        <w:t>.</w:t>
      </w:r>
      <w:r w:rsidRPr="00BB2763">
        <w:t xml:space="preserve"> </w:t>
      </w:r>
      <w:r w:rsidRPr="00E26C55">
        <w:t>BoR</w:t>
      </w:r>
      <w:r>
        <w:t>4.2</w:t>
      </w:r>
      <w:r w:rsidRPr="00E26C55">
        <w:t xml:space="preserve"> 'social context' values </w:t>
      </w:r>
      <w:r>
        <w:t>–</w:t>
      </w:r>
      <w:r w:rsidRPr="00E26C55">
        <w:t xml:space="preserve"> Phase</w:t>
      </w:r>
      <w:r w:rsidR="00184EB2">
        <w:t>s 1 &amp;</w:t>
      </w:r>
      <w:r>
        <w:t xml:space="preserve"> 2</w:t>
      </w:r>
      <w:bookmarkEnd w:id="182"/>
    </w:p>
    <w:p w14:paraId="620E8768" w14:textId="77777777" w:rsidR="00DD7E84" w:rsidRPr="001D2C63" w:rsidRDefault="00DD7E84" w:rsidP="00DD7E84">
      <w:pPr>
        <w:spacing w:after="120" w:line="360" w:lineRule="auto"/>
        <w:rPr>
          <w:sz w:val="24"/>
          <w:szCs w:val="24"/>
          <w:u w:val="single"/>
        </w:rPr>
      </w:pPr>
      <w:r w:rsidRPr="00237EA9">
        <w:rPr>
          <w:sz w:val="24"/>
          <w:szCs w:val="24"/>
          <w:u w:val="single"/>
        </w:rPr>
        <w:t xml:space="preserve">Phase 3. Scientific advances </w:t>
      </w:r>
      <w:r>
        <w:rPr>
          <w:sz w:val="24"/>
          <w:szCs w:val="24"/>
          <w:u w:val="single"/>
        </w:rPr>
        <w:t>prompt</w:t>
      </w:r>
      <w:r w:rsidRPr="00237EA9">
        <w:rPr>
          <w:sz w:val="24"/>
          <w:szCs w:val="24"/>
          <w:u w:val="single"/>
        </w:rPr>
        <w:t xml:space="preserve"> new demand for knowledge</w:t>
      </w:r>
      <w:r>
        <w:rPr>
          <w:sz w:val="24"/>
          <w:szCs w:val="24"/>
          <w:u w:val="single"/>
        </w:rPr>
        <w:br/>
      </w:r>
      <w:r>
        <w:rPr>
          <w:sz w:val="24"/>
          <w:szCs w:val="24"/>
        </w:rPr>
        <w:t>DABRG’s success in evidencing the long-term cognitive damage of MDMA in adult users prompted a new concern about the effects that MDMA use by pregnant women may have on children. DABRG collaborated on a large-scale, longitudinal study funded by the United States Government’s National Institute for Drug Abuse (NIDA) into MDMA use of pregnant women and the cognitive effects on children at various intervals after birth.</w:t>
      </w:r>
    </w:p>
    <w:tbl>
      <w:tblPr>
        <w:tblW w:w="7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557"/>
        <w:gridCol w:w="1557"/>
        <w:gridCol w:w="1557"/>
      </w:tblGrid>
      <w:tr w:rsidR="003A17FA" w14:paraId="7A4BBA16" w14:textId="77777777" w:rsidTr="003A17FA">
        <w:trPr>
          <w:trHeight w:val="137"/>
        </w:trPr>
        <w:tc>
          <w:tcPr>
            <w:tcW w:w="2593" w:type="dxa"/>
            <w:tcBorders>
              <w:top w:val="single" w:sz="4" w:space="0" w:color="auto"/>
              <w:left w:val="single" w:sz="4" w:space="0" w:color="auto"/>
              <w:bottom w:val="single" w:sz="4" w:space="0" w:color="auto"/>
              <w:right w:val="single" w:sz="4" w:space="0" w:color="auto"/>
            </w:tcBorders>
            <w:vAlign w:val="center"/>
          </w:tcPr>
          <w:p w14:paraId="626D9D4F" w14:textId="77777777" w:rsidR="003A17FA" w:rsidRPr="008707A9" w:rsidRDefault="003A17FA" w:rsidP="003A17FA">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0401C5E" w14:textId="78A7E7AC" w:rsidR="003A17FA" w:rsidRDefault="003A17FA" w:rsidP="003A17FA">
            <w:pPr>
              <w:spacing w:after="0" w:line="240" w:lineRule="auto"/>
              <w:jc w:val="center"/>
              <w:rPr>
                <w:rFonts w:asciiTheme="majorBidi" w:hAnsiTheme="majorBidi" w:cstheme="majorBidi"/>
                <w:b/>
              </w:rPr>
            </w:pPr>
            <w:r>
              <w:rPr>
                <w:rFonts w:asciiTheme="majorBidi" w:hAnsiTheme="majorBidi" w:cstheme="majorBidi"/>
                <w:b/>
              </w:rPr>
              <w:t>Value (Phase 1)</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68D2114" w14:textId="5C6FAA91" w:rsidR="003A17FA" w:rsidRDefault="003A17FA" w:rsidP="003A17FA">
            <w:pPr>
              <w:spacing w:after="0" w:line="240" w:lineRule="auto"/>
              <w:jc w:val="center"/>
              <w:rPr>
                <w:rFonts w:asciiTheme="majorBidi" w:hAnsiTheme="majorBidi" w:cstheme="majorBidi"/>
                <w:b/>
              </w:rPr>
            </w:pPr>
            <w:r>
              <w:rPr>
                <w:rFonts w:asciiTheme="majorBidi" w:hAnsiTheme="majorBidi" w:cstheme="majorBidi"/>
                <w:b/>
              </w:rPr>
              <w:t>Value (Phase 2)</w:t>
            </w:r>
          </w:p>
        </w:tc>
        <w:tc>
          <w:tcPr>
            <w:tcW w:w="1557" w:type="dxa"/>
            <w:tcBorders>
              <w:top w:val="single" w:sz="4" w:space="0" w:color="auto"/>
              <w:left w:val="single" w:sz="4" w:space="0" w:color="auto"/>
              <w:bottom w:val="single" w:sz="4" w:space="0" w:color="auto"/>
              <w:right w:val="single" w:sz="4" w:space="0" w:color="auto"/>
            </w:tcBorders>
          </w:tcPr>
          <w:p w14:paraId="2238DB8F" w14:textId="52DED7E6" w:rsidR="003A17FA" w:rsidRPr="00FF5CE5" w:rsidRDefault="003A17FA" w:rsidP="003A17FA">
            <w:pPr>
              <w:spacing w:after="0" w:line="240" w:lineRule="auto"/>
              <w:jc w:val="center"/>
              <w:rPr>
                <w:rFonts w:asciiTheme="majorBidi" w:hAnsiTheme="majorBidi" w:cstheme="majorBidi"/>
                <w:b/>
              </w:rPr>
            </w:pPr>
            <w:r>
              <w:rPr>
                <w:rFonts w:asciiTheme="majorBidi" w:hAnsiTheme="majorBidi" w:cstheme="majorBidi"/>
                <w:b/>
              </w:rPr>
              <w:t>Value (Phase 3)</w:t>
            </w:r>
          </w:p>
        </w:tc>
      </w:tr>
      <w:tr w:rsidR="003A17FA" w14:paraId="0ACB1FC3" w14:textId="77777777" w:rsidTr="003A17FA">
        <w:trPr>
          <w:trHeight w:val="248"/>
        </w:trPr>
        <w:tc>
          <w:tcPr>
            <w:tcW w:w="2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2EE696" w14:textId="77777777" w:rsidR="003A17FA" w:rsidRPr="008707A9" w:rsidRDefault="003A17FA" w:rsidP="003A17FA">
            <w:pPr>
              <w:spacing w:after="0" w:line="240" w:lineRule="auto"/>
              <w:rPr>
                <w:rFonts w:asciiTheme="majorBidi" w:hAnsiTheme="majorBidi" w:cstheme="majorBidi"/>
              </w:rPr>
            </w:pPr>
            <w:r w:rsidRPr="008707A9">
              <w:rPr>
                <w:rFonts w:asciiTheme="majorBidi" w:hAnsiTheme="majorBidi" w:cstheme="majorBidi"/>
                <w:color w:val="000000"/>
              </w:rPr>
              <w:t>Goals</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5C0703C" w14:textId="42EF6AE5" w:rsidR="003A17FA"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29E7D12" w14:textId="75E4B472" w:rsidR="003A17FA"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1050E76E" w14:textId="7E7A6214" w:rsidR="003A17FA" w:rsidRPr="000B15CE"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3A17FA" w14:paraId="2D467E2F" w14:textId="77777777" w:rsidTr="003A17FA">
        <w:trPr>
          <w:trHeight w:val="248"/>
        </w:trPr>
        <w:tc>
          <w:tcPr>
            <w:tcW w:w="2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E232E" w14:textId="77777777" w:rsidR="003A17FA" w:rsidRPr="008707A9" w:rsidRDefault="003A17FA" w:rsidP="003A17FA">
            <w:pPr>
              <w:spacing w:after="0" w:line="240" w:lineRule="auto"/>
              <w:rPr>
                <w:rFonts w:asciiTheme="majorBidi" w:hAnsiTheme="majorBidi" w:cstheme="majorBidi"/>
              </w:rPr>
            </w:pPr>
            <w:r w:rsidRPr="008707A9">
              <w:rPr>
                <w:rFonts w:asciiTheme="majorBidi" w:hAnsiTheme="majorBidi" w:cstheme="majorBidi"/>
                <w:color w:val="000000"/>
              </w:rPr>
              <w:t>Relevance</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3451045" w14:textId="61EB70C6" w:rsidR="003A17FA"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B8E0D31" w14:textId="20524368" w:rsidR="003A17FA"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40E85D0C" w14:textId="148755CC" w:rsidR="003A17FA" w:rsidRPr="000B15CE"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3A17FA" w14:paraId="5E14E826" w14:textId="77777777" w:rsidTr="003A17FA">
        <w:trPr>
          <w:trHeight w:val="263"/>
        </w:trPr>
        <w:tc>
          <w:tcPr>
            <w:tcW w:w="2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3AF57" w14:textId="77777777" w:rsidR="003A17FA" w:rsidRPr="008707A9" w:rsidRDefault="003A17FA" w:rsidP="003A17FA">
            <w:pPr>
              <w:spacing w:after="0" w:line="240" w:lineRule="auto"/>
              <w:rPr>
                <w:rFonts w:asciiTheme="majorBidi" w:hAnsiTheme="majorBidi" w:cstheme="majorBidi"/>
              </w:rPr>
            </w:pPr>
            <w:r w:rsidRPr="008707A9">
              <w:rPr>
                <w:rFonts w:asciiTheme="majorBidi" w:hAnsiTheme="majorBidi" w:cstheme="majorBidi"/>
                <w:color w:val="000000"/>
              </w:rPr>
              <w:t>Evaluation</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9326119" w14:textId="0EF0C0B4" w:rsidR="003A17FA"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CC3E162" w14:textId="451D7DA6" w:rsidR="003A17FA"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7F4A3D0C" w14:textId="5A4FAC53" w:rsidR="003A17FA" w:rsidRPr="000B15CE" w:rsidRDefault="003A17FA" w:rsidP="003A17FA">
            <w:pPr>
              <w:spacing w:after="0" w:line="240" w:lineRule="auto"/>
              <w:jc w:val="center"/>
              <w:rPr>
                <w:rFonts w:asciiTheme="majorBidi" w:hAnsiTheme="majorBidi" w:cstheme="majorBidi"/>
                <w:color w:val="000000"/>
              </w:rPr>
            </w:pPr>
            <w:r>
              <w:rPr>
                <w:rFonts w:asciiTheme="majorBidi" w:hAnsiTheme="majorBidi" w:cstheme="majorBidi"/>
                <w:color w:val="000000"/>
              </w:rPr>
              <w:t>3</w:t>
            </w:r>
          </w:p>
        </w:tc>
      </w:tr>
      <w:tr w:rsidR="003A17FA" w14:paraId="63C2731E" w14:textId="77777777" w:rsidTr="003A17FA">
        <w:trPr>
          <w:trHeight w:val="263"/>
        </w:trPr>
        <w:tc>
          <w:tcPr>
            <w:tcW w:w="2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ADE22" w14:textId="77777777" w:rsidR="003A17FA" w:rsidRPr="008707A9" w:rsidRDefault="003A17FA" w:rsidP="003A17FA">
            <w:pPr>
              <w:spacing w:after="0" w:line="240" w:lineRule="auto"/>
              <w:rPr>
                <w:rFonts w:asciiTheme="majorBidi" w:hAnsiTheme="majorBidi" w:cstheme="majorBidi"/>
              </w:rPr>
            </w:pPr>
            <w:r w:rsidRPr="008707A9">
              <w:rPr>
                <w:rFonts w:asciiTheme="majorBidi" w:hAnsiTheme="majorBidi" w:cstheme="majorBidi"/>
                <w:color w:val="000000"/>
              </w:rPr>
              <w:t>Outputs</w:t>
            </w:r>
            <w:r>
              <w:rPr>
                <w:rFonts w:asciiTheme="majorBidi" w:hAnsiTheme="majorBidi" w:cstheme="majorBidi"/>
                <w:color w:val="000000"/>
              </w:rPr>
              <w:t xml:space="preserve"> &amp; outcomes</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FB00883" w14:textId="176A355B" w:rsidR="003A17FA" w:rsidRDefault="003A17FA" w:rsidP="003A17FA">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55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F43981B" w14:textId="608D94AF" w:rsidR="003A17FA" w:rsidRDefault="003A17FA" w:rsidP="003A17FA">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18C8A083" w14:textId="4599B23A" w:rsidR="003A17FA" w:rsidRPr="000B15CE" w:rsidRDefault="003A17FA" w:rsidP="003A17FA">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35C72236" w14:textId="0E0C57A0" w:rsidR="00DD7E84" w:rsidRDefault="00DD7E84" w:rsidP="00DD7E84">
      <w:pPr>
        <w:pStyle w:val="Caption"/>
      </w:pPr>
      <w:bookmarkStart w:id="183" w:name="_Toc31702060"/>
      <w:r>
        <w:t xml:space="preserve">Table </w:t>
      </w:r>
      <w:r w:rsidR="00A56355">
        <w:fldChar w:fldCharType="begin"/>
      </w:r>
      <w:r w:rsidR="00A56355">
        <w:instrText xml:space="preserve"> SEQ Table \* ARABIC </w:instrText>
      </w:r>
      <w:r w:rsidR="00A56355">
        <w:fldChar w:fldCharType="separate"/>
      </w:r>
      <w:r w:rsidR="0011424E">
        <w:rPr>
          <w:noProof/>
        </w:rPr>
        <w:t>31</w:t>
      </w:r>
      <w:r w:rsidR="00A56355">
        <w:rPr>
          <w:noProof/>
        </w:rPr>
        <w:fldChar w:fldCharType="end"/>
      </w:r>
      <w:r>
        <w:t xml:space="preserve">. </w:t>
      </w:r>
      <w:r w:rsidRPr="00504C97">
        <w:t>BoR4.2 'social context' values – Phase</w:t>
      </w:r>
      <w:r w:rsidR="00184EB2">
        <w:t>s 1-</w:t>
      </w:r>
      <w:r>
        <w:t>3</w:t>
      </w:r>
      <w:bookmarkEnd w:id="183"/>
    </w:p>
    <w:p w14:paraId="33784311" w14:textId="77777777" w:rsidR="00DD7E84" w:rsidRDefault="00DD7E84" w:rsidP="004C1B76">
      <w:pPr>
        <w:pStyle w:val="Heading4"/>
      </w:pPr>
      <w:r>
        <w:t>‘Knowledge content’ values (expertise, learning, human capital)</w:t>
      </w:r>
    </w:p>
    <w:p w14:paraId="42F08CA9" w14:textId="77777777" w:rsidR="00DD7E84" w:rsidRDefault="00DD7E84" w:rsidP="00DD7E84">
      <w:pPr>
        <w:rPr>
          <w:sz w:val="24"/>
          <w:szCs w:val="24"/>
          <w:lang w:eastAsia="zh-TW"/>
        </w:rPr>
      </w:pPr>
      <w:r>
        <w:rPr>
          <w:sz w:val="24"/>
          <w:szCs w:val="24"/>
          <w:u w:val="single"/>
          <w:lang w:eastAsia="zh-TW"/>
        </w:rPr>
        <w:t>Phase 1 and Phase 2 combined</w:t>
      </w:r>
    </w:p>
    <w:p w14:paraId="215119F2" w14:textId="050B65DC" w:rsidR="00DD7E84" w:rsidRDefault="00DD7E84" w:rsidP="00DD7E84">
      <w:pPr>
        <w:spacing w:after="120" w:line="360" w:lineRule="auto"/>
        <w:rPr>
          <w:sz w:val="24"/>
          <w:szCs w:val="24"/>
          <w:lang w:eastAsia="zh-TW"/>
        </w:rPr>
      </w:pPr>
      <w:r>
        <w:rPr>
          <w:sz w:val="24"/>
          <w:szCs w:val="24"/>
          <w:lang w:eastAsia="zh-TW"/>
        </w:rPr>
        <w:t>As there is no change in any of the three ‘knowledge content’ values</w:t>
      </w:r>
      <w:r w:rsidRPr="00542C44">
        <w:rPr>
          <w:sz w:val="24"/>
          <w:szCs w:val="24"/>
          <w:lang w:eastAsia="zh-TW"/>
        </w:rPr>
        <w:t xml:space="preserve"> (see </w:t>
      </w:r>
      <w:r w:rsidRPr="00542C44">
        <w:rPr>
          <w:sz w:val="24"/>
          <w:szCs w:val="24"/>
          <w:lang w:eastAsia="zh-TW"/>
        </w:rPr>
        <w:fldChar w:fldCharType="begin"/>
      </w:r>
      <w:r w:rsidRPr="00542C44">
        <w:rPr>
          <w:sz w:val="24"/>
          <w:szCs w:val="24"/>
          <w:lang w:eastAsia="zh-TW"/>
        </w:rPr>
        <w:instrText xml:space="preserve"> REF _Ref7096677 \h </w:instrText>
      </w:r>
      <w:r>
        <w:rPr>
          <w:sz w:val="24"/>
          <w:szCs w:val="24"/>
          <w:lang w:eastAsia="zh-TW"/>
        </w:rPr>
        <w:instrText xml:space="preserve"> \* MERGEFORMAT </w:instrText>
      </w:r>
      <w:r w:rsidRPr="00542C44">
        <w:rPr>
          <w:sz w:val="24"/>
          <w:szCs w:val="24"/>
          <w:lang w:eastAsia="zh-TW"/>
        </w:rPr>
      </w:r>
      <w:r w:rsidRPr="00542C44">
        <w:rPr>
          <w:sz w:val="24"/>
          <w:szCs w:val="24"/>
          <w:lang w:eastAsia="zh-TW"/>
        </w:rPr>
        <w:fldChar w:fldCharType="separate"/>
      </w:r>
      <w:r w:rsidR="0011424E" w:rsidRPr="0011424E">
        <w:rPr>
          <w:sz w:val="24"/>
          <w:szCs w:val="24"/>
        </w:rPr>
        <w:t xml:space="preserve">Table </w:t>
      </w:r>
      <w:r w:rsidR="0011424E" w:rsidRPr="0011424E">
        <w:rPr>
          <w:noProof/>
          <w:sz w:val="24"/>
          <w:szCs w:val="24"/>
        </w:rPr>
        <w:t>32</w:t>
      </w:r>
      <w:r w:rsidRPr="00542C44">
        <w:rPr>
          <w:sz w:val="24"/>
          <w:szCs w:val="24"/>
          <w:lang w:eastAsia="zh-TW"/>
        </w:rPr>
        <w:fldChar w:fldCharType="end"/>
      </w:r>
      <w:r w:rsidRPr="00542C44">
        <w:rPr>
          <w:sz w:val="24"/>
          <w:szCs w:val="24"/>
          <w:lang w:eastAsia="zh-TW"/>
        </w:rPr>
        <w:t>)</w:t>
      </w:r>
      <w:r>
        <w:rPr>
          <w:sz w:val="24"/>
          <w:szCs w:val="24"/>
          <w:lang w:eastAsia="zh-TW"/>
        </w:rPr>
        <w:t xml:space="preserve"> between Phase 1 and Phase 2 for BoR4.2, I combine discussion of the two phases here.</w:t>
      </w:r>
    </w:p>
    <w:p w14:paraId="3F5D17A1" w14:textId="27E3D2F7" w:rsidR="00DD7E84" w:rsidRDefault="00DD7E84" w:rsidP="00DD7E84">
      <w:pPr>
        <w:spacing w:after="120" w:line="360" w:lineRule="auto"/>
        <w:rPr>
          <w:sz w:val="24"/>
          <w:szCs w:val="24"/>
          <w:lang w:eastAsia="zh-TW"/>
        </w:rPr>
      </w:pPr>
      <w:r>
        <w:rPr>
          <w:sz w:val="24"/>
          <w:szCs w:val="24"/>
          <w:lang w:eastAsia="zh-TW"/>
        </w:rPr>
        <w:t xml:space="preserve">In Phases 1 and 2, all ‘knowledge content’ values exhibited strongly scientific characteristics, and all received the lowest value of 1. “Epistemic” expertise and the highest levels of </w:t>
      </w:r>
      <w:r w:rsidR="00A022A5">
        <w:rPr>
          <w:sz w:val="24"/>
          <w:szCs w:val="24"/>
          <w:lang w:eastAsia="zh-TW"/>
        </w:rPr>
        <w:t>academically bestowed</w:t>
      </w:r>
      <w:r>
        <w:rPr>
          <w:sz w:val="24"/>
          <w:szCs w:val="24"/>
          <w:lang w:eastAsia="zh-TW"/>
        </w:rPr>
        <w:t xml:space="preserve"> “human capital” were the criteria for engagement in the research, with all involved having PhDs and academic research posts (McNie et al., 2016, pp. 887, 890). What was learned from the research was grounded in “understanding [psychopharmacological] theories and … explicit knowledge that can be easily transferred between people through documents” (ibid., p. 888), i.e., academic journal articles. </w:t>
      </w:r>
    </w:p>
    <w:tbl>
      <w:tblPr>
        <w:tblW w:w="6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037"/>
        <w:gridCol w:w="2037"/>
      </w:tblGrid>
      <w:tr w:rsidR="00EC5372" w14:paraId="19CF980C" w14:textId="77777777" w:rsidTr="00EC5372">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71605699" w14:textId="77777777" w:rsidR="00EC5372" w:rsidRPr="008707A9" w:rsidRDefault="00EC5372" w:rsidP="00EC5372">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2037" w:type="dxa"/>
            <w:tcBorders>
              <w:top w:val="single" w:sz="4" w:space="0" w:color="auto"/>
              <w:left w:val="single" w:sz="4" w:space="0" w:color="auto"/>
              <w:bottom w:val="single" w:sz="4" w:space="0" w:color="auto"/>
              <w:right w:val="single" w:sz="4" w:space="0" w:color="auto"/>
            </w:tcBorders>
          </w:tcPr>
          <w:p w14:paraId="102D6881" w14:textId="451AF912" w:rsidR="00EC5372" w:rsidRDefault="00EC5372" w:rsidP="00EC5372">
            <w:pPr>
              <w:spacing w:after="0" w:line="240" w:lineRule="auto"/>
              <w:jc w:val="center"/>
              <w:rPr>
                <w:rFonts w:asciiTheme="majorBidi" w:hAnsiTheme="majorBidi" w:cstheme="majorBidi"/>
                <w:b/>
              </w:rPr>
            </w:pPr>
            <w:r>
              <w:rPr>
                <w:rFonts w:asciiTheme="majorBidi" w:hAnsiTheme="majorBidi" w:cstheme="majorBidi"/>
                <w:b/>
              </w:rPr>
              <w:t>Value (Phase 1)</w:t>
            </w:r>
          </w:p>
        </w:tc>
        <w:tc>
          <w:tcPr>
            <w:tcW w:w="2037" w:type="dxa"/>
            <w:tcBorders>
              <w:top w:val="single" w:sz="4" w:space="0" w:color="auto"/>
              <w:left w:val="single" w:sz="4" w:space="0" w:color="auto"/>
              <w:bottom w:val="single" w:sz="4" w:space="0" w:color="auto"/>
              <w:right w:val="single" w:sz="4" w:space="0" w:color="auto"/>
            </w:tcBorders>
          </w:tcPr>
          <w:p w14:paraId="17E726FE" w14:textId="62B8F96F" w:rsidR="00EC5372" w:rsidRPr="00FF5CE5" w:rsidRDefault="00EC5372" w:rsidP="00EC5372">
            <w:pPr>
              <w:spacing w:after="0" w:line="240" w:lineRule="auto"/>
              <w:jc w:val="center"/>
              <w:rPr>
                <w:rFonts w:asciiTheme="majorBidi" w:hAnsiTheme="majorBidi" w:cstheme="majorBidi"/>
                <w:b/>
              </w:rPr>
            </w:pPr>
            <w:r>
              <w:rPr>
                <w:rFonts w:asciiTheme="majorBidi" w:hAnsiTheme="majorBidi" w:cstheme="majorBidi"/>
                <w:b/>
              </w:rPr>
              <w:t>Value (Phase 2)</w:t>
            </w:r>
          </w:p>
        </w:tc>
      </w:tr>
      <w:tr w:rsidR="00EC5372" w14:paraId="37636562" w14:textId="77777777" w:rsidTr="00EC5372">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8B98F" w14:textId="77777777" w:rsidR="00EC5372" w:rsidRPr="008707A9" w:rsidRDefault="00EC5372" w:rsidP="00EC5372">
            <w:pPr>
              <w:spacing w:after="0" w:line="240" w:lineRule="auto"/>
              <w:rPr>
                <w:rFonts w:asciiTheme="majorBidi" w:hAnsiTheme="majorBidi" w:cstheme="majorBidi"/>
              </w:rPr>
            </w:pPr>
            <w:r w:rsidRPr="008707A9">
              <w:rPr>
                <w:rFonts w:asciiTheme="majorBidi" w:hAnsiTheme="majorBidi" w:cstheme="majorBidi"/>
                <w:color w:val="000000"/>
              </w:rPr>
              <w:t>Expertise</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tcPr>
          <w:p w14:paraId="06FCBB0F" w14:textId="1E3D1E1C" w:rsidR="00EC5372" w:rsidRDefault="00EC5372" w:rsidP="00EC5372">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tcPr>
          <w:p w14:paraId="05C37B72" w14:textId="390EC733" w:rsidR="00EC5372" w:rsidRPr="000B15CE" w:rsidRDefault="00EC5372" w:rsidP="00EC5372">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EC5372" w14:paraId="7313511E" w14:textId="77777777" w:rsidTr="00EC5372">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53771" w14:textId="77777777" w:rsidR="00EC5372" w:rsidRPr="008707A9" w:rsidRDefault="00EC5372" w:rsidP="00EC5372">
            <w:pPr>
              <w:spacing w:after="0" w:line="240" w:lineRule="auto"/>
              <w:rPr>
                <w:rFonts w:asciiTheme="majorBidi" w:hAnsiTheme="majorBidi" w:cstheme="majorBidi"/>
              </w:rPr>
            </w:pPr>
            <w:r w:rsidRPr="008707A9">
              <w:rPr>
                <w:rFonts w:asciiTheme="majorBidi" w:hAnsiTheme="majorBidi" w:cstheme="majorBidi"/>
                <w:color w:val="000000"/>
              </w:rPr>
              <w:t>Learning</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tcPr>
          <w:p w14:paraId="3F920C90" w14:textId="29B8EC8B" w:rsidR="00EC5372" w:rsidRDefault="00EC5372" w:rsidP="00EC5372">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tcPr>
          <w:p w14:paraId="439CD7E5" w14:textId="28A0E586" w:rsidR="00EC5372" w:rsidRPr="000B15CE" w:rsidRDefault="00EC5372" w:rsidP="00EC5372">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EC5372" w14:paraId="24FFF782" w14:textId="77777777" w:rsidTr="00EC5372">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BDF70" w14:textId="77777777" w:rsidR="00EC5372" w:rsidRPr="008707A9" w:rsidRDefault="00EC5372" w:rsidP="00EC5372">
            <w:pPr>
              <w:spacing w:after="0" w:line="240" w:lineRule="auto"/>
              <w:rPr>
                <w:rFonts w:asciiTheme="majorBidi" w:hAnsiTheme="majorBidi" w:cstheme="majorBidi"/>
              </w:rPr>
            </w:pPr>
            <w:r w:rsidRPr="008707A9">
              <w:rPr>
                <w:rFonts w:asciiTheme="majorBidi" w:hAnsiTheme="majorBidi" w:cstheme="majorBidi"/>
                <w:color w:val="000000"/>
              </w:rPr>
              <w:t>Human Capital</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tcPr>
          <w:p w14:paraId="4278D6F6" w14:textId="36575834" w:rsidR="00EC5372" w:rsidRDefault="00EC5372" w:rsidP="00EC5372">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tcPr>
          <w:p w14:paraId="1357A920" w14:textId="60F8C3B5" w:rsidR="00EC5372" w:rsidRPr="000B15CE" w:rsidRDefault="00EC5372" w:rsidP="00EC5372">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bl>
    <w:p w14:paraId="0AC709A0" w14:textId="6C81839F" w:rsidR="00DD7E84" w:rsidRPr="00670ACE" w:rsidRDefault="00DD7E84" w:rsidP="00DD7E84">
      <w:pPr>
        <w:pStyle w:val="Caption"/>
        <w:rPr>
          <w:sz w:val="24"/>
          <w:szCs w:val="24"/>
        </w:rPr>
      </w:pPr>
      <w:bookmarkStart w:id="184" w:name="_Ref7096677"/>
      <w:bookmarkStart w:id="185" w:name="_Toc31702061"/>
      <w:r>
        <w:t xml:space="preserve">Table </w:t>
      </w:r>
      <w:r w:rsidR="00A56355">
        <w:fldChar w:fldCharType="begin"/>
      </w:r>
      <w:r w:rsidR="00A56355">
        <w:instrText xml:space="preserve"> SEQ Table \* ARABIC </w:instrText>
      </w:r>
      <w:r w:rsidR="00A56355">
        <w:fldChar w:fldCharType="separate"/>
      </w:r>
      <w:r w:rsidR="0011424E">
        <w:rPr>
          <w:noProof/>
        </w:rPr>
        <w:t>32</w:t>
      </w:r>
      <w:r w:rsidR="00A56355">
        <w:rPr>
          <w:noProof/>
        </w:rPr>
        <w:fldChar w:fldCharType="end"/>
      </w:r>
      <w:bookmarkEnd w:id="184"/>
      <w:r>
        <w:t xml:space="preserve">. </w:t>
      </w:r>
      <w:r w:rsidRPr="00F805FA">
        <w:t xml:space="preserve">BoR4.2 </w:t>
      </w:r>
      <w:r>
        <w:t>‘knowledge content’</w:t>
      </w:r>
      <w:r w:rsidRPr="00F805FA">
        <w:t xml:space="preserve"> values – Phase</w:t>
      </w:r>
      <w:r>
        <w:t>s</w:t>
      </w:r>
      <w:r w:rsidRPr="00F805FA">
        <w:t xml:space="preserve"> </w:t>
      </w:r>
      <w:r>
        <w:t>1 &amp; 2</w:t>
      </w:r>
      <w:bookmarkEnd w:id="185"/>
    </w:p>
    <w:p w14:paraId="10C8F8F9" w14:textId="77777777" w:rsidR="00DD7E84" w:rsidRDefault="00DD7E84" w:rsidP="00DD7E84">
      <w:pPr>
        <w:rPr>
          <w:sz w:val="24"/>
          <w:szCs w:val="24"/>
          <w:u w:val="single"/>
        </w:rPr>
      </w:pPr>
      <w:r>
        <w:rPr>
          <w:sz w:val="24"/>
          <w:szCs w:val="24"/>
          <w:u w:val="single"/>
          <w:lang w:eastAsia="zh-TW"/>
        </w:rPr>
        <w:t xml:space="preserve">Phase 3. </w:t>
      </w:r>
      <w:r w:rsidRPr="00237EA9">
        <w:rPr>
          <w:sz w:val="24"/>
          <w:szCs w:val="24"/>
          <w:u w:val="single"/>
        </w:rPr>
        <w:t xml:space="preserve">Scientific advances </w:t>
      </w:r>
      <w:r>
        <w:rPr>
          <w:sz w:val="24"/>
          <w:szCs w:val="24"/>
          <w:u w:val="single"/>
        </w:rPr>
        <w:t>prompt</w:t>
      </w:r>
      <w:r w:rsidRPr="00237EA9">
        <w:rPr>
          <w:sz w:val="24"/>
          <w:szCs w:val="24"/>
          <w:u w:val="single"/>
        </w:rPr>
        <w:t xml:space="preserve"> new demand for knowledge</w:t>
      </w:r>
    </w:p>
    <w:p w14:paraId="090424A1" w14:textId="6F239EED" w:rsidR="00DD7E84" w:rsidRDefault="00DD7E84" w:rsidP="00DD7E84">
      <w:pPr>
        <w:spacing w:after="120" w:line="360" w:lineRule="auto"/>
        <w:rPr>
          <w:sz w:val="24"/>
          <w:szCs w:val="24"/>
          <w:lang w:eastAsia="zh-TW"/>
        </w:rPr>
      </w:pPr>
      <w:r>
        <w:rPr>
          <w:sz w:val="24"/>
          <w:szCs w:val="24"/>
          <w:lang w:eastAsia="zh-TW"/>
        </w:rPr>
        <w:t>There was only a very slight change in my valuation of the ‘knowledge content’ associated with Phase 3 (se</w:t>
      </w:r>
      <w:r w:rsidRPr="007D72AF">
        <w:rPr>
          <w:sz w:val="24"/>
          <w:szCs w:val="24"/>
          <w:lang w:eastAsia="zh-TW"/>
        </w:rPr>
        <w:t xml:space="preserve">e </w:t>
      </w:r>
      <w:r w:rsidRPr="007D72AF">
        <w:rPr>
          <w:sz w:val="24"/>
          <w:szCs w:val="24"/>
          <w:lang w:eastAsia="zh-TW"/>
        </w:rPr>
        <w:fldChar w:fldCharType="begin"/>
      </w:r>
      <w:r w:rsidRPr="007D72AF">
        <w:rPr>
          <w:sz w:val="24"/>
          <w:szCs w:val="24"/>
          <w:lang w:eastAsia="zh-TW"/>
        </w:rPr>
        <w:instrText xml:space="preserve"> REF _Ref7097343 \h </w:instrText>
      </w:r>
      <w:r>
        <w:rPr>
          <w:sz w:val="24"/>
          <w:szCs w:val="24"/>
          <w:lang w:eastAsia="zh-TW"/>
        </w:rPr>
        <w:instrText xml:space="preserve"> \* MERGEFORMAT </w:instrText>
      </w:r>
      <w:r w:rsidRPr="007D72AF">
        <w:rPr>
          <w:sz w:val="24"/>
          <w:szCs w:val="24"/>
          <w:lang w:eastAsia="zh-TW"/>
        </w:rPr>
      </w:r>
      <w:r w:rsidRPr="007D72AF">
        <w:rPr>
          <w:sz w:val="24"/>
          <w:szCs w:val="24"/>
          <w:lang w:eastAsia="zh-TW"/>
        </w:rPr>
        <w:fldChar w:fldCharType="separate"/>
      </w:r>
      <w:r w:rsidR="0011424E" w:rsidRPr="0011424E">
        <w:rPr>
          <w:sz w:val="24"/>
          <w:szCs w:val="24"/>
        </w:rPr>
        <w:t xml:space="preserve">Table </w:t>
      </w:r>
      <w:r w:rsidR="0011424E" w:rsidRPr="0011424E">
        <w:rPr>
          <w:noProof/>
          <w:sz w:val="24"/>
          <w:szCs w:val="24"/>
        </w:rPr>
        <w:t>33</w:t>
      </w:r>
      <w:r w:rsidRPr="007D72AF">
        <w:rPr>
          <w:sz w:val="24"/>
          <w:szCs w:val="24"/>
          <w:lang w:eastAsia="zh-TW"/>
        </w:rPr>
        <w:fldChar w:fldCharType="end"/>
      </w:r>
      <w:r w:rsidRPr="007D72AF">
        <w:rPr>
          <w:sz w:val="24"/>
          <w:szCs w:val="24"/>
          <w:lang w:eastAsia="zh-TW"/>
        </w:rPr>
        <w:t>)</w:t>
      </w:r>
      <w:r>
        <w:rPr>
          <w:sz w:val="24"/>
          <w:szCs w:val="24"/>
          <w:lang w:eastAsia="zh-TW"/>
        </w:rPr>
        <w:t xml:space="preserve"> in relation to Phases 1 and 2. This relates to the attribute of ‘human capital’, which I increased from a value of 1 to 2 – values for ‘expertise’ and ‘learning’ remained the same.</w:t>
      </w:r>
    </w:p>
    <w:p w14:paraId="7EFDE27E" w14:textId="77777777" w:rsidR="00DD7E84" w:rsidRDefault="00DD7E84" w:rsidP="00DD7E84">
      <w:pPr>
        <w:pStyle w:val="CommentText"/>
        <w:spacing w:after="120" w:line="360" w:lineRule="auto"/>
      </w:pPr>
      <w:r>
        <w:rPr>
          <w:sz w:val="24"/>
          <w:szCs w:val="24"/>
          <w:lang w:eastAsia="zh-TW"/>
        </w:rPr>
        <w:t xml:space="preserve">The small increase in the value for ‘human capital’ reflects that, at this phase, DABRG scientists had to develop and exert ‘softer’ skills as well as their ‘hard’ skills (McNie et al., 2016), </w:t>
      </w:r>
      <w:r>
        <w:rPr>
          <w:sz w:val="24"/>
          <w:szCs w:val="24"/>
        </w:rPr>
        <w:t>as they began to disseminate and discussed their research widely and in the public arena. This involved advice, talks and interviews internationally via the media, governmental agencies, pregnancy and parenting websites, and medical professionals.</w:t>
      </w:r>
    </w:p>
    <w:tbl>
      <w:tblPr>
        <w:tblW w:w="6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895"/>
        <w:gridCol w:w="1611"/>
      </w:tblGrid>
      <w:tr w:rsidR="002E0777" w14:paraId="0230BC92" w14:textId="77777777" w:rsidTr="00A43BF0">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6CE6E9D7" w14:textId="77777777" w:rsidR="002E0777" w:rsidRPr="008707A9" w:rsidRDefault="002E0777" w:rsidP="002E0777">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895"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CE1C687" w14:textId="419A2807" w:rsidR="002E0777" w:rsidRDefault="002E0777" w:rsidP="002E0777">
            <w:pPr>
              <w:spacing w:after="0" w:line="240" w:lineRule="auto"/>
              <w:jc w:val="center"/>
              <w:rPr>
                <w:rFonts w:asciiTheme="majorBidi" w:hAnsiTheme="majorBidi" w:cstheme="majorBidi"/>
                <w:b/>
              </w:rPr>
            </w:pPr>
            <w:r>
              <w:rPr>
                <w:rFonts w:asciiTheme="majorBidi" w:hAnsiTheme="majorBidi" w:cstheme="majorBidi"/>
                <w:b/>
              </w:rPr>
              <w:t>Value (Phases 1 &amp; 2)</w:t>
            </w:r>
          </w:p>
        </w:tc>
        <w:tc>
          <w:tcPr>
            <w:tcW w:w="1611" w:type="dxa"/>
            <w:tcBorders>
              <w:top w:val="single" w:sz="4" w:space="0" w:color="auto"/>
              <w:left w:val="single" w:sz="4" w:space="0" w:color="auto"/>
              <w:bottom w:val="single" w:sz="4" w:space="0" w:color="auto"/>
              <w:right w:val="single" w:sz="4" w:space="0" w:color="auto"/>
            </w:tcBorders>
          </w:tcPr>
          <w:p w14:paraId="71A5D6DC" w14:textId="68B24737" w:rsidR="002E0777" w:rsidRPr="00FF5CE5" w:rsidRDefault="002E0777" w:rsidP="002E0777">
            <w:pPr>
              <w:spacing w:after="0" w:line="240" w:lineRule="auto"/>
              <w:jc w:val="center"/>
              <w:rPr>
                <w:rFonts w:asciiTheme="majorBidi" w:hAnsiTheme="majorBidi" w:cstheme="majorBidi"/>
                <w:b/>
              </w:rPr>
            </w:pPr>
            <w:r>
              <w:rPr>
                <w:rFonts w:asciiTheme="majorBidi" w:hAnsiTheme="majorBidi" w:cstheme="majorBidi"/>
                <w:b/>
              </w:rPr>
              <w:t>Value (Phase 3)</w:t>
            </w:r>
          </w:p>
        </w:tc>
      </w:tr>
      <w:tr w:rsidR="002E0777" w14:paraId="15B33C8F" w14:textId="77777777" w:rsidTr="00A43BF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EF040" w14:textId="77777777" w:rsidR="002E0777" w:rsidRPr="008707A9" w:rsidRDefault="002E0777" w:rsidP="002E0777">
            <w:pPr>
              <w:spacing w:after="0" w:line="240" w:lineRule="auto"/>
              <w:rPr>
                <w:rFonts w:asciiTheme="majorBidi" w:hAnsiTheme="majorBidi" w:cstheme="majorBidi"/>
              </w:rPr>
            </w:pPr>
            <w:r w:rsidRPr="008707A9">
              <w:rPr>
                <w:rFonts w:asciiTheme="majorBidi" w:hAnsiTheme="majorBidi" w:cstheme="majorBidi"/>
                <w:color w:val="000000"/>
              </w:rPr>
              <w:t>Expertise</w:t>
            </w:r>
          </w:p>
        </w:tc>
        <w:tc>
          <w:tcPr>
            <w:tcW w:w="1895"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A2C7545" w14:textId="51FE5AD3" w:rsidR="002E0777" w:rsidRDefault="002E0777" w:rsidP="002E077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611" w:type="dxa"/>
            <w:tcBorders>
              <w:top w:val="single" w:sz="4" w:space="0" w:color="auto"/>
              <w:left w:val="single" w:sz="4" w:space="0" w:color="auto"/>
              <w:bottom w:val="single" w:sz="4" w:space="0" w:color="auto"/>
              <w:right w:val="single" w:sz="4" w:space="0" w:color="auto"/>
            </w:tcBorders>
            <w:shd w:val="clear" w:color="auto" w:fill="FFFFFF" w:themeFill="background1"/>
          </w:tcPr>
          <w:p w14:paraId="12139E79" w14:textId="5FDDB5DD" w:rsidR="002E0777" w:rsidRPr="000B15CE" w:rsidRDefault="002E0777" w:rsidP="002E077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2E0777" w14:paraId="2B11CFD0" w14:textId="77777777" w:rsidTr="00A43BF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7010F" w14:textId="77777777" w:rsidR="002E0777" w:rsidRPr="008707A9" w:rsidRDefault="002E0777" w:rsidP="002E0777">
            <w:pPr>
              <w:spacing w:after="0" w:line="240" w:lineRule="auto"/>
              <w:rPr>
                <w:rFonts w:asciiTheme="majorBidi" w:hAnsiTheme="majorBidi" w:cstheme="majorBidi"/>
              </w:rPr>
            </w:pPr>
            <w:r w:rsidRPr="008707A9">
              <w:rPr>
                <w:rFonts w:asciiTheme="majorBidi" w:hAnsiTheme="majorBidi" w:cstheme="majorBidi"/>
                <w:color w:val="000000"/>
              </w:rPr>
              <w:t>Learning</w:t>
            </w:r>
          </w:p>
        </w:tc>
        <w:tc>
          <w:tcPr>
            <w:tcW w:w="1895"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A6D0C57" w14:textId="25EF3908" w:rsidR="002E0777" w:rsidRDefault="002E0777" w:rsidP="002E077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611" w:type="dxa"/>
            <w:tcBorders>
              <w:top w:val="single" w:sz="4" w:space="0" w:color="auto"/>
              <w:left w:val="single" w:sz="4" w:space="0" w:color="auto"/>
              <w:bottom w:val="single" w:sz="4" w:space="0" w:color="auto"/>
              <w:right w:val="single" w:sz="4" w:space="0" w:color="auto"/>
            </w:tcBorders>
            <w:shd w:val="clear" w:color="auto" w:fill="FFFFFF" w:themeFill="background1"/>
          </w:tcPr>
          <w:p w14:paraId="2B605E63" w14:textId="4DE3DFCD" w:rsidR="002E0777" w:rsidRPr="000B15CE" w:rsidRDefault="002E0777" w:rsidP="002E077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2E0777" w14:paraId="75804866" w14:textId="77777777" w:rsidTr="00A43BF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E1BDA" w14:textId="77777777" w:rsidR="002E0777" w:rsidRPr="008707A9" w:rsidRDefault="002E0777" w:rsidP="002E0777">
            <w:pPr>
              <w:spacing w:after="0" w:line="240" w:lineRule="auto"/>
              <w:rPr>
                <w:rFonts w:asciiTheme="majorBidi" w:hAnsiTheme="majorBidi" w:cstheme="majorBidi"/>
              </w:rPr>
            </w:pPr>
            <w:r w:rsidRPr="008707A9">
              <w:rPr>
                <w:rFonts w:asciiTheme="majorBidi" w:hAnsiTheme="majorBidi" w:cstheme="majorBidi"/>
                <w:color w:val="000000"/>
              </w:rPr>
              <w:t>Human Capital</w:t>
            </w:r>
          </w:p>
        </w:tc>
        <w:tc>
          <w:tcPr>
            <w:tcW w:w="1895"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D08B440" w14:textId="656B9C5B" w:rsidR="002E0777" w:rsidRDefault="002E0777" w:rsidP="002E0777">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611" w:type="dxa"/>
            <w:tcBorders>
              <w:top w:val="single" w:sz="4" w:space="0" w:color="auto"/>
              <w:left w:val="single" w:sz="4" w:space="0" w:color="auto"/>
              <w:bottom w:val="single" w:sz="4" w:space="0" w:color="auto"/>
              <w:right w:val="single" w:sz="4" w:space="0" w:color="auto"/>
            </w:tcBorders>
            <w:shd w:val="clear" w:color="auto" w:fill="FFFFFF" w:themeFill="background1"/>
          </w:tcPr>
          <w:p w14:paraId="665F6A5C" w14:textId="39C0A639" w:rsidR="002E0777" w:rsidRPr="000B15CE" w:rsidRDefault="002E0777" w:rsidP="002E0777">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5566705B" w14:textId="57C62FF8" w:rsidR="00DD7E84" w:rsidRPr="002F4102" w:rsidRDefault="00DD7E84" w:rsidP="00DD7E84">
      <w:pPr>
        <w:pStyle w:val="Caption"/>
        <w:rPr>
          <w:sz w:val="24"/>
          <w:szCs w:val="24"/>
        </w:rPr>
      </w:pPr>
      <w:bookmarkStart w:id="186" w:name="_Ref7097343"/>
      <w:bookmarkStart w:id="187" w:name="_Toc31702062"/>
      <w:r>
        <w:t xml:space="preserve">Table </w:t>
      </w:r>
      <w:r w:rsidR="00A56355">
        <w:fldChar w:fldCharType="begin"/>
      </w:r>
      <w:r w:rsidR="00A56355">
        <w:instrText xml:space="preserve"> SEQ Table \* ARABIC </w:instrText>
      </w:r>
      <w:r w:rsidR="00A56355">
        <w:fldChar w:fldCharType="separate"/>
      </w:r>
      <w:r w:rsidR="0011424E">
        <w:rPr>
          <w:noProof/>
        </w:rPr>
        <w:t>33</w:t>
      </w:r>
      <w:r w:rsidR="00A56355">
        <w:rPr>
          <w:noProof/>
        </w:rPr>
        <w:fldChar w:fldCharType="end"/>
      </w:r>
      <w:bookmarkEnd w:id="186"/>
      <w:r>
        <w:t xml:space="preserve">. </w:t>
      </w:r>
      <w:r w:rsidRPr="00F805FA">
        <w:t xml:space="preserve">BoR4.2 </w:t>
      </w:r>
      <w:r>
        <w:t>‘knowledge content’</w:t>
      </w:r>
      <w:r w:rsidRPr="00F805FA">
        <w:t xml:space="preserve"> values – Phase</w:t>
      </w:r>
      <w:r w:rsidR="002E0777">
        <w:t>s 1-</w:t>
      </w:r>
      <w:r>
        <w:t>3</w:t>
      </w:r>
      <w:bookmarkEnd w:id="187"/>
    </w:p>
    <w:p w14:paraId="55F14446" w14:textId="77777777" w:rsidR="00DD7E84" w:rsidRDefault="00DD7E84" w:rsidP="00DD7E84">
      <w:pPr>
        <w:pStyle w:val="Heading4"/>
      </w:pPr>
      <w:r>
        <w:t>‘Intermediary’ values (uncertainty, knowledge exchange, accessibility, boundary management, network participation, flexibility, disciplinary focus, and social capital)</w:t>
      </w:r>
    </w:p>
    <w:p w14:paraId="02759ECD" w14:textId="75F541D7" w:rsidR="00DD7E84" w:rsidRDefault="00DD7E84" w:rsidP="00DD7E84">
      <w:pPr>
        <w:spacing w:after="120" w:line="360" w:lineRule="auto"/>
        <w:rPr>
          <w:sz w:val="24"/>
          <w:szCs w:val="24"/>
          <w:lang w:eastAsia="zh-TW"/>
        </w:rPr>
      </w:pPr>
      <w:r>
        <w:rPr>
          <w:sz w:val="24"/>
          <w:szCs w:val="24"/>
          <w:u w:val="single"/>
          <w:lang w:eastAsia="zh-TW"/>
        </w:rPr>
        <w:t xml:space="preserve">Phase 1. </w:t>
      </w:r>
      <w:r>
        <w:rPr>
          <w:sz w:val="24"/>
          <w:szCs w:val="24"/>
          <w:u w:val="single"/>
        </w:rPr>
        <w:t xml:space="preserve">Contributing to psychopharmacological understanding of </w:t>
      </w:r>
      <w:r w:rsidRPr="008607CB">
        <w:rPr>
          <w:sz w:val="24"/>
          <w:szCs w:val="24"/>
          <w:u w:val="single"/>
        </w:rPr>
        <w:t>MDMA (ecstasy)</w:t>
      </w:r>
      <w:r>
        <w:rPr>
          <w:sz w:val="24"/>
          <w:szCs w:val="24"/>
          <w:lang w:eastAsia="zh-TW"/>
        </w:rPr>
        <w:br/>
        <w:t xml:space="preserve">At Phase 1, I judged all ‘intermediary’ values to be a 1 on the typology’s spectrum, with only one exception, that is, the ‘uncertainty’ attribute, which I gave a value of </w:t>
      </w:r>
      <w:r w:rsidRPr="0096640A">
        <w:rPr>
          <w:sz w:val="24"/>
          <w:szCs w:val="24"/>
          <w:lang w:eastAsia="zh-TW"/>
        </w:rPr>
        <w:t xml:space="preserve">2 (see </w:t>
      </w:r>
      <w:r w:rsidRPr="0096640A">
        <w:rPr>
          <w:sz w:val="24"/>
          <w:szCs w:val="24"/>
          <w:lang w:eastAsia="zh-TW"/>
        </w:rPr>
        <w:fldChar w:fldCharType="begin"/>
      </w:r>
      <w:r w:rsidRPr="0096640A">
        <w:rPr>
          <w:sz w:val="24"/>
          <w:szCs w:val="24"/>
          <w:lang w:eastAsia="zh-TW"/>
        </w:rPr>
        <w:instrText xml:space="preserve"> REF _Ref7099070 \h </w:instrText>
      </w:r>
      <w:r>
        <w:rPr>
          <w:sz w:val="24"/>
          <w:szCs w:val="24"/>
          <w:lang w:eastAsia="zh-TW"/>
        </w:rPr>
        <w:instrText xml:space="preserve"> \* MERGEFORMAT </w:instrText>
      </w:r>
      <w:r w:rsidRPr="0096640A">
        <w:rPr>
          <w:sz w:val="24"/>
          <w:szCs w:val="24"/>
          <w:lang w:eastAsia="zh-TW"/>
        </w:rPr>
      </w:r>
      <w:r w:rsidRPr="0096640A">
        <w:rPr>
          <w:sz w:val="24"/>
          <w:szCs w:val="24"/>
          <w:lang w:eastAsia="zh-TW"/>
        </w:rPr>
        <w:fldChar w:fldCharType="separate"/>
      </w:r>
      <w:r w:rsidR="0011424E" w:rsidRPr="0011424E">
        <w:rPr>
          <w:sz w:val="24"/>
          <w:szCs w:val="24"/>
        </w:rPr>
        <w:t xml:space="preserve">Table </w:t>
      </w:r>
      <w:r w:rsidR="0011424E" w:rsidRPr="0011424E">
        <w:rPr>
          <w:noProof/>
          <w:sz w:val="24"/>
          <w:szCs w:val="24"/>
        </w:rPr>
        <w:t>34</w:t>
      </w:r>
      <w:r w:rsidRPr="0096640A">
        <w:rPr>
          <w:sz w:val="24"/>
          <w:szCs w:val="24"/>
          <w:lang w:eastAsia="zh-TW"/>
        </w:rPr>
        <w:fldChar w:fldCharType="end"/>
      </w:r>
      <w:r w:rsidRPr="0096640A">
        <w:rPr>
          <w:sz w:val="24"/>
          <w:szCs w:val="24"/>
          <w:lang w:eastAsia="zh-TW"/>
        </w:rPr>
        <w:t>).</w:t>
      </w:r>
      <w:r>
        <w:rPr>
          <w:sz w:val="24"/>
          <w:szCs w:val="24"/>
          <w:lang w:eastAsia="zh-TW"/>
        </w:rPr>
        <w:t xml:space="preserve"> </w:t>
      </w:r>
    </w:p>
    <w:p w14:paraId="7559E281" w14:textId="5AE1887C" w:rsidR="00DD7E84" w:rsidRDefault="00DD7E84" w:rsidP="00DD7E84">
      <w:pPr>
        <w:spacing w:after="120" w:line="360" w:lineRule="auto"/>
        <w:rPr>
          <w:sz w:val="24"/>
          <w:szCs w:val="24"/>
          <w:lang w:eastAsia="zh-TW"/>
        </w:rPr>
      </w:pPr>
      <w:r>
        <w:rPr>
          <w:sz w:val="24"/>
          <w:szCs w:val="24"/>
          <w:lang w:eastAsia="zh-TW"/>
        </w:rPr>
        <w:t xml:space="preserve">‘Intermediary’ attributes/activities are those aspects of research which typically can serve as a bridge between, or ‘mediate’ between the epistemic context of the knowledge content and the social context of application. At Phase 1 in BoR4.2, I judged that these functions </w:t>
      </w:r>
      <w:r w:rsidR="00EA55B6">
        <w:rPr>
          <w:sz w:val="24"/>
          <w:szCs w:val="24"/>
          <w:lang w:eastAsia="zh-TW"/>
        </w:rPr>
        <w:t>necessitate</w:t>
      </w:r>
      <w:r>
        <w:rPr>
          <w:sz w:val="24"/>
          <w:szCs w:val="24"/>
          <w:lang w:eastAsia="zh-TW"/>
        </w:rPr>
        <w:t xml:space="preserve">d </w:t>
      </w:r>
      <w:r w:rsidR="00EA55B6">
        <w:rPr>
          <w:sz w:val="24"/>
          <w:szCs w:val="24"/>
          <w:lang w:eastAsia="zh-TW"/>
        </w:rPr>
        <w:t xml:space="preserve">negligible interaction </w:t>
      </w:r>
      <w:r>
        <w:rPr>
          <w:sz w:val="24"/>
          <w:szCs w:val="24"/>
          <w:lang w:eastAsia="zh-TW"/>
        </w:rPr>
        <w:t xml:space="preserve">or cognizance of the social world beyond that of academic boundaries. For example, the ‘knowledge exchange’ that took place was effectively only the “one-way” (McNie et al., 2016, p. 888) communication of science to society through journal articles, which, in this case, was targeted at a specialist audience. There was therefore little if any need for mobilising ‘social capital’, ‘boundary management’, or being ‘flexible’ to evolving external issues. </w:t>
      </w:r>
    </w:p>
    <w:p w14:paraId="14536C60" w14:textId="77777777" w:rsidR="00DD7E84" w:rsidRDefault="00DD7E84" w:rsidP="00DD7E84">
      <w:pPr>
        <w:spacing w:after="120" w:line="360" w:lineRule="auto"/>
        <w:rPr>
          <w:sz w:val="24"/>
          <w:szCs w:val="24"/>
          <w:lang w:eastAsia="zh-TW"/>
        </w:rPr>
      </w:pPr>
      <w:r>
        <w:rPr>
          <w:sz w:val="24"/>
          <w:szCs w:val="24"/>
          <w:lang w:eastAsia="zh-TW"/>
        </w:rPr>
        <w:t>This does not necessarily mean that DABRG were overall not cognizant of or disinterested in wider issues and the implications of their research for policy, health practitioners and MDMA users. It simply means that their interest manifested in other ways. This is related to the nature of DABRG’s interdisciplinary sub-field of psychopharmacology. As noted, it is an inherently ‘use-inspired’ field of research. In this case, the immediate goals of the research are to advance the discipline, and this involves traditional (i.e. ‘Mode 1’) patterns of knowledge production practices, reflected in the very low values I have given BoR4.2 on the ‘knowledge content’ and ‘intermediary’ values. But because the underpinning goals of this discipline are oriented towards use, research within this discipline can have potential use-value and use-orientation even though the process of research may have little direct interaction with users or stakeholders.</w:t>
      </w:r>
    </w:p>
    <w:p w14:paraId="5F714C81" w14:textId="7B2E99E2" w:rsidR="00DD7E84" w:rsidRPr="007F1822" w:rsidRDefault="00DD7E84" w:rsidP="00DD7E84">
      <w:pPr>
        <w:spacing w:after="120" w:line="360" w:lineRule="auto"/>
        <w:rPr>
          <w:sz w:val="24"/>
          <w:szCs w:val="24"/>
          <w:lang w:eastAsia="zh-TW"/>
        </w:rPr>
      </w:pPr>
      <w:r>
        <w:rPr>
          <w:sz w:val="24"/>
          <w:szCs w:val="24"/>
          <w:lang w:eastAsia="zh-TW"/>
        </w:rPr>
        <w:t xml:space="preserve">As noted, the only slight exception at Phase 1 was the attribute of ‘uncertainty’. Although the approach to dealing with uncertainty was primarily scientific, aiming to advance fundamental understanding of psychopharmacological phenomena, there was a limit to this. That is, although DABRG are committed to asking the underpinning scientific question of </w:t>
      </w:r>
      <w:r>
        <w:rPr>
          <w:i/>
          <w:sz w:val="24"/>
          <w:szCs w:val="24"/>
          <w:lang w:eastAsia="zh-TW"/>
        </w:rPr>
        <w:t xml:space="preserve">why </w:t>
      </w:r>
      <w:r>
        <w:rPr>
          <w:sz w:val="24"/>
          <w:szCs w:val="24"/>
          <w:lang w:eastAsia="zh-TW"/>
        </w:rPr>
        <w:t xml:space="preserve">certain substances cause certain effects, this was only ever one part of their goal, and is always mediated by the </w:t>
      </w:r>
      <w:r w:rsidR="00601957">
        <w:rPr>
          <w:sz w:val="24"/>
          <w:szCs w:val="24"/>
          <w:lang w:eastAsia="zh-TW"/>
        </w:rPr>
        <w:t>main</w:t>
      </w:r>
      <w:r w:rsidR="00FD1994">
        <w:rPr>
          <w:sz w:val="24"/>
          <w:szCs w:val="24"/>
          <w:lang w:eastAsia="zh-TW"/>
        </w:rPr>
        <w:t xml:space="preserve"> </w:t>
      </w:r>
      <w:r>
        <w:rPr>
          <w:sz w:val="24"/>
          <w:szCs w:val="24"/>
          <w:lang w:eastAsia="zh-TW"/>
        </w:rPr>
        <w:t xml:space="preserve">goal of understanding and informing </w:t>
      </w:r>
      <w:r w:rsidR="00A529C2">
        <w:rPr>
          <w:sz w:val="24"/>
          <w:szCs w:val="24"/>
          <w:lang w:eastAsia="zh-TW"/>
        </w:rPr>
        <w:t xml:space="preserve">decisions about </w:t>
      </w:r>
      <w:r>
        <w:rPr>
          <w:sz w:val="24"/>
          <w:szCs w:val="24"/>
          <w:lang w:eastAsia="zh-TW"/>
        </w:rPr>
        <w:t>social and personal issues, such as: why certain individuals take these drugs; how the psychopharmacological effects impact on their experienced cognition and their lives more generally; how positively or negatively society should perceive a certain drug</w:t>
      </w:r>
      <w:r w:rsidR="00BD0004">
        <w:rPr>
          <w:sz w:val="24"/>
          <w:szCs w:val="24"/>
          <w:lang w:eastAsia="zh-TW"/>
        </w:rPr>
        <w:t>; and how much policy attention should therefore be afforded to a given drug</w:t>
      </w:r>
      <w:r>
        <w:rPr>
          <w:sz w:val="24"/>
          <w:szCs w:val="24"/>
          <w:lang w:eastAsia="zh-TW"/>
        </w:rPr>
        <w:t xml:space="preserve">. Given these broader goals, DABRG did not always aim solely to “reduce uncertainty”, but occasionally had to trade-off “accuracy and precision” for practical value (McNie et al., 2016, p. 888).     </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tblGrid>
      <w:tr w:rsidR="00DD7E84" w14:paraId="52A7B78B" w14:textId="77777777" w:rsidTr="00DE5040">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1890E275" w14:textId="77777777" w:rsidR="00DD7E84" w:rsidRPr="008707A9" w:rsidRDefault="00DD7E84" w:rsidP="00DE504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tcPr>
          <w:p w14:paraId="094C6412" w14:textId="658986C3" w:rsidR="00DD7E84" w:rsidRPr="00FF5CE5" w:rsidRDefault="00DD7E84" w:rsidP="00DE5040">
            <w:pPr>
              <w:spacing w:after="0" w:line="240" w:lineRule="auto"/>
              <w:jc w:val="center"/>
              <w:rPr>
                <w:rFonts w:asciiTheme="majorBidi" w:hAnsiTheme="majorBidi" w:cstheme="majorBidi"/>
                <w:b/>
              </w:rPr>
            </w:pPr>
            <w:r>
              <w:rPr>
                <w:rFonts w:asciiTheme="majorBidi" w:hAnsiTheme="majorBidi" w:cstheme="majorBidi"/>
                <w:b/>
              </w:rPr>
              <w:t>Value</w:t>
            </w:r>
            <w:r w:rsidR="00A43BF0">
              <w:rPr>
                <w:rFonts w:asciiTheme="majorBidi" w:hAnsiTheme="majorBidi" w:cstheme="majorBidi"/>
                <w:b/>
              </w:rPr>
              <w:t xml:space="preserve"> (Phase 1)</w:t>
            </w:r>
          </w:p>
        </w:tc>
      </w:tr>
      <w:tr w:rsidR="00DD7E84" w14:paraId="113CA6FD" w14:textId="77777777" w:rsidTr="00DE5040">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7392166"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35C2E7A0"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r>
      <w:tr w:rsidR="00DD7E84" w14:paraId="7BBEAD89"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EDF04C9"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Knowledge Exchange</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CC77ACC"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DD7E84" w14:paraId="66500CCF"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D146145"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Accessibility</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1E481AF" w14:textId="77777777" w:rsidR="00DD7E84" w:rsidRPr="000B15CE" w:rsidRDefault="00DD7E84" w:rsidP="00DE5040">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DD7E84" w14:paraId="27754E4D"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8085351"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Boundary Management</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2711667"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DD7E84" w14:paraId="448EA2F3"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A49B47E"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89E1B6A"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DD7E84" w14:paraId="1F152C36"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F0E1E45"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Flexibility</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4BABF650"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DD7E84" w14:paraId="72BC6497" w14:textId="77777777" w:rsidTr="00DE5040">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A4DE298" w14:textId="77777777" w:rsidR="00DD7E84" w:rsidRPr="008707A9" w:rsidRDefault="00DD7E84" w:rsidP="00DE5040">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8FAA5ED" w14:textId="77777777" w:rsidR="00DD7E84" w:rsidRPr="000B15CE" w:rsidRDefault="00DD7E84" w:rsidP="00DE504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r>
      <w:tr w:rsidR="00DD7E84" w14:paraId="3A7FB0C2" w14:textId="77777777" w:rsidTr="00DE5040">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06BD97C" w14:textId="77777777" w:rsidR="00DD7E84" w:rsidRPr="008707A9" w:rsidRDefault="00DD7E84" w:rsidP="00DE5040">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048341CB" w14:textId="77777777" w:rsidR="00DD7E84" w:rsidRPr="000B15CE" w:rsidRDefault="00DD7E84" w:rsidP="00DE5040">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r>
    </w:tbl>
    <w:p w14:paraId="4FACDC2A" w14:textId="6C6591D9" w:rsidR="00DD7E84" w:rsidRPr="00D23A4F" w:rsidRDefault="00DD7E84" w:rsidP="00DD7E84">
      <w:pPr>
        <w:pStyle w:val="Caption"/>
        <w:rPr>
          <w:sz w:val="24"/>
          <w:szCs w:val="24"/>
          <w:u w:val="single"/>
        </w:rPr>
      </w:pPr>
      <w:bookmarkStart w:id="188" w:name="_Ref7099070"/>
      <w:bookmarkStart w:id="189" w:name="_Toc31702063"/>
      <w:r>
        <w:t xml:space="preserve">Table </w:t>
      </w:r>
      <w:r w:rsidR="00A56355">
        <w:fldChar w:fldCharType="begin"/>
      </w:r>
      <w:r w:rsidR="00A56355">
        <w:instrText xml:space="preserve"> SEQ Table \* ARABIC </w:instrText>
      </w:r>
      <w:r w:rsidR="00A56355">
        <w:fldChar w:fldCharType="separate"/>
      </w:r>
      <w:r w:rsidR="0011424E">
        <w:rPr>
          <w:noProof/>
        </w:rPr>
        <w:t>34</w:t>
      </w:r>
      <w:r w:rsidR="00A56355">
        <w:rPr>
          <w:noProof/>
        </w:rPr>
        <w:fldChar w:fldCharType="end"/>
      </w:r>
      <w:bookmarkEnd w:id="188"/>
      <w:r>
        <w:t xml:space="preserve">. </w:t>
      </w:r>
      <w:r w:rsidRPr="009E3397">
        <w:t>BoR</w:t>
      </w:r>
      <w:r>
        <w:t>4.2</w:t>
      </w:r>
      <w:r w:rsidRPr="009E3397">
        <w:t xml:space="preserve"> ‘intermediary’ values – Phase 1</w:t>
      </w:r>
      <w:bookmarkEnd w:id="189"/>
    </w:p>
    <w:p w14:paraId="3587215B" w14:textId="324FAC48" w:rsidR="00DD7E84" w:rsidRDefault="00DD7E84" w:rsidP="00DD7E84">
      <w:pPr>
        <w:rPr>
          <w:sz w:val="24"/>
          <w:szCs w:val="24"/>
          <w:u w:val="single"/>
        </w:rPr>
      </w:pPr>
      <w:r w:rsidRPr="008F0046">
        <w:rPr>
          <w:sz w:val="24"/>
          <w:szCs w:val="24"/>
          <w:u w:val="single"/>
        </w:rPr>
        <w:t xml:space="preserve">Phase 2. </w:t>
      </w:r>
      <w:r>
        <w:rPr>
          <w:sz w:val="24"/>
          <w:szCs w:val="24"/>
          <w:u w:val="single"/>
        </w:rPr>
        <w:t>Contributing to practical debates around MDMA</w:t>
      </w:r>
    </w:p>
    <w:p w14:paraId="1C1781B1" w14:textId="041025F5" w:rsidR="00DD7E84" w:rsidRDefault="00DD7E84" w:rsidP="00DD7E84">
      <w:pPr>
        <w:spacing w:after="120" w:line="360" w:lineRule="auto"/>
        <w:rPr>
          <w:sz w:val="24"/>
          <w:szCs w:val="24"/>
          <w:lang w:eastAsia="zh-TW"/>
        </w:rPr>
      </w:pPr>
      <w:r>
        <w:rPr>
          <w:sz w:val="24"/>
          <w:szCs w:val="24"/>
          <w:lang w:eastAsia="zh-TW"/>
        </w:rPr>
        <w:t xml:space="preserve">As </w:t>
      </w:r>
      <w:r w:rsidRPr="008C00BB">
        <w:rPr>
          <w:sz w:val="24"/>
          <w:szCs w:val="24"/>
          <w:lang w:eastAsia="zh-TW"/>
        </w:rPr>
        <w:fldChar w:fldCharType="begin"/>
      </w:r>
      <w:r w:rsidRPr="008C00BB">
        <w:rPr>
          <w:sz w:val="24"/>
          <w:szCs w:val="24"/>
          <w:lang w:eastAsia="zh-TW"/>
        </w:rPr>
        <w:instrText xml:space="preserve"> REF _Ref7100553 \h </w:instrText>
      </w:r>
      <w:r>
        <w:rPr>
          <w:sz w:val="24"/>
          <w:szCs w:val="24"/>
          <w:lang w:eastAsia="zh-TW"/>
        </w:rPr>
        <w:instrText xml:space="preserve"> \* MERGEFORMAT </w:instrText>
      </w:r>
      <w:r w:rsidRPr="008C00BB">
        <w:rPr>
          <w:sz w:val="24"/>
          <w:szCs w:val="24"/>
          <w:lang w:eastAsia="zh-TW"/>
        </w:rPr>
      </w:r>
      <w:r w:rsidRPr="008C00BB">
        <w:rPr>
          <w:sz w:val="24"/>
          <w:szCs w:val="24"/>
          <w:lang w:eastAsia="zh-TW"/>
        </w:rPr>
        <w:fldChar w:fldCharType="separate"/>
      </w:r>
      <w:r w:rsidR="0011424E" w:rsidRPr="0011424E">
        <w:rPr>
          <w:sz w:val="24"/>
          <w:szCs w:val="24"/>
        </w:rPr>
        <w:t xml:space="preserve">Table </w:t>
      </w:r>
      <w:r w:rsidR="0011424E" w:rsidRPr="0011424E">
        <w:rPr>
          <w:noProof/>
          <w:sz w:val="24"/>
          <w:szCs w:val="24"/>
        </w:rPr>
        <w:t>35</w:t>
      </w:r>
      <w:r w:rsidRPr="008C00BB">
        <w:rPr>
          <w:sz w:val="24"/>
          <w:szCs w:val="24"/>
          <w:lang w:eastAsia="zh-TW"/>
        </w:rPr>
        <w:fldChar w:fldCharType="end"/>
      </w:r>
      <w:r>
        <w:rPr>
          <w:sz w:val="24"/>
          <w:szCs w:val="24"/>
          <w:lang w:eastAsia="zh-TW"/>
        </w:rPr>
        <w:t xml:space="preserve"> shows, four of the ‘intermediary’ values changed in Phase 2 in relation to Phase 1 – ‘knowledge exchange’, ‘boundary management’, ‘network participation’ and ‘social capital’. </w:t>
      </w:r>
    </w:p>
    <w:p w14:paraId="4CD730C7" w14:textId="69A3FCD8" w:rsidR="00DD7E84" w:rsidRDefault="00DD7E84" w:rsidP="00DD7E84">
      <w:pPr>
        <w:spacing w:after="120" w:line="360" w:lineRule="auto"/>
        <w:rPr>
          <w:sz w:val="24"/>
          <w:szCs w:val="24"/>
          <w:lang w:eastAsia="zh-TW"/>
        </w:rPr>
      </w:pPr>
      <w:r>
        <w:rPr>
          <w:sz w:val="24"/>
          <w:szCs w:val="24"/>
          <w:lang w:eastAsia="zh-TW"/>
        </w:rPr>
        <w:t xml:space="preserve">In all four of these attributes/activities, their values increased only slightly, up to a value of 2 (all having been coded as 1 at Phase 1). These increases reflect the fact that Phase 2 saw DABRG researchers engage in broader ‘network participation’ and more personal forms of ‘knowledge exchange’ with policymakers, and this involved some level of ‘boundary management’ and deployment of ‘social capital’, particularly as the advice they gave to policymakers put them into direct debate with the </w:t>
      </w:r>
      <w:r w:rsidR="00CB4F4C">
        <w:rPr>
          <w:sz w:val="24"/>
          <w:szCs w:val="24"/>
          <w:lang w:eastAsia="zh-TW"/>
        </w:rPr>
        <w:t xml:space="preserve">UK’s </w:t>
      </w:r>
      <w:r>
        <w:rPr>
          <w:sz w:val="24"/>
          <w:szCs w:val="24"/>
          <w:lang w:eastAsia="zh-TW"/>
        </w:rPr>
        <w:t>official policy advisory board on the issue of MDMA’s legal classification. However, the extent of this was limited, since their engagement in this process was underpinned by scientific expertise and “credibility” (McNie et al., 2016, p. 888) to comment on MDMA policy. As such, I judged that these ‘intermediary’ values required only a slight increase from Phase 1.</w:t>
      </w:r>
    </w:p>
    <w:tbl>
      <w:tblPr>
        <w:tblW w:w="6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tblGrid>
      <w:tr w:rsidR="00A43BF0" w14:paraId="72A1DBD8" w14:textId="77777777" w:rsidTr="006C68A7">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76771516" w14:textId="77777777" w:rsidR="00A43BF0" w:rsidRPr="008707A9" w:rsidRDefault="00A43BF0" w:rsidP="00A43BF0">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DBC270D" w14:textId="18C6B09B" w:rsidR="00A43BF0" w:rsidRDefault="00A43BF0" w:rsidP="00A43BF0">
            <w:pPr>
              <w:spacing w:after="0" w:line="240" w:lineRule="auto"/>
              <w:jc w:val="center"/>
              <w:rPr>
                <w:rFonts w:asciiTheme="majorBidi" w:hAnsiTheme="majorBidi" w:cstheme="majorBidi"/>
                <w:b/>
              </w:rPr>
            </w:pPr>
            <w:r>
              <w:rPr>
                <w:rFonts w:asciiTheme="majorBidi" w:hAnsiTheme="majorBidi" w:cstheme="majorBidi"/>
                <w:b/>
              </w:rPr>
              <w:t>Value (Phase 1)</w:t>
            </w:r>
          </w:p>
        </w:tc>
        <w:tc>
          <w:tcPr>
            <w:tcW w:w="1753" w:type="dxa"/>
            <w:tcBorders>
              <w:top w:val="single" w:sz="4" w:space="0" w:color="auto"/>
              <w:left w:val="single" w:sz="4" w:space="0" w:color="auto"/>
              <w:bottom w:val="single" w:sz="4" w:space="0" w:color="auto"/>
              <w:right w:val="single" w:sz="4" w:space="0" w:color="auto"/>
            </w:tcBorders>
          </w:tcPr>
          <w:p w14:paraId="5170E22E" w14:textId="40EE8170" w:rsidR="00A43BF0" w:rsidRPr="00FF5CE5" w:rsidRDefault="00A43BF0" w:rsidP="00A43BF0">
            <w:pPr>
              <w:spacing w:after="0" w:line="240" w:lineRule="auto"/>
              <w:jc w:val="center"/>
              <w:rPr>
                <w:rFonts w:asciiTheme="majorBidi" w:hAnsiTheme="majorBidi" w:cstheme="majorBidi"/>
                <w:b/>
              </w:rPr>
            </w:pPr>
            <w:r>
              <w:rPr>
                <w:rFonts w:asciiTheme="majorBidi" w:hAnsiTheme="majorBidi" w:cstheme="majorBidi"/>
                <w:b/>
              </w:rPr>
              <w:t>Value (Phase 2)</w:t>
            </w:r>
          </w:p>
        </w:tc>
      </w:tr>
      <w:tr w:rsidR="00A43BF0" w14:paraId="2DDF2705" w14:textId="77777777" w:rsidTr="006C68A7">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467BE534" w14:textId="77777777" w:rsidR="00A43BF0" w:rsidRPr="008707A9" w:rsidRDefault="00A43BF0" w:rsidP="00A43BF0">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E330B55" w14:textId="1971FBFC" w:rsidR="00A43BF0" w:rsidRPr="00C4338A" w:rsidRDefault="00A43BF0" w:rsidP="00A43BF0">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A14DFEC" w14:textId="49237826" w:rsidR="00A43BF0" w:rsidRPr="00C4338A" w:rsidRDefault="00A43BF0" w:rsidP="00A43BF0">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r w:rsidR="00A43BF0" w14:paraId="6FA7738C" w14:textId="77777777" w:rsidTr="006C68A7">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64E8ACD4" w14:textId="77777777" w:rsidR="00A43BF0" w:rsidRPr="008707A9" w:rsidRDefault="00A43BF0" w:rsidP="00A43BF0">
            <w:pPr>
              <w:spacing w:after="0" w:line="240" w:lineRule="auto"/>
              <w:rPr>
                <w:rFonts w:asciiTheme="majorBidi" w:hAnsiTheme="majorBidi" w:cstheme="majorBidi"/>
              </w:rPr>
            </w:pPr>
            <w:r w:rsidRPr="008707A9">
              <w:rPr>
                <w:rFonts w:asciiTheme="majorBidi" w:hAnsiTheme="majorBidi" w:cstheme="majorBidi"/>
                <w:color w:val="000000"/>
              </w:rPr>
              <w:t>Knowledge Exchange</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A9F9D5F" w14:textId="44DCA593" w:rsidR="00A43BF0" w:rsidRPr="00C4338A" w:rsidRDefault="00A43BF0" w:rsidP="00A43BF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4D3B1BD4" w14:textId="53D31B2F" w:rsidR="00A43BF0" w:rsidRPr="00C4338A" w:rsidRDefault="00A43BF0" w:rsidP="00A43BF0">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r w:rsidR="00A43BF0" w14:paraId="1C740808" w14:textId="77777777" w:rsidTr="006C68A7">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608B268" w14:textId="77777777" w:rsidR="00A43BF0" w:rsidRPr="008707A9" w:rsidRDefault="00A43BF0" w:rsidP="00A43BF0">
            <w:pPr>
              <w:spacing w:after="0" w:line="240" w:lineRule="auto"/>
              <w:rPr>
                <w:rFonts w:asciiTheme="majorBidi" w:hAnsiTheme="majorBidi" w:cstheme="majorBidi"/>
              </w:rPr>
            </w:pPr>
            <w:r w:rsidRPr="008707A9">
              <w:rPr>
                <w:rFonts w:asciiTheme="majorBidi" w:hAnsiTheme="majorBidi" w:cstheme="majorBidi"/>
                <w:color w:val="000000"/>
              </w:rPr>
              <w:t>Accessibility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5F5A4F8" w14:textId="5FC8C6A0" w:rsidR="00A43BF0" w:rsidRPr="00C4338A" w:rsidRDefault="00A43BF0" w:rsidP="00A43BF0">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6B0ECAB" w14:textId="383B4F4C" w:rsidR="00A43BF0" w:rsidRPr="00C4338A" w:rsidRDefault="00A43BF0" w:rsidP="00A43BF0">
            <w:pPr>
              <w:tabs>
                <w:tab w:val="left" w:pos="1227"/>
                <w:tab w:val="center" w:pos="2185"/>
                <w:tab w:val="left" w:pos="2595"/>
              </w:tabs>
              <w:spacing w:after="0" w:line="240" w:lineRule="auto"/>
              <w:jc w:val="center"/>
              <w:rPr>
                <w:rFonts w:asciiTheme="majorBidi" w:hAnsiTheme="majorBidi" w:cstheme="majorBidi"/>
                <w:color w:val="000000"/>
              </w:rPr>
            </w:pPr>
            <w:r w:rsidRPr="00C4338A">
              <w:rPr>
                <w:rFonts w:asciiTheme="majorBidi" w:hAnsiTheme="majorBidi" w:cstheme="majorBidi"/>
                <w:color w:val="000000"/>
              </w:rPr>
              <w:t>1</w:t>
            </w:r>
          </w:p>
        </w:tc>
      </w:tr>
      <w:tr w:rsidR="00A43BF0" w14:paraId="4AA06D1C" w14:textId="77777777" w:rsidTr="006C68A7">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A64DF51" w14:textId="77777777" w:rsidR="00A43BF0" w:rsidRPr="008707A9" w:rsidRDefault="00A43BF0" w:rsidP="00A43BF0">
            <w:pPr>
              <w:spacing w:after="0" w:line="240" w:lineRule="auto"/>
              <w:rPr>
                <w:rFonts w:asciiTheme="majorBidi" w:hAnsiTheme="majorBidi" w:cstheme="majorBidi"/>
              </w:rPr>
            </w:pPr>
            <w:r w:rsidRPr="008707A9">
              <w:rPr>
                <w:rFonts w:asciiTheme="majorBidi" w:hAnsiTheme="majorBidi" w:cstheme="majorBidi"/>
                <w:color w:val="000000"/>
              </w:rPr>
              <w:t>Boundary Management</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BE22775" w14:textId="3478DA3E" w:rsidR="00A43BF0" w:rsidRPr="00C4338A" w:rsidRDefault="00A43BF0" w:rsidP="00A43BF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AD7FA0B" w14:textId="6D4B7888" w:rsidR="00A43BF0" w:rsidRPr="00C4338A" w:rsidRDefault="00A43BF0" w:rsidP="00A43BF0">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r w:rsidR="00A43BF0" w14:paraId="2568787B" w14:textId="77777777" w:rsidTr="006C68A7">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786A16B" w14:textId="77777777" w:rsidR="00A43BF0" w:rsidRPr="008707A9" w:rsidRDefault="00A43BF0" w:rsidP="00A43BF0">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7CCAB86" w14:textId="1B594881" w:rsidR="00A43BF0" w:rsidRPr="00C4338A" w:rsidRDefault="00A43BF0" w:rsidP="00A43BF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2EB3BF8" w14:textId="79F9ADA0" w:rsidR="00A43BF0" w:rsidRPr="00C4338A" w:rsidRDefault="00A43BF0" w:rsidP="00A43BF0">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r w:rsidR="00A43BF0" w14:paraId="0E0E6147" w14:textId="77777777" w:rsidTr="006C68A7">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3E2C2ED" w14:textId="77777777" w:rsidR="00A43BF0" w:rsidRPr="008707A9" w:rsidRDefault="00A43BF0" w:rsidP="00A43BF0">
            <w:pPr>
              <w:spacing w:after="0" w:line="240" w:lineRule="auto"/>
              <w:rPr>
                <w:rFonts w:asciiTheme="majorBidi" w:hAnsiTheme="majorBidi" w:cstheme="majorBidi"/>
              </w:rPr>
            </w:pPr>
            <w:r w:rsidRPr="008707A9">
              <w:rPr>
                <w:rFonts w:asciiTheme="majorBidi" w:hAnsiTheme="majorBidi" w:cstheme="majorBidi"/>
                <w:color w:val="000000"/>
              </w:rPr>
              <w:t>Flexibility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BC651AB" w14:textId="4B3F3762" w:rsidR="00A43BF0" w:rsidRPr="00C4338A" w:rsidRDefault="00A43BF0" w:rsidP="00A43BF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1D5CD970" w14:textId="1D865BF5" w:rsidR="00A43BF0" w:rsidRPr="00C4338A" w:rsidRDefault="00A43BF0" w:rsidP="00A43BF0">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1</w:t>
            </w:r>
          </w:p>
        </w:tc>
      </w:tr>
      <w:tr w:rsidR="00A43BF0" w14:paraId="6E92FD03" w14:textId="77777777" w:rsidTr="006C68A7">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8B68E20" w14:textId="77777777" w:rsidR="00A43BF0" w:rsidRPr="008707A9" w:rsidRDefault="00A43BF0" w:rsidP="00A43BF0">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D4CA4EA" w14:textId="533C7F1F" w:rsidR="00A43BF0" w:rsidRPr="00C4338A" w:rsidRDefault="00A43BF0" w:rsidP="00A43BF0">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6E773757" w14:textId="18DC99F1" w:rsidR="00A43BF0" w:rsidRPr="00C4338A" w:rsidRDefault="00A43BF0" w:rsidP="00A43BF0">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1</w:t>
            </w:r>
          </w:p>
        </w:tc>
      </w:tr>
      <w:tr w:rsidR="00A43BF0" w14:paraId="1CB3C052" w14:textId="77777777" w:rsidTr="006C68A7">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8015866" w14:textId="77777777" w:rsidR="00A43BF0" w:rsidRPr="008707A9" w:rsidRDefault="00A43BF0" w:rsidP="00A43BF0">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A0B1996" w14:textId="52E59DE7" w:rsidR="00A43BF0" w:rsidRPr="00C4338A" w:rsidRDefault="00A43BF0" w:rsidP="00A43BF0">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06A901B9" w14:textId="45351DFD" w:rsidR="00A43BF0" w:rsidRPr="00C4338A" w:rsidRDefault="00A43BF0" w:rsidP="00A43BF0">
            <w:pPr>
              <w:keepNext/>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bl>
    <w:p w14:paraId="36E5C06A" w14:textId="7A67F5EC" w:rsidR="00DD7E84" w:rsidRDefault="00DD7E84" w:rsidP="00DD7E84">
      <w:pPr>
        <w:pStyle w:val="Caption"/>
      </w:pPr>
      <w:bookmarkStart w:id="190" w:name="_Ref7100553"/>
      <w:bookmarkStart w:id="191" w:name="_Toc31702064"/>
      <w:r>
        <w:t xml:space="preserve">Table </w:t>
      </w:r>
      <w:r w:rsidR="00A56355">
        <w:fldChar w:fldCharType="begin"/>
      </w:r>
      <w:r w:rsidR="00A56355">
        <w:instrText xml:space="preserve"> SEQ Table \* ARABIC </w:instrText>
      </w:r>
      <w:r w:rsidR="00A56355">
        <w:fldChar w:fldCharType="separate"/>
      </w:r>
      <w:r w:rsidR="0011424E">
        <w:rPr>
          <w:noProof/>
        </w:rPr>
        <w:t>35</w:t>
      </w:r>
      <w:r w:rsidR="00A56355">
        <w:rPr>
          <w:noProof/>
        </w:rPr>
        <w:fldChar w:fldCharType="end"/>
      </w:r>
      <w:bookmarkEnd w:id="190"/>
      <w:r>
        <w:t>.</w:t>
      </w:r>
      <w:r w:rsidRPr="00E41F8D">
        <w:t xml:space="preserve"> </w:t>
      </w:r>
      <w:r w:rsidRPr="009E3397">
        <w:t>BoR</w:t>
      </w:r>
      <w:r>
        <w:t>4.2</w:t>
      </w:r>
      <w:r w:rsidRPr="009E3397">
        <w:t xml:space="preserve"> ‘intermediary’ values – Phase</w:t>
      </w:r>
      <w:r w:rsidR="00585943">
        <w:t>s 1 &amp;</w:t>
      </w:r>
      <w:r>
        <w:t xml:space="preserve"> 2</w:t>
      </w:r>
      <w:bookmarkEnd w:id="191"/>
    </w:p>
    <w:p w14:paraId="271365F2" w14:textId="77777777" w:rsidR="00DD7E84" w:rsidRDefault="00DD7E84" w:rsidP="00DD7E84">
      <w:pPr>
        <w:spacing w:after="120"/>
        <w:rPr>
          <w:sz w:val="24"/>
          <w:szCs w:val="24"/>
          <w:u w:val="single"/>
        </w:rPr>
      </w:pPr>
      <w:r w:rsidRPr="00237EA9">
        <w:rPr>
          <w:sz w:val="24"/>
          <w:szCs w:val="24"/>
          <w:u w:val="single"/>
        </w:rPr>
        <w:t xml:space="preserve">Phase 3. Scientific advances </w:t>
      </w:r>
      <w:r>
        <w:rPr>
          <w:sz w:val="24"/>
          <w:szCs w:val="24"/>
          <w:u w:val="single"/>
        </w:rPr>
        <w:t>prompt</w:t>
      </w:r>
      <w:r w:rsidRPr="00237EA9">
        <w:rPr>
          <w:sz w:val="24"/>
          <w:szCs w:val="24"/>
          <w:u w:val="single"/>
        </w:rPr>
        <w:t xml:space="preserve"> new demand for knowledge</w:t>
      </w:r>
    </w:p>
    <w:p w14:paraId="2E3ABAAC" w14:textId="7A46E7AA" w:rsidR="00DD7E84" w:rsidRDefault="00DD7E84" w:rsidP="00DD7E84">
      <w:pPr>
        <w:spacing w:after="120" w:line="360" w:lineRule="auto"/>
        <w:rPr>
          <w:sz w:val="24"/>
          <w:szCs w:val="24"/>
        </w:rPr>
      </w:pPr>
      <w:r>
        <w:rPr>
          <w:sz w:val="24"/>
          <w:szCs w:val="24"/>
        </w:rPr>
        <w:t>Three ‘intermediary’ values changed at Phase 3 – ‘knowledge exchange’, ‘flexibility’ and ‘disciplinary focus’ (</w:t>
      </w:r>
      <w:r w:rsidRPr="005F2555">
        <w:rPr>
          <w:sz w:val="24"/>
          <w:szCs w:val="24"/>
        </w:rPr>
        <w:t xml:space="preserve">see </w:t>
      </w:r>
      <w:r w:rsidRPr="005F2555">
        <w:rPr>
          <w:sz w:val="24"/>
          <w:szCs w:val="24"/>
        </w:rPr>
        <w:fldChar w:fldCharType="begin"/>
      </w:r>
      <w:r w:rsidRPr="005F2555">
        <w:rPr>
          <w:sz w:val="24"/>
          <w:szCs w:val="24"/>
        </w:rPr>
        <w:instrText xml:space="preserve"> REF _Ref7103038 \h </w:instrText>
      </w:r>
      <w:r>
        <w:rPr>
          <w:sz w:val="24"/>
          <w:szCs w:val="24"/>
        </w:rPr>
        <w:instrText xml:space="preserve"> \* MERGEFORMAT </w:instrText>
      </w:r>
      <w:r w:rsidRPr="005F2555">
        <w:rPr>
          <w:sz w:val="24"/>
          <w:szCs w:val="24"/>
        </w:rPr>
      </w:r>
      <w:r w:rsidRPr="005F2555">
        <w:rPr>
          <w:sz w:val="24"/>
          <w:szCs w:val="24"/>
        </w:rPr>
        <w:fldChar w:fldCharType="separate"/>
      </w:r>
      <w:r w:rsidR="0011424E" w:rsidRPr="0011424E">
        <w:rPr>
          <w:sz w:val="24"/>
          <w:szCs w:val="24"/>
        </w:rPr>
        <w:t xml:space="preserve">Table </w:t>
      </w:r>
      <w:r w:rsidR="0011424E" w:rsidRPr="0011424E">
        <w:rPr>
          <w:noProof/>
          <w:sz w:val="24"/>
          <w:szCs w:val="24"/>
        </w:rPr>
        <w:t>36</w:t>
      </w:r>
      <w:r w:rsidRPr="005F2555">
        <w:rPr>
          <w:sz w:val="24"/>
          <w:szCs w:val="24"/>
        </w:rPr>
        <w:fldChar w:fldCharType="end"/>
      </w:r>
      <w:r w:rsidRPr="005F2555">
        <w:rPr>
          <w:sz w:val="24"/>
          <w:szCs w:val="24"/>
        </w:rPr>
        <w:t>).</w:t>
      </w:r>
      <w:r w:rsidR="003268D3">
        <w:rPr>
          <w:sz w:val="24"/>
          <w:szCs w:val="24"/>
        </w:rPr>
        <w:t xml:space="preserve"> I will explain these changes below.</w:t>
      </w:r>
    </w:p>
    <w:p w14:paraId="1E183672" w14:textId="3B437256" w:rsidR="00DD7E84" w:rsidRDefault="00DD7E84" w:rsidP="00DD7E84">
      <w:pPr>
        <w:spacing w:after="120" w:line="360" w:lineRule="auto"/>
        <w:rPr>
          <w:sz w:val="24"/>
          <w:szCs w:val="24"/>
        </w:rPr>
      </w:pPr>
      <w:r>
        <w:rPr>
          <w:sz w:val="24"/>
          <w:szCs w:val="24"/>
        </w:rPr>
        <w:t>The increase of ‘knowledge exchange’ up to a value of 3 reflects th</w:t>
      </w:r>
      <w:r w:rsidR="001C0BFE">
        <w:rPr>
          <w:sz w:val="24"/>
          <w:szCs w:val="24"/>
        </w:rPr>
        <w:t>at knowledge exchange and dissemination at Phase 3 saw DABRG researchers engage more with the</w:t>
      </w:r>
      <w:r>
        <w:rPr>
          <w:sz w:val="24"/>
          <w:szCs w:val="24"/>
        </w:rPr>
        <w:t xml:space="preserve"> broader lay-public. Underpinning this was DABRG’s researchers</w:t>
      </w:r>
      <w:r w:rsidR="00F85A7B">
        <w:rPr>
          <w:sz w:val="24"/>
          <w:szCs w:val="24"/>
        </w:rPr>
        <w:t>’</w:t>
      </w:r>
      <w:r>
        <w:rPr>
          <w:sz w:val="24"/>
          <w:szCs w:val="24"/>
        </w:rPr>
        <w:t xml:space="preserve"> role in revealing the potential impact on unborn children of MDMA intake by pregnant mothers. This finding </w:t>
      </w:r>
      <w:r w:rsidR="00967B88">
        <w:rPr>
          <w:sz w:val="24"/>
          <w:szCs w:val="24"/>
        </w:rPr>
        <w:t>prompted a more active and almost interventionist approach on the part of at least some of the DABRG team, as they</w:t>
      </w:r>
      <w:r>
        <w:rPr>
          <w:sz w:val="24"/>
          <w:szCs w:val="24"/>
        </w:rPr>
        <w:t xml:space="preserve"> actively engaged in attempting to spread their results to a global audience in order to protect future mothers and children. </w:t>
      </w:r>
    </w:p>
    <w:p w14:paraId="21ED84B7" w14:textId="24E0EE56" w:rsidR="00DD7E84" w:rsidRDefault="00DD7E84" w:rsidP="00DD7E84">
      <w:pPr>
        <w:spacing w:after="120" w:line="360" w:lineRule="auto"/>
        <w:rPr>
          <w:sz w:val="24"/>
          <w:szCs w:val="24"/>
        </w:rPr>
      </w:pPr>
      <w:r>
        <w:rPr>
          <w:sz w:val="24"/>
          <w:szCs w:val="24"/>
        </w:rPr>
        <w:t>I increased the values of ‘disciplinary focus’ and ‘flexibility’ because the research which led to the above finding saw DABRG collaborate with other researchers beyond their own specialism to answer research questions which were only part</w:t>
      </w:r>
      <w:r w:rsidR="00C56EDD">
        <w:rPr>
          <w:sz w:val="24"/>
          <w:szCs w:val="24"/>
        </w:rPr>
        <w:t>ly</w:t>
      </w:r>
      <w:r>
        <w:rPr>
          <w:sz w:val="24"/>
          <w:szCs w:val="24"/>
        </w:rPr>
        <w:t xml:space="preserve"> psychopharmacological in nature, and this shift reflected the ‘flexibility’ of DABRG to adapt their approach when an opportunity to arose to conduct research with larger potential social impact than their previous work had done. </w:t>
      </w:r>
    </w:p>
    <w:tbl>
      <w:tblPr>
        <w:tblW w:w="8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753"/>
        <w:gridCol w:w="1753"/>
        <w:gridCol w:w="1753"/>
      </w:tblGrid>
      <w:tr w:rsidR="006C68A7" w14:paraId="16C30EC2" w14:textId="77777777" w:rsidTr="006C68A7">
        <w:trPr>
          <w:trHeight w:val="137"/>
        </w:trPr>
        <w:tc>
          <w:tcPr>
            <w:tcW w:w="2920" w:type="dxa"/>
            <w:tcBorders>
              <w:top w:val="single" w:sz="4" w:space="0" w:color="auto"/>
              <w:left w:val="single" w:sz="4" w:space="0" w:color="auto"/>
              <w:bottom w:val="single" w:sz="4" w:space="0" w:color="auto"/>
              <w:right w:val="single" w:sz="4" w:space="0" w:color="auto"/>
            </w:tcBorders>
            <w:vAlign w:val="center"/>
          </w:tcPr>
          <w:p w14:paraId="30091708" w14:textId="77777777" w:rsidR="006C68A7" w:rsidRPr="008707A9" w:rsidRDefault="006C68A7" w:rsidP="006C68A7">
            <w:pPr>
              <w:spacing w:after="0" w:line="240" w:lineRule="auto"/>
              <w:jc w:val="center"/>
              <w:rPr>
                <w:rFonts w:asciiTheme="majorBidi" w:hAnsiTheme="majorBidi" w:cstheme="majorBidi"/>
                <w:b/>
              </w:rPr>
            </w:pPr>
            <w:r w:rsidRPr="008707A9">
              <w:rPr>
                <w:rFonts w:asciiTheme="majorBidi" w:hAnsiTheme="majorBidi" w:cstheme="majorBidi"/>
                <w:b/>
              </w:rPr>
              <w:t>Attribute</w:t>
            </w:r>
            <w:r>
              <w:rPr>
                <w:rFonts w:asciiTheme="majorBidi" w:hAnsiTheme="majorBidi" w:cstheme="majorBidi"/>
                <w:b/>
              </w:rPr>
              <w:t>/activity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9C7C721" w14:textId="20BA0F74" w:rsidR="006C68A7" w:rsidRDefault="006C68A7" w:rsidP="006C68A7">
            <w:pPr>
              <w:spacing w:after="0" w:line="240" w:lineRule="auto"/>
              <w:jc w:val="center"/>
              <w:rPr>
                <w:rFonts w:asciiTheme="majorBidi" w:hAnsiTheme="majorBidi" w:cstheme="majorBidi"/>
                <w:b/>
              </w:rPr>
            </w:pPr>
            <w:r>
              <w:rPr>
                <w:rFonts w:asciiTheme="majorBidi" w:hAnsiTheme="majorBidi" w:cstheme="majorBidi"/>
                <w:b/>
              </w:rPr>
              <w:t>Value (Phase 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02F28A9" w14:textId="1CEFA5B1" w:rsidR="006C68A7" w:rsidRDefault="006C68A7" w:rsidP="006C68A7">
            <w:pPr>
              <w:spacing w:after="0" w:line="240" w:lineRule="auto"/>
              <w:jc w:val="center"/>
              <w:rPr>
                <w:rFonts w:asciiTheme="majorBidi" w:hAnsiTheme="majorBidi" w:cstheme="majorBidi"/>
                <w:b/>
              </w:rPr>
            </w:pPr>
            <w:r>
              <w:rPr>
                <w:rFonts w:asciiTheme="majorBidi" w:hAnsiTheme="majorBidi" w:cstheme="majorBidi"/>
                <w:b/>
              </w:rPr>
              <w:t>Value (Phase 2)</w:t>
            </w:r>
          </w:p>
        </w:tc>
        <w:tc>
          <w:tcPr>
            <w:tcW w:w="1753" w:type="dxa"/>
            <w:tcBorders>
              <w:top w:val="single" w:sz="4" w:space="0" w:color="auto"/>
              <w:left w:val="single" w:sz="4" w:space="0" w:color="auto"/>
              <w:bottom w:val="single" w:sz="4" w:space="0" w:color="auto"/>
              <w:right w:val="single" w:sz="4" w:space="0" w:color="auto"/>
            </w:tcBorders>
          </w:tcPr>
          <w:p w14:paraId="67C54A5F" w14:textId="73C33C0B" w:rsidR="006C68A7" w:rsidRPr="00FF5CE5" w:rsidRDefault="006C68A7" w:rsidP="006C68A7">
            <w:pPr>
              <w:spacing w:after="0" w:line="240" w:lineRule="auto"/>
              <w:jc w:val="center"/>
              <w:rPr>
                <w:rFonts w:asciiTheme="majorBidi" w:hAnsiTheme="majorBidi" w:cstheme="majorBidi"/>
                <w:b/>
              </w:rPr>
            </w:pPr>
            <w:r>
              <w:rPr>
                <w:rFonts w:asciiTheme="majorBidi" w:hAnsiTheme="majorBidi" w:cstheme="majorBidi"/>
                <w:b/>
              </w:rPr>
              <w:t>Value (Phase 3)</w:t>
            </w:r>
          </w:p>
        </w:tc>
      </w:tr>
      <w:tr w:rsidR="006C68A7" w14:paraId="5E5211FC" w14:textId="77777777" w:rsidTr="006C68A7">
        <w:trPr>
          <w:trHeight w:val="233"/>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419DFB3" w14:textId="77777777" w:rsidR="006C68A7" w:rsidRPr="008707A9" w:rsidRDefault="006C68A7" w:rsidP="006C68A7">
            <w:pPr>
              <w:spacing w:after="0" w:line="240" w:lineRule="auto"/>
              <w:rPr>
                <w:rFonts w:asciiTheme="majorBidi" w:hAnsiTheme="majorBidi" w:cstheme="majorBidi"/>
              </w:rPr>
            </w:pPr>
            <w:r w:rsidRPr="008707A9">
              <w:rPr>
                <w:rFonts w:asciiTheme="majorBidi" w:hAnsiTheme="majorBidi" w:cstheme="majorBidi"/>
                <w:color w:val="000000"/>
              </w:rPr>
              <w:t>Uncertainty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04A6F4E" w14:textId="30B434E5" w:rsidR="006C68A7" w:rsidRPr="00C4338A" w:rsidRDefault="006C68A7" w:rsidP="006C68A7">
            <w:pPr>
              <w:spacing w:after="0" w:line="240" w:lineRule="auto"/>
              <w:jc w:val="center"/>
              <w:rPr>
                <w:rFonts w:asciiTheme="majorBidi" w:hAnsiTheme="majorBidi" w:cstheme="majorBidi"/>
                <w:color w:val="000000"/>
              </w:rPr>
            </w:pPr>
            <w:r>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29CDE00" w14:textId="0C5DF482"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FA7AAD8" w14:textId="64B581E6"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r w:rsidR="006C68A7" w14:paraId="3CEB411C" w14:textId="77777777" w:rsidTr="006C68A7">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D88D195" w14:textId="77777777" w:rsidR="006C68A7" w:rsidRPr="008707A9" w:rsidRDefault="006C68A7" w:rsidP="006C68A7">
            <w:pPr>
              <w:spacing w:after="0" w:line="240" w:lineRule="auto"/>
              <w:rPr>
                <w:rFonts w:asciiTheme="majorBidi" w:hAnsiTheme="majorBidi" w:cstheme="majorBidi"/>
              </w:rPr>
            </w:pPr>
            <w:r w:rsidRPr="008707A9">
              <w:rPr>
                <w:rFonts w:asciiTheme="majorBidi" w:hAnsiTheme="majorBidi" w:cstheme="majorBidi"/>
                <w:color w:val="000000"/>
              </w:rPr>
              <w:t>Knowledge Exchange</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4E1FB01" w14:textId="0B79E55D" w:rsidR="006C68A7" w:rsidRPr="00C4338A" w:rsidRDefault="006C68A7" w:rsidP="006C68A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C6727B7" w14:textId="5E60D4DC"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4DCFD38" w14:textId="53A443C4"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3</w:t>
            </w:r>
          </w:p>
        </w:tc>
      </w:tr>
      <w:tr w:rsidR="006C68A7" w14:paraId="32431DAD" w14:textId="77777777" w:rsidTr="006C68A7">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282D9B00" w14:textId="77777777" w:rsidR="006C68A7" w:rsidRPr="008707A9" w:rsidRDefault="006C68A7" w:rsidP="006C68A7">
            <w:pPr>
              <w:spacing w:after="0" w:line="240" w:lineRule="auto"/>
              <w:rPr>
                <w:rFonts w:asciiTheme="majorBidi" w:hAnsiTheme="majorBidi" w:cstheme="majorBidi"/>
              </w:rPr>
            </w:pPr>
            <w:r w:rsidRPr="008707A9">
              <w:rPr>
                <w:rFonts w:asciiTheme="majorBidi" w:hAnsiTheme="majorBidi" w:cstheme="majorBidi"/>
                <w:color w:val="000000"/>
              </w:rPr>
              <w:t>Accessibility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8FCA3A2" w14:textId="43D2DEFA" w:rsidR="006C68A7" w:rsidRPr="00C4338A" w:rsidRDefault="006C68A7" w:rsidP="006C68A7">
            <w:pPr>
              <w:tabs>
                <w:tab w:val="left" w:pos="1227"/>
                <w:tab w:val="center" w:pos="2185"/>
                <w:tab w:val="left" w:pos="2595"/>
              </w:tabs>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F1E736A" w14:textId="0BC0FB9C" w:rsidR="006C68A7" w:rsidRPr="00C4338A" w:rsidRDefault="006C68A7" w:rsidP="006C68A7">
            <w:pPr>
              <w:tabs>
                <w:tab w:val="left" w:pos="1227"/>
                <w:tab w:val="center" w:pos="2185"/>
                <w:tab w:val="left" w:pos="2595"/>
              </w:tabs>
              <w:spacing w:after="0" w:line="240" w:lineRule="auto"/>
              <w:jc w:val="center"/>
              <w:rPr>
                <w:rFonts w:asciiTheme="majorBidi" w:hAnsiTheme="majorBidi" w:cstheme="majorBidi"/>
                <w:color w:val="000000"/>
              </w:rPr>
            </w:pPr>
            <w:r w:rsidRPr="00C4338A">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8A021F1" w14:textId="2F3905EA" w:rsidR="006C68A7" w:rsidRPr="00C4338A" w:rsidRDefault="006C68A7" w:rsidP="006C68A7">
            <w:pPr>
              <w:tabs>
                <w:tab w:val="left" w:pos="1227"/>
                <w:tab w:val="center" w:pos="2185"/>
                <w:tab w:val="left" w:pos="2595"/>
              </w:tabs>
              <w:spacing w:after="0" w:line="240" w:lineRule="auto"/>
              <w:jc w:val="center"/>
              <w:rPr>
                <w:rFonts w:asciiTheme="majorBidi" w:hAnsiTheme="majorBidi" w:cstheme="majorBidi"/>
                <w:color w:val="000000"/>
              </w:rPr>
            </w:pPr>
            <w:r w:rsidRPr="00C4338A">
              <w:rPr>
                <w:rFonts w:asciiTheme="majorBidi" w:hAnsiTheme="majorBidi" w:cstheme="majorBidi"/>
                <w:color w:val="000000"/>
              </w:rPr>
              <w:t>1</w:t>
            </w:r>
          </w:p>
        </w:tc>
      </w:tr>
      <w:tr w:rsidR="006C68A7" w14:paraId="34A3950F" w14:textId="77777777" w:rsidTr="006C68A7">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3D64AE4" w14:textId="77777777" w:rsidR="006C68A7" w:rsidRPr="008707A9" w:rsidRDefault="006C68A7" w:rsidP="006C68A7">
            <w:pPr>
              <w:spacing w:after="0" w:line="240" w:lineRule="auto"/>
              <w:rPr>
                <w:rFonts w:asciiTheme="majorBidi" w:hAnsiTheme="majorBidi" w:cstheme="majorBidi"/>
              </w:rPr>
            </w:pPr>
            <w:r w:rsidRPr="008707A9">
              <w:rPr>
                <w:rFonts w:asciiTheme="majorBidi" w:hAnsiTheme="majorBidi" w:cstheme="majorBidi"/>
                <w:color w:val="000000"/>
              </w:rPr>
              <w:t>Boundary Management</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F391F65" w14:textId="05813A89" w:rsidR="006C68A7" w:rsidRPr="00C4338A" w:rsidRDefault="006C68A7" w:rsidP="006C68A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D762515" w14:textId="49AF4959"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5F03ECE2" w14:textId="7F7F68BC"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r w:rsidR="006C68A7" w14:paraId="1D5840EF" w14:textId="77777777" w:rsidTr="006C68A7">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29A3D11" w14:textId="77777777" w:rsidR="006C68A7" w:rsidRPr="008707A9" w:rsidRDefault="006C68A7" w:rsidP="006C68A7">
            <w:pPr>
              <w:spacing w:after="0" w:line="240" w:lineRule="auto"/>
              <w:rPr>
                <w:rFonts w:asciiTheme="majorBidi" w:hAnsiTheme="majorBidi" w:cstheme="majorBidi"/>
              </w:rPr>
            </w:pPr>
            <w:r w:rsidRPr="008707A9">
              <w:rPr>
                <w:rFonts w:asciiTheme="majorBidi" w:hAnsiTheme="majorBidi" w:cstheme="majorBidi"/>
                <w:color w:val="000000"/>
              </w:rPr>
              <w:t>Network Participation</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3F3D340" w14:textId="649DC248" w:rsidR="006C68A7" w:rsidRPr="00C4338A" w:rsidRDefault="006C68A7" w:rsidP="006C68A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BFC21AD" w14:textId="13333407"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22555C4" w14:textId="568D99C5"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r w:rsidR="006C68A7" w14:paraId="14BD5561" w14:textId="77777777" w:rsidTr="006C68A7">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5DBFDDA0" w14:textId="77777777" w:rsidR="006C68A7" w:rsidRPr="008707A9" w:rsidRDefault="006C68A7" w:rsidP="006C68A7">
            <w:pPr>
              <w:spacing w:after="0" w:line="240" w:lineRule="auto"/>
              <w:rPr>
                <w:rFonts w:asciiTheme="majorBidi" w:hAnsiTheme="majorBidi" w:cstheme="majorBidi"/>
              </w:rPr>
            </w:pPr>
            <w:r w:rsidRPr="008707A9">
              <w:rPr>
                <w:rFonts w:asciiTheme="majorBidi" w:hAnsiTheme="majorBidi" w:cstheme="majorBidi"/>
                <w:color w:val="000000"/>
              </w:rPr>
              <w:t>Flexibility</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BEA6416" w14:textId="2E5FAB4A" w:rsidR="006C68A7" w:rsidRPr="00C4338A" w:rsidRDefault="006C68A7" w:rsidP="006C68A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A0E85BF" w14:textId="273AF8F2"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24A623EF" w14:textId="6952B03C"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r w:rsidR="006C68A7" w14:paraId="0C6792AC" w14:textId="77777777" w:rsidTr="006C68A7">
        <w:trPr>
          <w:trHeight w:val="247"/>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E811DA4" w14:textId="77777777" w:rsidR="006C68A7" w:rsidRPr="008707A9" w:rsidRDefault="006C68A7" w:rsidP="006C68A7">
            <w:pPr>
              <w:spacing w:after="0" w:line="240" w:lineRule="auto"/>
              <w:rPr>
                <w:rFonts w:asciiTheme="majorBidi" w:hAnsiTheme="majorBidi" w:cstheme="majorBidi"/>
                <w:color w:val="000000"/>
              </w:rPr>
            </w:pPr>
            <w:r w:rsidRPr="008707A9">
              <w:rPr>
                <w:rFonts w:asciiTheme="majorBidi" w:hAnsiTheme="majorBidi" w:cstheme="majorBidi"/>
                <w:color w:val="000000"/>
              </w:rPr>
              <w:t>Disciplinary Focus</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7CB3ABA" w14:textId="1C6D2532" w:rsidR="006C68A7" w:rsidRPr="00C4338A" w:rsidRDefault="006C68A7" w:rsidP="006C68A7">
            <w:pPr>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A98D501" w14:textId="2238BB5E"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7A5AE747" w14:textId="4363AA21" w:rsidR="006C68A7" w:rsidRPr="00C4338A" w:rsidRDefault="006C68A7" w:rsidP="006C68A7">
            <w:pPr>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r>
      <w:tr w:rsidR="006C68A7" w14:paraId="6DB298AA" w14:textId="77777777" w:rsidTr="006C68A7">
        <w:trPr>
          <w:trHeight w:val="262"/>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7C7277F8" w14:textId="77777777" w:rsidR="006C68A7" w:rsidRPr="008707A9" w:rsidRDefault="006C68A7" w:rsidP="006C68A7">
            <w:pPr>
              <w:spacing w:after="0" w:line="240" w:lineRule="auto"/>
              <w:rPr>
                <w:rFonts w:asciiTheme="majorBidi" w:hAnsiTheme="majorBidi" w:cstheme="majorBidi"/>
              </w:rPr>
            </w:pPr>
            <w:r w:rsidRPr="008707A9">
              <w:rPr>
                <w:rFonts w:asciiTheme="majorBidi" w:hAnsiTheme="majorBidi" w:cstheme="majorBidi"/>
                <w:color w:val="000000"/>
              </w:rPr>
              <w:t>Social Capital</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984B951" w14:textId="7578D492" w:rsidR="006C68A7" w:rsidRDefault="006C68A7" w:rsidP="006C68A7">
            <w:pPr>
              <w:keepNext/>
              <w:spacing w:after="0" w:line="240" w:lineRule="auto"/>
              <w:jc w:val="center"/>
              <w:rPr>
                <w:rFonts w:asciiTheme="majorBidi" w:hAnsiTheme="majorBidi" w:cstheme="majorBidi"/>
                <w:color w:val="000000"/>
              </w:rPr>
            </w:pPr>
            <w:r>
              <w:rPr>
                <w:rFonts w:asciiTheme="majorBidi" w:hAnsiTheme="majorBidi" w:cstheme="majorBidi"/>
                <w:color w:val="000000"/>
              </w:rPr>
              <w:t>1</w:t>
            </w:r>
          </w:p>
        </w:tc>
        <w:tc>
          <w:tcPr>
            <w:tcW w:w="1753"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3C6569B" w14:textId="377FD38F" w:rsidR="006C68A7" w:rsidRDefault="006C68A7" w:rsidP="006C68A7">
            <w:pPr>
              <w:keepNext/>
              <w:spacing w:after="0" w:line="240" w:lineRule="auto"/>
              <w:jc w:val="center"/>
              <w:rPr>
                <w:rFonts w:asciiTheme="majorBidi" w:hAnsiTheme="majorBidi" w:cstheme="majorBidi"/>
                <w:color w:val="000000"/>
              </w:rPr>
            </w:pPr>
            <w:r w:rsidRPr="00C4338A">
              <w:rPr>
                <w:rFonts w:asciiTheme="majorBidi" w:hAnsiTheme="majorBidi" w:cstheme="majorBidi"/>
                <w:color w:val="000000"/>
              </w:rPr>
              <w:t>2</w:t>
            </w:r>
          </w:p>
        </w:tc>
        <w:tc>
          <w:tcPr>
            <w:tcW w:w="1753" w:type="dxa"/>
            <w:tcBorders>
              <w:top w:val="single" w:sz="4" w:space="0" w:color="auto"/>
              <w:left w:val="single" w:sz="4" w:space="0" w:color="auto"/>
              <w:bottom w:val="single" w:sz="4" w:space="0" w:color="auto"/>
              <w:right w:val="single" w:sz="4" w:space="0" w:color="auto"/>
            </w:tcBorders>
            <w:shd w:val="clear" w:color="auto" w:fill="auto"/>
          </w:tcPr>
          <w:p w14:paraId="4E715ABB" w14:textId="68B2EDBF" w:rsidR="006C68A7" w:rsidRPr="0061544D" w:rsidRDefault="006C68A7" w:rsidP="006C68A7">
            <w:pPr>
              <w:keepNext/>
              <w:spacing w:after="0" w:line="240" w:lineRule="auto"/>
              <w:jc w:val="center"/>
              <w:rPr>
                <w:rFonts w:asciiTheme="majorBidi" w:hAnsiTheme="majorBidi" w:cstheme="majorBidi"/>
                <w:color w:val="000000"/>
              </w:rPr>
            </w:pPr>
            <w:r>
              <w:rPr>
                <w:rFonts w:asciiTheme="majorBidi" w:hAnsiTheme="majorBidi" w:cstheme="majorBidi"/>
                <w:color w:val="000000"/>
              </w:rPr>
              <w:t>2</w:t>
            </w:r>
          </w:p>
        </w:tc>
      </w:tr>
    </w:tbl>
    <w:p w14:paraId="77979EB3" w14:textId="5669DB1F" w:rsidR="00DD7E84" w:rsidRDefault="00DD7E84" w:rsidP="00DD7E84">
      <w:pPr>
        <w:pStyle w:val="Caption"/>
        <w:rPr>
          <w:sz w:val="24"/>
          <w:szCs w:val="24"/>
        </w:rPr>
      </w:pPr>
      <w:bookmarkStart w:id="192" w:name="_Ref7103038"/>
      <w:bookmarkStart w:id="193" w:name="_Toc31702065"/>
      <w:r>
        <w:t xml:space="preserve">Table </w:t>
      </w:r>
      <w:r w:rsidR="00A56355">
        <w:fldChar w:fldCharType="begin"/>
      </w:r>
      <w:r w:rsidR="00A56355">
        <w:instrText xml:space="preserve"> SEQ Table \* ARABIC </w:instrText>
      </w:r>
      <w:r w:rsidR="00A56355">
        <w:fldChar w:fldCharType="separate"/>
      </w:r>
      <w:r w:rsidR="0011424E">
        <w:rPr>
          <w:noProof/>
        </w:rPr>
        <w:t>36</w:t>
      </w:r>
      <w:r w:rsidR="00A56355">
        <w:rPr>
          <w:noProof/>
        </w:rPr>
        <w:fldChar w:fldCharType="end"/>
      </w:r>
      <w:bookmarkEnd w:id="192"/>
      <w:r>
        <w:t>.</w:t>
      </w:r>
      <w:r w:rsidRPr="008F1A38">
        <w:t xml:space="preserve"> </w:t>
      </w:r>
      <w:r w:rsidRPr="009E3397">
        <w:t>BoR</w:t>
      </w:r>
      <w:r>
        <w:t>4.2</w:t>
      </w:r>
      <w:r w:rsidRPr="009E3397">
        <w:t xml:space="preserve"> ‘intermediary’ values – Pha</w:t>
      </w:r>
      <w:r w:rsidR="00C053CF">
        <w:t>ses 1-</w:t>
      </w:r>
      <w:r>
        <w:t>3</w:t>
      </w:r>
      <w:bookmarkEnd w:id="193"/>
    </w:p>
    <w:p w14:paraId="0EB03D6E" w14:textId="77777777" w:rsidR="00DD7E84" w:rsidRDefault="00DD7E84" w:rsidP="0095019D">
      <w:pPr>
        <w:pStyle w:val="Heading4"/>
        <w:rPr>
          <w:lang w:eastAsia="zh-TW"/>
        </w:rPr>
      </w:pPr>
      <w:r>
        <w:rPr>
          <w:lang w:eastAsia="zh-TW"/>
        </w:rPr>
        <w:t>Summary analysis</w:t>
      </w:r>
    </w:p>
    <w:p w14:paraId="36E1E8F7" w14:textId="559BF8B7" w:rsidR="000C305E" w:rsidRDefault="000C305E" w:rsidP="000C305E">
      <w:pPr>
        <w:spacing w:after="120" w:line="360" w:lineRule="auto"/>
        <w:rPr>
          <w:sz w:val="24"/>
          <w:szCs w:val="24"/>
        </w:rPr>
      </w:pPr>
      <w:r>
        <w:rPr>
          <w:sz w:val="24"/>
          <w:szCs w:val="24"/>
        </w:rPr>
        <w:t xml:space="preserve">BoR4.2 primarily exhibits three </w:t>
      </w:r>
      <w:r w:rsidR="00273101">
        <w:rPr>
          <w:sz w:val="24"/>
          <w:szCs w:val="24"/>
        </w:rPr>
        <w:t>of the five main forms of boundary transaction</w:t>
      </w:r>
      <w:r>
        <w:rPr>
          <w:sz w:val="24"/>
          <w:szCs w:val="24"/>
        </w:rPr>
        <w:t xml:space="preserve">: ‘boundary structures’, ‘use-focused outputs’ and ‘outreach’. DABRG, partly through its boundary structure, the Substance Use and Misuse network (SUM), ‘reaches out’ to policymakers and health practitioners. They also reach out to the public via various media platforms with specific research findings. One of the relevant concepts that DABRG contribute to and disseminate is that of ‘serotonin syndrome’, which functions as </w:t>
      </w:r>
      <w:r w:rsidR="00282F36">
        <w:rPr>
          <w:sz w:val="24"/>
          <w:szCs w:val="24"/>
        </w:rPr>
        <w:t>what I call a</w:t>
      </w:r>
      <w:r>
        <w:rPr>
          <w:sz w:val="24"/>
          <w:szCs w:val="24"/>
        </w:rPr>
        <w:t xml:space="preserve"> ‘bridging concept’</w:t>
      </w:r>
      <w:r w:rsidR="003F7396">
        <w:rPr>
          <w:sz w:val="24"/>
          <w:szCs w:val="24"/>
        </w:rPr>
        <w:t xml:space="preserve"> (a form of ‘use-focused output’)</w:t>
      </w:r>
      <w:r w:rsidR="00282F36">
        <w:rPr>
          <w:sz w:val="24"/>
          <w:szCs w:val="24"/>
        </w:rPr>
        <w:t>. A ‘bridging concept’ is a concept which condense</w:t>
      </w:r>
      <w:r w:rsidR="001E6028">
        <w:rPr>
          <w:sz w:val="24"/>
          <w:szCs w:val="24"/>
        </w:rPr>
        <w:t>s</w:t>
      </w:r>
      <w:r w:rsidR="00282F36">
        <w:rPr>
          <w:sz w:val="24"/>
          <w:szCs w:val="24"/>
        </w:rPr>
        <w:t xml:space="preserve"> underpinning scientific research and theory into a more readily understandable concept so as to be suitable for consideration and application by non-specialist users and stakeholders</w:t>
      </w:r>
      <w:r w:rsidR="00266F55">
        <w:rPr>
          <w:sz w:val="24"/>
          <w:szCs w:val="24"/>
        </w:rPr>
        <w:t>. Th</w:t>
      </w:r>
      <w:r w:rsidR="00282F36">
        <w:rPr>
          <w:sz w:val="24"/>
          <w:szCs w:val="24"/>
        </w:rPr>
        <w:t>e bridging</w:t>
      </w:r>
      <w:r w:rsidR="00266F55">
        <w:rPr>
          <w:sz w:val="24"/>
          <w:szCs w:val="24"/>
        </w:rPr>
        <w:t xml:space="preserve"> concept</w:t>
      </w:r>
      <w:r w:rsidR="00282F36">
        <w:rPr>
          <w:sz w:val="24"/>
          <w:szCs w:val="24"/>
        </w:rPr>
        <w:t xml:space="preserve"> in this case</w:t>
      </w:r>
      <w:r w:rsidR="00922288">
        <w:rPr>
          <w:sz w:val="24"/>
          <w:szCs w:val="24"/>
        </w:rPr>
        <w:t xml:space="preserve">, </w:t>
      </w:r>
      <w:r w:rsidR="00266F55">
        <w:rPr>
          <w:sz w:val="24"/>
          <w:szCs w:val="24"/>
        </w:rPr>
        <w:t>‘s</w:t>
      </w:r>
      <w:r>
        <w:rPr>
          <w:sz w:val="24"/>
          <w:szCs w:val="24"/>
        </w:rPr>
        <w:t>erotonin syndrome</w:t>
      </w:r>
      <w:r w:rsidR="00266F55">
        <w:rPr>
          <w:sz w:val="24"/>
          <w:szCs w:val="24"/>
        </w:rPr>
        <w:t>’,</w:t>
      </w:r>
      <w:r w:rsidR="00282F36">
        <w:rPr>
          <w:sz w:val="24"/>
          <w:szCs w:val="24"/>
        </w:rPr>
        <w:t xml:space="preserve"> </w:t>
      </w:r>
      <w:r>
        <w:rPr>
          <w:sz w:val="24"/>
          <w:szCs w:val="24"/>
        </w:rPr>
        <w:t>refers to negative effects associated with given levels of chemical build-up of serotonin caused by using MDMA. DABRG’s research using this concept has fed into MDMA policy as described above, and the concept itself is referred to on NHS webpages aimed at the general public</w:t>
      </w:r>
      <w:r>
        <w:rPr>
          <w:rStyle w:val="FootnoteReference"/>
          <w:sz w:val="24"/>
          <w:szCs w:val="24"/>
        </w:rPr>
        <w:footnoteReference w:id="20"/>
      </w:r>
      <w:r>
        <w:rPr>
          <w:sz w:val="24"/>
          <w:szCs w:val="24"/>
        </w:rPr>
        <w:t>, so that in this case the concept has also ‘bridged’ to the public domain.</w:t>
      </w:r>
    </w:p>
    <w:p w14:paraId="1A3156F1" w14:textId="3B462A11" w:rsidR="00DD7E84" w:rsidRDefault="003A6A7C" w:rsidP="00DD7E84">
      <w:pPr>
        <w:spacing w:before="120" w:after="120" w:line="360" w:lineRule="auto"/>
        <w:rPr>
          <w:sz w:val="24"/>
          <w:szCs w:val="24"/>
          <w:lang w:eastAsia="zh-TW"/>
        </w:rPr>
      </w:pPr>
      <w:r>
        <w:rPr>
          <w:sz w:val="24"/>
          <w:szCs w:val="24"/>
          <w:lang w:eastAsia="zh-TW"/>
        </w:rPr>
        <w:t xml:space="preserve">Taking a broader perspective, </w:t>
      </w:r>
      <w:r w:rsidR="00DD7E84" w:rsidRPr="008D291D">
        <w:rPr>
          <w:sz w:val="24"/>
          <w:szCs w:val="24"/>
          <w:lang w:eastAsia="zh-TW"/>
        </w:rPr>
        <w:fldChar w:fldCharType="begin"/>
      </w:r>
      <w:r w:rsidR="00DD7E84" w:rsidRPr="008D291D">
        <w:rPr>
          <w:sz w:val="24"/>
          <w:szCs w:val="24"/>
          <w:lang w:eastAsia="zh-TW"/>
        </w:rPr>
        <w:instrText xml:space="preserve"> REF _Ref7103975 \h </w:instrText>
      </w:r>
      <w:r w:rsidR="00DD7E84">
        <w:rPr>
          <w:sz w:val="24"/>
          <w:szCs w:val="24"/>
          <w:lang w:eastAsia="zh-TW"/>
        </w:rPr>
        <w:instrText xml:space="preserve"> \* MERGEFORMAT </w:instrText>
      </w:r>
      <w:r w:rsidR="00DD7E84" w:rsidRPr="008D291D">
        <w:rPr>
          <w:sz w:val="24"/>
          <w:szCs w:val="24"/>
          <w:lang w:eastAsia="zh-TW"/>
        </w:rPr>
      </w:r>
      <w:r w:rsidR="00DD7E84" w:rsidRPr="008D291D">
        <w:rPr>
          <w:sz w:val="24"/>
          <w:szCs w:val="24"/>
          <w:lang w:eastAsia="zh-TW"/>
        </w:rPr>
        <w:fldChar w:fldCharType="separate"/>
      </w:r>
      <w:r w:rsidR="0011424E" w:rsidRPr="0011424E">
        <w:rPr>
          <w:sz w:val="24"/>
          <w:szCs w:val="24"/>
        </w:rPr>
        <w:t xml:space="preserve">Figure </w:t>
      </w:r>
      <w:r w:rsidR="0011424E" w:rsidRPr="0011424E">
        <w:rPr>
          <w:noProof/>
          <w:sz w:val="24"/>
          <w:szCs w:val="24"/>
        </w:rPr>
        <w:t>13</w:t>
      </w:r>
      <w:r w:rsidR="00DD7E84" w:rsidRPr="008D291D">
        <w:rPr>
          <w:sz w:val="24"/>
          <w:szCs w:val="24"/>
          <w:lang w:eastAsia="zh-TW"/>
        </w:rPr>
        <w:fldChar w:fldCharType="end"/>
      </w:r>
      <w:r w:rsidR="00D347EE">
        <w:rPr>
          <w:sz w:val="24"/>
          <w:szCs w:val="24"/>
          <w:lang w:eastAsia="zh-TW"/>
        </w:rPr>
        <w:t xml:space="preserve"> shows</w:t>
      </w:r>
      <w:r>
        <w:rPr>
          <w:sz w:val="24"/>
          <w:szCs w:val="24"/>
          <w:lang w:eastAsia="zh-TW"/>
        </w:rPr>
        <w:t xml:space="preserve"> that</w:t>
      </w:r>
      <w:r w:rsidR="00D347EE">
        <w:rPr>
          <w:sz w:val="24"/>
          <w:szCs w:val="24"/>
          <w:lang w:eastAsia="zh-TW"/>
        </w:rPr>
        <w:t xml:space="preserve"> BoR4.2 displays</w:t>
      </w:r>
      <w:r w:rsidR="00DD7E84">
        <w:rPr>
          <w:sz w:val="24"/>
          <w:szCs w:val="24"/>
          <w:lang w:eastAsia="zh-TW"/>
        </w:rPr>
        <w:t xml:space="preserve"> no values which exceed the typology’s mid-point on the spectrum of 3. </w:t>
      </w:r>
      <w:r w:rsidR="00F37EC3">
        <w:rPr>
          <w:sz w:val="24"/>
          <w:szCs w:val="24"/>
          <w:lang w:eastAsia="zh-TW"/>
        </w:rPr>
        <w:t xml:space="preserve">The </w:t>
      </w:r>
      <w:r w:rsidR="00DD7E84">
        <w:rPr>
          <w:sz w:val="24"/>
          <w:szCs w:val="24"/>
          <w:lang w:eastAsia="zh-TW"/>
        </w:rPr>
        <w:t>full range of activities and attributes associated with BoR4.2 is strongly</w:t>
      </w:r>
      <w:r w:rsidR="00F37EC3">
        <w:rPr>
          <w:sz w:val="24"/>
          <w:szCs w:val="24"/>
          <w:lang w:eastAsia="zh-TW"/>
        </w:rPr>
        <w:t xml:space="preserve"> ‘bounded’</w:t>
      </w:r>
      <w:r w:rsidR="00DD7E84">
        <w:rPr>
          <w:sz w:val="24"/>
          <w:szCs w:val="24"/>
          <w:lang w:eastAsia="zh-TW"/>
        </w:rPr>
        <w:t xml:space="preserve">, and </w:t>
      </w:r>
      <w:r w:rsidR="00F37EC3">
        <w:rPr>
          <w:sz w:val="24"/>
          <w:szCs w:val="24"/>
          <w:lang w:eastAsia="zh-TW"/>
        </w:rPr>
        <w:t>only occasionally</w:t>
      </w:r>
      <w:r w:rsidR="00DD7E84">
        <w:rPr>
          <w:sz w:val="24"/>
          <w:szCs w:val="24"/>
          <w:lang w:eastAsia="zh-TW"/>
        </w:rPr>
        <w:t xml:space="preserve"> involves significant interaction across academic boundaries. Nonetheless, because of the inherently use-inspired nature of the underpinning research, DABRG were able to achieve significant ‘impact’ with only relatively modest amounts of boundary-crossing interaction and transaction. </w:t>
      </w:r>
    </w:p>
    <w:tbl>
      <w:tblPr>
        <w:tblW w:w="9016" w:type="dxa"/>
        <w:tblLook w:val="04A0" w:firstRow="1" w:lastRow="0" w:firstColumn="1" w:lastColumn="0" w:noHBand="0" w:noVBand="1"/>
      </w:tblPr>
      <w:tblGrid>
        <w:gridCol w:w="1696"/>
        <w:gridCol w:w="2694"/>
        <w:gridCol w:w="4626"/>
      </w:tblGrid>
      <w:tr w:rsidR="00DD7E84" w14:paraId="6A5CF84B" w14:textId="77777777" w:rsidTr="00DE5040">
        <w:tc>
          <w:tcPr>
            <w:tcW w:w="1696" w:type="dxa"/>
            <w:tcBorders>
              <w:top w:val="single" w:sz="4" w:space="0" w:color="auto"/>
              <w:left w:val="single" w:sz="4" w:space="0" w:color="auto"/>
              <w:bottom w:val="single" w:sz="4" w:space="0" w:color="auto"/>
              <w:right w:val="single" w:sz="4" w:space="0" w:color="auto"/>
            </w:tcBorders>
          </w:tcPr>
          <w:p w14:paraId="62ED66FF" w14:textId="77777777" w:rsidR="00DD7E84" w:rsidRPr="00EE46C8" w:rsidRDefault="00DD7E84" w:rsidP="00DE5040">
            <w:pPr>
              <w:spacing w:after="0" w:line="240" w:lineRule="auto"/>
              <w:rPr>
                <w:b/>
                <w:sz w:val="24"/>
                <w:szCs w:val="24"/>
              </w:rPr>
            </w:pPr>
            <w:r>
              <w:rPr>
                <w:b/>
                <w:sz w:val="24"/>
                <w:szCs w:val="24"/>
              </w:rPr>
              <w:t>Classification</w:t>
            </w:r>
          </w:p>
        </w:tc>
        <w:tc>
          <w:tcPr>
            <w:tcW w:w="2694" w:type="dxa"/>
            <w:tcBorders>
              <w:top w:val="single" w:sz="4" w:space="0" w:color="auto"/>
              <w:left w:val="single" w:sz="4" w:space="0" w:color="auto"/>
              <w:bottom w:val="single" w:sz="4" w:space="0" w:color="auto"/>
              <w:right w:val="single" w:sz="4" w:space="0" w:color="auto"/>
            </w:tcBorders>
          </w:tcPr>
          <w:p w14:paraId="489531CF" w14:textId="77777777" w:rsidR="00DD7E84" w:rsidRPr="002B4060" w:rsidRDefault="00DD7E84" w:rsidP="00DE5040">
            <w:pPr>
              <w:spacing w:after="0" w:line="240" w:lineRule="auto"/>
              <w:rPr>
                <w:b/>
                <w:sz w:val="24"/>
                <w:szCs w:val="24"/>
              </w:rPr>
            </w:pPr>
            <w:r w:rsidRPr="002B4060">
              <w:rPr>
                <w:b/>
                <w:sz w:val="24"/>
                <w:szCs w:val="24"/>
              </w:rPr>
              <w:t>Attribute</w:t>
            </w:r>
            <w:r>
              <w:rPr>
                <w:b/>
                <w:sz w:val="24"/>
                <w:szCs w:val="24"/>
              </w:rPr>
              <w:t>s/activities</w:t>
            </w:r>
          </w:p>
        </w:tc>
        <w:tc>
          <w:tcPr>
            <w:tcW w:w="4626" w:type="dxa"/>
            <w:tcBorders>
              <w:top w:val="single" w:sz="4" w:space="0" w:color="auto"/>
              <w:left w:val="single" w:sz="4" w:space="0" w:color="auto"/>
              <w:bottom w:val="single" w:sz="4" w:space="0" w:color="auto"/>
              <w:right w:val="single" w:sz="4" w:space="0" w:color="auto"/>
            </w:tcBorders>
          </w:tcPr>
          <w:p w14:paraId="1EA49EA1" w14:textId="77777777" w:rsidR="00DD7E84" w:rsidRPr="00B8594F" w:rsidRDefault="00DD7E84" w:rsidP="00DE5040">
            <w:pPr>
              <w:spacing w:after="0" w:line="240" w:lineRule="auto"/>
              <w:jc w:val="center"/>
              <w:rPr>
                <w:b/>
                <w:sz w:val="24"/>
                <w:szCs w:val="24"/>
              </w:rPr>
            </w:pPr>
            <w:r w:rsidRPr="00B8594F">
              <w:rPr>
                <w:b/>
                <w:sz w:val="24"/>
                <w:szCs w:val="24"/>
              </w:rPr>
              <w:t>Science-oriente</w:t>
            </w:r>
            <w:r>
              <w:rPr>
                <w:b/>
                <w:sz w:val="24"/>
                <w:szCs w:val="24"/>
              </w:rPr>
              <w:t>d</w:t>
            </w:r>
            <w:r w:rsidRPr="00B8594F">
              <w:rPr>
                <w:b/>
                <w:sz w:val="24"/>
                <w:szCs w:val="24"/>
              </w:rPr>
              <w:t xml:space="preserve">                     User-oriented</w:t>
            </w:r>
          </w:p>
          <w:p w14:paraId="2C664475" w14:textId="77777777" w:rsidR="00DD7E84" w:rsidRPr="00B8594F" w:rsidRDefault="00DD7E84" w:rsidP="00DE5040">
            <w:pPr>
              <w:spacing w:after="0" w:line="240" w:lineRule="auto"/>
              <w:jc w:val="center"/>
              <w:rPr>
                <w:b/>
                <w:sz w:val="24"/>
                <w:szCs w:val="24"/>
              </w:rPr>
            </w:pPr>
            <w:r w:rsidRPr="00B8594F">
              <w:rPr>
                <w:b/>
                <w:sz w:val="24"/>
                <w:szCs w:val="24"/>
              </w:rPr>
              <w:t>1               2               3               4               5</w:t>
            </w:r>
          </w:p>
        </w:tc>
      </w:tr>
      <w:tr w:rsidR="00DD7E84" w14:paraId="519376FD" w14:textId="77777777" w:rsidTr="00DE5040">
        <w:tc>
          <w:tcPr>
            <w:tcW w:w="1696" w:type="dxa"/>
            <w:vMerge w:val="restart"/>
            <w:tcBorders>
              <w:top w:val="single" w:sz="4" w:space="0" w:color="auto"/>
              <w:left w:val="single" w:sz="4" w:space="0" w:color="auto"/>
              <w:right w:val="single" w:sz="4" w:space="0" w:color="auto"/>
            </w:tcBorders>
            <w:shd w:val="clear" w:color="auto" w:fill="F2F2F2" w:themeFill="background1" w:themeFillShade="F2"/>
          </w:tcPr>
          <w:p w14:paraId="0BAE5381" w14:textId="77777777" w:rsidR="00DD7E84" w:rsidRDefault="00DD7E84" w:rsidP="00DE5040">
            <w:pPr>
              <w:spacing w:after="0" w:line="240" w:lineRule="auto"/>
              <w:rPr>
                <w:sz w:val="24"/>
                <w:szCs w:val="24"/>
              </w:rPr>
            </w:pPr>
            <w:r>
              <w:rPr>
                <w:sz w:val="24"/>
                <w:szCs w:val="24"/>
              </w:rPr>
              <w:t xml:space="preserve">‘Social context’ </w:t>
            </w:r>
          </w:p>
          <w:p w14:paraId="39C631D0" w14:textId="77777777" w:rsidR="00DD7E84" w:rsidRDefault="00DD7E84" w:rsidP="00DE5040">
            <w:pPr>
              <w:spacing w:after="0" w:line="240" w:lineRule="auto"/>
              <w:rPr>
                <w:sz w:val="24"/>
                <w:szCs w:val="24"/>
              </w:rPr>
            </w:pPr>
            <w:r>
              <w:rPr>
                <w:sz w:val="24"/>
                <w:szCs w:val="24"/>
              </w:rPr>
              <w:t>Values</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1CA03" w14:textId="77777777" w:rsidR="00DD7E84" w:rsidRDefault="00DD7E84" w:rsidP="00DE5040">
            <w:pPr>
              <w:spacing w:after="0" w:line="240" w:lineRule="auto"/>
              <w:rPr>
                <w:sz w:val="24"/>
                <w:szCs w:val="24"/>
              </w:rPr>
            </w:pPr>
            <w:r>
              <w:rPr>
                <w:sz w:val="24"/>
                <w:szCs w:val="24"/>
              </w:rPr>
              <w:t>Goals</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5F9993" w14:textId="77777777" w:rsidR="00DD7E84" w:rsidRDefault="00DD7E84" w:rsidP="00DE5040">
            <w:pPr>
              <w:spacing w:after="0" w:line="240" w:lineRule="auto"/>
              <w:rPr>
                <w:sz w:val="24"/>
                <w:szCs w:val="24"/>
              </w:rPr>
            </w:pPr>
            <w:r>
              <w:rPr>
                <w:sz w:val="24"/>
                <w:szCs w:val="24"/>
              </w:rPr>
              <w:t xml:space="preserve">                                1 2 3              </w:t>
            </w:r>
          </w:p>
        </w:tc>
      </w:tr>
      <w:tr w:rsidR="00DD7E84" w14:paraId="07533329" w14:textId="77777777" w:rsidTr="00DE5040">
        <w:tc>
          <w:tcPr>
            <w:tcW w:w="1696" w:type="dxa"/>
            <w:vMerge/>
            <w:tcBorders>
              <w:left w:val="single" w:sz="4" w:space="0" w:color="auto"/>
              <w:right w:val="single" w:sz="4" w:space="0" w:color="auto"/>
            </w:tcBorders>
            <w:shd w:val="clear" w:color="auto" w:fill="F2F2F2" w:themeFill="background1" w:themeFillShade="F2"/>
          </w:tcPr>
          <w:p w14:paraId="2148B8E7"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EA4C75" w14:textId="77777777" w:rsidR="00DD7E84" w:rsidRDefault="00DD7E84" w:rsidP="00DE5040">
            <w:pPr>
              <w:spacing w:after="0" w:line="240" w:lineRule="auto"/>
              <w:rPr>
                <w:sz w:val="24"/>
                <w:szCs w:val="24"/>
              </w:rPr>
            </w:pPr>
            <w:r>
              <w:rPr>
                <w:sz w:val="24"/>
                <w:szCs w:val="24"/>
              </w:rPr>
              <w:t>Relevance</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841CD7" w14:textId="77777777" w:rsidR="00DD7E84" w:rsidRDefault="00DD7E84" w:rsidP="00DE5040">
            <w:pPr>
              <w:spacing w:after="0" w:line="240" w:lineRule="auto"/>
              <w:rPr>
                <w:sz w:val="24"/>
                <w:szCs w:val="24"/>
              </w:rPr>
            </w:pPr>
            <w:r>
              <w:rPr>
                <w:sz w:val="24"/>
                <w:szCs w:val="24"/>
              </w:rPr>
              <w:t xml:space="preserve">                                1 2 3         </w:t>
            </w:r>
          </w:p>
        </w:tc>
      </w:tr>
      <w:tr w:rsidR="00DD7E84" w14:paraId="45FD1A22" w14:textId="77777777" w:rsidTr="00DE5040">
        <w:tc>
          <w:tcPr>
            <w:tcW w:w="1696" w:type="dxa"/>
            <w:vMerge/>
            <w:tcBorders>
              <w:left w:val="single" w:sz="4" w:space="0" w:color="auto"/>
              <w:right w:val="single" w:sz="4" w:space="0" w:color="auto"/>
            </w:tcBorders>
            <w:shd w:val="clear" w:color="auto" w:fill="F2F2F2" w:themeFill="background1" w:themeFillShade="F2"/>
          </w:tcPr>
          <w:p w14:paraId="1DDE5136"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DE49A0" w14:textId="77777777" w:rsidR="00DD7E84" w:rsidRDefault="00DD7E84" w:rsidP="00DE5040">
            <w:pPr>
              <w:spacing w:after="0" w:line="240" w:lineRule="auto"/>
              <w:rPr>
                <w:sz w:val="24"/>
                <w:szCs w:val="24"/>
              </w:rPr>
            </w:pPr>
            <w:r>
              <w:rPr>
                <w:sz w:val="24"/>
                <w:szCs w:val="24"/>
              </w:rPr>
              <w:t>Evaluation</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BB6422" w14:textId="77777777" w:rsidR="00DD7E84" w:rsidRDefault="00DD7E84" w:rsidP="00DE5040">
            <w:pPr>
              <w:spacing w:after="0" w:line="240" w:lineRule="auto"/>
              <w:rPr>
                <w:sz w:val="24"/>
                <w:szCs w:val="24"/>
              </w:rPr>
            </w:pPr>
            <w:r>
              <w:rPr>
                <w:sz w:val="24"/>
                <w:szCs w:val="24"/>
              </w:rPr>
              <w:t xml:space="preserve">                  1              2 3              </w:t>
            </w:r>
          </w:p>
        </w:tc>
      </w:tr>
      <w:tr w:rsidR="00DD7E84" w14:paraId="6889A6BB" w14:textId="77777777" w:rsidTr="00DE5040">
        <w:tc>
          <w:tcPr>
            <w:tcW w:w="1696" w:type="dxa"/>
            <w:vMerge/>
            <w:tcBorders>
              <w:left w:val="single" w:sz="4" w:space="0" w:color="auto"/>
              <w:bottom w:val="single" w:sz="4" w:space="0" w:color="auto"/>
              <w:right w:val="single" w:sz="4" w:space="0" w:color="auto"/>
            </w:tcBorders>
            <w:shd w:val="clear" w:color="auto" w:fill="F2F2F2" w:themeFill="background1" w:themeFillShade="F2"/>
          </w:tcPr>
          <w:p w14:paraId="19E06385"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69EA3" w14:textId="77777777" w:rsidR="00DD7E84" w:rsidRDefault="00DD7E84" w:rsidP="00DE5040">
            <w:pPr>
              <w:spacing w:after="0" w:line="240" w:lineRule="auto"/>
              <w:rPr>
                <w:sz w:val="24"/>
                <w:szCs w:val="24"/>
              </w:rPr>
            </w:pPr>
            <w:r>
              <w:rPr>
                <w:sz w:val="24"/>
                <w:szCs w:val="24"/>
              </w:rPr>
              <w:t>Outputs and outcomes</w:t>
            </w:r>
          </w:p>
        </w:tc>
        <w:tc>
          <w:tcPr>
            <w:tcW w:w="4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10AB55" w14:textId="77777777" w:rsidR="00DD7E84" w:rsidRDefault="00DD7E84" w:rsidP="00DE5040">
            <w:pPr>
              <w:spacing w:after="0" w:line="240" w:lineRule="auto"/>
              <w:rPr>
                <w:sz w:val="24"/>
                <w:szCs w:val="24"/>
              </w:rPr>
            </w:pPr>
            <w:r>
              <w:rPr>
                <w:sz w:val="24"/>
                <w:szCs w:val="24"/>
              </w:rPr>
              <w:t xml:space="preserve">  1             2 3</w:t>
            </w:r>
          </w:p>
        </w:tc>
      </w:tr>
      <w:tr w:rsidR="00DD7E84" w14:paraId="0636701F" w14:textId="77777777" w:rsidTr="00DE5040">
        <w:tc>
          <w:tcPr>
            <w:tcW w:w="1696" w:type="dxa"/>
            <w:vMerge w:val="restart"/>
            <w:tcBorders>
              <w:top w:val="single" w:sz="4" w:space="0" w:color="auto"/>
              <w:left w:val="single" w:sz="4" w:space="0" w:color="auto"/>
              <w:right w:val="single" w:sz="4" w:space="0" w:color="auto"/>
            </w:tcBorders>
            <w:shd w:val="clear" w:color="auto" w:fill="D9D9D9" w:themeFill="background1" w:themeFillShade="D9"/>
          </w:tcPr>
          <w:p w14:paraId="03CE3F62" w14:textId="77777777" w:rsidR="00DD7E84" w:rsidRDefault="00DD7E84" w:rsidP="00DE5040">
            <w:pPr>
              <w:spacing w:after="0" w:line="240" w:lineRule="auto"/>
              <w:rPr>
                <w:sz w:val="24"/>
                <w:szCs w:val="24"/>
              </w:rPr>
            </w:pPr>
            <w:r>
              <w:rPr>
                <w:sz w:val="24"/>
                <w:szCs w:val="24"/>
              </w:rPr>
              <w:t>‘Intermediary’ values</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625836" w14:textId="77777777" w:rsidR="00DD7E84" w:rsidRDefault="00DD7E84" w:rsidP="00DE5040">
            <w:pPr>
              <w:spacing w:after="0" w:line="240" w:lineRule="auto"/>
              <w:rPr>
                <w:sz w:val="24"/>
                <w:szCs w:val="24"/>
              </w:rPr>
            </w:pPr>
            <w:r>
              <w:rPr>
                <w:sz w:val="24"/>
                <w:szCs w:val="24"/>
              </w:rPr>
              <w:t>Uncertainty</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DEDFA4" w14:textId="77777777" w:rsidR="00DD7E84" w:rsidRDefault="00DD7E84" w:rsidP="00DE5040">
            <w:pPr>
              <w:spacing w:after="0" w:line="240" w:lineRule="auto"/>
              <w:rPr>
                <w:sz w:val="24"/>
                <w:szCs w:val="24"/>
              </w:rPr>
            </w:pPr>
            <w:r>
              <w:rPr>
                <w:sz w:val="24"/>
                <w:szCs w:val="24"/>
              </w:rPr>
              <w:t xml:space="preserve">                1 2 3</w:t>
            </w:r>
          </w:p>
        </w:tc>
      </w:tr>
      <w:tr w:rsidR="00DD7E84" w14:paraId="4A60A573" w14:textId="77777777" w:rsidTr="00DE5040">
        <w:tc>
          <w:tcPr>
            <w:tcW w:w="1696" w:type="dxa"/>
            <w:vMerge/>
            <w:tcBorders>
              <w:left w:val="single" w:sz="4" w:space="0" w:color="auto"/>
              <w:right w:val="single" w:sz="4" w:space="0" w:color="auto"/>
            </w:tcBorders>
            <w:shd w:val="clear" w:color="auto" w:fill="D9D9D9" w:themeFill="background1" w:themeFillShade="D9"/>
          </w:tcPr>
          <w:p w14:paraId="71780B0F"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4D2853" w14:textId="77777777" w:rsidR="00DD7E84" w:rsidRDefault="00DD7E84" w:rsidP="00DE5040">
            <w:pPr>
              <w:spacing w:after="0" w:line="240" w:lineRule="auto"/>
              <w:rPr>
                <w:sz w:val="24"/>
                <w:szCs w:val="24"/>
              </w:rPr>
            </w:pPr>
            <w:r>
              <w:rPr>
                <w:sz w:val="24"/>
                <w:szCs w:val="24"/>
              </w:rPr>
              <w:t>Knowledge exchange</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0C4F5" w14:textId="77777777" w:rsidR="00DD7E84" w:rsidRDefault="00DD7E84" w:rsidP="00DE5040">
            <w:pPr>
              <w:spacing w:after="0" w:line="240" w:lineRule="auto"/>
              <w:rPr>
                <w:sz w:val="24"/>
                <w:szCs w:val="24"/>
              </w:rPr>
            </w:pPr>
            <w:r>
              <w:rPr>
                <w:sz w:val="24"/>
                <w:szCs w:val="24"/>
              </w:rPr>
              <w:t xml:space="preserve">  1              2               3</w:t>
            </w:r>
          </w:p>
        </w:tc>
      </w:tr>
      <w:tr w:rsidR="00DD7E84" w14:paraId="364D2B2D" w14:textId="77777777" w:rsidTr="00DE5040">
        <w:tc>
          <w:tcPr>
            <w:tcW w:w="1696" w:type="dxa"/>
            <w:vMerge/>
            <w:tcBorders>
              <w:left w:val="single" w:sz="4" w:space="0" w:color="auto"/>
              <w:right w:val="single" w:sz="4" w:space="0" w:color="auto"/>
            </w:tcBorders>
            <w:shd w:val="clear" w:color="auto" w:fill="D9D9D9" w:themeFill="background1" w:themeFillShade="D9"/>
          </w:tcPr>
          <w:p w14:paraId="78B7FA53"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B4248" w14:textId="77777777" w:rsidR="00DD7E84" w:rsidRDefault="00DD7E84" w:rsidP="00DE5040">
            <w:pPr>
              <w:spacing w:after="0" w:line="240" w:lineRule="auto"/>
              <w:rPr>
                <w:sz w:val="24"/>
                <w:szCs w:val="24"/>
              </w:rPr>
            </w:pPr>
            <w:r>
              <w:rPr>
                <w:sz w:val="24"/>
                <w:szCs w:val="24"/>
              </w:rPr>
              <w:t>Accessibility</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A8F02" w14:textId="77777777" w:rsidR="00DD7E84" w:rsidRDefault="00DD7E84" w:rsidP="00DE5040">
            <w:pPr>
              <w:tabs>
                <w:tab w:val="left" w:pos="1227"/>
                <w:tab w:val="center" w:pos="2185"/>
                <w:tab w:val="left" w:pos="2595"/>
              </w:tabs>
              <w:spacing w:after="0" w:line="240" w:lineRule="auto"/>
              <w:rPr>
                <w:sz w:val="24"/>
                <w:szCs w:val="24"/>
              </w:rPr>
            </w:pPr>
            <w:r>
              <w:rPr>
                <w:sz w:val="24"/>
                <w:szCs w:val="24"/>
              </w:rPr>
              <w:t>1 2 3</w:t>
            </w:r>
          </w:p>
        </w:tc>
      </w:tr>
      <w:tr w:rsidR="00DD7E84" w14:paraId="22D538CB" w14:textId="77777777" w:rsidTr="00DE5040">
        <w:tc>
          <w:tcPr>
            <w:tcW w:w="1696" w:type="dxa"/>
            <w:vMerge/>
            <w:tcBorders>
              <w:left w:val="single" w:sz="4" w:space="0" w:color="auto"/>
              <w:right w:val="single" w:sz="4" w:space="0" w:color="auto"/>
            </w:tcBorders>
            <w:shd w:val="clear" w:color="auto" w:fill="D9D9D9" w:themeFill="background1" w:themeFillShade="D9"/>
          </w:tcPr>
          <w:p w14:paraId="497E22F5"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FE108" w14:textId="77777777" w:rsidR="00DD7E84" w:rsidRDefault="00DD7E84" w:rsidP="00DE5040">
            <w:pPr>
              <w:spacing w:after="0" w:line="240" w:lineRule="auto"/>
              <w:rPr>
                <w:sz w:val="24"/>
                <w:szCs w:val="24"/>
              </w:rPr>
            </w:pPr>
            <w:r>
              <w:rPr>
                <w:sz w:val="24"/>
                <w:szCs w:val="24"/>
              </w:rPr>
              <w:t>Boundary management</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38A316" w14:textId="77777777" w:rsidR="00DD7E84" w:rsidRDefault="00DD7E84" w:rsidP="00DE5040">
            <w:pPr>
              <w:spacing w:after="0" w:line="240" w:lineRule="auto"/>
              <w:rPr>
                <w:sz w:val="24"/>
                <w:szCs w:val="24"/>
              </w:rPr>
            </w:pPr>
            <w:r>
              <w:rPr>
                <w:sz w:val="24"/>
                <w:szCs w:val="24"/>
              </w:rPr>
              <w:t xml:space="preserve">  1             2 3</w:t>
            </w:r>
          </w:p>
        </w:tc>
      </w:tr>
      <w:tr w:rsidR="00DD7E84" w14:paraId="71CA232D" w14:textId="77777777" w:rsidTr="00DE5040">
        <w:tc>
          <w:tcPr>
            <w:tcW w:w="1696" w:type="dxa"/>
            <w:vMerge/>
            <w:tcBorders>
              <w:left w:val="single" w:sz="4" w:space="0" w:color="auto"/>
              <w:right w:val="single" w:sz="4" w:space="0" w:color="auto"/>
            </w:tcBorders>
            <w:shd w:val="clear" w:color="auto" w:fill="D9D9D9" w:themeFill="background1" w:themeFillShade="D9"/>
          </w:tcPr>
          <w:p w14:paraId="68F08741"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1BBB3" w14:textId="77777777" w:rsidR="00DD7E84" w:rsidRDefault="00DD7E84" w:rsidP="00DE5040">
            <w:pPr>
              <w:spacing w:after="0" w:line="240" w:lineRule="auto"/>
              <w:rPr>
                <w:sz w:val="24"/>
                <w:szCs w:val="24"/>
              </w:rPr>
            </w:pPr>
            <w:r>
              <w:rPr>
                <w:sz w:val="24"/>
                <w:szCs w:val="24"/>
              </w:rPr>
              <w:t>Network</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AC23C" w14:textId="77777777" w:rsidR="00DD7E84" w:rsidRDefault="00DD7E84" w:rsidP="00DE5040">
            <w:pPr>
              <w:spacing w:after="0" w:line="240" w:lineRule="auto"/>
              <w:rPr>
                <w:sz w:val="24"/>
                <w:szCs w:val="24"/>
              </w:rPr>
            </w:pPr>
            <w:r>
              <w:rPr>
                <w:sz w:val="24"/>
                <w:szCs w:val="24"/>
              </w:rPr>
              <w:t xml:space="preserve">  1             2 3</w:t>
            </w:r>
          </w:p>
        </w:tc>
      </w:tr>
      <w:tr w:rsidR="00DD7E84" w14:paraId="5A6A3730" w14:textId="77777777" w:rsidTr="00DE5040">
        <w:tc>
          <w:tcPr>
            <w:tcW w:w="1696" w:type="dxa"/>
            <w:vMerge/>
            <w:tcBorders>
              <w:left w:val="single" w:sz="4" w:space="0" w:color="auto"/>
              <w:right w:val="single" w:sz="4" w:space="0" w:color="auto"/>
            </w:tcBorders>
            <w:shd w:val="clear" w:color="auto" w:fill="D9D9D9" w:themeFill="background1" w:themeFillShade="D9"/>
          </w:tcPr>
          <w:p w14:paraId="72B47C11"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089FB9" w14:textId="77777777" w:rsidR="00DD7E84" w:rsidRDefault="00DD7E84" w:rsidP="00DE5040">
            <w:pPr>
              <w:spacing w:after="0" w:line="240" w:lineRule="auto"/>
              <w:rPr>
                <w:sz w:val="24"/>
                <w:szCs w:val="24"/>
              </w:rPr>
            </w:pPr>
            <w:r>
              <w:rPr>
                <w:sz w:val="24"/>
                <w:szCs w:val="24"/>
              </w:rPr>
              <w:t>Flexibility</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44650" w14:textId="77777777" w:rsidR="00DD7E84" w:rsidRDefault="00DD7E84" w:rsidP="00DE5040">
            <w:pPr>
              <w:spacing w:after="0" w:line="240" w:lineRule="auto"/>
              <w:rPr>
                <w:sz w:val="24"/>
                <w:szCs w:val="24"/>
              </w:rPr>
            </w:pPr>
            <w:r>
              <w:rPr>
                <w:sz w:val="24"/>
                <w:szCs w:val="24"/>
              </w:rPr>
              <w:t xml:space="preserve"> 1 2             3</w:t>
            </w:r>
          </w:p>
        </w:tc>
      </w:tr>
      <w:tr w:rsidR="00DD7E84" w14:paraId="2E358BC3" w14:textId="77777777" w:rsidTr="00DE5040">
        <w:tc>
          <w:tcPr>
            <w:tcW w:w="1696" w:type="dxa"/>
            <w:vMerge/>
            <w:tcBorders>
              <w:left w:val="single" w:sz="4" w:space="0" w:color="auto"/>
              <w:right w:val="single" w:sz="4" w:space="0" w:color="auto"/>
            </w:tcBorders>
            <w:shd w:val="clear" w:color="auto" w:fill="D9D9D9" w:themeFill="background1" w:themeFillShade="D9"/>
          </w:tcPr>
          <w:p w14:paraId="37D41B42"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267F41" w14:textId="77777777" w:rsidR="00DD7E84" w:rsidRDefault="00DD7E84" w:rsidP="00DE5040">
            <w:pPr>
              <w:spacing w:after="0" w:line="240" w:lineRule="auto"/>
              <w:rPr>
                <w:sz w:val="24"/>
                <w:szCs w:val="24"/>
              </w:rPr>
            </w:pPr>
            <w:r>
              <w:rPr>
                <w:sz w:val="24"/>
                <w:szCs w:val="24"/>
              </w:rPr>
              <w:t>Social capital</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CB701" w14:textId="77777777" w:rsidR="00DD7E84" w:rsidRDefault="00DD7E84" w:rsidP="00DE5040">
            <w:pPr>
              <w:spacing w:after="0" w:line="240" w:lineRule="auto"/>
              <w:rPr>
                <w:sz w:val="24"/>
                <w:szCs w:val="24"/>
              </w:rPr>
            </w:pPr>
            <w:r>
              <w:rPr>
                <w:sz w:val="24"/>
                <w:szCs w:val="24"/>
              </w:rPr>
              <w:t xml:space="preserve">  1             2 3</w:t>
            </w:r>
          </w:p>
        </w:tc>
      </w:tr>
      <w:tr w:rsidR="00DD7E84" w14:paraId="77E9BCB2" w14:textId="77777777" w:rsidTr="00DE5040">
        <w:tc>
          <w:tcPr>
            <w:tcW w:w="1696" w:type="dxa"/>
            <w:vMerge/>
            <w:tcBorders>
              <w:left w:val="single" w:sz="4" w:space="0" w:color="auto"/>
              <w:bottom w:val="single" w:sz="4" w:space="0" w:color="auto"/>
              <w:right w:val="single" w:sz="4" w:space="0" w:color="auto"/>
            </w:tcBorders>
            <w:shd w:val="clear" w:color="auto" w:fill="D9D9D9" w:themeFill="background1" w:themeFillShade="D9"/>
          </w:tcPr>
          <w:p w14:paraId="573F8EFB"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5D168A" w14:textId="77777777" w:rsidR="00DD7E84" w:rsidRDefault="00DD7E84" w:rsidP="00DE5040">
            <w:pPr>
              <w:spacing w:after="0" w:line="240" w:lineRule="auto"/>
              <w:rPr>
                <w:sz w:val="24"/>
                <w:szCs w:val="24"/>
              </w:rPr>
            </w:pPr>
            <w:r>
              <w:rPr>
                <w:sz w:val="24"/>
                <w:szCs w:val="24"/>
              </w:rPr>
              <w:t>Disciplinary focus</w:t>
            </w:r>
          </w:p>
        </w:tc>
        <w:tc>
          <w:tcPr>
            <w:tcW w:w="4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36806D" w14:textId="77777777" w:rsidR="00DD7E84" w:rsidRDefault="00DD7E84" w:rsidP="00DE5040">
            <w:pPr>
              <w:spacing w:after="0" w:line="240" w:lineRule="auto"/>
              <w:rPr>
                <w:sz w:val="24"/>
                <w:szCs w:val="24"/>
              </w:rPr>
            </w:pPr>
            <w:r>
              <w:rPr>
                <w:sz w:val="24"/>
                <w:szCs w:val="24"/>
              </w:rPr>
              <w:t xml:space="preserve"> 1 2             3              </w:t>
            </w:r>
          </w:p>
        </w:tc>
      </w:tr>
      <w:tr w:rsidR="00DD7E84" w14:paraId="3DAA3256" w14:textId="77777777" w:rsidTr="00DE5040">
        <w:tc>
          <w:tcPr>
            <w:tcW w:w="1696" w:type="dxa"/>
            <w:vMerge w:val="restart"/>
            <w:tcBorders>
              <w:top w:val="single" w:sz="4" w:space="0" w:color="auto"/>
              <w:left w:val="single" w:sz="4" w:space="0" w:color="auto"/>
              <w:right w:val="single" w:sz="4" w:space="0" w:color="auto"/>
            </w:tcBorders>
            <w:shd w:val="clear" w:color="auto" w:fill="A6A6A6" w:themeFill="background1" w:themeFillShade="A6"/>
          </w:tcPr>
          <w:p w14:paraId="5CF8F678" w14:textId="77777777" w:rsidR="00DD7E84" w:rsidRDefault="00DD7E84" w:rsidP="00DE5040">
            <w:pPr>
              <w:spacing w:after="0" w:line="240" w:lineRule="auto"/>
              <w:rPr>
                <w:sz w:val="24"/>
                <w:szCs w:val="24"/>
              </w:rPr>
            </w:pPr>
            <w:r>
              <w:rPr>
                <w:sz w:val="24"/>
                <w:szCs w:val="24"/>
              </w:rPr>
              <w:t xml:space="preserve">‘Knowledge content’ </w:t>
            </w:r>
          </w:p>
          <w:p w14:paraId="56143288" w14:textId="77777777" w:rsidR="00DD7E84" w:rsidRDefault="00DD7E84" w:rsidP="00DE5040">
            <w:pPr>
              <w:spacing w:after="0" w:line="240" w:lineRule="auto"/>
              <w:rPr>
                <w:sz w:val="24"/>
                <w:szCs w:val="24"/>
              </w:rPr>
            </w:pPr>
            <w:r>
              <w:rPr>
                <w:sz w:val="24"/>
                <w:szCs w:val="24"/>
              </w:rPr>
              <w:t>values</w:t>
            </w: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FE37C8C" w14:textId="77777777" w:rsidR="00DD7E84" w:rsidRDefault="00DD7E84" w:rsidP="00DE5040">
            <w:pPr>
              <w:spacing w:after="0" w:line="240" w:lineRule="auto"/>
              <w:rPr>
                <w:sz w:val="24"/>
                <w:szCs w:val="24"/>
              </w:rPr>
            </w:pPr>
            <w:r>
              <w:rPr>
                <w:sz w:val="24"/>
                <w:szCs w:val="24"/>
              </w:rPr>
              <w:t>Expertise</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52DEB57" w14:textId="77777777" w:rsidR="00DD7E84" w:rsidRDefault="00DD7E84" w:rsidP="00DE5040">
            <w:pPr>
              <w:spacing w:after="0" w:line="240" w:lineRule="auto"/>
              <w:rPr>
                <w:sz w:val="24"/>
                <w:szCs w:val="24"/>
              </w:rPr>
            </w:pPr>
            <w:r>
              <w:rPr>
                <w:sz w:val="24"/>
                <w:szCs w:val="24"/>
              </w:rPr>
              <w:t>1 2 3</w:t>
            </w:r>
          </w:p>
        </w:tc>
      </w:tr>
      <w:tr w:rsidR="00DD7E84" w14:paraId="1F3B8B70" w14:textId="77777777" w:rsidTr="00DE5040">
        <w:tc>
          <w:tcPr>
            <w:tcW w:w="1696" w:type="dxa"/>
            <w:vMerge/>
            <w:tcBorders>
              <w:left w:val="single" w:sz="4" w:space="0" w:color="auto"/>
              <w:right w:val="single" w:sz="4" w:space="0" w:color="auto"/>
            </w:tcBorders>
            <w:shd w:val="clear" w:color="auto" w:fill="A6A6A6" w:themeFill="background1" w:themeFillShade="A6"/>
          </w:tcPr>
          <w:p w14:paraId="4559DCE4"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37BF3E4" w14:textId="77777777" w:rsidR="00DD7E84" w:rsidRDefault="00DD7E84" w:rsidP="00DE5040">
            <w:pPr>
              <w:spacing w:after="0" w:line="240" w:lineRule="auto"/>
              <w:rPr>
                <w:sz w:val="24"/>
                <w:szCs w:val="24"/>
              </w:rPr>
            </w:pPr>
            <w:r>
              <w:rPr>
                <w:sz w:val="24"/>
                <w:szCs w:val="24"/>
              </w:rPr>
              <w:t>Learning</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5483C3B" w14:textId="77777777" w:rsidR="00DD7E84" w:rsidRDefault="00DD7E84" w:rsidP="00DE5040">
            <w:pPr>
              <w:keepNext/>
              <w:spacing w:after="0" w:line="240" w:lineRule="auto"/>
              <w:rPr>
                <w:sz w:val="24"/>
                <w:szCs w:val="24"/>
              </w:rPr>
            </w:pPr>
            <w:r>
              <w:rPr>
                <w:sz w:val="24"/>
                <w:szCs w:val="24"/>
              </w:rPr>
              <w:t>1 2 3</w:t>
            </w:r>
          </w:p>
        </w:tc>
      </w:tr>
      <w:tr w:rsidR="00DD7E84" w14:paraId="4FCBBF96" w14:textId="77777777" w:rsidTr="00DE5040">
        <w:tc>
          <w:tcPr>
            <w:tcW w:w="1696" w:type="dxa"/>
            <w:vMerge/>
            <w:tcBorders>
              <w:left w:val="single" w:sz="4" w:space="0" w:color="auto"/>
              <w:bottom w:val="single" w:sz="4" w:space="0" w:color="auto"/>
              <w:right w:val="single" w:sz="4" w:space="0" w:color="auto"/>
            </w:tcBorders>
            <w:shd w:val="clear" w:color="auto" w:fill="A6A6A6" w:themeFill="background1" w:themeFillShade="A6"/>
          </w:tcPr>
          <w:p w14:paraId="4A60FFA9" w14:textId="77777777" w:rsidR="00DD7E84" w:rsidRDefault="00DD7E84" w:rsidP="00DE5040">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63CC42D" w14:textId="77777777" w:rsidR="00DD7E84" w:rsidRDefault="00DD7E84" w:rsidP="00DE5040">
            <w:pPr>
              <w:spacing w:after="0" w:line="240" w:lineRule="auto"/>
              <w:rPr>
                <w:sz w:val="24"/>
                <w:szCs w:val="24"/>
              </w:rPr>
            </w:pPr>
            <w:r>
              <w:rPr>
                <w:sz w:val="24"/>
                <w:szCs w:val="24"/>
              </w:rPr>
              <w:t>Human capital</w:t>
            </w:r>
          </w:p>
        </w:tc>
        <w:tc>
          <w:tcPr>
            <w:tcW w:w="46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43E944A" w14:textId="77777777" w:rsidR="00DD7E84" w:rsidRDefault="00DD7E84" w:rsidP="00DE5040">
            <w:pPr>
              <w:keepNext/>
              <w:spacing w:after="0" w:line="240" w:lineRule="auto"/>
              <w:rPr>
                <w:sz w:val="24"/>
                <w:szCs w:val="24"/>
              </w:rPr>
            </w:pPr>
            <w:r>
              <w:rPr>
                <w:sz w:val="24"/>
                <w:szCs w:val="24"/>
              </w:rPr>
              <w:t xml:space="preserve"> 1 2             3</w:t>
            </w:r>
          </w:p>
        </w:tc>
      </w:tr>
    </w:tbl>
    <w:p w14:paraId="5681BC20" w14:textId="3917B49C" w:rsidR="00DD7E84" w:rsidRDefault="00DD7E84" w:rsidP="00DD7E84">
      <w:pPr>
        <w:pStyle w:val="Caption"/>
      </w:pPr>
      <w:bookmarkStart w:id="194" w:name="_Ref7103975"/>
      <w:bookmarkStart w:id="195" w:name="_Toc31702082"/>
      <w:r>
        <w:t xml:space="preserve">Figure </w:t>
      </w:r>
      <w:r>
        <w:rPr>
          <w:noProof/>
        </w:rPr>
        <w:fldChar w:fldCharType="begin"/>
      </w:r>
      <w:r>
        <w:rPr>
          <w:noProof/>
        </w:rPr>
        <w:instrText xml:space="preserve"> SEQ Figure \* ARABIC </w:instrText>
      </w:r>
      <w:r>
        <w:rPr>
          <w:noProof/>
        </w:rPr>
        <w:fldChar w:fldCharType="separate"/>
      </w:r>
      <w:r w:rsidR="0011424E">
        <w:rPr>
          <w:noProof/>
        </w:rPr>
        <w:t>13</w:t>
      </w:r>
      <w:r>
        <w:rPr>
          <w:noProof/>
        </w:rPr>
        <w:fldChar w:fldCharType="end"/>
      </w:r>
      <w:bookmarkEnd w:id="194"/>
      <w:r>
        <w:t>. BoR4.2 typology</w:t>
      </w:r>
      <w:bookmarkEnd w:id="195"/>
    </w:p>
    <w:p w14:paraId="1F558923" w14:textId="50FE1719" w:rsidR="00FC7D6C" w:rsidRDefault="00FC7D6C" w:rsidP="00FC7D6C">
      <w:pPr>
        <w:spacing w:before="120" w:after="120" w:line="360" w:lineRule="auto"/>
        <w:rPr>
          <w:sz w:val="24"/>
          <w:szCs w:val="24"/>
          <w:lang w:eastAsia="zh-TW"/>
        </w:rPr>
      </w:pPr>
      <w:r>
        <w:rPr>
          <w:sz w:val="24"/>
          <w:szCs w:val="24"/>
          <w:lang w:eastAsia="zh-TW"/>
        </w:rPr>
        <w:t>What BoR4.2 highlights, then, is that research which is strongly science-oriented and operates primarily within the confines of academic boundaries can, at least under certain conditions, be conducive to highly effective boundary-crossing transactions, which go on to have ‘significant impact’ (at least as judged by the REF). For example, in the context of a use-inspired discipline such as psychopharmacology, it may be that low rather than high values on the ‘disciplinary focus’ attribute of the typology – as exhibited by BoR4.2 – is an important feature of research likely to achieve impact. This is a similar analysis to that presented for BoR5. But the main difference with BoR5 was that the research had more immediate and actively contested relevance to certain sectors of the economy, and therefore the expert advice and scientific output of SMRU (responsible for BoR5) was in greater demand. By contrast, although there were clear potential users of the knowledge produced by DABRG researchers (responsible for BoR4.2), their incentives for demanding such knowledge were not so great – these potential users would be likely to respond and use DABRG’s research, but would not have been likely to actively demand and commission it, nor were the decisions based on DABRG’s research likely to be so heavily scrutinised. What BoR4.2 highlights, particularly in comparison with BoR5, is that</w:t>
      </w:r>
      <w:r w:rsidR="00A55423">
        <w:rPr>
          <w:sz w:val="24"/>
          <w:szCs w:val="24"/>
          <w:lang w:eastAsia="zh-TW"/>
        </w:rPr>
        <w:t xml:space="preserve"> different bodies of</w:t>
      </w:r>
      <w:r>
        <w:rPr>
          <w:sz w:val="24"/>
          <w:szCs w:val="24"/>
          <w:lang w:eastAsia="zh-TW"/>
        </w:rPr>
        <w:t xml:space="preserve"> research </w:t>
      </w:r>
      <w:r w:rsidR="00F51328">
        <w:rPr>
          <w:sz w:val="24"/>
          <w:szCs w:val="24"/>
          <w:lang w:eastAsia="zh-TW"/>
        </w:rPr>
        <w:t>may</w:t>
      </w:r>
      <w:r>
        <w:rPr>
          <w:sz w:val="24"/>
          <w:szCs w:val="24"/>
          <w:lang w:eastAsia="zh-TW"/>
        </w:rPr>
        <w:t xml:space="preserve"> </w:t>
      </w:r>
      <w:r w:rsidR="00E715C5">
        <w:rPr>
          <w:sz w:val="24"/>
          <w:szCs w:val="24"/>
          <w:lang w:eastAsia="zh-TW"/>
        </w:rPr>
        <w:t xml:space="preserve">have similar research approaches and orientations </w:t>
      </w:r>
      <w:r>
        <w:rPr>
          <w:sz w:val="24"/>
          <w:szCs w:val="24"/>
          <w:lang w:eastAsia="zh-TW"/>
        </w:rPr>
        <w:t xml:space="preserve">(i.e. producing ‘use-inspired basic’ knowledge) </w:t>
      </w:r>
      <w:r w:rsidR="00E715C5">
        <w:rPr>
          <w:sz w:val="24"/>
          <w:szCs w:val="24"/>
          <w:lang w:eastAsia="zh-TW"/>
        </w:rPr>
        <w:t xml:space="preserve">but not necessarily engage </w:t>
      </w:r>
      <w:r>
        <w:rPr>
          <w:sz w:val="24"/>
          <w:szCs w:val="24"/>
          <w:lang w:eastAsia="zh-TW"/>
        </w:rPr>
        <w:t>in the same kind or exten</w:t>
      </w:r>
      <w:r w:rsidR="00A22ED7">
        <w:rPr>
          <w:sz w:val="24"/>
          <w:szCs w:val="24"/>
          <w:lang w:eastAsia="zh-TW"/>
        </w:rPr>
        <w:t>t of boundary transactions, as t</w:t>
      </w:r>
      <w:r w:rsidR="00834AB8">
        <w:rPr>
          <w:sz w:val="24"/>
          <w:szCs w:val="24"/>
          <w:lang w:eastAsia="zh-TW"/>
        </w:rPr>
        <w:t xml:space="preserve">he form of boundary transactions can also </w:t>
      </w:r>
      <w:r>
        <w:rPr>
          <w:sz w:val="24"/>
          <w:szCs w:val="24"/>
          <w:lang w:eastAsia="zh-TW"/>
        </w:rPr>
        <w:t>be shaped by the external context. Although part of the aim of my research is to explore the influence that the ‘non-academic’ has on academia, it is beyond the scope of my research to explore in detail why some external conditions demand knowledge in different ways and at different levels of intensity to others. Having said that, this result prompt</w:t>
      </w:r>
      <w:r w:rsidR="001404E8">
        <w:rPr>
          <w:sz w:val="24"/>
          <w:szCs w:val="24"/>
          <w:lang w:eastAsia="zh-TW"/>
        </w:rPr>
        <w:t xml:space="preserve">s me, in later to sections, to </w:t>
      </w:r>
      <w:r>
        <w:rPr>
          <w:sz w:val="24"/>
          <w:szCs w:val="24"/>
          <w:lang w:eastAsia="zh-TW"/>
        </w:rPr>
        <w:t xml:space="preserve">try to take into account the kinds of ‘user’ group that my BoRs engage with and whether different types of user are associated with different characteristics of research or boundary transaction.  </w:t>
      </w:r>
    </w:p>
    <w:p w14:paraId="48163CF8" w14:textId="6C36CEC1" w:rsidR="004371EE" w:rsidRDefault="00B05A7C" w:rsidP="00AD6CC7">
      <w:pPr>
        <w:pStyle w:val="Heading2"/>
      </w:pPr>
      <w:bookmarkStart w:id="196" w:name="_Toc31701985"/>
      <w:r>
        <w:t>Towards an</w:t>
      </w:r>
      <w:r w:rsidR="008E27A7">
        <w:t xml:space="preserve"> explanatory analysis</w:t>
      </w:r>
      <w:bookmarkEnd w:id="196"/>
    </w:p>
    <w:p w14:paraId="1AB17A9F" w14:textId="5AC853E4" w:rsidR="00AD6CC7" w:rsidRDefault="00AD6CC7" w:rsidP="00301903">
      <w:pPr>
        <w:spacing w:after="120" w:line="360" w:lineRule="auto"/>
        <w:rPr>
          <w:sz w:val="24"/>
          <w:szCs w:val="24"/>
        </w:rPr>
      </w:pPr>
      <w:r>
        <w:rPr>
          <w:sz w:val="24"/>
          <w:szCs w:val="24"/>
        </w:rPr>
        <w:t xml:space="preserve">This </w:t>
      </w:r>
      <w:r w:rsidR="00301903">
        <w:rPr>
          <w:sz w:val="24"/>
          <w:szCs w:val="24"/>
        </w:rPr>
        <w:t>section is the culmination of th</w:t>
      </w:r>
      <w:r w:rsidR="00CB6745">
        <w:rPr>
          <w:sz w:val="24"/>
          <w:szCs w:val="24"/>
        </w:rPr>
        <w:t xml:space="preserve">e current </w:t>
      </w:r>
      <w:r w:rsidR="00301903">
        <w:rPr>
          <w:sz w:val="24"/>
          <w:szCs w:val="24"/>
        </w:rPr>
        <w:t>chapter</w:t>
      </w:r>
      <w:r w:rsidR="00CB6745">
        <w:rPr>
          <w:sz w:val="24"/>
          <w:szCs w:val="24"/>
        </w:rPr>
        <w:t>, which has presented analyses and finding</w:t>
      </w:r>
      <w:r w:rsidR="00BA7940">
        <w:rPr>
          <w:sz w:val="24"/>
          <w:szCs w:val="24"/>
        </w:rPr>
        <w:t>s</w:t>
      </w:r>
      <w:r w:rsidR="00CB6745">
        <w:rPr>
          <w:sz w:val="24"/>
          <w:szCs w:val="24"/>
        </w:rPr>
        <w:t xml:space="preserve"> from the data</w:t>
      </w:r>
      <w:r w:rsidR="00301903">
        <w:rPr>
          <w:sz w:val="24"/>
          <w:szCs w:val="24"/>
        </w:rPr>
        <w:t xml:space="preserve">. </w:t>
      </w:r>
      <w:r w:rsidR="00BC6A19">
        <w:rPr>
          <w:sz w:val="24"/>
          <w:szCs w:val="24"/>
        </w:rPr>
        <w:t>This section</w:t>
      </w:r>
      <w:r w:rsidR="00244F80">
        <w:rPr>
          <w:sz w:val="24"/>
          <w:szCs w:val="24"/>
        </w:rPr>
        <w:t xml:space="preserve"> take</w:t>
      </w:r>
      <w:r w:rsidR="00BC6A19">
        <w:rPr>
          <w:sz w:val="24"/>
          <w:szCs w:val="24"/>
        </w:rPr>
        <w:t>s</w:t>
      </w:r>
      <w:r w:rsidR="00244F80">
        <w:rPr>
          <w:sz w:val="24"/>
          <w:szCs w:val="24"/>
        </w:rPr>
        <w:t xml:space="preserve"> the analysis further</w:t>
      </w:r>
      <w:r w:rsidR="00BC6A19">
        <w:rPr>
          <w:sz w:val="24"/>
          <w:szCs w:val="24"/>
        </w:rPr>
        <w:t xml:space="preserve"> than previous sections in that it aims to: (i) contextualise the forms and functioning of boundary transactions in the sampled bodies of research (BoRs</w:t>
      </w:r>
      <w:r w:rsidR="000B1753">
        <w:rPr>
          <w:sz w:val="24"/>
          <w:szCs w:val="24"/>
        </w:rPr>
        <w:t>); (ii)</w:t>
      </w:r>
      <w:r w:rsidR="00BC6A19">
        <w:rPr>
          <w:sz w:val="24"/>
          <w:szCs w:val="24"/>
        </w:rPr>
        <w:t xml:space="preserve"> analys</w:t>
      </w:r>
      <w:r w:rsidR="000B1753">
        <w:rPr>
          <w:sz w:val="24"/>
          <w:szCs w:val="24"/>
        </w:rPr>
        <w:t>e</w:t>
      </w:r>
      <w:r w:rsidR="00BC6A19">
        <w:rPr>
          <w:sz w:val="24"/>
          <w:szCs w:val="24"/>
        </w:rPr>
        <w:t xml:space="preserve"> </w:t>
      </w:r>
      <w:r w:rsidR="000F4AF7">
        <w:rPr>
          <w:sz w:val="24"/>
          <w:szCs w:val="24"/>
        </w:rPr>
        <w:t>these boundary transactions</w:t>
      </w:r>
      <w:r w:rsidR="00BC6A19">
        <w:rPr>
          <w:sz w:val="24"/>
          <w:szCs w:val="24"/>
        </w:rPr>
        <w:t xml:space="preserve"> according to the</w:t>
      </w:r>
      <w:r w:rsidR="00301903">
        <w:rPr>
          <w:sz w:val="24"/>
          <w:szCs w:val="24"/>
        </w:rPr>
        <w:t xml:space="preserve"> contextual dimensions of interest – departmental status, branch of </w:t>
      </w:r>
      <w:r w:rsidR="00741795">
        <w:rPr>
          <w:sz w:val="24"/>
          <w:szCs w:val="24"/>
        </w:rPr>
        <w:t>science</w:t>
      </w:r>
      <w:r w:rsidR="00301903">
        <w:rPr>
          <w:sz w:val="24"/>
          <w:szCs w:val="24"/>
        </w:rPr>
        <w:t xml:space="preserve"> and orientation of discipline</w:t>
      </w:r>
      <w:r w:rsidR="00BC6A19">
        <w:rPr>
          <w:sz w:val="24"/>
          <w:szCs w:val="24"/>
        </w:rPr>
        <w:t>; (ii</w:t>
      </w:r>
      <w:r w:rsidR="000F4AF7">
        <w:rPr>
          <w:sz w:val="24"/>
          <w:szCs w:val="24"/>
        </w:rPr>
        <w:t>i</w:t>
      </w:r>
      <w:r w:rsidR="00BC6A19">
        <w:rPr>
          <w:sz w:val="24"/>
          <w:szCs w:val="24"/>
        </w:rPr>
        <w:t>)</w:t>
      </w:r>
      <w:r w:rsidR="000F4AF7">
        <w:rPr>
          <w:sz w:val="24"/>
          <w:szCs w:val="24"/>
        </w:rPr>
        <w:t xml:space="preserve"> </w:t>
      </w:r>
      <w:r w:rsidR="00C20747">
        <w:rPr>
          <w:sz w:val="24"/>
          <w:szCs w:val="24"/>
        </w:rPr>
        <w:t xml:space="preserve">highlight </w:t>
      </w:r>
      <w:r w:rsidR="00487018">
        <w:rPr>
          <w:sz w:val="24"/>
          <w:szCs w:val="24"/>
        </w:rPr>
        <w:t xml:space="preserve">the variations </w:t>
      </w:r>
      <w:r w:rsidR="00487018">
        <w:rPr>
          <w:i/>
          <w:sz w:val="24"/>
          <w:szCs w:val="24"/>
        </w:rPr>
        <w:t xml:space="preserve">within </w:t>
      </w:r>
      <w:r w:rsidR="00487018">
        <w:rPr>
          <w:sz w:val="24"/>
          <w:szCs w:val="24"/>
        </w:rPr>
        <w:t>each of these three contextual dimensions</w:t>
      </w:r>
      <w:r w:rsidR="00C20747">
        <w:rPr>
          <w:sz w:val="24"/>
          <w:szCs w:val="24"/>
        </w:rPr>
        <w:t xml:space="preserve">, and (iv) explore these variations using all available </w:t>
      </w:r>
      <w:r w:rsidR="00C93B01">
        <w:rPr>
          <w:sz w:val="24"/>
          <w:szCs w:val="24"/>
        </w:rPr>
        <w:t>documentary and interview</w:t>
      </w:r>
      <w:r w:rsidR="00C20747">
        <w:rPr>
          <w:sz w:val="24"/>
          <w:szCs w:val="24"/>
        </w:rPr>
        <w:t xml:space="preserve"> data</w:t>
      </w:r>
      <w:r w:rsidR="00487018">
        <w:rPr>
          <w:sz w:val="24"/>
          <w:szCs w:val="24"/>
        </w:rPr>
        <w:t xml:space="preserve"> in order to </w:t>
      </w:r>
      <w:r w:rsidR="00450005">
        <w:rPr>
          <w:sz w:val="24"/>
          <w:szCs w:val="24"/>
        </w:rPr>
        <w:t xml:space="preserve">explore the reasons for observed variations. </w:t>
      </w:r>
    </w:p>
    <w:p w14:paraId="7DFB0266" w14:textId="264462B3" w:rsidR="00F05694" w:rsidRPr="005158EB" w:rsidRDefault="005158EB" w:rsidP="00301903">
      <w:pPr>
        <w:spacing w:after="120" w:line="360" w:lineRule="auto"/>
        <w:rPr>
          <w:sz w:val="24"/>
          <w:szCs w:val="24"/>
        </w:rPr>
      </w:pPr>
      <w:r w:rsidRPr="005158EB">
        <w:rPr>
          <w:sz w:val="24"/>
          <w:szCs w:val="24"/>
        </w:rPr>
        <w:fldChar w:fldCharType="begin"/>
      </w:r>
      <w:r w:rsidRPr="005158EB">
        <w:rPr>
          <w:sz w:val="24"/>
          <w:szCs w:val="24"/>
        </w:rPr>
        <w:instrText xml:space="preserve"> REF _Ref8937176 \h </w:instrText>
      </w:r>
      <w:r>
        <w:rPr>
          <w:sz w:val="24"/>
          <w:szCs w:val="24"/>
        </w:rPr>
        <w:instrText xml:space="preserve"> \* MERGEFORMAT </w:instrText>
      </w:r>
      <w:r w:rsidRPr="005158EB">
        <w:rPr>
          <w:sz w:val="24"/>
          <w:szCs w:val="24"/>
        </w:rPr>
      </w:r>
      <w:r w:rsidRPr="005158EB">
        <w:rPr>
          <w:sz w:val="24"/>
          <w:szCs w:val="24"/>
        </w:rPr>
        <w:fldChar w:fldCharType="separate"/>
      </w:r>
      <w:r w:rsidR="0011424E" w:rsidRPr="0011424E">
        <w:rPr>
          <w:sz w:val="24"/>
          <w:szCs w:val="24"/>
        </w:rPr>
        <w:t xml:space="preserve">Table </w:t>
      </w:r>
      <w:r w:rsidR="0011424E" w:rsidRPr="0011424E">
        <w:rPr>
          <w:noProof/>
          <w:sz w:val="24"/>
          <w:szCs w:val="24"/>
        </w:rPr>
        <w:t>37</w:t>
      </w:r>
      <w:r w:rsidRPr="005158EB">
        <w:rPr>
          <w:sz w:val="24"/>
          <w:szCs w:val="24"/>
        </w:rPr>
        <w:fldChar w:fldCharType="end"/>
      </w:r>
      <w:r w:rsidR="00BC304A">
        <w:rPr>
          <w:sz w:val="24"/>
          <w:szCs w:val="24"/>
        </w:rPr>
        <w:t xml:space="preserve">, below, </w:t>
      </w:r>
      <w:r>
        <w:rPr>
          <w:sz w:val="24"/>
          <w:szCs w:val="24"/>
        </w:rPr>
        <w:t>condenses the observed variation</w:t>
      </w:r>
      <w:r w:rsidR="0080079F">
        <w:rPr>
          <w:sz w:val="24"/>
          <w:szCs w:val="24"/>
        </w:rPr>
        <w:t xml:space="preserve">s </w:t>
      </w:r>
      <w:r w:rsidR="00B50551">
        <w:rPr>
          <w:sz w:val="24"/>
          <w:szCs w:val="24"/>
        </w:rPr>
        <w:t>within each of the three contextual dimensions</w:t>
      </w:r>
      <w:r>
        <w:rPr>
          <w:sz w:val="24"/>
          <w:szCs w:val="24"/>
        </w:rPr>
        <w:t>, and I will refer back to it</w:t>
      </w:r>
      <w:r w:rsidR="00B50551">
        <w:rPr>
          <w:sz w:val="24"/>
          <w:szCs w:val="24"/>
        </w:rPr>
        <w:t xml:space="preserve"> </w:t>
      </w:r>
      <w:r w:rsidR="00D22637">
        <w:rPr>
          <w:sz w:val="24"/>
          <w:szCs w:val="24"/>
        </w:rPr>
        <w:t>throughout this section, as the data within it raises issues to be addressed and explored in depth. For example,</w:t>
      </w:r>
      <w:r w:rsidR="00E808B7">
        <w:rPr>
          <w:sz w:val="24"/>
          <w:szCs w:val="24"/>
        </w:rPr>
        <w:t xml:space="preserve"> </w:t>
      </w:r>
      <w:r w:rsidR="00AD619D" w:rsidRPr="00C63F89">
        <w:rPr>
          <w:sz w:val="24"/>
          <w:szCs w:val="24"/>
        </w:rPr>
        <w:fldChar w:fldCharType="begin"/>
      </w:r>
      <w:r w:rsidR="00AD619D" w:rsidRPr="00C63F89">
        <w:rPr>
          <w:sz w:val="24"/>
          <w:szCs w:val="24"/>
        </w:rPr>
        <w:instrText xml:space="preserve"> REF _Ref8937176 \h </w:instrText>
      </w:r>
      <w:r w:rsidR="00AD619D">
        <w:rPr>
          <w:sz w:val="24"/>
          <w:szCs w:val="24"/>
        </w:rPr>
        <w:instrText xml:space="preserve"> \* MERGEFORMAT </w:instrText>
      </w:r>
      <w:r w:rsidR="00AD619D" w:rsidRPr="00C63F89">
        <w:rPr>
          <w:sz w:val="24"/>
          <w:szCs w:val="24"/>
        </w:rPr>
      </w:r>
      <w:r w:rsidR="00AD619D" w:rsidRPr="00C63F89">
        <w:rPr>
          <w:sz w:val="24"/>
          <w:szCs w:val="24"/>
        </w:rPr>
        <w:fldChar w:fldCharType="separate"/>
      </w:r>
      <w:r w:rsidR="0011424E" w:rsidRPr="0011424E">
        <w:rPr>
          <w:sz w:val="24"/>
          <w:szCs w:val="24"/>
        </w:rPr>
        <w:t xml:space="preserve">Table </w:t>
      </w:r>
      <w:r w:rsidR="0011424E" w:rsidRPr="0011424E">
        <w:rPr>
          <w:noProof/>
          <w:sz w:val="24"/>
          <w:szCs w:val="24"/>
        </w:rPr>
        <w:t>37</w:t>
      </w:r>
      <w:r w:rsidR="00AD619D" w:rsidRPr="00C63F89">
        <w:rPr>
          <w:sz w:val="24"/>
          <w:szCs w:val="24"/>
        </w:rPr>
        <w:fldChar w:fldCharType="end"/>
      </w:r>
      <w:r w:rsidR="00AD619D">
        <w:rPr>
          <w:sz w:val="24"/>
          <w:szCs w:val="24"/>
        </w:rPr>
        <w:t xml:space="preserve"> shows </w:t>
      </w:r>
      <w:r w:rsidR="00BF20C4">
        <w:rPr>
          <w:sz w:val="24"/>
          <w:szCs w:val="24"/>
        </w:rPr>
        <w:t xml:space="preserve">that </w:t>
      </w:r>
      <w:r w:rsidR="00AD619D">
        <w:rPr>
          <w:sz w:val="24"/>
          <w:szCs w:val="24"/>
        </w:rPr>
        <w:t>‘elite’ institutional contexts</w:t>
      </w:r>
      <w:r w:rsidR="00023149">
        <w:rPr>
          <w:sz w:val="24"/>
          <w:szCs w:val="24"/>
        </w:rPr>
        <w:t xml:space="preserve"> stand out in terms of having</w:t>
      </w:r>
      <w:r w:rsidR="00E808B7">
        <w:rPr>
          <w:sz w:val="24"/>
          <w:szCs w:val="24"/>
        </w:rPr>
        <w:t xml:space="preserve"> the lowest </w:t>
      </w:r>
      <w:r w:rsidR="00AD619D">
        <w:rPr>
          <w:sz w:val="24"/>
          <w:szCs w:val="24"/>
        </w:rPr>
        <w:t xml:space="preserve">‘intermediary’ </w:t>
      </w:r>
      <w:r w:rsidR="00E808B7">
        <w:rPr>
          <w:sz w:val="24"/>
          <w:szCs w:val="24"/>
        </w:rPr>
        <w:t xml:space="preserve">(2.15) </w:t>
      </w:r>
      <w:r w:rsidR="00AD619D">
        <w:rPr>
          <w:sz w:val="24"/>
          <w:szCs w:val="24"/>
        </w:rPr>
        <w:t>and ‘knowledge content’</w:t>
      </w:r>
      <w:r w:rsidR="00E808B7">
        <w:rPr>
          <w:sz w:val="24"/>
          <w:szCs w:val="24"/>
        </w:rPr>
        <w:t xml:space="preserve"> values </w:t>
      </w:r>
      <w:r w:rsidR="00AD619D">
        <w:rPr>
          <w:sz w:val="24"/>
          <w:szCs w:val="24"/>
        </w:rPr>
        <w:t>(1.45)</w:t>
      </w:r>
      <w:r w:rsidR="00E808B7">
        <w:rPr>
          <w:sz w:val="24"/>
          <w:szCs w:val="24"/>
        </w:rPr>
        <w:t xml:space="preserve"> of all nine categories</w:t>
      </w:r>
      <w:r w:rsidR="00AD619D">
        <w:rPr>
          <w:sz w:val="24"/>
          <w:szCs w:val="24"/>
        </w:rPr>
        <w:t>.</w:t>
      </w:r>
      <w:r w:rsidR="0016600F">
        <w:rPr>
          <w:sz w:val="24"/>
          <w:szCs w:val="24"/>
        </w:rPr>
        <w:t xml:space="preserve"> This suggests that researchers in such contexts are able to maintain strong control over the knowledge production process, even while engaging in boundary-crossing transactions.</w:t>
      </w:r>
      <w:r w:rsidR="00AD619D">
        <w:rPr>
          <w:sz w:val="24"/>
          <w:szCs w:val="24"/>
        </w:rPr>
        <w:t xml:space="preserve"> </w:t>
      </w:r>
      <w:r w:rsidR="0016600F">
        <w:rPr>
          <w:sz w:val="24"/>
          <w:szCs w:val="24"/>
        </w:rPr>
        <w:t>In the below section, I will therefore seek to understand why and how academics in ‘elite’ departmental contexts</w:t>
      </w:r>
      <w:r w:rsidR="00F257D3">
        <w:rPr>
          <w:sz w:val="24"/>
          <w:szCs w:val="24"/>
        </w:rPr>
        <w:t xml:space="preserve"> come to exhibit these distinctive features. </w:t>
      </w:r>
      <w:r w:rsidR="00FA6306">
        <w:rPr>
          <w:sz w:val="24"/>
          <w:szCs w:val="24"/>
        </w:rPr>
        <w:t xml:space="preserve">Similarly, </w:t>
      </w:r>
      <w:r w:rsidR="000F74CD">
        <w:rPr>
          <w:sz w:val="24"/>
          <w:szCs w:val="24"/>
        </w:rPr>
        <w:t>I explore how Formal sciences combine a very ‘unbounded’ relation to the ‘social context’ (indicated by the high value of 3.92) with a very ‘bounded’ relation to the ‘knowledge content’ (indicated by the very low value of 1.46). And, to take an example from the ‘orientation of discipline’ dimension, I explore how</w:t>
      </w:r>
      <w:r w:rsidR="00FB4C0A">
        <w:rPr>
          <w:sz w:val="24"/>
          <w:szCs w:val="24"/>
        </w:rPr>
        <w:t xml:space="preserve"> and why</w:t>
      </w:r>
      <w:r w:rsidR="000F74CD">
        <w:rPr>
          <w:sz w:val="24"/>
          <w:szCs w:val="24"/>
        </w:rPr>
        <w:t xml:space="preserve"> basic/applied </w:t>
      </w:r>
      <w:r w:rsidR="00FB4C0A">
        <w:rPr>
          <w:sz w:val="24"/>
          <w:szCs w:val="24"/>
        </w:rPr>
        <w:t xml:space="preserve">disciplines are associated with essentially the converse of the Formal sciences, having a very ‘bounded’ relation to the ‘social context’ (indicated by the low value of 3.06) and an ‘unbounded’ relation to the knowledge content (indicated by the high value 1.78). </w:t>
      </w:r>
    </w:p>
    <w:tbl>
      <w:tblPr>
        <w:tblStyle w:val="TableGrid"/>
        <w:tblW w:w="0" w:type="auto"/>
        <w:tblLook w:val="04A0" w:firstRow="1" w:lastRow="0" w:firstColumn="1" w:lastColumn="0" w:noHBand="0" w:noVBand="1"/>
      </w:tblPr>
      <w:tblGrid>
        <w:gridCol w:w="1811"/>
        <w:gridCol w:w="1475"/>
        <w:gridCol w:w="962"/>
        <w:gridCol w:w="1417"/>
        <w:gridCol w:w="1418"/>
        <w:gridCol w:w="1622"/>
      </w:tblGrid>
      <w:tr w:rsidR="00AD6CC7" w14:paraId="11083507" w14:textId="77777777" w:rsidTr="006D2135">
        <w:trPr>
          <w:trHeight w:val="504"/>
        </w:trPr>
        <w:tc>
          <w:tcPr>
            <w:tcW w:w="1811" w:type="dxa"/>
            <w:tcBorders>
              <w:bottom w:val="single" w:sz="12" w:space="0" w:color="auto"/>
            </w:tcBorders>
          </w:tcPr>
          <w:p w14:paraId="6EE6F864" w14:textId="77777777" w:rsidR="00AD6CC7" w:rsidRPr="00C63F89" w:rsidRDefault="00AD6CC7" w:rsidP="006D2135">
            <w:pPr>
              <w:rPr>
                <w:sz w:val="22"/>
                <w:szCs w:val="22"/>
              </w:rPr>
            </w:pPr>
            <w:r w:rsidRPr="00C63F89">
              <w:rPr>
                <w:sz w:val="22"/>
                <w:szCs w:val="22"/>
              </w:rPr>
              <w:t>Context dimension</w:t>
            </w:r>
          </w:p>
        </w:tc>
        <w:tc>
          <w:tcPr>
            <w:tcW w:w="1475" w:type="dxa"/>
            <w:tcBorders>
              <w:bottom w:val="single" w:sz="12" w:space="0" w:color="auto"/>
            </w:tcBorders>
          </w:tcPr>
          <w:p w14:paraId="2DD3FA4F" w14:textId="77777777" w:rsidR="00AD6CC7" w:rsidRPr="00C63F89" w:rsidRDefault="00AD6CC7" w:rsidP="006D2135">
            <w:pPr>
              <w:rPr>
                <w:sz w:val="22"/>
                <w:szCs w:val="22"/>
              </w:rPr>
            </w:pPr>
            <w:r w:rsidRPr="00C63F89">
              <w:rPr>
                <w:sz w:val="22"/>
                <w:szCs w:val="22"/>
              </w:rPr>
              <w:t>Category</w:t>
            </w:r>
          </w:p>
        </w:tc>
        <w:tc>
          <w:tcPr>
            <w:tcW w:w="962" w:type="dxa"/>
            <w:tcBorders>
              <w:bottom w:val="single" w:sz="12" w:space="0" w:color="auto"/>
            </w:tcBorders>
          </w:tcPr>
          <w:p w14:paraId="3836646B" w14:textId="77777777" w:rsidR="00AD6CC7" w:rsidRPr="00C63F89" w:rsidRDefault="00AD6CC7" w:rsidP="006D2135">
            <w:pPr>
              <w:jc w:val="center"/>
              <w:rPr>
                <w:sz w:val="22"/>
                <w:szCs w:val="22"/>
              </w:rPr>
            </w:pPr>
            <w:r w:rsidRPr="00C63F89">
              <w:rPr>
                <w:sz w:val="22"/>
                <w:szCs w:val="22"/>
              </w:rPr>
              <w:t>Social Context</w:t>
            </w:r>
          </w:p>
        </w:tc>
        <w:tc>
          <w:tcPr>
            <w:tcW w:w="1417" w:type="dxa"/>
            <w:tcBorders>
              <w:bottom w:val="single" w:sz="12" w:space="0" w:color="auto"/>
            </w:tcBorders>
          </w:tcPr>
          <w:p w14:paraId="19B72DCC" w14:textId="77777777" w:rsidR="00AD6CC7" w:rsidRPr="00C63F89" w:rsidRDefault="00AD6CC7" w:rsidP="006D2135">
            <w:pPr>
              <w:jc w:val="center"/>
              <w:rPr>
                <w:sz w:val="22"/>
                <w:szCs w:val="22"/>
              </w:rPr>
            </w:pPr>
            <w:r w:rsidRPr="00C63F89">
              <w:rPr>
                <w:sz w:val="22"/>
                <w:szCs w:val="22"/>
              </w:rPr>
              <w:t xml:space="preserve">Intermediary </w:t>
            </w:r>
          </w:p>
        </w:tc>
        <w:tc>
          <w:tcPr>
            <w:tcW w:w="1418" w:type="dxa"/>
            <w:tcBorders>
              <w:bottom w:val="single" w:sz="12" w:space="0" w:color="auto"/>
            </w:tcBorders>
          </w:tcPr>
          <w:p w14:paraId="2364A52E" w14:textId="77777777" w:rsidR="00AD6CC7" w:rsidRPr="00C63F89" w:rsidRDefault="00AD6CC7" w:rsidP="006D2135">
            <w:pPr>
              <w:jc w:val="center"/>
              <w:rPr>
                <w:sz w:val="22"/>
                <w:szCs w:val="22"/>
              </w:rPr>
            </w:pPr>
            <w:r w:rsidRPr="00C63F89">
              <w:rPr>
                <w:sz w:val="22"/>
                <w:szCs w:val="22"/>
              </w:rPr>
              <w:t>Knowledge Content</w:t>
            </w:r>
          </w:p>
        </w:tc>
        <w:tc>
          <w:tcPr>
            <w:tcW w:w="1622" w:type="dxa"/>
            <w:tcBorders>
              <w:bottom w:val="single" w:sz="12" w:space="0" w:color="auto"/>
            </w:tcBorders>
          </w:tcPr>
          <w:p w14:paraId="6721A6C8" w14:textId="77777777" w:rsidR="00AD6CC7" w:rsidRPr="00C63F89" w:rsidRDefault="00AD6CC7" w:rsidP="006D2135">
            <w:pPr>
              <w:jc w:val="center"/>
              <w:rPr>
                <w:b/>
                <w:sz w:val="22"/>
                <w:szCs w:val="22"/>
              </w:rPr>
            </w:pPr>
            <w:r w:rsidRPr="00C63F89">
              <w:rPr>
                <w:b/>
                <w:sz w:val="22"/>
                <w:szCs w:val="22"/>
              </w:rPr>
              <w:t>Total</w:t>
            </w:r>
          </w:p>
        </w:tc>
      </w:tr>
      <w:tr w:rsidR="00AD6CC7" w14:paraId="26B99C48" w14:textId="77777777" w:rsidTr="006D2135">
        <w:trPr>
          <w:trHeight w:val="264"/>
        </w:trPr>
        <w:tc>
          <w:tcPr>
            <w:tcW w:w="1811" w:type="dxa"/>
            <w:vMerge w:val="restart"/>
            <w:tcBorders>
              <w:top w:val="single" w:sz="12" w:space="0" w:color="auto"/>
              <w:left w:val="single" w:sz="12" w:space="0" w:color="auto"/>
              <w:right w:val="single" w:sz="6" w:space="0" w:color="auto"/>
            </w:tcBorders>
            <w:shd w:val="clear" w:color="auto" w:fill="F2F2F2" w:themeFill="background1" w:themeFillShade="F2"/>
          </w:tcPr>
          <w:p w14:paraId="02E71661" w14:textId="77777777" w:rsidR="00AD6CC7" w:rsidRPr="00C63F89" w:rsidRDefault="00AD6CC7" w:rsidP="006D2135">
            <w:pPr>
              <w:rPr>
                <w:sz w:val="22"/>
                <w:szCs w:val="22"/>
              </w:rPr>
            </w:pPr>
            <w:r w:rsidRPr="00C63F89">
              <w:rPr>
                <w:sz w:val="22"/>
                <w:szCs w:val="22"/>
              </w:rPr>
              <w:t xml:space="preserve">Institutional context (departmental </w:t>
            </w:r>
            <w:r>
              <w:rPr>
                <w:sz w:val="22"/>
                <w:szCs w:val="22"/>
              </w:rPr>
              <w:t>status</w:t>
            </w:r>
            <w:r w:rsidRPr="00C63F89">
              <w:rPr>
                <w:sz w:val="22"/>
                <w:szCs w:val="22"/>
              </w:rPr>
              <w:t>)</w:t>
            </w:r>
          </w:p>
        </w:tc>
        <w:tc>
          <w:tcPr>
            <w:tcW w:w="1475" w:type="dxa"/>
            <w:tcBorders>
              <w:top w:val="single" w:sz="12" w:space="0" w:color="auto"/>
              <w:left w:val="single" w:sz="12" w:space="0" w:color="auto"/>
              <w:bottom w:val="single" w:sz="6" w:space="0" w:color="auto"/>
              <w:right w:val="single" w:sz="6" w:space="0" w:color="auto"/>
            </w:tcBorders>
            <w:shd w:val="clear" w:color="auto" w:fill="F2F2F2" w:themeFill="background1" w:themeFillShade="F2"/>
          </w:tcPr>
          <w:p w14:paraId="765229A1" w14:textId="2439C51A" w:rsidR="00AD6CC7" w:rsidRPr="00C63F89" w:rsidRDefault="00F06F49" w:rsidP="006D2135">
            <w:pPr>
              <w:rPr>
                <w:sz w:val="22"/>
                <w:szCs w:val="22"/>
              </w:rPr>
            </w:pPr>
            <w:r>
              <w:rPr>
                <w:sz w:val="22"/>
                <w:szCs w:val="22"/>
              </w:rPr>
              <w:t>‘</w:t>
            </w:r>
            <w:r w:rsidR="00AD6CC7" w:rsidRPr="00C63F89">
              <w:rPr>
                <w:sz w:val="22"/>
                <w:szCs w:val="22"/>
              </w:rPr>
              <w:t>Elite</w:t>
            </w:r>
            <w:r>
              <w:rPr>
                <w:sz w:val="22"/>
                <w:szCs w:val="22"/>
              </w:rPr>
              <w:t>’</w:t>
            </w:r>
          </w:p>
        </w:tc>
        <w:tc>
          <w:tcPr>
            <w:tcW w:w="962"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4913EDA4" w14:textId="77777777" w:rsidR="00AD6CC7" w:rsidRPr="00C63F89" w:rsidRDefault="00AD6CC7" w:rsidP="006D2135">
            <w:pPr>
              <w:jc w:val="center"/>
              <w:rPr>
                <w:sz w:val="22"/>
                <w:szCs w:val="22"/>
              </w:rPr>
            </w:pPr>
            <w:r w:rsidRPr="00C63F89">
              <w:rPr>
                <w:sz w:val="22"/>
                <w:szCs w:val="22"/>
              </w:rPr>
              <w:t>3.61</w:t>
            </w:r>
          </w:p>
        </w:tc>
        <w:tc>
          <w:tcPr>
            <w:tcW w:w="1417"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1C908991" w14:textId="77777777" w:rsidR="00AD6CC7" w:rsidRPr="00C63F89" w:rsidRDefault="00AD6CC7" w:rsidP="006D2135">
            <w:pPr>
              <w:jc w:val="center"/>
              <w:rPr>
                <w:sz w:val="22"/>
                <w:szCs w:val="22"/>
              </w:rPr>
            </w:pPr>
            <w:r w:rsidRPr="00C63F89">
              <w:rPr>
                <w:sz w:val="22"/>
                <w:szCs w:val="22"/>
              </w:rPr>
              <w:t>2.15</w:t>
            </w:r>
          </w:p>
        </w:tc>
        <w:tc>
          <w:tcPr>
            <w:tcW w:w="1418"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6FFA431C" w14:textId="77777777" w:rsidR="00AD6CC7" w:rsidRPr="00C63F89" w:rsidRDefault="00AD6CC7" w:rsidP="006D2135">
            <w:pPr>
              <w:jc w:val="center"/>
              <w:rPr>
                <w:sz w:val="22"/>
                <w:szCs w:val="22"/>
              </w:rPr>
            </w:pPr>
            <w:r w:rsidRPr="00C63F89">
              <w:rPr>
                <w:sz w:val="22"/>
                <w:szCs w:val="22"/>
              </w:rPr>
              <w:t>1.45</w:t>
            </w:r>
          </w:p>
        </w:tc>
        <w:tc>
          <w:tcPr>
            <w:tcW w:w="1622" w:type="dxa"/>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6EED754A" w14:textId="77777777" w:rsidR="00AD6CC7" w:rsidRPr="00C63F89" w:rsidRDefault="00AD6CC7" w:rsidP="006D2135">
            <w:pPr>
              <w:jc w:val="center"/>
              <w:rPr>
                <w:b/>
                <w:sz w:val="22"/>
                <w:szCs w:val="22"/>
              </w:rPr>
            </w:pPr>
            <w:r w:rsidRPr="00C63F89">
              <w:rPr>
                <w:b/>
                <w:sz w:val="22"/>
                <w:szCs w:val="22"/>
              </w:rPr>
              <w:t>2.4</w:t>
            </w:r>
          </w:p>
        </w:tc>
      </w:tr>
      <w:tr w:rsidR="00AD6CC7" w14:paraId="449DE4EE" w14:textId="77777777" w:rsidTr="006D2135">
        <w:trPr>
          <w:trHeight w:val="516"/>
        </w:trPr>
        <w:tc>
          <w:tcPr>
            <w:tcW w:w="1811" w:type="dxa"/>
            <w:vMerge/>
            <w:tcBorders>
              <w:left w:val="single" w:sz="12" w:space="0" w:color="auto"/>
              <w:right w:val="single" w:sz="6" w:space="0" w:color="auto"/>
            </w:tcBorders>
            <w:shd w:val="clear" w:color="auto" w:fill="F2F2F2" w:themeFill="background1" w:themeFillShade="F2"/>
          </w:tcPr>
          <w:p w14:paraId="39AD4E7F" w14:textId="77777777" w:rsidR="00AD6CC7" w:rsidRPr="00C63F89" w:rsidRDefault="00AD6CC7" w:rsidP="006D2135">
            <w:pPr>
              <w:rPr>
                <w:sz w:val="22"/>
                <w:szCs w:val="22"/>
              </w:rPr>
            </w:pPr>
          </w:p>
        </w:tc>
        <w:tc>
          <w:tcPr>
            <w:tcW w:w="1475" w:type="dxa"/>
            <w:tcBorders>
              <w:top w:val="single" w:sz="6" w:space="0" w:color="auto"/>
              <w:left w:val="single" w:sz="12" w:space="0" w:color="auto"/>
              <w:bottom w:val="single" w:sz="6" w:space="0" w:color="auto"/>
              <w:right w:val="single" w:sz="6" w:space="0" w:color="auto"/>
            </w:tcBorders>
            <w:shd w:val="clear" w:color="auto" w:fill="F2F2F2" w:themeFill="background1" w:themeFillShade="F2"/>
          </w:tcPr>
          <w:p w14:paraId="48A93DE5" w14:textId="77777777" w:rsidR="00AD6CC7" w:rsidRPr="00C63F89" w:rsidRDefault="00AD6CC7" w:rsidP="006D2135">
            <w:pPr>
              <w:rPr>
                <w:sz w:val="22"/>
                <w:szCs w:val="22"/>
              </w:rPr>
            </w:pPr>
            <w:r w:rsidRPr="00C63F89">
              <w:rPr>
                <w:sz w:val="22"/>
                <w:szCs w:val="22"/>
              </w:rPr>
              <w:t>‘More’ prestigious</w:t>
            </w:r>
          </w:p>
        </w:tc>
        <w:tc>
          <w:tcPr>
            <w:tcW w:w="96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FB85947" w14:textId="77777777" w:rsidR="00AD6CC7" w:rsidRPr="00C63F89" w:rsidRDefault="00AD6CC7" w:rsidP="006D2135">
            <w:pPr>
              <w:jc w:val="center"/>
              <w:rPr>
                <w:sz w:val="22"/>
                <w:szCs w:val="22"/>
              </w:rPr>
            </w:pPr>
            <w:r w:rsidRPr="00C63F89">
              <w:rPr>
                <w:sz w:val="22"/>
                <w:szCs w:val="22"/>
              </w:rPr>
              <w:t>3.4</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E45BF86" w14:textId="77777777" w:rsidR="00AD6CC7" w:rsidRPr="00C63F89" w:rsidRDefault="00AD6CC7" w:rsidP="006D2135">
            <w:pPr>
              <w:jc w:val="center"/>
              <w:rPr>
                <w:sz w:val="22"/>
                <w:szCs w:val="22"/>
              </w:rPr>
            </w:pPr>
            <w:r w:rsidRPr="00C63F89">
              <w:rPr>
                <w:sz w:val="22"/>
                <w:szCs w:val="22"/>
              </w:rPr>
              <w:t>2.46</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4D16380" w14:textId="77777777" w:rsidR="00AD6CC7" w:rsidRPr="00C63F89" w:rsidRDefault="00AD6CC7" w:rsidP="006D2135">
            <w:pPr>
              <w:jc w:val="center"/>
              <w:rPr>
                <w:sz w:val="22"/>
                <w:szCs w:val="22"/>
              </w:rPr>
            </w:pPr>
            <w:r w:rsidRPr="00C63F89">
              <w:rPr>
                <w:sz w:val="22"/>
                <w:szCs w:val="22"/>
              </w:rPr>
              <w:t>1.54</w:t>
            </w:r>
          </w:p>
        </w:tc>
        <w:tc>
          <w:tcPr>
            <w:tcW w:w="1622"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tcPr>
          <w:p w14:paraId="7FE30E05" w14:textId="77777777" w:rsidR="00AD6CC7" w:rsidRPr="00C63F89" w:rsidRDefault="00AD6CC7" w:rsidP="006D2135">
            <w:pPr>
              <w:jc w:val="center"/>
              <w:rPr>
                <w:b/>
                <w:sz w:val="22"/>
                <w:szCs w:val="22"/>
              </w:rPr>
            </w:pPr>
            <w:r w:rsidRPr="00C63F89">
              <w:rPr>
                <w:b/>
                <w:sz w:val="22"/>
                <w:szCs w:val="22"/>
              </w:rPr>
              <w:t>2.53</w:t>
            </w:r>
          </w:p>
        </w:tc>
      </w:tr>
      <w:tr w:rsidR="00AD6CC7" w14:paraId="5C08E18F" w14:textId="77777777" w:rsidTr="006D2135">
        <w:trPr>
          <w:trHeight w:val="529"/>
        </w:trPr>
        <w:tc>
          <w:tcPr>
            <w:tcW w:w="1811" w:type="dxa"/>
            <w:vMerge/>
            <w:tcBorders>
              <w:left w:val="single" w:sz="12" w:space="0" w:color="auto"/>
              <w:bottom w:val="single" w:sz="12" w:space="0" w:color="auto"/>
              <w:right w:val="single" w:sz="6" w:space="0" w:color="auto"/>
            </w:tcBorders>
            <w:shd w:val="clear" w:color="auto" w:fill="F2F2F2" w:themeFill="background1" w:themeFillShade="F2"/>
          </w:tcPr>
          <w:p w14:paraId="786455E6" w14:textId="77777777" w:rsidR="00AD6CC7" w:rsidRPr="00C63F89" w:rsidRDefault="00AD6CC7" w:rsidP="006D2135">
            <w:pPr>
              <w:rPr>
                <w:sz w:val="22"/>
                <w:szCs w:val="22"/>
              </w:rPr>
            </w:pPr>
          </w:p>
        </w:tc>
        <w:tc>
          <w:tcPr>
            <w:tcW w:w="1475" w:type="dxa"/>
            <w:tcBorders>
              <w:top w:val="single" w:sz="6" w:space="0" w:color="auto"/>
              <w:left w:val="single" w:sz="12" w:space="0" w:color="auto"/>
              <w:bottom w:val="single" w:sz="12" w:space="0" w:color="auto"/>
              <w:right w:val="single" w:sz="6" w:space="0" w:color="auto"/>
            </w:tcBorders>
            <w:shd w:val="clear" w:color="auto" w:fill="F2F2F2" w:themeFill="background1" w:themeFillShade="F2"/>
          </w:tcPr>
          <w:p w14:paraId="3C4057C9" w14:textId="77777777" w:rsidR="00AD6CC7" w:rsidRPr="00C63F89" w:rsidRDefault="00AD6CC7" w:rsidP="006D2135">
            <w:pPr>
              <w:rPr>
                <w:sz w:val="22"/>
                <w:szCs w:val="22"/>
              </w:rPr>
            </w:pPr>
            <w:r w:rsidRPr="00C63F89">
              <w:rPr>
                <w:sz w:val="22"/>
                <w:szCs w:val="22"/>
              </w:rPr>
              <w:t>‘Less’ prestigious</w:t>
            </w:r>
          </w:p>
        </w:tc>
        <w:tc>
          <w:tcPr>
            <w:tcW w:w="962" w:type="dxa"/>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B747DFC" w14:textId="77777777" w:rsidR="00AD6CC7" w:rsidRPr="00C63F89" w:rsidRDefault="00AD6CC7" w:rsidP="006D2135">
            <w:pPr>
              <w:jc w:val="center"/>
              <w:rPr>
                <w:sz w:val="22"/>
                <w:szCs w:val="22"/>
              </w:rPr>
            </w:pPr>
            <w:r w:rsidRPr="00C63F89">
              <w:rPr>
                <w:sz w:val="22"/>
                <w:szCs w:val="22"/>
              </w:rPr>
              <w:t>3.49</w:t>
            </w:r>
          </w:p>
        </w:tc>
        <w:tc>
          <w:tcPr>
            <w:tcW w:w="1417" w:type="dxa"/>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F11D65C" w14:textId="77777777" w:rsidR="00AD6CC7" w:rsidRPr="00C63F89" w:rsidRDefault="00AD6CC7" w:rsidP="006D2135">
            <w:pPr>
              <w:jc w:val="center"/>
              <w:rPr>
                <w:sz w:val="22"/>
                <w:szCs w:val="22"/>
              </w:rPr>
            </w:pPr>
            <w:r w:rsidRPr="00C63F89">
              <w:rPr>
                <w:sz w:val="22"/>
                <w:szCs w:val="22"/>
              </w:rPr>
              <w:t>2.63</w:t>
            </w:r>
          </w:p>
        </w:tc>
        <w:tc>
          <w:tcPr>
            <w:tcW w:w="1418" w:type="dxa"/>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3A594889" w14:textId="77777777" w:rsidR="00AD6CC7" w:rsidRPr="00C63F89" w:rsidRDefault="00AD6CC7" w:rsidP="006D2135">
            <w:pPr>
              <w:jc w:val="center"/>
              <w:rPr>
                <w:sz w:val="22"/>
                <w:szCs w:val="22"/>
              </w:rPr>
            </w:pPr>
            <w:r w:rsidRPr="00C63F89">
              <w:rPr>
                <w:sz w:val="22"/>
                <w:szCs w:val="22"/>
              </w:rPr>
              <w:t>1.78</w:t>
            </w:r>
          </w:p>
        </w:tc>
        <w:tc>
          <w:tcPr>
            <w:tcW w:w="1622" w:type="dxa"/>
            <w:tcBorders>
              <w:top w:val="single" w:sz="6" w:space="0" w:color="auto"/>
              <w:left w:val="single" w:sz="6" w:space="0" w:color="auto"/>
              <w:bottom w:val="single" w:sz="12" w:space="0" w:color="auto"/>
              <w:right w:val="single" w:sz="12" w:space="0" w:color="auto"/>
            </w:tcBorders>
            <w:shd w:val="clear" w:color="auto" w:fill="F2F2F2" w:themeFill="background1" w:themeFillShade="F2"/>
            <w:vAlign w:val="center"/>
          </w:tcPr>
          <w:p w14:paraId="0E4083B1" w14:textId="77777777" w:rsidR="00AD6CC7" w:rsidRPr="00C63F89" w:rsidRDefault="00AD6CC7" w:rsidP="006D2135">
            <w:pPr>
              <w:jc w:val="center"/>
              <w:rPr>
                <w:b/>
                <w:sz w:val="22"/>
                <w:szCs w:val="22"/>
              </w:rPr>
            </w:pPr>
            <w:r w:rsidRPr="00C63F89">
              <w:rPr>
                <w:b/>
                <w:sz w:val="22"/>
                <w:szCs w:val="22"/>
              </w:rPr>
              <w:t>2.69</w:t>
            </w:r>
          </w:p>
        </w:tc>
      </w:tr>
      <w:tr w:rsidR="00AD6CC7" w14:paraId="0F4E0582" w14:textId="77777777" w:rsidTr="006D2135">
        <w:trPr>
          <w:trHeight w:val="264"/>
        </w:trPr>
        <w:tc>
          <w:tcPr>
            <w:tcW w:w="1811" w:type="dxa"/>
            <w:vMerge w:val="restart"/>
            <w:tcBorders>
              <w:top w:val="single" w:sz="12" w:space="0" w:color="auto"/>
              <w:left w:val="single" w:sz="12" w:space="0" w:color="auto"/>
              <w:right w:val="single" w:sz="6" w:space="0" w:color="auto"/>
            </w:tcBorders>
            <w:shd w:val="clear" w:color="auto" w:fill="D9D9D9" w:themeFill="background1" w:themeFillShade="D9"/>
          </w:tcPr>
          <w:p w14:paraId="5BC216FF" w14:textId="77777777" w:rsidR="00AD6CC7" w:rsidRPr="00C63F89" w:rsidRDefault="00AD6CC7" w:rsidP="006D2135">
            <w:pPr>
              <w:rPr>
                <w:sz w:val="22"/>
                <w:szCs w:val="22"/>
              </w:rPr>
            </w:pPr>
            <w:r w:rsidRPr="00C63F89">
              <w:rPr>
                <w:sz w:val="22"/>
                <w:szCs w:val="22"/>
              </w:rPr>
              <w:t>Epistemic context (branch of science)</w:t>
            </w:r>
          </w:p>
        </w:tc>
        <w:tc>
          <w:tcPr>
            <w:tcW w:w="1475"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14:paraId="3FF90BA1" w14:textId="77777777" w:rsidR="00AD6CC7" w:rsidRPr="00C63F89" w:rsidRDefault="00AD6CC7" w:rsidP="006D2135">
            <w:pPr>
              <w:rPr>
                <w:sz w:val="22"/>
                <w:szCs w:val="22"/>
              </w:rPr>
            </w:pPr>
            <w:r w:rsidRPr="00C63F89">
              <w:rPr>
                <w:sz w:val="22"/>
                <w:szCs w:val="22"/>
              </w:rPr>
              <w:t>Life</w:t>
            </w:r>
          </w:p>
        </w:tc>
        <w:tc>
          <w:tcPr>
            <w:tcW w:w="962"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503FF4E8" w14:textId="77777777" w:rsidR="00AD6CC7" w:rsidRPr="00C63F89" w:rsidRDefault="00AD6CC7" w:rsidP="006D2135">
            <w:pPr>
              <w:jc w:val="center"/>
              <w:rPr>
                <w:sz w:val="22"/>
                <w:szCs w:val="22"/>
              </w:rPr>
            </w:pPr>
            <w:r w:rsidRPr="00C63F89">
              <w:rPr>
                <w:sz w:val="22"/>
                <w:szCs w:val="22"/>
              </w:rPr>
              <w:t>3.17</w:t>
            </w:r>
          </w:p>
        </w:tc>
        <w:tc>
          <w:tcPr>
            <w:tcW w:w="1417"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40A344D1" w14:textId="77777777" w:rsidR="00AD6CC7" w:rsidRPr="00C63F89" w:rsidRDefault="00AD6CC7" w:rsidP="006D2135">
            <w:pPr>
              <w:jc w:val="center"/>
              <w:rPr>
                <w:sz w:val="22"/>
                <w:szCs w:val="22"/>
              </w:rPr>
            </w:pPr>
            <w:r w:rsidRPr="00C63F89">
              <w:rPr>
                <w:sz w:val="22"/>
                <w:szCs w:val="22"/>
              </w:rPr>
              <w:t>2.42</w:t>
            </w:r>
          </w:p>
        </w:tc>
        <w:tc>
          <w:tcPr>
            <w:tcW w:w="1418"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5293EC47" w14:textId="77777777" w:rsidR="00AD6CC7" w:rsidRPr="00C63F89" w:rsidRDefault="00AD6CC7" w:rsidP="006D2135">
            <w:pPr>
              <w:jc w:val="center"/>
              <w:rPr>
                <w:sz w:val="22"/>
                <w:szCs w:val="22"/>
              </w:rPr>
            </w:pPr>
            <w:r w:rsidRPr="00C63F89">
              <w:rPr>
                <w:sz w:val="22"/>
                <w:szCs w:val="22"/>
              </w:rPr>
              <w:t>1.72</w:t>
            </w:r>
          </w:p>
        </w:tc>
        <w:tc>
          <w:tcPr>
            <w:tcW w:w="1622" w:type="dxa"/>
            <w:tcBorders>
              <w:top w:val="single" w:sz="12" w:space="0" w:color="auto"/>
              <w:left w:val="single" w:sz="6" w:space="0" w:color="auto"/>
              <w:bottom w:val="single" w:sz="6" w:space="0" w:color="auto"/>
              <w:right w:val="single" w:sz="12" w:space="0" w:color="auto"/>
            </w:tcBorders>
            <w:shd w:val="clear" w:color="auto" w:fill="D9D9D9" w:themeFill="background1" w:themeFillShade="D9"/>
          </w:tcPr>
          <w:p w14:paraId="0FDC3E48" w14:textId="77777777" w:rsidR="00AD6CC7" w:rsidRPr="00C63F89" w:rsidRDefault="00AD6CC7" w:rsidP="006D2135">
            <w:pPr>
              <w:jc w:val="center"/>
              <w:rPr>
                <w:b/>
                <w:sz w:val="22"/>
                <w:szCs w:val="22"/>
              </w:rPr>
            </w:pPr>
            <w:r w:rsidRPr="00C63F89">
              <w:rPr>
                <w:b/>
                <w:sz w:val="22"/>
                <w:szCs w:val="22"/>
              </w:rPr>
              <w:t>2.48</w:t>
            </w:r>
          </w:p>
        </w:tc>
      </w:tr>
      <w:tr w:rsidR="00AD6CC7" w14:paraId="45FD5AEC" w14:textId="77777777" w:rsidTr="006D2135">
        <w:trPr>
          <w:trHeight w:val="264"/>
        </w:trPr>
        <w:tc>
          <w:tcPr>
            <w:tcW w:w="1811" w:type="dxa"/>
            <w:vMerge/>
            <w:tcBorders>
              <w:left w:val="single" w:sz="12" w:space="0" w:color="auto"/>
              <w:right w:val="single" w:sz="6" w:space="0" w:color="auto"/>
            </w:tcBorders>
            <w:shd w:val="clear" w:color="auto" w:fill="D9D9D9" w:themeFill="background1" w:themeFillShade="D9"/>
          </w:tcPr>
          <w:p w14:paraId="3F360C4A" w14:textId="77777777" w:rsidR="00AD6CC7" w:rsidRPr="00C63F89" w:rsidRDefault="00AD6CC7" w:rsidP="006D2135">
            <w:pPr>
              <w:rPr>
                <w:sz w:val="22"/>
                <w:szCs w:val="22"/>
              </w:rPr>
            </w:pPr>
          </w:p>
        </w:tc>
        <w:tc>
          <w:tcPr>
            <w:tcW w:w="1475"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17825857" w14:textId="77777777" w:rsidR="00AD6CC7" w:rsidRPr="00C63F89" w:rsidRDefault="00AD6CC7" w:rsidP="006D2135">
            <w:pPr>
              <w:rPr>
                <w:sz w:val="22"/>
                <w:szCs w:val="22"/>
              </w:rPr>
            </w:pPr>
            <w:r w:rsidRPr="00C63F89">
              <w:rPr>
                <w:sz w:val="22"/>
                <w:szCs w:val="22"/>
              </w:rPr>
              <w:t>Natural</w:t>
            </w:r>
          </w:p>
        </w:tc>
        <w:tc>
          <w:tcPr>
            <w:tcW w:w="9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83B2D4" w14:textId="77777777" w:rsidR="00AD6CC7" w:rsidRPr="00C63F89" w:rsidRDefault="00AD6CC7" w:rsidP="006D2135">
            <w:pPr>
              <w:jc w:val="center"/>
              <w:rPr>
                <w:sz w:val="22"/>
                <w:szCs w:val="22"/>
              </w:rPr>
            </w:pPr>
            <w:r w:rsidRPr="00C63F89">
              <w:rPr>
                <w:sz w:val="22"/>
                <w:szCs w:val="22"/>
              </w:rPr>
              <w:t>3.44</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D707C2F" w14:textId="77777777" w:rsidR="00AD6CC7" w:rsidRPr="00C63F89" w:rsidRDefault="00AD6CC7" w:rsidP="006D2135">
            <w:pPr>
              <w:jc w:val="center"/>
              <w:rPr>
                <w:sz w:val="22"/>
                <w:szCs w:val="22"/>
              </w:rPr>
            </w:pPr>
            <w:r w:rsidRPr="00C63F89">
              <w:rPr>
                <w:sz w:val="22"/>
                <w:szCs w:val="22"/>
              </w:rPr>
              <w:t>2.39</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58D2A4" w14:textId="77777777" w:rsidR="00AD6CC7" w:rsidRPr="00C63F89" w:rsidRDefault="00AD6CC7" w:rsidP="006D2135">
            <w:pPr>
              <w:jc w:val="center"/>
              <w:rPr>
                <w:sz w:val="22"/>
                <w:szCs w:val="22"/>
              </w:rPr>
            </w:pPr>
            <w:r w:rsidRPr="00C63F89">
              <w:rPr>
                <w:sz w:val="22"/>
                <w:szCs w:val="22"/>
              </w:rPr>
              <w:t>1.65</w:t>
            </w:r>
          </w:p>
        </w:tc>
        <w:tc>
          <w:tcPr>
            <w:tcW w:w="1622"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0D95C6EE" w14:textId="77777777" w:rsidR="00AD6CC7" w:rsidRPr="00C63F89" w:rsidRDefault="00AD6CC7" w:rsidP="006D2135">
            <w:pPr>
              <w:jc w:val="center"/>
              <w:rPr>
                <w:b/>
                <w:sz w:val="22"/>
                <w:szCs w:val="22"/>
              </w:rPr>
            </w:pPr>
            <w:r w:rsidRPr="00C63F89">
              <w:rPr>
                <w:b/>
                <w:sz w:val="22"/>
                <w:szCs w:val="22"/>
              </w:rPr>
              <w:t>2.52</w:t>
            </w:r>
          </w:p>
        </w:tc>
      </w:tr>
      <w:tr w:rsidR="00AD6CC7" w14:paraId="51D80903" w14:textId="77777777" w:rsidTr="006D2135">
        <w:trPr>
          <w:trHeight w:val="264"/>
        </w:trPr>
        <w:tc>
          <w:tcPr>
            <w:tcW w:w="1811" w:type="dxa"/>
            <w:vMerge/>
            <w:tcBorders>
              <w:left w:val="single" w:sz="12" w:space="0" w:color="auto"/>
              <w:bottom w:val="single" w:sz="12" w:space="0" w:color="auto"/>
              <w:right w:val="single" w:sz="6" w:space="0" w:color="auto"/>
            </w:tcBorders>
            <w:shd w:val="clear" w:color="auto" w:fill="D9D9D9" w:themeFill="background1" w:themeFillShade="D9"/>
          </w:tcPr>
          <w:p w14:paraId="2395EDFF" w14:textId="77777777" w:rsidR="00AD6CC7" w:rsidRPr="00C63F89" w:rsidRDefault="00AD6CC7" w:rsidP="006D2135">
            <w:pPr>
              <w:rPr>
                <w:sz w:val="22"/>
                <w:szCs w:val="22"/>
              </w:rPr>
            </w:pPr>
          </w:p>
        </w:tc>
        <w:tc>
          <w:tcPr>
            <w:tcW w:w="1475"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14:paraId="49D81672" w14:textId="77777777" w:rsidR="00AD6CC7" w:rsidRPr="00C63F89" w:rsidRDefault="00AD6CC7" w:rsidP="006D2135">
            <w:pPr>
              <w:rPr>
                <w:sz w:val="22"/>
                <w:szCs w:val="22"/>
              </w:rPr>
            </w:pPr>
            <w:r w:rsidRPr="00C63F89">
              <w:rPr>
                <w:sz w:val="22"/>
                <w:szCs w:val="22"/>
              </w:rPr>
              <w:t>Formal</w:t>
            </w:r>
          </w:p>
        </w:tc>
        <w:tc>
          <w:tcPr>
            <w:tcW w:w="96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14:paraId="01E1DFD8" w14:textId="77777777" w:rsidR="00AD6CC7" w:rsidRPr="00C63F89" w:rsidRDefault="00AD6CC7" w:rsidP="006D2135">
            <w:pPr>
              <w:jc w:val="center"/>
              <w:rPr>
                <w:sz w:val="22"/>
                <w:szCs w:val="22"/>
              </w:rPr>
            </w:pPr>
            <w:r w:rsidRPr="00C63F89">
              <w:rPr>
                <w:sz w:val="22"/>
                <w:szCs w:val="22"/>
              </w:rPr>
              <w:t>3.92</w:t>
            </w:r>
          </w:p>
        </w:tc>
        <w:tc>
          <w:tcPr>
            <w:tcW w:w="1417"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14:paraId="51551F6F" w14:textId="77777777" w:rsidR="00AD6CC7" w:rsidRPr="00C63F89" w:rsidRDefault="00AD6CC7" w:rsidP="006D2135">
            <w:pPr>
              <w:jc w:val="center"/>
              <w:rPr>
                <w:sz w:val="22"/>
                <w:szCs w:val="22"/>
              </w:rPr>
            </w:pPr>
            <w:r w:rsidRPr="00C63F89">
              <w:rPr>
                <w:sz w:val="22"/>
                <w:szCs w:val="22"/>
              </w:rPr>
              <w:t>2.46</w:t>
            </w: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14:paraId="49A3C77B" w14:textId="77777777" w:rsidR="00AD6CC7" w:rsidRPr="00C63F89" w:rsidRDefault="00AD6CC7" w:rsidP="006D2135">
            <w:pPr>
              <w:jc w:val="center"/>
              <w:rPr>
                <w:sz w:val="22"/>
                <w:szCs w:val="22"/>
              </w:rPr>
            </w:pPr>
            <w:r w:rsidRPr="00C63F89">
              <w:rPr>
                <w:sz w:val="22"/>
                <w:szCs w:val="22"/>
              </w:rPr>
              <w:t>1.46</w:t>
            </w:r>
          </w:p>
        </w:tc>
        <w:tc>
          <w:tcPr>
            <w:tcW w:w="162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2B28A894" w14:textId="77777777" w:rsidR="00AD6CC7" w:rsidRPr="00C63F89" w:rsidRDefault="00AD6CC7" w:rsidP="006D2135">
            <w:pPr>
              <w:jc w:val="center"/>
              <w:rPr>
                <w:b/>
                <w:sz w:val="22"/>
                <w:szCs w:val="22"/>
              </w:rPr>
            </w:pPr>
            <w:r w:rsidRPr="00C63F89">
              <w:rPr>
                <w:b/>
                <w:sz w:val="22"/>
                <w:szCs w:val="22"/>
              </w:rPr>
              <w:t>2.64</w:t>
            </w:r>
          </w:p>
        </w:tc>
      </w:tr>
      <w:tr w:rsidR="00AD6CC7" w14:paraId="1096D8E4" w14:textId="77777777" w:rsidTr="006D2135">
        <w:trPr>
          <w:trHeight w:val="264"/>
        </w:trPr>
        <w:tc>
          <w:tcPr>
            <w:tcW w:w="1811" w:type="dxa"/>
            <w:vMerge w:val="restart"/>
            <w:tcBorders>
              <w:top w:val="single" w:sz="12" w:space="0" w:color="auto"/>
              <w:left w:val="single" w:sz="12" w:space="0" w:color="auto"/>
              <w:right w:val="single" w:sz="6" w:space="0" w:color="auto"/>
            </w:tcBorders>
            <w:shd w:val="clear" w:color="auto" w:fill="A6A6A6" w:themeFill="background1" w:themeFillShade="A6"/>
          </w:tcPr>
          <w:p w14:paraId="67DE8A5C" w14:textId="77777777" w:rsidR="00AD6CC7" w:rsidRPr="00C63F89" w:rsidRDefault="00AD6CC7" w:rsidP="006D2135">
            <w:pPr>
              <w:rPr>
                <w:sz w:val="22"/>
                <w:szCs w:val="22"/>
              </w:rPr>
            </w:pPr>
            <w:r w:rsidRPr="00C63F89">
              <w:rPr>
                <w:sz w:val="22"/>
                <w:szCs w:val="22"/>
              </w:rPr>
              <w:t>Epistemic context (orientation of discipline)</w:t>
            </w:r>
          </w:p>
        </w:tc>
        <w:tc>
          <w:tcPr>
            <w:tcW w:w="1475" w:type="dxa"/>
            <w:tcBorders>
              <w:top w:val="single" w:sz="12" w:space="0" w:color="auto"/>
              <w:left w:val="single" w:sz="12" w:space="0" w:color="auto"/>
              <w:bottom w:val="single" w:sz="6" w:space="0" w:color="auto"/>
              <w:right w:val="single" w:sz="6" w:space="0" w:color="auto"/>
            </w:tcBorders>
            <w:shd w:val="clear" w:color="auto" w:fill="A6A6A6" w:themeFill="background1" w:themeFillShade="A6"/>
          </w:tcPr>
          <w:p w14:paraId="5F6ED631" w14:textId="77777777" w:rsidR="00AD6CC7" w:rsidRPr="00C63F89" w:rsidRDefault="00AD6CC7" w:rsidP="006D2135">
            <w:pPr>
              <w:rPr>
                <w:sz w:val="22"/>
                <w:szCs w:val="22"/>
              </w:rPr>
            </w:pPr>
            <w:r w:rsidRPr="00C63F89">
              <w:rPr>
                <w:sz w:val="22"/>
                <w:szCs w:val="22"/>
              </w:rPr>
              <w:t>Basic/Applied</w:t>
            </w:r>
          </w:p>
        </w:tc>
        <w:tc>
          <w:tcPr>
            <w:tcW w:w="962" w:type="dxa"/>
            <w:tcBorders>
              <w:top w:val="single" w:sz="12" w:space="0" w:color="auto"/>
              <w:left w:val="single" w:sz="6" w:space="0" w:color="auto"/>
              <w:bottom w:val="single" w:sz="6" w:space="0" w:color="auto"/>
              <w:right w:val="single" w:sz="6" w:space="0" w:color="auto"/>
            </w:tcBorders>
            <w:shd w:val="clear" w:color="auto" w:fill="A6A6A6" w:themeFill="background1" w:themeFillShade="A6"/>
          </w:tcPr>
          <w:p w14:paraId="3A1C0FC9" w14:textId="77777777" w:rsidR="00AD6CC7" w:rsidRPr="00C63F89" w:rsidRDefault="00AD6CC7" w:rsidP="006D2135">
            <w:pPr>
              <w:jc w:val="center"/>
              <w:rPr>
                <w:sz w:val="22"/>
                <w:szCs w:val="22"/>
              </w:rPr>
            </w:pPr>
            <w:r w:rsidRPr="00C63F89">
              <w:rPr>
                <w:sz w:val="22"/>
                <w:szCs w:val="22"/>
              </w:rPr>
              <w:t>3.06</w:t>
            </w:r>
          </w:p>
        </w:tc>
        <w:tc>
          <w:tcPr>
            <w:tcW w:w="1417" w:type="dxa"/>
            <w:tcBorders>
              <w:top w:val="single" w:sz="12" w:space="0" w:color="auto"/>
              <w:left w:val="single" w:sz="6" w:space="0" w:color="auto"/>
              <w:bottom w:val="single" w:sz="6" w:space="0" w:color="auto"/>
              <w:right w:val="single" w:sz="6" w:space="0" w:color="auto"/>
            </w:tcBorders>
            <w:shd w:val="clear" w:color="auto" w:fill="A6A6A6" w:themeFill="background1" w:themeFillShade="A6"/>
          </w:tcPr>
          <w:p w14:paraId="619660C4" w14:textId="77777777" w:rsidR="00AD6CC7" w:rsidRPr="00C63F89" w:rsidRDefault="00AD6CC7" w:rsidP="006D2135">
            <w:pPr>
              <w:jc w:val="center"/>
              <w:rPr>
                <w:sz w:val="22"/>
                <w:szCs w:val="22"/>
              </w:rPr>
            </w:pPr>
            <w:r w:rsidRPr="00C63F89">
              <w:rPr>
                <w:sz w:val="22"/>
                <w:szCs w:val="22"/>
              </w:rPr>
              <w:t>2.3</w:t>
            </w:r>
          </w:p>
        </w:tc>
        <w:tc>
          <w:tcPr>
            <w:tcW w:w="1418" w:type="dxa"/>
            <w:tcBorders>
              <w:top w:val="single" w:sz="12" w:space="0" w:color="auto"/>
              <w:left w:val="single" w:sz="6" w:space="0" w:color="auto"/>
              <w:bottom w:val="single" w:sz="6" w:space="0" w:color="auto"/>
              <w:right w:val="single" w:sz="6" w:space="0" w:color="auto"/>
            </w:tcBorders>
            <w:shd w:val="clear" w:color="auto" w:fill="A6A6A6" w:themeFill="background1" w:themeFillShade="A6"/>
          </w:tcPr>
          <w:p w14:paraId="610B3BBB" w14:textId="77777777" w:rsidR="00AD6CC7" w:rsidRPr="00C63F89" w:rsidRDefault="00AD6CC7" w:rsidP="006D2135">
            <w:pPr>
              <w:jc w:val="center"/>
              <w:rPr>
                <w:sz w:val="22"/>
                <w:szCs w:val="22"/>
              </w:rPr>
            </w:pPr>
            <w:r w:rsidRPr="00C63F89">
              <w:rPr>
                <w:sz w:val="22"/>
                <w:szCs w:val="22"/>
              </w:rPr>
              <w:t>1.78</w:t>
            </w:r>
          </w:p>
        </w:tc>
        <w:tc>
          <w:tcPr>
            <w:tcW w:w="1622" w:type="dxa"/>
            <w:tcBorders>
              <w:top w:val="single" w:sz="12" w:space="0" w:color="auto"/>
              <w:left w:val="single" w:sz="6" w:space="0" w:color="auto"/>
              <w:bottom w:val="single" w:sz="6" w:space="0" w:color="auto"/>
              <w:right w:val="single" w:sz="12" w:space="0" w:color="auto"/>
            </w:tcBorders>
            <w:shd w:val="clear" w:color="auto" w:fill="A6A6A6" w:themeFill="background1" w:themeFillShade="A6"/>
          </w:tcPr>
          <w:p w14:paraId="06FF70CB" w14:textId="77777777" w:rsidR="00AD6CC7" w:rsidRPr="00C63F89" w:rsidRDefault="00AD6CC7" w:rsidP="006D2135">
            <w:pPr>
              <w:jc w:val="center"/>
              <w:rPr>
                <w:b/>
                <w:sz w:val="22"/>
                <w:szCs w:val="22"/>
              </w:rPr>
            </w:pPr>
            <w:r w:rsidRPr="00C63F89">
              <w:rPr>
                <w:b/>
                <w:sz w:val="22"/>
                <w:szCs w:val="22"/>
              </w:rPr>
              <w:t>2.4</w:t>
            </w:r>
          </w:p>
        </w:tc>
      </w:tr>
      <w:tr w:rsidR="00AD6CC7" w14:paraId="53F4375D" w14:textId="77777777" w:rsidTr="006D2135">
        <w:trPr>
          <w:trHeight w:val="264"/>
        </w:trPr>
        <w:tc>
          <w:tcPr>
            <w:tcW w:w="1811" w:type="dxa"/>
            <w:vMerge/>
            <w:tcBorders>
              <w:left w:val="single" w:sz="12" w:space="0" w:color="auto"/>
              <w:right w:val="single" w:sz="6" w:space="0" w:color="auto"/>
            </w:tcBorders>
            <w:shd w:val="clear" w:color="auto" w:fill="A6A6A6" w:themeFill="background1" w:themeFillShade="A6"/>
          </w:tcPr>
          <w:p w14:paraId="060B5EB3" w14:textId="77777777" w:rsidR="00AD6CC7" w:rsidRPr="00C63F89" w:rsidRDefault="00AD6CC7" w:rsidP="006D2135">
            <w:pPr>
              <w:rPr>
                <w:sz w:val="22"/>
                <w:szCs w:val="22"/>
              </w:rPr>
            </w:pPr>
          </w:p>
        </w:tc>
        <w:tc>
          <w:tcPr>
            <w:tcW w:w="1475" w:type="dxa"/>
            <w:tcBorders>
              <w:top w:val="single" w:sz="6" w:space="0" w:color="auto"/>
              <w:left w:val="single" w:sz="12" w:space="0" w:color="auto"/>
              <w:bottom w:val="single" w:sz="6" w:space="0" w:color="auto"/>
              <w:right w:val="single" w:sz="6" w:space="0" w:color="auto"/>
            </w:tcBorders>
            <w:shd w:val="clear" w:color="auto" w:fill="A6A6A6" w:themeFill="background1" w:themeFillShade="A6"/>
          </w:tcPr>
          <w:p w14:paraId="7D3CB185" w14:textId="77777777" w:rsidR="00AD6CC7" w:rsidRPr="00C63F89" w:rsidRDefault="00AD6CC7" w:rsidP="006D2135">
            <w:pPr>
              <w:rPr>
                <w:sz w:val="22"/>
                <w:szCs w:val="22"/>
              </w:rPr>
            </w:pPr>
            <w:r w:rsidRPr="00C63F89">
              <w:rPr>
                <w:sz w:val="22"/>
                <w:szCs w:val="22"/>
              </w:rPr>
              <w:t>Basic</w:t>
            </w:r>
          </w:p>
        </w:tc>
        <w:tc>
          <w:tcPr>
            <w:tcW w:w="962"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C7339DF" w14:textId="77777777" w:rsidR="00AD6CC7" w:rsidRPr="00C63F89" w:rsidRDefault="00AD6CC7" w:rsidP="006D2135">
            <w:pPr>
              <w:jc w:val="center"/>
              <w:rPr>
                <w:sz w:val="22"/>
                <w:szCs w:val="22"/>
              </w:rPr>
            </w:pPr>
            <w:r w:rsidRPr="00C63F89">
              <w:rPr>
                <w:sz w:val="22"/>
                <w:szCs w:val="22"/>
              </w:rPr>
              <w:t>3.24</w:t>
            </w:r>
          </w:p>
        </w:tc>
        <w:tc>
          <w:tcPr>
            <w:tcW w:w="1417"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0B7FF1E9" w14:textId="77777777" w:rsidR="00AD6CC7" w:rsidRPr="00C63F89" w:rsidRDefault="00AD6CC7" w:rsidP="006D2135">
            <w:pPr>
              <w:jc w:val="center"/>
              <w:rPr>
                <w:sz w:val="22"/>
                <w:szCs w:val="22"/>
              </w:rPr>
            </w:pPr>
            <w:r w:rsidRPr="00C63F89">
              <w:rPr>
                <w:sz w:val="22"/>
                <w:szCs w:val="22"/>
              </w:rPr>
              <w:t>2.37</w:t>
            </w:r>
          </w:p>
        </w:tc>
        <w:tc>
          <w:tcPr>
            <w:tcW w:w="1418"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6703F93" w14:textId="77777777" w:rsidR="00AD6CC7" w:rsidRPr="00C63F89" w:rsidRDefault="00AD6CC7" w:rsidP="006D2135">
            <w:pPr>
              <w:jc w:val="center"/>
              <w:rPr>
                <w:sz w:val="22"/>
                <w:szCs w:val="22"/>
              </w:rPr>
            </w:pPr>
            <w:r w:rsidRPr="00C63F89">
              <w:rPr>
                <w:sz w:val="22"/>
                <w:szCs w:val="22"/>
              </w:rPr>
              <w:t>1.52</w:t>
            </w:r>
          </w:p>
        </w:tc>
        <w:tc>
          <w:tcPr>
            <w:tcW w:w="1622" w:type="dxa"/>
            <w:tcBorders>
              <w:top w:val="single" w:sz="6" w:space="0" w:color="auto"/>
              <w:left w:val="single" w:sz="6" w:space="0" w:color="auto"/>
              <w:bottom w:val="single" w:sz="6" w:space="0" w:color="auto"/>
              <w:right w:val="single" w:sz="12" w:space="0" w:color="auto"/>
            </w:tcBorders>
            <w:shd w:val="clear" w:color="auto" w:fill="A6A6A6" w:themeFill="background1" w:themeFillShade="A6"/>
          </w:tcPr>
          <w:p w14:paraId="5B43D2A0" w14:textId="77777777" w:rsidR="00AD6CC7" w:rsidRPr="00C63F89" w:rsidRDefault="00AD6CC7" w:rsidP="006D2135">
            <w:pPr>
              <w:jc w:val="center"/>
              <w:rPr>
                <w:b/>
                <w:sz w:val="22"/>
                <w:szCs w:val="22"/>
              </w:rPr>
            </w:pPr>
            <w:r w:rsidRPr="00C63F89">
              <w:rPr>
                <w:b/>
                <w:sz w:val="22"/>
                <w:szCs w:val="22"/>
              </w:rPr>
              <w:t>2.43</w:t>
            </w:r>
          </w:p>
        </w:tc>
      </w:tr>
      <w:tr w:rsidR="00AD6CC7" w14:paraId="0277D89B" w14:textId="77777777" w:rsidTr="006D2135">
        <w:trPr>
          <w:trHeight w:val="276"/>
        </w:trPr>
        <w:tc>
          <w:tcPr>
            <w:tcW w:w="1811" w:type="dxa"/>
            <w:vMerge/>
            <w:tcBorders>
              <w:left w:val="single" w:sz="12" w:space="0" w:color="auto"/>
              <w:bottom w:val="single" w:sz="12" w:space="0" w:color="auto"/>
              <w:right w:val="single" w:sz="6" w:space="0" w:color="auto"/>
            </w:tcBorders>
            <w:shd w:val="clear" w:color="auto" w:fill="A6A6A6" w:themeFill="background1" w:themeFillShade="A6"/>
          </w:tcPr>
          <w:p w14:paraId="5AFCD28F" w14:textId="77777777" w:rsidR="00AD6CC7" w:rsidRPr="00C63F89" w:rsidRDefault="00AD6CC7" w:rsidP="006D2135">
            <w:pPr>
              <w:rPr>
                <w:sz w:val="22"/>
                <w:szCs w:val="22"/>
              </w:rPr>
            </w:pPr>
          </w:p>
        </w:tc>
        <w:tc>
          <w:tcPr>
            <w:tcW w:w="1475" w:type="dxa"/>
            <w:tcBorders>
              <w:top w:val="single" w:sz="6" w:space="0" w:color="auto"/>
              <w:left w:val="single" w:sz="12" w:space="0" w:color="auto"/>
              <w:bottom w:val="single" w:sz="12" w:space="0" w:color="auto"/>
              <w:right w:val="single" w:sz="6" w:space="0" w:color="auto"/>
            </w:tcBorders>
            <w:shd w:val="clear" w:color="auto" w:fill="A6A6A6" w:themeFill="background1" w:themeFillShade="A6"/>
          </w:tcPr>
          <w:p w14:paraId="3026A7BE" w14:textId="77777777" w:rsidR="00AD6CC7" w:rsidRPr="00C63F89" w:rsidRDefault="00AD6CC7" w:rsidP="006D2135">
            <w:pPr>
              <w:rPr>
                <w:sz w:val="22"/>
                <w:szCs w:val="22"/>
              </w:rPr>
            </w:pPr>
            <w:r w:rsidRPr="00C63F89">
              <w:rPr>
                <w:sz w:val="22"/>
                <w:szCs w:val="22"/>
              </w:rPr>
              <w:t>Applied</w:t>
            </w:r>
          </w:p>
        </w:tc>
        <w:tc>
          <w:tcPr>
            <w:tcW w:w="962" w:type="dxa"/>
            <w:tcBorders>
              <w:top w:val="single" w:sz="6" w:space="0" w:color="auto"/>
              <w:left w:val="single" w:sz="6" w:space="0" w:color="auto"/>
              <w:bottom w:val="single" w:sz="12" w:space="0" w:color="auto"/>
              <w:right w:val="single" w:sz="6" w:space="0" w:color="auto"/>
            </w:tcBorders>
            <w:shd w:val="clear" w:color="auto" w:fill="A6A6A6" w:themeFill="background1" w:themeFillShade="A6"/>
          </w:tcPr>
          <w:p w14:paraId="55FDFE29" w14:textId="77777777" w:rsidR="00AD6CC7" w:rsidRPr="00C63F89" w:rsidRDefault="00AD6CC7" w:rsidP="006D2135">
            <w:pPr>
              <w:jc w:val="center"/>
              <w:rPr>
                <w:sz w:val="22"/>
                <w:szCs w:val="22"/>
              </w:rPr>
            </w:pPr>
            <w:r w:rsidRPr="00C63F89">
              <w:rPr>
                <w:sz w:val="22"/>
                <w:szCs w:val="22"/>
              </w:rPr>
              <w:t>3.95</w:t>
            </w:r>
          </w:p>
        </w:tc>
        <w:tc>
          <w:tcPr>
            <w:tcW w:w="1417" w:type="dxa"/>
            <w:tcBorders>
              <w:top w:val="single" w:sz="6" w:space="0" w:color="auto"/>
              <w:left w:val="single" w:sz="6" w:space="0" w:color="auto"/>
              <w:bottom w:val="single" w:sz="12" w:space="0" w:color="auto"/>
              <w:right w:val="single" w:sz="6" w:space="0" w:color="auto"/>
            </w:tcBorders>
            <w:shd w:val="clear" w:color="auto" w:fill="A6A6A6" w:themeFill="background1" w:themeFillShade="A6"/>
          </w:tcPr>
          <w:p w14:paraId="0C0C5871" w14:textId="77777777" w:rsidR="00AD6CC7" w:rsidRPr="00C63F89" w:rsidRDefault="00AD6CC7" w:rsidP="006D2135">
            <w:pPr>
              <w:jc w:val="center"/>
              <w:rPr>
                <w:sz w:val="22"/>
                <w:szCs w:val="22"/>
              </w:rPr>
            </w:pPr>
            <w:r w:rsidRPr="00C63F89">
              <w:rPr>
                <w:sz w:val="22"/>
                <w:szCs w:val="22"/>
              </w:rPr>
              <w:t>2.52</w:t>
            </w:r>
          </w:p>
        </w:tc>
        <w:tc>
          <w:tcPr>
            <w:tcW w:w="1418" w:type="dxa"/>
            <w:tcBorders>
              <w:top w:val="single" w:sz="6" w:space="0" w:color="auto"/>
              <w:left w:val="single" w:sz="6" w:space="0" w:color="auto"/>
              <w:bottom w:val="single" w:sz="12" w:space="0" w:color="auto"/>
              <w:right w:val="single" w:sz="6" w:space="0" w:color="auto"/>
            </w:tcBorders>
            <w:shd w:val="clear" w:color="auto" w:fill="A6A6A6" w:themeFill="background1" w:themeFillShade="A6"/>
          </w:tcPr>
          <w:p w14:paraId="50A9AFF5" w14:textId="77777777" w:rsidR="00AD6CC7" w:rsidRPr="00C63F89" w:rsidRDefault="00AD6CC7" w:rsidP="006D2135">
            <w:pPr>
              <w:jc w:val="center"/>
              <w:rPr>
                <w:sz w:val="22"/>
                <w:szCs w:val="22"/>
              </w:rPr>
            </w:pPr>
            <w:r w:rsidRPr="00C63F89">
              <w:rPr>
                <w:sz w:val="22"/>
                <w:szCs w:val="22"/>
              </w:rPr>
              <w:t>1.55</w:t>
            </w:r>
          </w:p>
        </w:tc>
        <w:tc>
          <w:tcPr>
            <w:tcW w:w="1622" w:type="dxa"/>
            <w:tcBorders>
              <w:top w:val="single" w:sz="6" w:space="0" w:color="auto"/>
              <w:left w:val="single" w:sz="6" w:space="0" w:color="auto"/>
              <w:bottom w:val="single" w:sz="12" w:space="0" w:color="auto"/>
              <w:right w:val="single" w:sz="12" w:space="0" w:color="auto"/>
            </w:tcBorders>
            <w:shd w:val="clear" w:color="auto" w:fill="A6A6A6" w:themeFill="background1" w:themeFillShade="A6"/>
          </w:tcPr>
          <w:p w14:paraId="18D019BB" w14:textId="77777777" w:rsidR="00AD6CC7" w:rsidRPr="00C63F89" w:rsidRDefault="00AD6CC7" w:rsidP="006D2135">
            <w:pPr>
              <w:keepNext/>
              <w:jc w:val="center"/>
              <w:rPr>
                <w:b/>
                <w:sz w:val="22"/>
                <w:szCs w:val="22"/>
              </w:rPr>
            </w:pPr>
            <w:r w:rsidRPr="00C63F89">
              <w:rPr>
                <w:b/>
                <w:sz w:val="22"/>
                <w:szCs w:val="22"/>
              </w:rPr>
              <w:t>2.71</w:t>
            </w:r>
          </w:p>
        </w:tc>
      </w:tr>
    </w:tbl>
    <w:p w14:paraId="4ABD523A" w14:textId="012E5B8E" w:rsidR="00AD6CC7" w:rsidRDefault="00AD6CC7" w:rsidP="00AD6CC7">
      <w:pPr>
        <w:pStyle w:val="Caption"/>
      </w:pPr>
      <w:bookmarkStart w:id="197" w:name="_Ref8937176"/>
      <w:bookmarkStart w:id="198" w:name="_Ref9077180"/>
      <w:bookmarkStart w:id="199" w:name="_Ref9085135"/>
      <w:bookmarkStart w:id="200" w:name="_Toc31702066"/>
      <w:r>
        <w:t xml:space="preserve">Table </w:t>
      </w:r>
      <w:r w:rsidR="00A56355">
        <w:fldChar w:fldCharType="begin"/>
      </w:r>
      <w:r w:rsidR="00A56355">
        <w:instrText xml:space="preserve"> SEQ Table \* ARABIC </w:instrText>
      </w:r>
      <w:r w:rsidR="00A56355">
        <w:fldChar w:fldCharType="separate"/>
      </w:r>
      <w:r w:rsidR="0011424E">
        <w:rPr>
          <w:noProof/>
        </w:rPr>
        <w:t>37</w:t>
      </w:r>
      <w:r w:rsidR="00A56355">
        <w:rPr>
          <w:noProof/>
        </w:rPr>
        <w:fldChar w:fldCharType="end"/>
      </w:r>
      <w:bookmarkEnd w:id="197"/>
      <w:r>
        <w:t xml:space="preserve">. </w:t>
      </w:r>
      <w:r w:rsidRPr="004B1EE9">
        <w:t>Typology values by contextual dimension</w:t>
      </w:r>
      <w:r w:rsidR="00FA45F1">
        <w:t>/categories</w:t>
      </w:r>
      <w:r w:rsidRPr="004B1EE9">
        <w:t xml:space="preserve"> and research </w:t>
      </w:r>
      <w:bookmarkEnd w:id="198"/>
      <w:bookmarkEnd w:id="199"/>
      <w:r w:rsidR="003D00F1">
        <w:t>dimensions</w:t>
      </w:r>
      <w:bookmarkEnd w:id="200"/>
    </w:p>
    <w:p w14:paraId="19AB167D" w14:textId="4CFD2DF6" w:rsidR="009424EE" w:rsidRDefault="00CE4D86" w:rsidP="009424EE">
      <w:pPr>
        <w:pStyle w:val="Heading3"/>
      </w:pPr>
      <w:bookmarkStart w:id="201" w:name="_Toc31701986"/>
      <w:r>
        <w:t>Institutional context</w:t>
      </w:r>
      <w:r w:rsidR="000C5702">
        <w:t xml:space="preserve"> (</w:t>
      </w:r>
      <w:r w:rsidR="002A1FE2">
        <w:t>d</w:t>
      </w:r>
      <w:r w:rsidR="009E2827">
        <w:t xml:space="preserve">epartmental </w:t>
      </w:r>
      <w:r w:rsidR="002A1FE2">
        <w:t>status</w:t>
      </w:r>
      <w:r w:rsidR="000C5702">
        <w:t>): variation by ‘ownership’ of knowledge production</w:t>
      </w:r>
      <w:bookmarkEnd w:id="201"/>
    </w:p>
    <w:p w14:paraId="1A5E499F" w14:textId="1382D050" w:rsidR="00452F9F" w:rsidRDefault="0032466B" w:rsidP="0032466B">
      <w:pPr>
        <w:spacing w:before="120" w:after="120" w:line="360" w:lineRule="auto"/>
        <w:rPr>
          <w:sz w:val="24"/>
          <w:szCs w:val="24"/>
        </w:rPr>
      </w:pPr>
      <w:r>
        <w:rPr>
          <w:sz w:val="24"/>
          <w:szCs w:val="24"/>
        </w:rPr>
        <w:t xml:space="preserve">There are three categories of institutional/departmental context, which I classify as ‘elite’, ‘more prestigious’ and ‘less prestigious’. ‘Elite’ departments were defined as (i) being based in a university in the top two of Boliver’s (2015) four status-based ‘tiers’ </w:t>
      </w:r>
      <w:r>
        <w:rPr>
          <w:i/>
          <w:sz w:val="24"/>
          <w:szCs w:val="24"/>
        </w:rPr>
        <w:t xml:space="preserve">and </w:t>
      </w:r>
      <w:r>
        <w:rPr>
          <w:sz w:val="24"/>
          <w:szCs w:val="24"/>
        </w:rPr>
        <w:t xml:space="preserve">(ii) having a relatively high ‘Overall’ rating in </w:t>
      </w:r>
      <w:r>
        <w:rPr>
          <w:i/>
          <w:sz w:val="24"/>
          <w:szCs w:val="24"/>
        </w:rPr>
        <w:t xml:space="preserve">REF2014 </w:t>
      </w:r>
      <w:r>
        <w:rPr>
          <w:sz w:val="24"/>
          <w:szCs w:val="24"/>
        </w:rPr>
        <w:t xml:space="preserve">(relative to competing departments nationally). ‘Less prestigious’ departments were defined as (i) being based in a university in the bottom two of Boliver’s four ‘tiers’ </w:t>
      </w:r>
      <w:r>
        <w:rPr>
          <w:i/>
          <w:sz w:val="24"/>
          <w:szCs w:val="24"/>
        </w:rPr>
        <w:t xml:space="preserve">and </w:t>
      </w:r>
      <w:r>
        <w:rPr>
          <w:sz w:val="24"/>
          <w:szCs w:val="24"/>
        </w:rPr>
        <w:t xml:space="preserve">(ii) having a relatively low ‘Overall’ rating in </w:t>
      </w:r>
      <w:r>
        <w:rPr>
          <w:i/>
          <w:sz w:val="24"/>
          <w:szCs w:val="24"/>
        </w:rPr>
        <w:t xml:space="preserve">REF2014 </w:t>
      </w:r>
      <w:r>
        <w:rPr>
          <w:sz w:val="24"/>
          <w:szCs w:val="24"/>
        </w:rPr>
        <w:t xml:space="preserve">(relative to </w:t>
      </w:r>
      <w:r w:rsidR="00792684">
        <w:rPr>
          <w:sz w:val="24"/>
          <w:szCs w:val="24"/>
        </w:rPr>
        <w:t>other</w:t>
      </w:r>
      <w:r>
        <w:rPr>
          <w:sz w:val="24"/>
          <w:szCs w:val="24"/>
        </w:rPr>
        <w:t xml:space="preserve"> departments nationally). Finally, ‘more prestigious’ departments are any which do not fit into categories of ‘elite’ or ‘less prestigious</w:t>
      </w:r>
      <w:r w:rsidR="00D60688">
        <w:rPr>
          <w:sz w:val="24"/>
          <w:szCs w:val="24"/>
        </w:rPr>
        <w:t>’</w:t>
      </w:r>
      <w:r>
        <w:rPr>
          <w:sz w:val="24"/>
          <w:szCs w:val="24"/>
        </w:rPr>
        <w:t>.</w:t>
      </w:r>
      <w:r w:rsidR="00452F9F">
        <w:rPr>
          <w:sz w:val="24"/>
          <w:szCs w:val="24"/>
        </w:rPr>
        <w:t xml:space="preserve"> </w:t>
      </w:r>
    </w:p>
    <w:p w14:paraId="4556606F" w14:textId="2236D0B1" w:rsidR="00B47634" w:rsidRDefault="00FB6B36" w:rsidP="00B47634">
      <w:pPr>
        <w:spacing w:after="120" w:line="360" w:lineRule="auto"/>
        <w:rPr>
          <w:sz w:val="24"/>
          <w:szCs w:val="24"/>
        </w:rPr>
      </w:pPr>
      <w:r w:rsidRPr="00C63F89">
        <w:rPr>
          <w:sz w:val="24"/>
          <w:szCs w:val="24"/>
        </w:rPr>
        <w:t>As</w:t>
      </w:r>
      <w:r w:rsidR="00C63F89" w:rsidRPr="00C63F89">
        <w:rPr>
          <w:sz w:val="24"/>
          <w:szCs w:val="24"/>
        </w:rPr>
        <w:t xml:space="preserve"> </w:t>
      </w:r>
      <w:r w:rsidR="00C63F89" w:rsidRPr="00C63F89">
        <w:rPr>
          <w:sz w:val="24"/>
          <w:szCs w:val="24"/>
        </w:rPr>
        <w:fldChar w:fldCharType="begin"/>
      </w:r>
      <w:r w:rsidR="00C63F89" w:rsidRPr="00C63F89">
        <w:rPr>
          <w:sz w:val="24"/>
          <w:szCs w:val="24"/>
        </w:rPr>
        <w:instrText xml:space="preserve"> REF _Ref8937176 \h </w:instrText>
      </w:r>
      <w:r w:rsidR="00C63F89">
        <w:rPr>
          <w:sz w:val="24"/>
          <w:szCs w:val="24"/>
        </w:rPr>
        <w:instrText xml:space="preserve"> \* MERGEFORMAT </w:instrText>
      </w:r>
      <w:r w:rsidR="00C63F89" w:rsidRPr="00C63F89">
        <w:rPr>
          <w:sz w:val="24"/>
          <w:szCs w:val="24"/>
        </w:rPr>
      </w:r>
      <w:r w:rsidR="00C63F89" w:rsidRPr="00C63F89">
        <w:rPr>
          <w:sz w:val="24"/>
          <w:szCs w:val="24"/>
        </w:rPr>
        <w:fldChar w:fldCharType="separate"/>
      </w:r>
      <w:r w:rsidR="0011424E" w:rsidRPr="0011424E">
        <w:rPr>
          <w:sz w:val="24"/>
          <w:szCs w:val="24"/>
        </w:rPr>
        <w:t xml:space="preserve">Table </w:t>
      </w:r>
      <w:r w:rsidR="0011424E" w:rsidRPr="0011424E">
        <w:rPr>
          <w:noProof/>
          <w:sz w:val="24"/>
          <w:szCs w:val="24"/>
        </w:rPr>
        <w:t>37</w:t>
      </w:r>
      <w:r w:rsidR="00C63F89" w:rsidRPr="00C63F89">
        <w:rPr>
          <w:sz w:val="24"/>
          <w:szCs w:val="24"/>
        </w:rPr>
        <w:fldChar w:fldCharType="end"/>
      </w:r>
      <w:r w:rsidR="002E5045">
        <w:rPr>
          <w:sz w:val="24"/>
          <w:szCs w:val="24"/>
        </w:rPr>
        <w:t xml:space="preserve"> shows</w:t>
      </w:r>
      <w:r w:rsidR="00C63F89">
        <w:rPr>
          <w:sz w:val="24"/>
          <w:szCs w:val="24"/>
        </w:rPr>
        <w:t xml:space="preserve">, </w:t>
      </w:r>
      <w:r w:rsidR="004B4706">
        <w:rPr>
          <w:sz w:val="24"/>
          <w:szCs w:val="24"/>
        </w:rPr>
        <w:t>‘elite’ institutional contexts st</w:t>
      </w:r>
      <w:r w:rsidR="002E5045">
        <w:rPr>
          <w:sz w:val="24"/>
          <w:szCs w:val="24"/>
        </w:rPr>
        <w:t>an</w:t>
      </w:r>
      <w:r w:rsidR="004B4706">
        <w:rPr>
          <w:sz w:val="24"/>
          <w:szCs w:val="24"/>
        </w:rPr>
        <w:t xml:space="preserve">d out </w:t>
      </w:r>
      <w:r w:rsidR="00C63F89">
        <w:rPr>
          <w:sz w:val="24"/>
          <w:szCs w:val="24"/>
        </w:rPr>
        <w:t>by having the lowest values out of all nine categories in the ‘intermediary’ (2.15) and ‘knowledge content’ (1.45) research dimensions, as well as having the joint lowest total value (2.4</w:t>
      </w:r>
      <w:r w:rsidR="00972C67">
        <w:rPr>
          <w:sz w:val="24"/>
          <w:szCs w:val="24"/>
        </w:rPr>
        <w:t xml:space="preserve">). </w:t>
      </w:r>
      <w:r w:rsidR="00A371DA">
        <w:rPr>
          <w:sz w:val="24"/>
          <w:szCs w:val="24"/>
        </w:rPr>
        <w:t xml:space="preserve">By contrast, ‘less prestigious’ departments have the highest ‘intermediary’ value (2.63) and joint highest ‘knowledge content’ value (1.78). </w:t>
      </w:r>
      <w:r w:rsidR="00B47634">
        <w:rPr>
          <w:sz w:val="24"/>
          <w:szCs w:val="24"/>
        </w:rPr>
        <w:t xml:space="preserve">This suggests that these aspects (activities/attributes) of research are strongly </w:t>
      </w:r>
      <w:r w:rsidR="00DD6D5C">
        <w:rPr>
          <w:sz w:val="24"/>
          <w:szCs w:val="24"/>
        </w:rPr>
        <w:t>‘</w:t>
      </w:r>
      <w:r w:rsidR="00B47634">
        <w:rPr>
          <w:sz w:val="24"/>
          <w:szCs w:val="24"/>
        </w:rPr>
        <w:t>bounded</w:t>
      </w:r>
      <w:r w:rsidR="00DD6D5C">
        <w:rPr>
          <w:sz w:val="24"/>
          <w:szCs w:val="24"/>
        </w:rPr>
        <w:t>’</w:t>
      </w:r>
      <w:r w:rsidR="00B47634">
        <w:rPr>
          <w:sz w:val="24"/>
          <w:szCs w:val="24"/>
        </w:rPr>
        <w:t xml:space="preserve"> within academic control in </w:t>
      </w:r>
      <w:r w:rsidR="00DD6D5C">
        <w:rPr>
          <w:sz w:val="24"/>
          <w:szCs w:val="24"/>
        </w:rPr>
        <w:t>‘</w:t>
      </w:r>
      <w:r w:rsidR="00B47634">
        <w:rPr>
          <w:sz w:val="24"/>
          <w:szCs w:val="24"/>
        </w:rPr>
        <w:t>elite</w:t>
      </w:r>
      <w:r w:rsidR="00DD6D5C">
        <w:rPr>
          <w:sz w:val="24"/>
          <w:szCs w:val="24"/>
        </w:rPr>
        <w:t>’</w:t>
      </w:r>
      <w:r w:rsidR="00B47634">
        <w:rPr>
          <w:sz w:val="24"/>
          <w:szCs w:val="24"/>
        </w:rPr>
        <w:t xml:space="preserve"> departments</w:t>
      </w:r>
      <w:r w:rsidR="00FD02DB">
        <w:rPr>
          <w:sz w:val="24"/>
          <w:szCs w:val="24"/>
        </w:rPr>
        <w:t xml:space="preserve">, and relatively ‘unbounded’ in ‘less prestigious’ departments. </w:t>
      </w:r>
      <w:r w:rsidR="00DD6D5C">
        <w:rPr>
          <w:sz w:val="24"/>
          <w:szCs w:val="24"/>
        </w:rPr>
        <w:t>I will explore these findings below.</w:t>
      </w:r>
    </w:p>
    <w:p w14:paraId="5DC3BDF2" w14:textId="7EAF8045" w:rsidR="00DD6D5C" w:rsidRDefault="008C6DC5" w:rsidP="00DD6D5C">
      <w:pPr>
        <w:pStyle w:val="Heading4"/>
      </w:pPr>
      <w:r>
        <w:t>Variation by</w:t>
      </w:r>
      <w:r w:rsidR="00DD6D5C">
        <w:t xml:space="preserve"> ‘</w:t>
      </w:r>
      <w:r>
        <w:t>control</w:t>
      </w:r>
      <w:r w:rsidR="00DD6D5C">
        <w:t xml:space="preserve">’ over </w:t>
      </w:r>
      <w:r>
        <w:t>research</w:t>
      </w:r>
      <w:r w:rsidR="00D92C15">
        <w:t xml:space="preserve"> collaborations</w:t>
      </w:r>
    </w:p>
    <w:p w14:paraId="19FDA86E" w14:textId="22E79A8E" w:rsidR="00083742" w:rsidRPr="004B3ABB" w:rsidRDefault="00946AE3" w:rsidP="005E5A45">
      <w:pPr>
        <w:spacing w:before="120" w:after="120" w:line="360" w:lineRule="auto"/>
        <w:rPr>
          <w:sz w:val="24"/>
          <w:szCs w:val="24"/>
        </w:rPr>
      </w:pPr>
      <w:r>
        <w:rPr>
          <w:sz w:val="24"/>
          <w:szCs w:val="24"/>
        </w:rPr>
        <w:t>Th</w:t>
      </w:r>
      <w:r w:rsidR="00F06F49">
        <w:rPr>
          <w:sz w:val="24"/>
          <w:szCs w:val="24"/>
        </w:rPr>
        <w:t>e greater ‘boundedness’</w:t>
      </w:r>
      <w:r w:rsidR="00DF59FB">
        <w:rPr>
          <w:sz w:val="24"/>
          <w:szCs w:val="24"/>
        </w:rPr>
        <w:t xml:space="preserve"> associated with ‘elite’ departments’ research, indicated in </w:t>
      </w:r>
      <w:r w:rsidR="00DF59FB" w:rsidRPr="00C63F89">
        <w:rPr>
          <w:sz w:val="24"/>
          <w:szCs w:val="24"/>
        </w:rPr>
        <w:fldChar w:fldCharType="begin"/>
      </w:r>
      <w:r w:rsidR="00DF59FB" w:rsidRPr="00C63F89">
        <w:rPr>
          <w:sz w:val="24"/>
          <w:szCs w:val="24"/>
        </w:rPr>
        <w:instrText xml:space="preserve"> REF _Ref8937176 \h </w:instrText>
      </w:r>
      <w:r w:rsidR="00DF59FB">
        <w:rPr>
          <w:sz w:val="24"/>
          <w:szCs w:val="24"/>
        </w:rPr>
        <w:instrText xml:space="preserve"> \* MERGEFORMAT </w:instrText>
      </w:r>
      <w:r w:rsidR="00DF59FB" w:rsidRPr="00C63F89">
        <w:rPr>
          <w:sz w:val="24"/>
          <w:szCs w:val="24"/>
        </w:rPr>
      </w:r>
      <w:r w:rsidR="00DF59FB" w:rsidRPr="00C63F89">
        <w:rPr>
          <w:sz w:val="24"/>
          <w:szCs w:val="24"/>
        </w:rPr>
        <w:fldChar w:fldCharType="separate"/>
      </w:r>
      <w:r w:rsidR="0011424E" w:rsidRPr="0011424E">
        <w:rPr>
          <w:sz w:val="24"/>
          <w:szCs w:val="24"/>
        </w:rPr>
        <w:t xml:space="preserve">Table </w:t>
      </w:r>
      <w:r w:rsidR="0011424E" w:rsidRPr="0011424E">
        <w:rPr>
          <w:noProof/>
          <w:sz w:val="24"/>
          <w:szCs w:val="24"/>
        </w:rPr>
        <w:t>37</w:t>
      </w:r>
      <w:r w:rsidR="00DF59FB" w:rsidRPr="00C63F89">
        <w:rPr>
          <w:sz w:val="24"/>
          <w:szCs w:val="24"/>
        </w:rPr>
        <w:fldChar w:fldCharType="end"/>
      </w:r>
      <w:r w:rsidR="00DF59FB">
        <w:rPr>
          <w:sz w:val="24"/>
          <w:szCs w:val="24"/>
        </w:rPr>
        <w:t>,</w:t>
      </w:r>
      <w:r>
        <w:rPr>
          <w:sz w:val="24"/>
          <w:szCs w:val="24"/>
        </w:rPr>
        <w:t xml:space="preserve"> </w:t>
      </w:r>
      <w:r w:rsidR="003A0626">
        <w:rPr>
          <w:sz w:val="24"/>
          <w:szCs w:val="24"/>
        </w:rPr>
        <w:t xml:space="preserve">became </w:t>
      </w:r>
      <w:r w:rsidR="00481394">
        <w:rPr>
          <w:sz w:val="24"/>
          <w:szCs w:val="24"/>
        </w:rPr>
        <w:t>apparent</w:t>
      </w:r>
      <w:r>
        <w:rPr>
          <w:sz w:val="24"/>
          <w:szCs w:val="24"/>
        </w:rPr>
        <w:t xml:space="preserve"> in the</w:t>
      </w:r>
      <w:r w:rsidR="00EA7B7F">
        <w:rPr>
          <w:sz w:val="24"/>
          <w:szCs w:val="24"/>
        </w:rPr>
        <w:t xml:space="preserve"> high level of </w:t>
      </w:r>
      <w:r w:rsidR="00AA4703">
        <w:rPr>
          <w:sz w:val="24"/>
          <w:szCs w:val="24"/>
        </w:rPr>
        <w:t>‘</w:t>
      </w:r>
      <w:r w:rsidR="00EA7B7F">
        <w:rPr>
          <w:sz w:val="24"/>
          <w:szCs w:val="24"/>
        </w:rPr>
        <w:t>ownership</w:t>
      </w:r>
      <w:r w:rsidR="00AA4703">
        <w:rPr>
          <w:sz w:val="24"/>
          <w:szCs w:val="24"/>
        </w:rPr>
        <w:t xml:space="preserve">’ </w:t>
      </w:r>
      <w:r w:rsidR="00EA7B7F">
        <w:rPr>
          <w:sz w:val="24"/>
          <w:szCs w:val="24"/>
        </w:rPr>
        <w:t>over the knowledge production process that researchers in ‘elite’ departmental contexts exhibited as they transacted across boundaries and interacted</w:t>
      </w:r>
      <w:r w:rsidR="00C24310" w:rsidRPr="00491ACA">
        <w:rPr>
          <w:sz w:val="24"/>
          <w:szCs w:val="24"/>
        </w:rPr>
        <w:t xml:space="preserve"> with non-academic collaborators.</w:t>
      </w:r>
      <w:r w:rsidR="00491ACA" w:rsidRPr="00491ACA">
        <w:rPr>
          <w:sz w:val="24"/>
          <w:szCs w:val="24"/>
        </w:rPr>
        <w:t xml:space="preserve"> </w:t>
      </w:r>
      <w:r w:rsidR="005E5A45">
        <w:rPr>
          <w:sz w:val="24"/>
          <w:szCs w:val="24"/>
        </w:rPr>
        <w:t>One manifestation of this was the relati</w:t>
      </w:r>
      <w:r w:rsidR="00583EEE">
        <w:rPr>
          <w:sz w:val="24"/>
          <w:szCs w:val="24"/>
        </w:rPr>
        <w:t>on to collaborators and users.</w:t>
      </w:r>
      <w:r w:rsidR="00421F2C">
        <w:rPr>
          <w:sz w:val="24"/>
          <w:szCs w:val="24"/>
        </w:rPr>
        <w:t xml:space="preserve"> Analysis of </w:t>
      </w:r>
      <w:r w:rsidR="005D3CEE">
        <w:rPr>
          <w:sz w:val="24"/>
          <w:szCs w:val="24"/>
        </w:rPr>
        <w:t xml:space="preserve">documentary and interview data related to the four </w:t>
      </w:r>
      <w:r w:rsidR="00421F2C">
        <w:rPr>
          <w:sz w:val="24"/>
          <w:szCs w:val="24"/>
        </w:rPr>
        <w:t>BoRs</w:t>
      </w:r>
      <w:r w:rsidR="005D3CEE">
        <w:rPr>
          <w:sz w:val="24"/>
          <w:szCs w:val="24"/>
        </w:rPr>
        <w:t xml:space="preserve"> produced by the two</w:t>
      </w:r>
      <w:r w:rsidR="00421F2C">
        <w:rPr>
          <w:sz w:val="24"/>
          <w:szCs w:val="24"/>
        </w:rPr>
        <w:t xml:space="preserve"> ‘elite’ departments</w:t>
      </w:r>
      <w:r w:rsidR="0067209F">
        <w:rPr>
          <w:sz w:val="24"/>
          <w:szCs w:val="24"/>
        </w:rPr>
        <w:t xml:space="preserve"> </w:t>
      </w:r>
      <w:r w:rsidR="00C83AF4">
        <w:rPr>
          <w:sz w:val="24"/>
          <w:szCs w:val="24"/>
        </w:rPr>
        <w:t xml:space="preserve">in my sample </w:t>
      </w:r>
      <w:r w:rsidR="005D3CEE">
        <w:rPr>
          <w:sz w:val="24"/>
          <w:szCs w:val="24"/>
        </w:rPr>
        <w:t>reveal</w:t>
      </w:r>
      <w:r w:rsidR="000603DD">
        <w:rPr>
          <w:sz w:val="24"/>
          <w:szCs w:val="24"/>
        </w:rPr>
        <w:t xml:space="preserve"> significant power generated by its prestige and expertise, in the sense that, rather than chasing potential users, researchers in these contexts tended to experience </w:t>
      </w:r>
      <w:r w:rsidR="00421F2C">
        <w:rPr>
          <w:sz w:val="24"/>
          <w:szCs w:val="24"/>
        </w:rPr>
        <w:t xml:space="preserve">external collaborators/users (primarily industry) </w:t>
      </w:r>
      <w:r w:rsidR="000603DD">
        <w:rPr>
          <w:sz w:val="24"/>
          <w:szCs w:val="24"/>
        </w:rPr>
        <w:t>being the ones to make</w:t>
      </w:r>
      <w:r w:rsidR="00421F2C">
        <w:rPr>
          <w:sz w:val="24"/>
          <w:szCs w:val="24"/>
        </w:rPr>
        <w:t xml:space="preserve"> the effort to engage with </w:t>
      </w:r>
      <w:r w:rsidR="005D3CEE">
        <w:rPr>
          <w:sz w:val="24"/>
          <w:szCs w:val="24"/>
        </w:rPr>
        <w:t>academic research</w:t>
      </w:r>
      <w:r w:rsidR="00421F2C">
        <w:rPr>
          <w:sz w:val="24"/>
          <w:szCs w:val="24"/>
        </w:rPr>
        <w:t xml:space="preserve"> on the university’s terms.</w:t>
      </w:r>
      <w:r w:rsidR="005D3CEE">
        <w:rPr>
          <w:sz w:val="24"/>
          <w:szCs w:val="24"/>
        </w:rPr>
        <w:t xml:space="preserve"> </w:t>
      </w:r>
      <w:r w:rsidR="00CD3A7C" w:rsidRPr="004B3ABB">
        <w:rPr>
          <w:sz w:val="24"/>
          <w:szCs w:val="24"/>
        </w:rPr>
        <w:t xml:space="preserve">There is good evidence of this in at least </w:t>
      </w:r>
      <w:r w:rsidR="00F10E1B" w:rsidRPr="004B3ABB">
        <w:rPr>
          <w:sz w:val="24"/>
          <w:szCs w:val="24"/>
        </w:rPr>
        <w:t>three of the four BoRs from ‘elite’ departmental contexts</w:t>
      </w:r>
      <w:r w:rsidR="000B766F" w:rsidRPr="004B3ABB">
        <w:rPr>
          <w:sz w:val="24"/>
          <w:szCs w:val="24"/>
        </w:rPr>
        <w:t xml:space="preserve">: the high demand from the construction sector for consultancy and collaboration with the University of Sheffield’s Vibration Engineering Section (since moved to the University of Exeter); the interest from the steel and defence sectors in </w:t>
      </w:r>
      <w:r w:rsidR="00E25389" w:rsidRPr="004B3ABB">
        <w:rPr>
          <w:sz w:val="24"/>
          <w:szCs w:val="24"/>
        </w:rPr>
        <w:t>the expertise at the University of Cambridge Department for Materials Science and Metallurgy</w:t>
      </w:r>
      <w:r w:rsidR="00CD3A7C" w:rsidRPr="004B3ABB">
        <w:rPr>
          <w:sz w:val="24"/>
          <w:szCs w:val="24"/>
        </w:rPr>
        <w:t>; and the widespread participation of water companies</w:t>
      </w:r>
      <w:r w:rsidR="00A3387E" w:rsidRPr="004B3ABB">
        <w:rPr>
          <w:sz w:val="24"/>
          <w:szCs w:val="24"/>
        </w:rPr>
        <w:t xml:space="preserve"> in the University of Sheffield’s ‘Prediction and management Of Discolouration in Distribution Systems’ (PODDS) project.</w:t>
      </w:r>
      <w:r w:rsidR="001E5CEF" w:rsidRPr="004B3ABB">
        <w:rPr>
          <w:sz w:val="24"/>
          <w:szCs w:val="24"/>
        </w:rPr>
        <w:t xml:space="preserve"> </w:t>
      </w:r>
      <w:r w:rsidR="00583EEE" w:rsidRPr="004B3ABB">
        <w:rPr>
          <w:sz w:val="24"/>
          <w:szCs w:val="24"/>
        </w:rPr>
        <w:t>Interviews with respondents from ‘elite’ departments</w:t>
      </w:r>
      <w:r w:rsidR="004761D4" w:rsidRPr="004B3ABB">
        <w:rPr>
          <w:sz w:val="24"/>
          <w:szCs w:val="24"/>
        </w:rPr>
        <w:t xml:space="preserve"> corroborate this</w:t>
      </w:r>
      <w:r w:rsidR="001E5CEF" w:rsidRPr="004B3ABB">
        <w:rPr>
          <w:sz w:val="24"/>
          <w:szCs w:val="24"/>
        </w:rPr>
        <w:t xml:space="preserve"> analysis</w:t>
      </w:r>
      <w:r w:rsidR="00B801FD" w:rsidRPr="004B3ABB">
        <w:rPr>
          <w:sz w:val="24"/>
          <w:szCs w:val="24"/>
        </w:rPr>
        <w:t>:</w:t>
      </w:r>
    </w:p>
    <w:p w14:paraId="371CEE48" w14:textId="4AFC371C" w:rsidR="00083742" w:rsidRPr="004B3ABB" w:rsidRDefault="00083742" w:rsidP="00E1458C">
      <w:pPr>
        <w:spacing w:after="120" w:line="240" w:lineRule="auto"/>
        <w:ind w:left="720"/>
        <w:rPr>
          <w:sz w:val="24"/>
          <w:szCs w:val="24"/>
        </w:rPr>
      </w:pPr>
      <w:r w:rsidRPr="004B3ABB">
        <w:rPr>
          <w:sz w:val="24"/>
          <w:szCs w:val="24"/>
        </w:rPr>
        <w:t>“We have a lot of industry supporters who are very keen to work with us. We don’t have any trouble finding users.” (</w:t>
      </w:r>
      <w:r w:rsidR="00142140" w:rsidRPr="004B3ABB">
        <w:rPr>
          <w:sz w:val="24"/>
          <w:szCs w:val="24"/>
        </w:rPr>
        <w:t>Respondent from</w:t>
      </w:r>
      <w:r w:rsidRPr="004B3ABB">
        <w:rPr>
          <w:sz w:val="24"/>
          <w:szCs w:val="24"/>
        </w:rPr>
        <w:t xml:space="preserve"> ‘elite’ department)</w:t>
      </w:r>
    </w:p>
    <w:p w14:paraId="789B11B7" w14:textId="011E8917" w:rsidR="009174D9" w:rsidRDefault="009174D9" w:rsidP="00E1458C">
      <w:pPr>
        <w:spacing w:after="120" w:line="240" w:lineRule="auto"/>
        <w:ind w:left="720"/>
        <w:rPr>
          <w:sz w:val="24"/>
          <w:szCs w:val="24"/>
        </w:rPr>
      </w:pPr>
      <w:r w:rsidRPr="004B3ABB">
        <w:rPr>
          <w:sz w:val="24"/>
          <w:szCs w:val="24"/>
        </w:rPr>
        <w:t>“</w:t>
      </w:r>
      <w:r w:rsidR="009721FC" w:rsidRPr="004B3ABB">
        <w:rPr>
          <w:sz w:val="24"/>
          <w:szCs w:val="24"/>
        </w:rPr>
        <w:t>...</w:t>
      </w:r>
      <w:r w:rsidRPr="004B3ABB">
        <w:rPr>
          <w:sz w:val="24"/>
          <w:szCs w:val="24"/>
        </w:rPr>
        <w:t>we’ve said</w:t>
      </w:r>
      <w:r w:rsidR="00F74109" w:rsidRPr="004B3ABB">
        <w:rPr>
          <w:sz w:val="24"/>
          <w:szCs w:val="24"/>
        </w:rPr>
        <w:t xml:space="preserve"> [to the sector]</w:t>
      </w:r>
      <w:r w:rsidR="006D0F1F" w:rsidRPr="004B3ABB">
        <w:rPr>
          <w:sz w:val="24"/>
          <w:szCs w:val="24"/>
        </w:rPr>
        <w:t xml:space="preserve"> ...</w:t>
      </w:r>
      <w:r w:rsidRPr="004B3ABB">
        <w:rPr>
          <w:sz w:val="24"/>
          <w:szCs w:val="24"/>
        </w:rPr>
        <w:t xml:space="preserve"> </w:t>
      </w:r>
      <w:r w:rsidRPr="004B3ABB">
        <w:rPr>
          <w:i/>
          <w:sz w:val="24"/>
          <w:szCs w:val="24"/>
        </w:rPr>
        <w:t>“The onus is on you to come to us and give us the data to work with, because the more you put in, the more you get out.”</w:t>
      </w:r>
      <w:r w:rsidRPr="004B3ABB">
        <w:rPr>
          <w:sz w:val="24"/>
          <w:szCs w:val="24"/>
        </w:rPr>
        <w:t xml:space="preserve"> And they all approach us, most of them want to be involved.” (</w:t>
      </w:r>
      <w:r w:rsidR="00142140" w:rsidRPr="004B3ABB">
        <w:rPr>
          <w:sz w:val="24"/>
          <w:szCs w:val="24"/>
        </w:rPr>
        <w:t>Respondent from</w:t>
      </w:r>
      <w:r w:rsidRPr="004B3ABB">
        <w:rPr>
          <w:sz w:val="24"/>
          <w:szCs w:val="24"/>
        </w:rPr>
        <w:t xml:space="preserve"> </w:t>
      </w:r>
      <w:r w:rsidR="004051D3" w:rsidRPr="004B3ABB">
        <w:rPr>
          <w:sz w:val="24"/>
          <w:szCs w:val="24"/>
        </w:rPr>
        <w:t>‘elite’ department</w:t>
      </w:r>
      <w:r w:rsidRPr="004B3ABB">
        <w:rPr>
          <w:sz w:val="24"/>
          <w:szCs w:val="24"/>
        </w:rPr>
        <w:t>)</w:t>
      </w:r>
    </w:p>
    <w:p w14:paraId="427DED0D" w14:textId="2D8E982F" w:rsidR="003D6344" w:rsidRDefault="00A03AFE" w:rsidP="00C93C80">
      <w:pPr>
        <w:spacing w:after="120" w:line="360" w:lineRule="auto"/>
        <w:rPr>
          <w:sz w:val="24"/>
          <w:szCs w:val="24"/>
        </w:rPr>
      </w:pPr>
      <w:r>
        <w:rPr>
          <w:sz w:val="24"/>
          <w:szCs w:val="24"/>
        </w:rPr>
        <w:t>This contrasts with</w:t>
      </w:r>
      <w:r w:rsidR="0082025D">
        <w:rPr>
          <w:sz w:val="24"/>
          <w:szCs w:val="24"/>
        </w:rPr>
        <w:t xml:space="preserve"> </w:t>
      </w:r>
      <w:r w:rsidR="00ED312F">
        <w:rPr>
          <w:sz w:val="24"/>
          <w:szCs w:val="24"/>
        </w:rPr>
        <w:t>many</w:t>
      </w:r>
      <w:r>
        <w:rPr>
          <w:sz w:val="24"/>
          <w:szCs w:val="24"/>
        </w:rPr>
        <w:t xml:space="preserve"> experience</w:t>
      </w:r>
      <w:r w:rsidR="004515F9">
        <w:rPr>
          <w:sz w:val="24"/>
          <w:szCs w:val="24"/>
        </w:rPr>
        <w:t>s of ‘non-elite’ departments</w:t>
      </w:r>
      <w:r w:rsidR="00596B70">
        <w:rPr>
          <w:sz w:val="24"/>
          <w:szCs w:val="24"/>
        </w:rPr>
        <w:t xml:space="preserve">, where there is evidence of academics in these departments </w:t>
      </w:r>
      <w:r w:rsidR="00C85755">
        <w:rPr>
          <w:sz w:val="24"/>
          <w:szCs w:val="24"/>
        </w:rPr>
        <w:t xml:space="preserve">having to go </w:t>
      </w:r>
      <w:r w:rsidR="00596B70">
        <w:rPr>
          <w:sz w:val="24"/>
          <w:szCs w:val="24"/>
        </w:rPr>
        <w:t xml:space="preserve">to greater effort to attract </w:t>
      </w:r>
      <w:r w:rsidR="00C17BAF">
        <w:rPr>
          <w:sz w:val="24"/>
          <w:szCs w:val="24"/>
        </w:rPr>
        <w:t xml:space="preserve">external </w:t>
      </w:r>
      <w:r w:rsidR="00596B70">
        <w:rPr>
          <w:sz w:val="24"/>
          <w:szCs w:val="24"/>
        </w:rPr>
        <w:t>support</w:t>
      </w:r>
      <w:r w:rsidR="00BD7365">
        <w:rPr>
          <w:sz w:val="24"/>
          <w:szCs w:val="24"/>
        </w:rPr>
        <w:t xml:space="preserve"> and interest</w:t>
      </w:r>
      <w:r w:rsidR="00596B70">
        <w:rPr>
          <w:sz w:val="24"/>
          <w:szCs w:val="24"/>
        </w:rPr>
        <w:t xml:space="preserve">. </w:t>
      </w:r>
      <w:r w:rsidR="003D6344">
        <w:rPr>
          <w:sz w:val="24"/>
          <w:szCs w:val="24"/>
        </w:rPr>
        <w:t>For example</w:t>
      </w:r>
      <w:r w:rsidR="00FE1A2D">
        <w:rPr>
          <w:sz w:val="24"/>
          <w:szCs w:val="24"/>
        </w:rPr>
        <w:t xml:space="preserve">, researchers </w:t>
      </w:r>
      <w:r w:rsidR="005717EB">
        <w:rPr>
          <w:sz w:val="24"/>
          <w:szCs w:val="24"/>
        </w:rPr>
        <w:t xml:space="preserve">in </w:t>
      </w:r>
      <w:r w:rsidR="00FE1A2D">
        <w:rPr>
          <w:sz w:val="24"/>
          <w:szCs w:val="24"/>
        </w:rPr>
        <w:t>the</w:t>
      </w:r>
      <w:r w:rsidR="005717EB">
        <w:rPr>
          <w:sz w:val="24"/>
          <w:szCs w:val="24"/>
        </w:rPr>
        <w:t xml:space="preserve"> ‘</w:t>
      </w:r>
      <w:r w:rsidR="007C6C0B">
        <w:rPr>
          <w:sz w:val="24"/>
          <w:szCs w:val="24"/>
        </w:rPr>
        <w:t>non-elite’</w:t>
      </w:r>
      <w:r w:rsidR="009D25F5">
        <w:rPr>
          <w:sz w:val="24"/>
          <w:szCs w:val="24"/>
        </w:rPr>
        <w:t xml:space="preserve"> (‘more prestigious’)</w:t>
      </w:r>
      <w:r w:rsidR="005717EB">
        <w:rPr>
          <w:sz w:val="24"/>
          <w:szCs w:val="24"/>
        </w:rPr>
        <w:t xml:space="preserve"> departmental context</w:t>
      </w:r>
      <w:r w:rsidR="00FE1A2D">
        <w:rPr>
          <w:sz w:val="24"/>
          <w:szCs w:val="24"/>
        </w:rPr>
        <w:t xml:space="preserve"> </w:t>
      </w:r>
      <w:r w:rsidR="00E10B39">
        <w:rPr>
          <w:sz w:val="24"/>
          <w:szCs w:val="24"/>
        </w:rPr>
        <w:t xml:space="preserve">of the </w:t>
      </w:r>
      <w:r w:rsidR="00FE1A2D">
        <w:rPr>
          <w:sz w:val="24"/>
          <w:szCs w:val="24"/>
        </w:rPr>
        <w:t xml:space="preserve">School of Chemistry and Chemical Engineering at Queen’s University Belfast </w:t>
      </w:r>
      <w:r w:rsidR="006C5044">
        <w:rPr>
          <w:sz w:val="24"/>
          <w:szCs w:val="24"/>
        </w:rPr>
        <w:t>established the Queen’s University Ionic Liquid Laboratory (QUILL)</w:t>
      </w:r>
      <w:r w:rsidR="00F96EA3">
        <w:rPr>
          <w:sz w:val="24"/>
          <w:szCs w:val="24"/>
        </w:rPr>
        <w:t>,</w:t>
      </w:r>
      <w:r w:rsidR="006B5E23">
        <w:rPr>
          <w:sz w:val="24"/>
          <w:szCs w:val="24"/>
        </w:rPr>
        <w:t xml:space="preserve"> which was pivotal in the research associated with BoR8.2 (‘Mercury Capture Technology for the Global Petroleum Industry’). QUILL is run as a u</w:t>
      </w:r>
      <w:r w:rsidR="00F96EA3">
        <w:rPr>
          <w:sz w:val="24"/>
          <w:szCs w:val="24"/>
        </w:rPr>
        <w:t>niversity-industry consortium</w:t>
      </w:r>
      <w:r w:rsidR="002022C7">
        <w:rPr>
          <w:sz w:val="24"/>
          <w:szCs w:val="24"/>
        </w:rPr>
        <w:t xml:space="preserve">, a ‘boundary structure’ </w:t>
      </w:r>
      <w:r w:rsidR="00261C07">
        <w:rPr>
          <w:sz w:val="24"/>
          <w:szCs w:val="24"/>
        </w:rPr>
        <w:t>serving to</w:t>
      </w:r>
      <w:r w:rsidR="002022C7">
        <w:rPr>
          <w:sz w:val="24"/>
          <w:szCs w:val="24"/>
        </w:rPr>
        <w:t xml:space="preserve"> signal the department’s</w:t>
      </w:r>
      <w:r w:rsidR="00261C07">
        <w:rPr>
          <w:sz w:val="24"/>
          <w:szCs w:val="24"/>
        </w:rPr>
        <w:t xml:space="preserve"> industry-relevant expertise </w:t>
      </w:r>
      <w:r w:rsidR="002022C7">
        <w:rPr>
          <w:sz w:val="24"/>
          <w:szCs w:val="24"/>
        </w:rPr>
        <w:t>and</w:t>
      </w:r>
      <w:r w:rsidR="00C302DE">
        <w:rPr>
          <w:sz w:val="24"/>
          <w:szCs w:val="24"/>
        </w:rPr>
        <w:t xml:space="preserve"> to</w:t>
      </w:r>
      <w:r w:rsidR="002022C7">
        <w:rPr>
          <w:sz w:val="24"/>
          <w:szCs w:val="24"/>
        </w:rPr>
        <w:t xml:space="preserve"> provide a channel through which industry can let their research needs known. </w:t>
      </w:r>
      <w:r w:rsidR="00FF4925">
        <w:rPr>
          <w:sz w:val="24"/>
          <w:szCs w:val="24"/>
        </w:rPr>
        <w:t xml:space="preserve">Although highly effective </w:t>
      </w:r>
      <w:r w:rsidR="00EA2728">
        <w:rPr>
          <w:sz w:val="24"/>
          <w:szCs w:val="24"/>
        </w:rPr>
        <w:t xml:space="preserve">as a means for ensuring the relevance </w:t>
      </w:r>
      <w:r w:rsidR="00AA369E">
        <w:rPr>
          <w:sz w:val="24"/>
          <w:szCs w:val="24"/>
        </w:rPr>
        <w:t xml:space="preserve">of research, </w:t>
      </w:r>
      <w:r w:rsidR="00124EF6">
        <w:rPr>
          <w:sz w:val="24"/>
          <w:szCs w:val="24"/>
        </w:rPr>
        <w:t>it inevitably means “ceding some control”</w:t>
      </w:r>
      <w:r w:rsidR="00F35116">
        <w:rPr>
          <w:sz w:val="24"/>
          <w:szCs w:val="24"/>
        </w:rPr>
        <w:t xml:space="preserve"> </w:t>
      </w:r>
      <w:r w:rsidR="00F35116">
        <w:rPr>
          <w:sz w:val="24"/>
          <w:szCs w:val="24"/>
        </w:rPr>
        <w:fldChar w:fldCharType="begin"/>
      </w:r>
      <w:r w:rsidR="00F35116">
        <w:rPr>
          <w:sz w:val="24"/>
          <w:szCs w:val="24"/>
        </w:rPr>
        <w:instrText xml:space="preserve"> ADDIN EN.CITE &lt;EndNote&gt;&lt;Cite&gt;&lt;Author&gt;Rosinger&lt;/Author&gt;&lt;Year&gt;2016&lt;/Year&gt;&lt;IDText&gt;Organizational Segmentation and the Prestige Economy: Deprofessionalization in High- and Low-Resource Departments&lt;/IDText&gt;&lt;Pages&gt;45&lt;/Pages&gt;&lt;DisplayText&gt;(Rosinger, Taylor, Coco, &amp;amp; Slaughter, 2016, p. 45)&lt;/DisplayText&gt;&lt;record&gt;&lt;keywords&gt;&lt;keyword&gt;Article&lt;/keyword&gt;&lt;keyword&gt;Organizational Segmentation&lt;/keyword&gt;&lt;keyword&gt;Faculty Work&lt;/keyword&gt;&lt;keyword&gt;Academic Capitalism&lt;/keyword&gt;&lt;keyword&gt;Professionalization&lt;/keyword&gt;&lt;keyword&gt;Prestige Economy&lt;/keyword&gt;&lt;/keywords&gt;&lt;isbn&gt;0022-1546&lt;/isbn&gt;&lt;titles&gt;&lt;title&gt;Organizational Segmentation and the Prestige Economy: Deprofessionalization in High- and Low-Resource Departments&lt;/title&gt;&lt;secondary-title&gt;The Journal of Higher Education&lt;/secondary-title&gt;&lt;/titles&gt;&lt;pages&gt;27-54&lt;/pages&gt;&lt;number&gt;1&lt;/number&gt;&lt;contributors&gt;&lt;authors&gt;&lt;author&gt;Rosinger, Kelly Ochs&lt;/author&gt;&lt;author&gt;Taylor, Barrett J.&lt;/author&gt;&lt;author&gt;Coco, Lindsay&lt;/author&gt;&lt;author&gt;Slaughter, Sheila&lt;/author&gt;&lt;/authors&gt;&lt;/contributors&gt;&lt;added-date format="utc"&gt;1558010190&lt;/added-date&gt;&lt;ref-type name="Journal Article"&gt;17&lt;/ref-type&gt;&lt;dates&gt;&lt;year&gt;2016&lt;/year&gt;&lt;/dates&gt;&lt;rec-number&gt;7785&lt;/rec-number&gt;&lt;publisher&gt;Taylor &amp;amp; Francis&lt;/publisher&gt;&lt;last-updated-date format="utc"&gt;1558010190&lt;/last-updated-date&gt;&lt;electronic-resource-num&gt;10.1080/00221546.2016.11777393&lt;/electronic-resource-num&gt;&lt;volume&gt;87&lt;/volume&gt;&lt;/record&gt;&lt;/Cite&gt;&lt;/EndNote&gt;</w:instrText>
      </w:r>
      <w:r w:rsidR="00F35116">
        <w:rPr>
          <w:sz w:val="24"/>
          <w:szCs w:val="24"/>
        </w:rPr>
        <w:fldChar w:fldCharType="separate"/>
      </w:r>
      <w:r w:rsidR="00F35116">
        <w:rPr>
          <w:noProof/>
          <w:sz w:val="24"/>
          <w:szCs w:val="24"/>
        </w:rPr>
        <w:t>(Rosinger, Taylor, Coco, &amp; Slaughter, 2016, p. 45)</w:t>
      </w:r>
      <w:r w:rsidR="00F35116">
        <w:rPr>
          <w:sz w:val="24"/>
          <w:szCs w:val="24"/>
        </w:rPr>
        <w:fldChar w:fldCharType="end"/>
      </w:r>
      <w:r w:rsidR="00124EF6">
        <w:rPr>
          <w:sz w:val="24"/>
          <w:szCs w:val="24"/>
        </w:rPr>
        <w:t xml:space="preserve"> over t</w:t>
      </w:r>
      <w:r w:rsidR="00460DDE">
        <w:rPr>
          <w:sz w:val="24"/>
          <w:szCs w:val="24"/>
        </w:rPr>
        <w:t xml:space="preserve">he direction of academic </w:t>
      </w:r>
      <w:r w:rsidR="00124EF6">
        <w:rPr>
          <w:sz w:val="24"/>
          <w:szCs w:val="24"/>
        </w:rPr>
        <w:t>research</w:t>
      </w:r>
      <w:r w:rsidR="00FE23F9">
        <w:rPr>
          <w:sz w:val="24"/>
          <w:szCs w:val="24"/>
        </w:rPr>
        <w:t xml:space="preserve">: </w:t>
      </w:r>
      <w:r w:rsidR="003F01CB">
        <w:rPr>
          <w:sz w:val="24"/>
          <w:szCs w:val="24"/>
        </w:rPr>
        <w:t>QUILL</w:t>
      </w:r>
      <w:r w:rsidR="00FE23F9">
        <w:rPr>
          <w:sz w:val="24"/>
          <w:szCs w:val="24"/>
        </w:rPr>
        <w:t xml:space="preserve"> </w:t>
      </w:r>
      <w:r w:rsidR="003540B3">
        <w:rPr>
          <w:sz w:val="24"/>
          <w:szCs w:val="24"/>
        </w:rPr>
        <w:t xml:space="preserve">explicitly </w:t>
      </w:r>
      <w:r w:rsidR="003F01CB">
        <w:rPr>
          <w:sz w:val="24"/>
          <w:szCs w:val="24"/>
        </w:rPr>
        <w:t xml:space="preserve">focuses on research topics </w:t>
      </w:r>
      <w:r w:rsidR="003540B3">
        <w:rPr>
          <w:sz w:val="24"/>
          <w:szCs w:val="24"/>
        </w:rPr>
        <w:t>“requested by our industry partners</w:t>
      </w:r>
      <w:r w:rsidR="003F01CB">
        <w:rPr>
          <w:sz w:val="24"/>
          <w:szCs w:val="24"/>
        </w:rPr>
        <w:t>”</w:t>
      </w:r>
      <w:r w:rsidR="00497666">
        <w:rPr>
          <w:sz w:val="24"/>
          <w:szCs w:val="24"/>
        </w:rPr>
        <w:t xml:space="preserve"> (QUILL website</w:t>
      </w:r>
      <w:r w:rsidR="00497666">
        <w:rPr>
          <w:rStyle w:val="FootnoteReference"/>
          <w:sz w:val="24"/>
          <w:szCs w:val="24"/>
        </w:rPr>
        <w:footnoteReference w:id="21"/>
      </w:r>
      <w:r w:rsidR="00497666">
        <w:rPr>
          <w:sz w:val="24"/>
          <w:szCs w:val="24"/>
        </w:rPr>
        <w:t>)</w:t>
      </w:r>
      <w:r w:rsidR="003F01CB">
        <w:rPr>
          <w:sz w:val="24"/>
          <w:szCs w:val="24"/>
        </w:rPr>
        <w:t>, under the co-directorship of a</w:t>
      </w:r>
      <w:r w:rsidR="003D25BF">
        <w:rPr>
          <w:sz w:val="24"/>
          <w:szCs w:val="24"/>
        </w:rPr>
        <w:t xml:space="preserve"> ‘boundary-spanner’ who worked in the petroleum industry for over three decades before being given an academic appointment. </w:t>
      </w:r>
      <w:r w:rsidR="00C6549D">
        <w:rPr>
          <w:sz w:val="24"/>
          <w:szCs w:val="24"/>
        </w:rPr>
        <w:t xml:space="preserve">Moreover, </w:t>
      </w:r>
      <w:r w:rsidR="002A470A">
        <w:rPr>
          <w:sz w:val="24"/>
          <w:szCs w:val="24"/>
        </w:rPr>
        <w:t xml:space="preserve">rather than attracting industry interest and collaboration relatively easily, as was apparently the case in the above ‘elite’ departmental contexts, there is more evidence of a struggle to garner </w:t>
      </w:r>
      <w:r w:rsidR="00C93C80">
        <w:rPr>
          <w:sz w:val="24"/>
          <w:szCs w:val="24"/>
        </w:rPr>
        <w:t xml:space="preserve">initial </w:t>
      </w:r>
      <w:r w:rsidR="002A470A">
        <w:rPr>
          <w:sz w:val="24"/>
          <w:szCs w:val="24"/>
        </w:rPr>
        <w:t>support for QUILL</w:t>
      </w:r>
      <w:r w:rsidR="00C93C80">
        <w:rPr>
          <w:rStyle w:val="FootnoteReference"/>
          <w:sz w:val="24"/>
          <w:szCs w:val="24"/>
        </w:rPr>
        <w:footnoteReference w:id="22"/>
      </w:r>
      <w:r w:rsidR="00C93C80">
        <w:rPr>
          <w:sz w:val="24"/>
          <w:szCs w:val="24"/>
        </w:rPr>
        <w:t>.</w:t>
      </w:r>
    </w:p>
    <w:p w14:paraId="3EC302A5" w14:textId="2E3ADB40" w:rsidR="008A3665" w:rsidRDefault="002E3ED2" w:rsidP="00C93C80">
      <w:pPr>
        <w:spacing w:after="120" w:line="360" w:lineRule="auto"/>
        <w:rPr>
          <w:sz w:val="24"/>
          <w:szCs w:val="24"/>
        </w:rPr>
      </w:pPr>
      <w:r>
        <w:rPr>
          <w:sz w:val="24"/>
          <w:szCs w:val="24"/>
        </w:rPr>
        <w:t>To take another example, t</w:t>
      </w:r>
      <w:r w:rsidR="00D44FE3">
        <w:rPr>
          <w:sz w:val="24"/>
          <w:szCs w:val="24"/>
        </w:rPr>
        <w:t>he case of BoR11.1 (‘Clinical outcome modelling saves lives’), which is based in a ‘less prestigious’ department</w:t>
      </w:r>
      <w:r w:rsidR="004D5749">
        <w:rPr>
          <w:sz w:val="24"/>
          <w:szCs w:val="24"/>
        </w:rPr>
        <w:t xml:space="preserve"> (</w:t>
      </w:r>
      <w:r w:rsidR="00D44FE3">
        <w:rPr>
          <w:sz w:val="24"/>
          <w:szCs w:val="24"/>
        </w:rPr>
        <w:t>and which was discussed in-depth earlier as one of the three illustrative case studies</w:t>
      </w:r>
      <w:r w:rsidR="004D5749">
        <w:rPr>
          <w:sz w:val="24"/>
          <w:szCs w:val="24"/>
        </w:rPr>
        <w:t>)</w:t>
      </w:r>
      <w:r w:rsidR="00D44FE3">
        <w:rPr>
          <w:sz w:val="24"/>
          <w:szCs w:val="24"/>
        </w:rPr>
        <w:t xml:space="preserve"> is arguably an even stronger instance of a department ceding control to an external research agenda-setter. The lead</w:t>
      </w:r>
      <w:r w:rsidR="00E914C2">
        <w:rPr>
          <w:sz w:val="24"/>
          <w:szCs w:val="24"/>
        </w:rPr>
        <w:t xml:space="preserve"> academic researcher involved had</w:t>
      </w:r>
      <w:r w:rsidR="00D44FE3">
        <w:rPr>
          <w:sz w:val="24"/>
          <w:szCs w:val="24"/>
        </w:rPr>
        <w:t xml:space="preserve"> served most of his career as a non-academic</w:t>
      </w:r>
      <w:r w:rsidR="00DB3DF2">
        <w:rPr>
          <w:sz w:val="24"/>
          <w:szCs w:val="24"/>
        </w:rPr>
        <w:t xml:space="preserve"> re</w:t>
      </w:r>
      <w:r w:rsidR="00D44FE3">
        <w:rPr>
          <w:sz w:val="24"/>
          <w:szCs w:val="24"/>
        </w:rPr>
        <w:t xml:space="preserve">searcher </w:t>
      </w:r>
      <w:r w:rsidR="00DB3DF2">
        <w:rPr>
          <w:sz w:val="24"/>
          <w:szCs w:val="24"/>
        </w:rPr>
        <w:t xml:space="preserve">with a physics specialism in the NHS, </w:t>
      </w:r>
      <w:r w:rsidR="00D44FE3">
        <w:rPr>
          <w:sz w:val="24"/>
          <w:szCs w:val="24"/>
        </w:rPr>
        <w:t xml:space="preserve">before taking an academic post in the </w:t>
      </w:r>
      <w:r w:rsidR="00FF547B">
        <w:rPr>
          <w:sz w:val="24"/>
          <w:szCs w:val="24"/>
        </w:rPr>
        <w:t>u</w:t>
      </w:r>
      <w:r w:rsidR="00D44FE3">
        <w:rPr>
          <w:sz w:val="24"/>
          <w:szCs w:val="24"/>
        </w:rPr>
        <w:t xml:space="preserve">niversity’s Faculty of Technology specifically in order to continue and consolidate a partnership between the </w:t>
      </w:r>
      <w:r w:rsidR="00FF547B">
        <w:rPr>
          <w:sz w:val="24"/>
          <w:szCs w:val="24"/>
        </w:rPr>
        <w:t>University of Portsmouth</w:t>
      </w:r>
      <w:r w:rsidR="00D44FE3">
        <w:rPr>
          <w:sz w:val="24"/>
          <w:szCs w:val="24"/>
        </w:rPr>
        <w:t xml:space="preserve"> and </w:t>
      </w:r>
      <w:r w:rsidR="00DB3DF2">
        <w:rPr>
          <w:sz w:val="24"/>
          <w:szCs w:val="24"/>
        </w:rPr>
        <w:t xml:space="preserve">Portsmouth Hospitals NHS Trust. In this case, the needs of the non-academic collaborating institution significantly influenced a broad strategic area for the university department. </w:t>
      </w:r>
    </w:p>
    <w:p w14:paraId="0B1EA4A6" w14:textId="14A327AE" w:rsidR="003D6344" w:rsidRDefault="00267DAA" w:rsidP="0032466B">
      <w:pPr>
        <w:spacing w:before="120" w:after="120" w:line="360" w:lineRule="auto"/>
        <w:rPr>
          <w:sz w:val="24"/>
          <w:szCs w:val="24"/>
        </w:rPr>
      </w:pPr>
      <w:r>
        <w:rPr>
          <w:sz w:val="24"/>
          <w:szCs w:val="24"/>
        </w:rPr>
        <w:t>In a final example,</w:t>
      </w:r>
      <w:r w:rsidR="0081526D">
        <w:rPr>
          <w:sz w:val="24"/>
          <w:szCs w:val="24"/>
        </w:rPr>
        <w:t xml:space="preserve"> the collaboration was initiated by the university simply being responsive to circumstance. A doctoral graduate from the ‘more prestigious’ departmental context of the School of Mathematics and Statistics from the University of Glasgow was employed by the multinational oil and gas company, Royal Dutch Shell (hereby ‘Shell’). </w:t>
      </w:r>
      <w:r w:rsidR="002D67ED">
        <w:rPr>
          <w:sz w:val="24"/>
          <w:szCs w:val="24"/>
        </w:rPr>
        <w:t>Although this doctoral graduate was employed for his general background rather than expertise in any specific techniques, it just so happened that a certain statistical methodology he had acquired from his PhD supervisor was found to be very relevant to one of the issues facing Shell, that of monitoring groundwater pollution around sites of oil and gas extraction activities.</w:t>
      </w:r>
      <w:r w:rsidR="00691070">
        <w:rPr>
          <w:sz w:val="24"/>
          <w:szCs w:val="24"/>
        </w:rPr>
        <w:t xml:space="preserve"> Through this student, Shell and the university commenced a research relationship which resulted in several co-authored </w:t>
      </w:r>
      <w:r w:rsidR="009E1623">
        <w:rPr>
          <w:sz w:val="24"/>
          <w:szCs w:val="24"/>
        </w:rPr>
        <w:t>papers, the sponsorship by Shell of another PhD student, and collaboration on a novel purpose-built data analysis software</w:t>
      </w:r>
      <w:r w:rsidR="00854A0D">
        <w:rPr>
          <w:sz w:val="24"/>
          <w:szCs w:val="24"/>
        </w:rPr>
        <w:t xml:space="preserve"> (which has resulted in management efficiencies saving</w:t>
      </w:r>
      <w:r w:rsidR="009E1623">
        <w:rPr>
          <w:sz w:val="24"/>
          <w:szCs w:val="24"/>
        </w:rPr>
        <w:t xml:space="preserve"> at least $10 million as of 2014</w:t>
      </w:r>
      <w:r w:rsidR="00854A0D">
        <w:rPr>
          <w:sz w:val="24"/>
          <w:szCs w:val="24"/>
        </w:rPr>
        <w:t>)</w:t>
      </w:r>
      <w:r w:rsidR="009E1623">
        <w:rPr>
          <w:sz w:val="24"/>
          <w:szCs w:val="24"/>
        </w:rPr>
        <w:t xml:space="preserve">. </w:t>
      </w:r>
    </w:p>
    <w:p w14:paraId="14B3802D" w14:textId="4548F412" w:rsidR="008C6DC5" w:rsidRDefault="008170F8" w:rsidP="006073D2">
      <w:pPr>
        <w:spacing w:before="120" w:after="120" w:line="360" w:lineRule="auto"/>
        <w:rPr>
          <w:sz w:val="24"/>
          <w:szCs w:val="24"/>
        </w:rPr>
      </w:pPr>
      <w:r>
        <w:rPr>
          <w:sz w:val="24"/>
          <w:szCs w:val="24"/>
        </w:rPr>
        <w:t>In the</w:t>
      </w:r>
      <w:r w:rsidR="00E91544">
        <w:rPr>
          <w:sz w:val="24"/>
          <w:szCs w:val="24"/>
        </w:rPr>
        <w:t xml:space="preserve"> above</w:t>
      </w:r>
      <w:r>
        <w:rPr>
          <w:sz w:val="24"/>
          <w:szCs w:val="24"/>
        </w:rPr>
        <w:t xml:space="preserve"> three examples</w:t>
      </w:r>
      <w:r w:rsidR="005F1717">
        <w:rPr>
          <w:sz w:val="24"/>
          <w:szCs w:val="24"/>
        </w:rPr>
        <w:t xml:space="preserve"> from ‘non-elite’ departmental contexts,</w:t>
      </w:r>
      <w:r>
        <w:rPr>
          <w:sz w:val="24"/>
          <w:szCs w:val="24"/>
        </w:rPr>
        <w:t xml:space="preserve"> universities are positioned as responsive providers of expertise</w:t>
      </w:r>
      <w:r w:rsidR="005F1717">
        <w:rPr>
          <w:sz w:val="24"/>
          <w:szCs w:val="24"/>
        </w:rPr>
        <w:t xml:space="preserve">, and as therefore ceding greater control over their research agendas than in the case of the ‘elite’ departmental contexts. </w:t>
      </w:r>
      <w:r w:rsidR="003A5148">
        <w:rPr>
          <w:sz w:val="24"/>
          <w:szCs w:val="24"/>
        </w:rPr>
        <w:t>This</w:t>
      </w:r>
      <w:r w:rsidR="00CC101C">
        <w:rPr>
          <w:sz w:val="24"/>
          <w:szCs w:val="24"/>
        </w:rPr>
        <w:t xml:space="preserve"> tentative</w:t>
      </w:r>
      <w:r w:rsidR="003A5148">
        <w:rPr>
          <w:sz w:val="24"/>
          <w:szCs w:val="24"/>
        </w:rPr>
        <w:t xml:space="preserve"> finding</w:t>
      </w:r>
      <w:r w:rsidR="00CC101C">
        <w:rPr>
          <w:sz w:val="24"/>
          <w:szCs w:val="24"/>
        </w:rPr>
        <w:t xml:space="preserve"> of the relative difference in ownership over the knowledge-production process </w:t>
      </w:r>
      <w:r w:rsidR="003A5148">
        <w:rPr>
          <w:sz w:val="24"/>
          <w:szCs w:val="24"/>
        </w:rPr>
        <w:t xml:space="preserve">emerged from considering relations with ‘non-academic collaborators’ broadly defined. But it comes into even sharper focus when </w:t>
      </w:r>
      <w:r w:rsidR="00EA1F93">
        <w:rPr>
          <w:sz w:val="24"/>
          <w:szCs w:val="24"/>
        </w:rPr>
        <w:t>‘collaboration’ is defined</w:t>
      </w:r>
      <w:r w:rsidR="00CC101C">
        <w:rPr>
          <w:sz w:val="24"/>
          <w:szCs w:val="24"/>
        </w:rPr>
        <w:t xml:space="preserve"> more specifically</w:t>
      </w:r>
      <w:r w:rsidR="00EA1F93">
        <w:rPr>
          <w:sz w:val="24"/>
          <w:szCs w:val="24"/>
        </w:rPr>
        <w:t xml:space="preserve"> in terms of ‘co-</w:t>
      </w:r>
      <w:r w:rsidR="00371CBB">
        <w:rPr>
          <w:sz w:val="24"/>
          <w:szCs w:val="24"/>
        </w:rPr>
        <w:t>authorship</w:t>
      </w:r>
      <w:r w:rsidR="00EA1F93">
        <w:rPr>
          <w:sz w:val="24"/>
          <w:szCs w:val="24"/>
        </w:rPr>
        <w:t xml:space="preserve">’. </w:t>
      </w:r>
    </w:p>
    <w:p w14:paraId="1AC83972" w14:textId="25C9DC8C" w:rsidR="008C6DC5" w:rsidRDefault="008C6DC5" w:rsidP="008C6DC5">
      <w:pPr>
        <w:pStyle w:val="Heading4"/>
      </w:pPr>
      <w:r>
        <w:t>Variation in patterns of co-authorship and output</w:t>
      </w:r>
    </w:p>
    <w:p w14:paraId="6DDC84C7" w14:textId="5ABDFC12" w:rsidR="008219FA" w:rsidRDefault="002A7218" w:rsidP="006073D2">
      <w:pPr>
        <w:spacing w:before="120" w:after="120" w:line="360" w:lineRule="auto"/>
        <w:rPr>
          <w:sz w:val="24"/>
          <w:szCs w:val="24"/>
        </w:rPr>
      </w:pPr>
      <w:r>
        <w:rPr>
          <w:sz w:val="24"/>
          <w:szCs w:val="24"/>
        </w:rPr>
        <w:t>Co-</w:t>
      </w:r>
      <w:r w:rsidR="00C775A1">
        <w:rPr>
          <w:sz w:val="24"/>
          <w:szCs w:val="24"/>
        </w:rPr>
        <w:t>authorship</w:t>
      </w:r>
      <w:r>
        <w:rPr>
          <w:sz w:val="24"/>
          <w:szCs w:val="24"/>
        </w:rPr>
        <w:t xml:space="preserve"> implies an intense and potentially ‘costly’ form of transaction</w:t>
      </w:r>
      <w:r w:rsidR="00742D4A">
        <w:rPr>
          <w:sz w:val="24"/>
          <w:szCs w:val="24"/>
        </w:rPr>
        <w:t xml:space="preserve"> in which ownership of knowledge is shared </w:t>
      </w:r>
      <w:r w:rsidR="00821C1C">
        <w:rPr>
          <w:sz w:val="24"/>
          <w:szCs w:val="24"/>
        </w:rPr>
        <w:t>across the boundaries of academia with actors in other sectors</w:t>
      </w:r>
      <w:r w:rsidR="00742D4A">
        <w:rPr>
          <w:sz w:val="24"/>
          <w:szCs w:val="24"/>
        </w:rPr>
        <w:t>.</w:t>
      </w:r>
      <w:r w:rsidR="00742D4A" w:rsidRPr="00F45016">
        <w:rPr>
          <w:sz w:val="24"/>
          <w:szCs w:val="24"/>
        </w:rPr>
        <w:t xml:space="preserve"> </w:t>
      </w:r>
      <w:r w:rsidR="00F45016" w:rsidRPr="00F45016">
        <w:rPr>
          <w:sz w:val="24"/>
          <w:szCs w:val="24"/>
        </w:rPr>
        <w:fldChar w:fldCharType="begin"/>
      </w:r>
      <w:r w:rsidR="00F45016" w:rsidRPr="00F45016">
        <w:rPr>
          <w:sz w:val="24"/>
          <w:szCs w:val="24"/>
        </w:rPr>
        <w:instrText xml:space="preserve"> REF _Ref9008213 \h </w:instrText>
      </w:r>
      <w:r w:rsidR="00F45016">
        <w:rPr>
          <w:sz w:val="24"/>
          <w:szCs w:val="24"/>
        </w:rPr>
        <w:instrText xml:space="preserve"> \* MERGEFORMAT </w:instrText>
      </w:r>
      <w:r w:rsidR="00F45016" w:rsidRPr="00F45016">
        <w:rPr>
          <w:sz w:val="24"/>
          <w:szCs w:val="24"/>
        </w:rPr>
      </w:r>
      <w:r w:rsidR="00F45016" w:rsidRPr="00F45016">
        <w:rPr>
          <w:sz w:val="24"/>
          <w:szCs w:val="24"/>
        </w:rPr>
        <w:fldChar w:fldCharType="separate"/>
      </w:r>
      <w:r w:rsidR="0011424E" w:rsidRPr="0011424E">
        <w:rPr>
          <w:sz w:val="24"/>
          <w:szCs w:val="24"/>
        </w:rPr>
        <w:t xml:space="preserve">Figure </w:t>
      </w:r>
      <w:r w:rsidR="0011424E" w:rsidRPr="0011424E">
        <w:rPr>
          <w:noProof/>
          <w:sz w:val="24"/>
          <w:szCs w:val="24"/>
        </w:rPr>
        <w:t>14</w:t>
      </w:r>
      <w:r w:rsidR="00F45016" w:rsidRPr="00F45016">
        <w:rPr>
          <w:sz w:val="24"/>
          <w:szCs w:val="24"/>
        </w:rPr>
        <w:fldChar w:fldCharType="end"/>
      </w:r>
      <w:r w:rsidR="00F45016">
        <w:rPr>
          <w:sz w:val="24"/>
          <w:szCs w:val="24"/>
        </w:rPr>
        <w:t xml:space="preserve"> </w:t>
      </w:r>
      <w:r w:rsidR="00650CED">
        <w:rPr>
          <w:sz w:val="24"/>
          <w:szCs w:val="24"/>
        </w:rPr>
        <w:t>highlights that such intensive</w:t>
      </w:r>
      <w:r w:rsidR="00821C1C">
        <w:rPr>
          <w:sz w:val="24"/>
          <w:szCs w:val="24"/>
        </w:rPr>
        <w:t xml:space="preserve">, boundary-crossing collaboration is much more common in </w:t>
      </w:r>
      <w:r w:rsidR="00CC5D52">
        <w:rPr>
          <w:sz w:val="24"/>
          <w:szCs w:val="24"/>
        </w:rPr>
        <w:t xml:space="preserve">bodies of </w:t>
      </w:r>
      <w:r w:rsidR="00821C1C">
        <w:rPr>
          <w:sz w:val="24"/>
          <w:szCs w:val="24"/>
        </w:rPr>
        <w:t>research</w:t>
      </w:r>
      <w:r w:rsidR="00CC5D52">
        <w:rPr>
          <w:sz w:val="24"/>
          <w:szCs w:val="24"/>
        </w:rPr>
        <w:t xml:space="preserve"> (BoRs) which are</w:t>
      </w:r>
      <w:r w:rsidR="00821C1C">
        <w:rPr>
          <w:sz w:val="24"/>
          <w:szCs w:val="24"/>
        </w:rPr>
        <w:t xml:space="preserve"> based in ‘</w:t>
      </w:r>
      <w:r w:rsidR="00C7279D">
        <w:rPr>
          <w:sz w:val="24"/>
          <w:szCs w:val="24"/>
        </w:rPr>
        <w:t xml:space="preserve">more prestigious’ (75% of cases) and ‘less prestigious’ (50% of </w:t>
      </w:r>
      <w:r w:rsidR="006073D2">
        <w:rPr>
          <w:sz w:val="24"/>
          <w:szCs w:val="24"/>
        </w:rPr>
        <w:t>BoR</w:t>
      </w:r>
      <w:r w:rsidR="00C7279D">
        <w:rPr>
          <w:sz w:val="24"/>
          <w:szCs w:val="24"/>
        </w:rPr>
        <w:t>s) departments</w:t>
      </w:r>
      <w:r w:rsidR="00821C1C">
        <w:rPr>
          <w:sz w:val="24"/>
          <w:szCs w:val="24"/>
        </w:rPr>
        <w:t xml:space="preserve"> than ‘elite’ departments</w:t>
      </w:r>
      <w:r w:rsidR="00C7279D">
        <w:rPr>
          <w:sz w:val="24"/>
          <w:szCs w:val="24"/>
        </w:rPr>
        <w:t xml:space="preserve"> (25% of </w:t>
      </w:r>
      <w:r w:rsidR="006073D2">
        <w:rPr>
          <w:sz w:val="24"/>
          <w:szCs w:val="24"/>
        </w:rPr>
        <w:t>BoR</w:t>
      </w:r>
      <w:r w:rsidR="00C7279D">
        <w:rPr>
          <w:sz w:val="24"/>
          <w:szCs w:val="24"/>
        </w:rPr>
        <w:t>s)</w:t>
      </w:r>
      <w:r w:rsidR="00821C1C">
        <w:rPr>
          <w:sz w:val="24"/>
          <w:szCs w:val="24"/>
        </w:rPr>
        <w:t xml:space="preserve"> in my sample.</w:t>
      </w:r>
      <w:r w:rsidR="00516455">
        <w:rPr>
          <w:sz w:val="24"/>
          <w:szCs w:val="24"/>
        </w:rPr>
        <w:t xml:space="preserve"> </w:t>
      </w:r>
    </w:p>
    <w:p w14:paraId="0F4CF05E" w14:textId="77777777" w:rsidR="00F45016" w:rsidRDefault="00F45016" w:rsidP="00F45016">
      <w:pPr>
        <w:keepNext/>
        <w:spacing w:before="120" w:after="120" w:line="360" w:lineRule="auto"/>
      </w:pPr>
      <w:r>
        <w:rPr>
          <w:noProof/>
          <w:sz w:val="24"/>
          <w:szCs w:val="24"/>
        </w:rPr>
        <w:drawing>
          <wp:inline distT="0" distB="0" distL="0" distR="0" wp14:anchorId="43A9814D" wp14:editId="5B9C56EE">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1704B2" w14:textId="6FC06366" w:rsidR="00F45016" w:rsidRDefault="00F45016" w:rsidP="00F45016">
      <w:pPr>
        <w:pStyle w:val="Caption"/>
        <w:rPr>
          <w:sz w:val="24"/>
          <w:szCs w:val="24"/>
        </w:rPr>
      </w:pPr>
      <w:bookmarkStart w:id="202" w:name="_Ref9008213"/>
      <w:bookmarkStart w:id="203" w:name="_Toc31702083"/>
      <w:r>
        <w:t xml:space="preserve">Figure </w:t>
      </w:r>
      <w:r w:rsidR="00997340">
        <w:rPr>
          <w:noProof/>
        </w:rPr>
        <w:fldChar w:fldCharType="begin"/>
      </w:r>
      <w:r w:rsidR="00997340">
        <w:rPr>
          <w:noProof/>
        </w:rPr>
        <w:instrText xml:space="preserve"> SEQ Figure \* ARABIC </w:instrText>
      </w:r>
      <w:r w:rsidR="00997340">
        <w:rPr>
          <w:noProof/>
        </w:rPr>
        <w:fldChar w:fldCharType="separate"/>
      </w:r>
      <w:r w:rsidR="0011424E">
        <w:rPr>
          <w:noProof/>
        </w:rPr>
        <w:t>14</w:t>
      </w:r>
      <w:r w:rsidR="00997340">
        <w:rPr>
          <w:noProof/>
        </w:rPr>
        <w:fldChar w:fldCharType="end"/>
      </w:r>
      <w:bookmarkEnd w:id="202"/>
      <w:r>
        <w:t>.</w:t>
      </w:r>
      <w:r w:rsidRPr="00F45016">
        <w:t xml:space="preserve"> </w:t>
      </w:r>
      <w:r>
        <w:t>Percentage of ‘</w:t>
      </w:r>
      <w:r w:rsidR="000963AF">
        <w:t>co-authorship</w:t>
      </w:r>
      <w:r>
        <w:t>’ and ‘use-focused outputs’ by departmental status</w:t>
      </w:r>
      <w:bookmarkEnd w:id="203"/>
    </w:p>
    <w:p w14:paraId="60DA8244" w14:textId="4411AE8D" w:rsidR="005D15F8" w:rsidRDefault="00C12269" w:rsidP="006E4A3B">
      <w:pPr>
        <w:spacing w:before="120" w:after="120" w:line="360" w:lineRule="auto"/>
        <w:rPr>
          <w:sz w:val="24"/>
          <w:szCs w:val="24"/>
        </w:rPr>
      </w:pPr>
      <w:r w:rsidRPr="00F45016">
        <w:rPr>
          <w:sz w:val="24"/>
          <w:szCs w:val="24"/>
        </w:rPr>
        <w:fldChar w:fldCharType="begin"/>
      </w:r>
      <w:r w:rsidRPr="00F45016">
        <w:rPr>
          <w:sz w:val="24"/>
          <w:szCs w:val="24"/>
        </w:rPr>
        <w:instrText xml:space="preserve"> REF _Ref9008213 \h </w:instrText>
      </w:r>
      <w:r>
        <w:rPr>
          <w:sz w:val="24"/>
          <w:szCs w:val="24"/>
        </w:rPr>
        <w:instrText xml:space="preserve"> \* MERGEFORMAT </w:instrText>
      </w:r>
      <w:r w:rsidRPr="00F45016">
        <w:rPr>
          <w:sz w:val="24"/>
          <w:szCs w:val="24"/>
        </w:rPr>
      </w:r>
      <w:r w:rsidRPr="00F45016">
        <w:rPr>
          <w:sz w:val="24"/>
          <w:szCs w:val="24"/>
        </w:rPr>
        <w:fldChar w:fldCharType="separate"/>
      </w:r>
      <w:r w:rsidR="0011424E" w:rsidRPr="0011424E">
        <w:rPr>
          <w:sz w:val="24"/>
          <w:szCs w:val="24"/>
        </w:rPr>
        <w:t xml:space="preserve">Figure </w:t>
      </w:r>
      <w:r w:rsidR="0011424E" w:rsidRPr="0011424E">
        <w:rPr>
          <w:noProof/>
          <w:sz w:val="24"/>
          <w:szCs w:val="24"/>
        </w:rPr>
        <w:t>14</w:t>
      </w:r>
      <w:r w:rsidRPr="00F45016">
        <w:rPr>
          <w:sz w:val="24"/>
          <w:szCs w:val="24"/>
        </w:rPr>
        <w:fldChar w:fldCharType="end"/>
      </w:r>
      <w:r>
        <w:rPr>
          <w:sz w:val="24"/>
          <w:szCs w:val="24"/>
        </w:rPr>
        <w:t xml:space="preserve"> also contrasts this with a different form of boundary transaction, ‘use-focused outputs’. Although </w:t>
      </w:r>
      <w:r w:rsidR="00C57E5E">
        <w:rPr>
          <w:sz w:val="24"/>
          <w:szCs w:val="24"/>
        </w:rPr>
        <w:t>‘use-focused outputs’ do t</w:t>
      </w:r>
      <w:r>
        <w:rPr>
          <w:sz w:val="24"/>
          <w:szCs w:val="24"/>
        </w:rPr>
        <w:t xml:space="preserve">ake account of and cognizance of the needs of external contexts of application, they imply much greater </w:t>
      </w:r>
      <w:r w:rsidR="00892049">
        <w:rPr>
          <w:sz w:val="24"/>
          <w:szCs w:val="24"/>
        </w:rPr>
        <w:t xml:space="preserve">academic </w:t>
      </w:r>
      <w:r>
        <w:rPr>
          <w:sz w:val="24"/>
          <w:szCs w:val="24"/>
        </w:rPr>
        <w:t xml:space="preserve">control over </w:t>
      </w:r>
      <w:r w:rsidR="00892049">
        <w:rPr>
          <w:sz w:val="24"/>
          <w:szCs w:val="24"/>
        </w:rPr>
        <w:t xml:space="preserve">the knowledge production and knowledge content than is the case with </w:t>
      </w:r>
      <w:r w:rsidR="000963AF">
        <w:rPr>
          <w:sz w:val="24"/>
          <w:szCs w:val="24"/>
        </w:rPr>
        <w:t>co-authorship</w:t>
      </w:r>
      <w:r w:rsidR="00892049">
        <w:rPr>
          <w:sz w:val="24"/>
          <w:szCs w:val="24"/>
        </w:rPr>
        <w:t>.</w:t>
      </w:r>
      <w:r w:rsidR="00C57E5E">
        <w:rPr>
          <w:sz w:val="24"/>
          <w:szCs w:val="24"/>
        </w:rPr>
        <w:t xml:space="preserve"> ‘Use-focused outputs’ are therefore more common forms of boundary transaction in situations in which academic boundaries, identity and power are</w:t>
      </w:r>
      <w:r w:rsidR="001C365D">
        <w:rPr>
          <w:sz w:val="24"/>
          <w:szCs w:val="24"/>
        </w:rPr>
        <w:t xml:space="preserve"> relatively</w:t>
      </w:r>
      <w:r w:rsidR="00C57E5E">
        <w:rPr>
          <w:sz w:val="24"/>
          <w:szCs w:val="24"/>
        </w:rPr>
        <w:t xml:space="preserve"> strong.</w:t>
      </w:r>
      <w:r w:rsidR="00892049">
        <w:rPr>
          <w:sz w:val="24"/>
          <w:szCs w:val="24"/>
        </w:rPr>
        <w:t xml:space="preserve"> </w:t>
      </w:r>
      <w:r>
        <w:rPr>
          <w:sz w:val="24"/>
          <w:szCs w:val="24"/>
        </w:rPr>
        <w:t>Significantly, 100% of BoRs sampled from ‘elite’ departments exhibit this form of boundary transaction</w:t>
      </w:r>
      <w:r w:rsidR="00892049">
        <w:rPr>
          <w:sz w:val="24"/>
          <w:szCs w:val="24"/>
        </w:rPr>
        <w:t xml:space="preserve"> (‘use-focused outputs’)</w:t>
      </w:r>
      <w:r>
        <w:rPr>
          <w:sz w:val="24"/>
          <w:szCs w:val="24"/>
        </w:rPr>
        <w:t xml:space="preserve">, compared with </w:t>
      </w:r>
      <w:r w:rsidR="00983D15">
        <w:rPr>
          <w:sz w:val="24"/>
          <w:szCs w:val="24"/>
        </w:rPr>
        <w:t xml:space="preserve">only </w:t>
      </w:r>
      <w:r>
        <w:rPr>
          <w:sz w:val="24"/>
          <w:szCs w:val="24"/>
        </w:rPr>
        <w:t xml:space="preserve">half from ‘less prestigious’ departments and less than half in ‘more prestigious’ departments. </w:t>
      </w:r>
      <w:r w:rsidR="0082728A">
        <w:rPr>
          <w:sz w:val="24"/>
          <w:szCs w:val="24"/>
        </w:rPr>
        <w:t xml:space="preserve">Moreover, just as striking as the ubiquity of use-focused outputs as a main boundary-transacting method of ‘elite’ departments is the broad </w:t>
      </w:r>
      <w:r w:rsidR="0082728A">
        <w:rPr>
          <w:i/>
          <w:sz w:val="24"/>
          <w:szCs w:val="24"/>
        </w:rPr>
        <w:t xml:space="preserve">range </w:t>
      </w:r>
      <w:r w:rsidR="0082728A">
        <w:rPr>
          <w:sz w:val="24"/>
          <w:szCs w:val="24"/>
        </w:rPr>
        <w:t>of</w:t>
      </w:r>
      <w:r w:rsidR="007B4C95">
        <w:rPr>
          <w:sz w:val="24"/>
          <w:szCs w:val="24"/>
        </w:rPr>
        <w:t xml:space="preserve"> use-focused</w:t>
      </w:r>
      <w:r w:rsidR="0082728A">
        <w:rPr>
          <w:sz w:val="24"/>
          <w:szCs w:val="24"/>
        </w:rPr>
        <w:t xml:space="preserve"> outputs which perform this function</w:t>
      </w:r>
      <w:r w:rsidR="00CC0103">
        <w:rPr>
          <w:sz w:val="24"/>
          <w:szCs w:val="24"/>
        </w:rPr>
        <w:t>. For example:</w:t>
      </w:r>
      <w:r w:rsidR="00F315C9">
        <w:rPr>
          <w:sz w:val="24"/>
          <w:szCs w:val="24"/>
        </w:rPr>
        <w:t xml:space="preserve"> </w:t>
      </w:r>
    </w:p>
    <w:p w14:paraId="32B5B87A" w14:textId="75885A6E" w:rsidR="005D15F8" w:rsidRDefault="00F315C9" w:rsidP="00E1458C">
      <w:pPr>
        <w:pStyle w:val="ListParagraph"/>
        <w:numPr>
          <w:ilvl w:val="0"/>
          <w:numId w:val="14"/>
        </w:numPr>
        <w:spacing w:before="120" w:after="120" w:line="360" w:lineRule="auto"/>
        <w:rPr>
          <w:sz w:val="24"/>
          <w:szCs w:val="24"/>
        </w:rPr>
      </w:pPr>
      <w:r w:rsidRPr="005D15F8">
        <w:rPr>
          <w:sz w:val="24"/>
          <w:szCs w:val="24"/>
        </w:rPr>
        <w:t>BoR13.2 (‘Topical oxygen therapy for wound healing’)</w:t>
      </w:r>
      <w:r w:rsidR="00A80973">
        <w:rPr>
          <w:sz w:val="24"/>
          <w:szCs w:val="24"/>
        </w:rPr>
        <w:t>,</w:t>
      </w:r>
      <w:r w:rsidRPr="005D15F8">
        <w:rPr>
          <w:sz w:val="24"/>
          <w:szCs w:val="24"/>
        </w:rPr>
        <w:t xml:space="preserve"> at the University of Cambridge Department of Materials Science &amp; Metallurgy</w:t>
      </w:r>
      <w:r w:rsidR="00A80973">
        <w:rPr>
          <w:sz w:val="24"/>
          <w:szCs w:val="24"/>
        </w:rPr>
        <w:t>,</w:t>
      </w:r>
      <w:r w:rsidR="00A327DA" w:rsidRPr="005D15F8">
        <w:rPr>
          <w:sz w:val="24"/>
          <w:szCs w:val="24"/>
        </w:rPr>
        <w:t xml:space="preserve"> produces patented medical devices; </w:t>
      </w:r>
    </w:p>
    <w:p w14:paraId="5316C98B" w14:textId="101A7480" w:rsidR="005D15F8" w:rsidRDefault="004E6E7A" w:rsidP="00E1458C">
      <w:pPr>
        <w:pStyle w:val="ListParagraph"/>
        <w:numPr>
          <w:ilvl w:val="0"/>
          <w:numId w:val="14"/>
        </w:numPr>
        <w:spacing w:before="120" w:after="120" w:line="360" w:lineRule="auto"/>
        <w:rPr>
          <w:sz w:val="24"/>
          <w:szCs w:val="24"/>
        </w:rPr>
      </w:pPr>
      <w:r w:rsidRPr="005D15F8">
        <w:rPr>
          <w:sz w:val="24"/>
          <w:szCs w:val="24"/>
        </w:rPr>
        <w:t>BoR13.1</w:t>
      </w:r>
      <w:r w:rsidR="00F315C9" w:rsidRPr="005D15F8">
        <w:rPr>
          <w:sz w:val="24"/>
          <w:szCs w:val="24"/>
        </w:rPr>
        <w:t xml:space="preserve"> (‘High-performance nanostructured-steel armour’)</w:t>
      </w:r>
      <w:r w:rsidR="00A327DA" w:rsidRPr="005D15F8">
        <w:rPr>
          <w:sz w:val="24"/>
          <w:szCs w:val="24"/>
        </w:rPr>
        <w:t xml:space="preserve"> produces </w:t>
      </w:r>
      <w:r w:rsidR="00AB3957">
        <w:rPr>
          <w:sz w:val="24"/>
          <w:szCs w:val="24"/>
        </w:rPr>
        <w:t>an academic journal article aimed at a broad audience</w:t>
      </w:r>
      <w:r w:rsidR="00A327DA" w:rsidRPr="005D15F8">
        <w:rPr>
          <w:sz w:val="24"/>
          <w:szCs w:val="24"/>
        </w:rPr>
        <w:t xml:space="preserve"> </w:t>
      </w:r>
      <w:r w:rsidR="00AB3957">
        <w:rPr>
          <w:sz w:val="24"/>
          <w:szCs w:val="24"/>
        </w:rPr>
        <w:t>which</w:t>
      </w:r>
      <w:r w:rsidR="00A80973">
        <w:rPr>
          <w:sz w:val="24"/>
          <w:szCs w:val="24"/>
        </w:rPr>
        <w:t xml:space="preserve"> beyond the author’s narrow specialism aiming to</w:t>
      </w:r>
      <w:r w:rsidR="00AB3957">
        <w:rPr>
          <w:sz w:val="24"/>
          <w:szCs w:val="24"/>
        </w:rPr>
        <w:t xml:space="preserve"> </w:t>
      </w:r>
      <w:r w:rsidR="00E579F8" w:rsidRPr="005D15F8">
        <w:rPr>
          <w:sz w:val="24"/>
          <w:szCs w:val="24"/>
        </w:rPr>
        <w:t xml:space="preserve">summarise the author’s contributions to theory and application of metallic structures in such a way as to advise a broad range of scientists and potential users </w:t>
      </w:r>
      <w:r w:rsidR="00E14551" w:rsidRPr="005D15F8">
        <w:rPr>
          <w:sz w:val="24"/>
          <w:szCs w:val="24"/>
        </w:rPr>
        <w:t xml:space="preserve">in disparate fields about how best to bridge the research-application-commercialisation gap; </w:t>
      </w:r>
    </w:p>
    <w:p w14:paraId="7EA34E28" w14:textId="77777777" w:rsidR="005D15F8" w:rsidRDefault="00B04585" w:rsidP="00E1458C">
      <w:pPr>
        <w:pStyle w:val="ListParagraph"/>
        <w:numPr>
          <w:ilvl w:val="0"/>
          <w:numId w:val="14"/>
        </w:numPr>
        <w:spacing w:before="120" w:after="120" w:line="360" w:lineRule="auto"/>
        <w:rPr>
          <w:sz w:val="24"/>
          <w:szCs w:val="24"/>
        </w:rPr>
      </w:pPr>
      <w:r w:rsidRPr="005D15F8">
        <w:rPr>
          <w:sz w:val="24"/>
          <w:szCs w:val="24"/>
        </w:rPr>
        <w:t xml:space="preserve">the most influential and valued outputs of research at the University of Sheffield’s ‘Vibration Engineering Section’ (responsible for BoR14.1, ‘Managing full scale dynamic performance of civil infrastructure’) are not academic papers but rather construction guidelines which are recognised internationally and have legal status in the case of court actions; </w:t>
      </w:r>
    </w:p>
    <w:p w14:paraId="729A4D2A" w14:textId="77777777" w:rsidR="005D15F8" w:rsidRDefault="00B04585" w:rsidP="00E1458C">
      <w:pPr>
        <w:pStyle w:val="ListParagraph"/>
        <w:numPr>
          <w:ilvl w:val="0"/>
          <w:numId w:val="14"/>
        </w:numPr>
        <w:spacing w:before="120" w:after="120" w:line="360" w:lineRule="auto"/>
        <w:rPr>
          <w:sz w:val="24"/>
          <w:szCs w:val="24"/>
        </w:rPr>
      </w:pPr>
      <w:r w:rsidRPr="005D15F8">
        <w:rPr>
          <w:sz w:val="24"/>
          <w:szCs w:val="24"/>
        </w:rPr>
        <w:t xml:space="preserve">one interesting use-focused output from BoR14.2 (‘Management of discolouration in drinking water distribution systems’), based in the same department as BoR14.1, </w:t>
      </w:r>
      <w:r w:rsidR="00F8764E" w:rsidRPr="005D15F8">
        <w:rPr>
          <w:sz w:val="24"/>
          <w:szCs w:val="24"/>
        </w:rPr>
        <w:t>is</w:t>
      </w:r>
      <w:r w:rsidRPr="005D15F8">
        <w:rPr>
          <w:sz w:val="24"/>
          <w:szCs w:val="24"/>
        </w:rPr>
        <w:t xml:space="preserve"> what I term a ‘bridging concept’, specifically, the academic researchers developed a concept of “cohesive transport”</w:t>
      </w:r>
      <w:r w:rsidR="00CB57BB" w:rsidRPr="005D15F8">
        <w:rPr>
          <w:sz w:val="24"/>
          <w:szCs w:val="24"/>
        </w:rPr>
        <w:t xml:space="preserve"> which resulted in a “step change” (according to the university’s REF Impact Case Study submission) in the UK water industry’s understanding and management of water discolouration; </w:t>
      </w:r>
    </w:p>
    <w:p w14:paraId="3C0A31F4" w14:textId="59ED9B05" w:rsidR="009424EE" w:rsidRDefault="0088602B" w:rsidP="00E1458C">
      <w:pPr>
        <w:pStyle w:val="ListParagraph"/>
        <w:numPr>
          <w:ilvl w:val="0"/>
          <w:numId w:val="14"/>
        </w:numPr>
        <w:spacing w:before="120" w:after="120" w:line="360" w:lineRule="auto"/>
        <w:rPr>
          <w:sz w:val="24"/>
          <w:szCs w:val="24"/>
        </w:rPr>
      </w:pPr>
      <w:r w:rsidRPr="005D15F8">
        <w:rPr>
          <w:sz w:val="24"/>
          <w:szCs w:val="24"/>
        </w:rPr>
        <w:t>lastly, researchers at the Cardiff University School of Physics &amp; Astronomy</w:t>
      </w:r>
      <w:r w:rsidR="00C746A3" w:rsidRPr="005D15F8">
        <w:rPr>
          <w:sz w:val="24"/>
          <w:szCs w:val="24"/>
        </w:rPr>
        <w:t xml:space="preserve"> (responsible for BoR9, ‘Astronomical Research and Instrumentation’)</w:t>
      </w:r>
      <w:r w:rsidR="00401559" w:rsidRPr="005D15F8">
        <w:rPr>
          <w:sz w:val="24"/>
          <w:szCs w:val="24"/>
        </w:rPr>
        <w:t xml:space="preserve">, whose main research focused on building instrumentation for space satellites and </w:t>
      </w:r>
      <w:r w:rsidR="002E4C76" w:rsidRPr="005D15F8">
        <w:rPr>
          <w:sz w:val="24"/>
          <w:szCs w:val="24"/>
        </w:rPr>
        <w:t>using the data to theorise about galaxy formation, also produced ‘use-focused output</w:t>
      </w:r>
      <w:r w:rsidR="007D7FA3" w:rsidRPr="005D15F8">
        <w:rPr>
          <w:sz w:val="24"/>
          <w:szCs w:val="24"/>
        </w:rPr>
        <w:t>s</w:t>
      </w:r>
      <w:r w:rsidR="002E4C76" w:rsidRPr="005D15F8">
        <w:rPr>
          <w:sz w:val="24"/>
          <w:szCs w:val="24"/>
        </w:rPr>
        <w:t xml:space="preserve">’ in the form of </w:t>
      </w:r>
      <w:r w:rsidR="007D7FA3" w:rsidRPr="005D15F8">
        <w:rPr>
          <w:sz w:val="24"/>
          <w:szCs w:val="24"/>
        </w:rPr>
        <w:t>online</w:t>
      </w:r>
      <w:r w:rsidR="002E4C76" w:rsidRPr="005D15F8">
        <w:rPr>
          <w:sz w:val="24"/>
          <w:szCs w:val="24"/>
        </w:rPr>
        <w:t xml:space="preserve"> tool</w:t>
      </w:r>
      <w:r w:rsidR="007D7FA3" w:rsidRPr="005D15F8">
        <w:rPr>
          <w:sz w:val="24"/>
          <w:szCs w:val="24"/>
        </w:rPr>
        <w:t>s and resources</w:t>
      </w:r>
      <w:r w:rsidR="007D7FA3">
        <w:rPr>
          <w:rStyle w:val="FootnoteReference"/>
          <w:sz w:val="24"/>
          <w:szCs w:val="24"/>
        </w:rPr>
        <w:footnoteReference w:id="23"/>
      </w:r>
      <w:r w:rsidR="002E4C76" w:rsidRPr="005D15F8">
        <w:rPr>
          <w:sz w:val="24"/>
          <w:szCs w:val="24"/>
        </w:rPr>
        <w:t xml:space="preserve"> aimed at presenting findings </w:t>
      </w:r>
      <w:r w:rsidR="007D7FA3" w:rsidRPr="005D15F8">
        <w:rPr>
          <w:sz w:val="24"/>
          <w:szCs w:val="24"/>
        </w:rPr>
        <w:t xml:space="preserve">and relevant science </w:t>
      </w:r>
      <w:r w:rsidR="002E4C76" w:rsidRPr="005D15F8">
        <w:rPr>
          <w:sz w:val="24"/>
          <w:szCs w:val="24"/>
        </w:rPr>
        <w:t xml:space="preserve">in a user-friendly </w:t>
      </w:r>
      <w:r w:rsidR="007D7FA3" w:rsidRPr="005D15F8">
        <w:rPr>
          <w:sz w:val="24"/>
          <w:szCs w:val="24"/>
        </w:rPr>
        <w:t xml:space="preserve">way </w:t>
      </w:r>
      <w:r w:rsidR="002E4C76" w:rsidRPr="005D15F8">
        <w:rPr>
          <w:sz w:val="24"/>
          <w:szCs w:val="24"/>
        </w:rPr>
        <w:t xml:space="preserve">to the general public, particularly targeting young people, </w:t>
      </w:r>
      <w:r w:rsidR="00405117" w:rsidRPr="005D15F8">
        <w:rPr>
          <w:sz w:val="24"/>
          <w:szCs w:val="24"/>
        </w:rPr>
        <w:t>grounde</w:t>
      </w:r>
      <w:r w:rsidR="002E4C76" w:rsidRPr="005D15F8">
        <w:rPr>
          <w:sz w:val="24"/>
          <w:szCs w:val="24"/>
        </w:rPr>
        <w:t xml:space="preserve">d on a perception within the School that </w:t>
      </w:r>
      <w:r w:rsidR="00405117" w:rsidRPr="005D15F8">
        <w:rPr>
          <w:sz w:val="24"/>
          <w:szCs w:val="24"/>
        </w:rPr>
        <w:t xml:space="preserve">curiosity-based astronomical research is considered incomplete until it is reaches (and hopefully stimulates the interest of) the public. </w:t>
      </w:r>
    </w:p>
    <w:p w14:paraId="05564A36" w14:textId="2C5EF005" w:rsidR="00544588" w:rsidRDefault="00833BE0" w:rsidP="003952D9">
      <w:pPr>
        <w:spacing w:after="120" w:line="360" w:lineRule="auto"/>
        <w:rPr>
          <w:sz w:val="24"/>
          <w:szCs w:val="24"/>
        </w:rPr>
      </w:pPr>
      <w:r>
        <w:rPr>
          <w:sz w:val="24"/>
          <w:szCs w:val="24"/>
        </w:rPr>
        <w:t>Both the ubiquity and the</w:t>
      </w:r>
      <w:r w:rsidR="00AB3957">
        <w:rPr>
          <w:sz w:val="24"/>
          <w:szCs w:val="24"/>
        </w:rPr>
        <w:t xml:space="preserve"> broad range of</w:t>
      </w:r>
      <w:r>
        <w:rPr>
          <w:sz w:val="24"/>
          <w:szCs w:val="24"/>
        </w:rPr>
        <w:t xml:space="preserve"> use-focused</w:t>
      </w:r>
      <w:r w:rsidR="00AB3957">
        <w:rPr>
          <w:sz w:val="24"/>
          <w:szCs w:val="24"/>
        </w:rPr>
        <w:t xml:space="preserve"> outputs </w:t>
      </w:r>
      <w:r>
        <w:rPr>
          <w:sz w:val="24"/>
          <w:szCs w:val="24"/>
        </w:rPr>
        <w:t>as a main form of boundary transaction in ‘elite’ departments add weight to the</w:t>
      </w:r>
      <w:r w:rsidR="00AB3957">
        <w:rPr>
          <w:sz w:val="24"/>
          <w:szCs w:val="24"/>
        </w:rPr>
        <w:t xml:space="preserve"> interpretation that </w:t>
      </w:r>
      <w:r>
        <w:rPr>
          <w:sz w:val="24"/>
          <w:szCs w:val="24"/>
        </w:rPr>
        <w:t xml:space="preserve">the will and ability of such departments to </w:t>
      </w:r>
      <w:r w:rsidR="00AB3957">
        <w:rPr>
          <w:sz w:val="24"/>
          <w:szCs w:val="24"/>
        </w:rPr>
        <w:t xml:space="preserve">maintain control over knowledge </w:t>
      </w:r>
      <w:r>
        <w:rPr>
          <w:sz w:val="24"/>
          <w:szCs w:val="24"/>
        </w:rPr>
        <w:t>production, even that aimed at achieving non-academic ‘impact’, persists</w:t>
      </w:r>
      <w:r w:rsidR="00AB3957">
        <w:rPr>
          <w:sz w:val="24"/>
          <w:szCs w:val="24"/>
        </w:rPr>
        <w:t xml:space="preserve"> in disparate contexts</w:t>
      </w:r>
      <w:r>
        <w:rPr>
          <w:sz w:val="24"/>
          <w:szCs w:val="24"/>
        </w:rPr>
        <w:t>.</w:t>
      </w:r>
      <w:r w:rsidR="000643A7">
        <w:rPr>
          <w:sz w:val="24"/>
          <w:szCs w:val="24"/>
        </w:rPr>
        <w:t xml:space="preserve"> Even very applied research in ‘elite’ departments</w:t>
      </w:r>
      <w:r w:rsidR="00CA1616">
        <w:rPr>
          <w:sz w:val="24"/>
          <w:szCs w:val="24"/>
        </w:rPr>
        <w:t>, which might be expected to cede greater control to potential users of research,</w:t>
      </w:r>
      <w:r w:rsidR="000643A7">
        <w:rPr>
          <w:sz w:val="24"/>
          <w:szCs w:val="24"/>
        </w:rPr>
        <w:t xml:space="preserve"> exhibited a notable ownership over the knowledge content.</w:t>
      </w:r>
      <w:r w:rsidR="00402D7A">
        <w:rPr>
          <w:sz w:val="24"/>
          <w:szCs w:val="24"/>
        </w:rPr>
        <w:t xml:space="preserve"> </w:t>
      </w:r>
      <w:r w:rsidR="002915E0">
        <w:rPr>
          <w:sz w:val="24"/>
          <w:szCs w:val="24"/>
        </w:rPr>
        <w:t>An interesting quote from</w:t>
      </w:r>
      <w:r w:rsidR="00093D79">
        <w:rPr>
          <w:sz w:val="24"/>
          <w:szCs w:val="24"/>
        </w:rPr>
        <w:t xml:space="preserve"> one of </w:t>
      </w:r>
      <w:r w:rsidR="002915E0">
        <w:rPr>
          <w:sz w:val="24"/>
          <w:szCs w:val="24"/>
        </w:rPr>
        <w:t>t</w:t>
      </w:r>
      <w:r w:rsidR="00402D7A">
        <w:rPr>
          <w:sz w:val="24"/>
          <w:szCs w:val="24"/>
        </w:rPr>
        <w:t>he</w:t>
      </w:r>
      <w:r w:rsidR="00F63F92">
        <w:rPr>
          <w:sz w:val="24"/>
          <w:szCs w:val="24"/>
        </w:rPr>
        <w:t xml:space="preserve"> </w:t>
      </w:r>
      <w:r w:rsidR="00B47223">
        <w:rPr>
          <w:i/>
          <w:sz w:val="24"/>
          <w:szCs w:val="24"/>
        </w:rPr>
        <w:t xml:space="preserve">REF2014 </w:t>
      </w:r>
      <w:r w:rsidR="00B47223">
        <w:rPr>
          <w:sz w:val="24"/>
          <w:szCs w:val="24"/>
        </w:rPr>
        <w:t>submission</w:t>
      </w:r>
      <w:r w:rsidR="002915E0">
        <w:rPr>
          <w:sz w:val="24"/>
          <w:szCs w:val="24"/>
        </w:rPr>
        <w:t xml:space="preserve"> documents</w:t>
      </w:r>
      <w:r w:rsidR="00EF2A26">
        <w:rPr>
          <w:sz w:val="24"/>
          <w:szCs w:val="24"/>
        </w:rPr>
        <w:t xml:space="preserve"> </w:t>
      </w:r>
      <w:r w:rsidR="002915E0">
        <w:rPr>
          <w:sz w:val="24"/>
          <w:szCs w:val="24"/>
        </w:rPr>
        <w:t>of</w:t>
      </w:r>
      <w:r w:rsidR="00402D7A">
        <w:rPr>
          <w:sz w:val="24"/>
          <w:szCs w:val="24"/>
        </w:rPr>
        <w:t xml:space="preserve"> </w:t>
      </w:r>
      <w:r w:rsidR="001039D0">
        <w:rPr>
          <w:sz w:val="24"/>
          <w:szCs w:val="24"/>
        </w:rPr>
        <w:t>one</w:t>
      </w:r>
      <w:r w:rsidR="00F63F92">
        <w:rPr>
          <w:sz w:val="24"/>
          <w:szCs w:val="24"/>
        </w:rPr>
        <w:t xml:space="preserve"> ‘elite’ </w:t>
      </w:r>
      <w:r w:rsidR="001039D0">
        <w:rPr>
          <w:sz w:val="24"/>
          <w:szCs w:val="24"/>
        </w:rPr>
        <w:t xml:space="preserve">department </w:t>
      </w:r>
      <w:r w:rsidR="00012DDC">
        <w:rPr>
          <w:sz w:val="24"/>
          <w:szCs w:val="24"/>
        </w:rPr>
        <w:t xml:space="preserve">describes the department’s </w:t>
      </w:r>
      <w:r w:rsidR="00EF2A26">
        <w:rPr>
          <w:sz w:val="24"/>
          <w:szCs w:val="24"/>
        </w:rPr>
        <w:t xml:space="preserve">goal </w:t>
      </w:r>
      <w:r w:rsidR="00871166">
        <w:rPr>
          <w:sz w:val="24"/>
          <w:szCs w:val="24"/>
        </w:rPr>
        <w:t>as to advance “</w:t>
      </w:r>
      <w:r w:rsidR="00012DDC">
        <w:rPr>
          <w:sz w:val="24"/>
          <w:szCs w:val="24"/>
        </w:rPr>
        <w:t>fundamental engineering</w:t>
      </w:r>
      <w:r w:rsidR="00871166">
        <w:rPr>
          <w:sz w:val="24"/>
          <w:szCs w:val="24"/>
        </w:rPr>
        <w:t xml:space="preserve"> research”</w:t>
      </w:r>
      <w:r w:rsidR="00544588">
        <w:rPr>
          <w:sz w:val="24"/>
          <w:szCs w:val="24"/>
        </w:rPr>
        <w:t xml:space="preserve">. </w:t>
      </w:r>
      <w:r w:rsidR="00C82396">
        <w:rPr>
          <w:sz w:val="24"/>
          <w:szCs w:val="24"/>
        </w:rPr>
        <w:t xml:space="preserve">Although an interview respondent from this department </w:t>
      </w:r>
      <w:r w:rsidR="006A3057">
        <w:rPr>
          <w:sz w:val="24"/>
          <w:szCs w:val="24"/>
        </w:rPr>
        <w:t>first reacted to this expression somewhat cynically when I asked what it meant to him, responding that “it sounds like a REF statement</w:t>
      </w:r>
      <w:r w:rsidR="00CE0ED3">
        <w:rPr>
          <w:sz w:val="24"/>
          <w:szCs w:val="24"/>
        </w:rPr>
        <w:t xml:space="preserve"> (</w:t>
      </w:r>
      <w:r w:rsidR="00CE0ED3" w:rsidRPr="0030160F">
        <w:rPr>
          <w:i/>
          <w:sz w:val="24"/>
          <w:szCs w:val="24"/>
        </w:rPr>
        <w:t>laughter</w:t>
      </w:r>
      <w:r w:rsidR="00CE0ED3">
        <w:rPr>
          <w:sz w:val="24"/>
          <w:szCs w:val="24"/>
        </w:rPr>
        <w:t>)”</w:t>
      </w:r>
      <w:r w:rsidR="00B44B49">
        <w:rPr>
          <w:sz w:val="24"/>
          <w:szCs w:val="24"/>
        </w:rPr>
        <w:t xml:space="preserve">, he </w:t>
      </w:r>
      <w:r w:rsidR="00D57888">
        <w:rPr>
          <w:sz w:val="24"/>
          <w:szCs w:val="24"/>
        </w:rPr>
        <w:t>afterwards</w:t>
      </w:r>
      <w:r w:rsidR="00B44B49">
        <w:rPr>
          <w:sz w:val="24"/>
          <w:szCs w:val="24"/>
        </w:rPr>
        <w:t xml:space="preserve"> reflected that</w:t>
      </w:r>
    </w:p>
    <w:p w14:paraId="57D95BC5" w14:textId="22E9DCBD" w:rsidR="00B44B49" w:rsidRDefault="00B44B49" w:rsidP="00E1458C">
      <w:pPr>
        <w:spacing w:before="120" w:after="120" w:line="240" w:lineRule="auto"/>
        <w:ind w:left="720"/>
        <w:rPr>
          <w:sz w:val="24"/>
          <w:szCs w:val="24"/>
        </w:rPr>
      </w:pPr>
      <w:r>
        <w:rPr>
          <w:sz w:val="24"/>
          <w:szCs w:val="24"/>
        </w:rPr>
        <w:t>“</w:t>
      </w:r>
      <w:r w:rsidR="00D57888">
        <w:rPr>
          <w:sz w:val="24"/>
          <w:szCs w:val="24"/>
        </w:rPr>
        <w:t>...</w:t>
      </w:r>
      <w:r>
        <w:rPr>
          <w:sz w:val="24"/>
          <w:szCs w:val="24"/>
        </w:rPr>
        <w:t xml:space="preserve">well, yes, the </w:t>
      </w:r>
      <w:r w:rsidR="00D57888">
        <w:rPr>
          <w:sz w:val="24"/>
          <w:szCs w:val="24"/>
        </w:rPr>
        <w:t>‘</w:t>
      </w:r>
      <w:r>
        <w:rPr>
          <w:sz w:val="24"/>
          <w:szCs w:val="24"/>
        </w:rPr>
        <w:t>fundamental</w:t>
      </w:r>
      <w:r w:rsidR="00D57888">
        <w:rPr>
          <w:sz w:val="24"/>
          <w:szCs w:val="24"/>
        </w:rPr>
        <w:t>’</w:t>
      </w:r>
      <w:r>
        <w:rPr>
          <w:sz w:val="24"/>
          <w:szCs w:val="24"/>
        </w:rPr>
        <w:t xml:space="preserve"> bit does come from really wanting to understand what’s happening, what is causing these problems. </w:t>
      </w:r>
      <w:r w:rsidR="00D57888">
        <w:rPr>
          <w:sz w:val="24"/>
          <w:szCs w:val="24"/>
        </w:rPr>
        <w:t xml:space="preserve">... So there is a scientific aspect, so in that sense you could say it’s ‘fundamental engineering’ based on that.” (Applied scientist, ‘elite’ </w:t>
      </w:r>
      <w:r w:rsidR="001039D0">
        <w:rPr>
          <w:sz w:val="24"/>
          <w:szCs w:val="24"/>
        </w:rPr>
        <w:t>department</w:t>
      </w:r>
      <w:r w:rsidR="00D57888">
        <w:rPr>
          <w:sz w:val="24"/>
          <w:szCs w:val="24"/>
        </w:rPr>
        <w:t>)</w:t>
      </w:r>
    </w:p>
    <w:p w14:paraId="5A615F52" w14:textId="0856811E" w:rsidR="0039281A" w:rsidRDefault="00C76FE7" w:rsidP="00B223D8">
      <w:pPr>
        <w:spacing w:before="120" w:after="120" w:line="360" w:lineRule="auto"/>
        <w:rPr>
          <w:sz w:val="24"/>
          <w:szCs w:val="24"/>
        </w:rPr>
      </w:pPr>
      <w:r>
        <w:rPr>
          <w:sz w:val="24"/>
          <w:szCs w:val="24"/>
        </w:rPr>
        <w:t xml:space="preserve">This </w:t>
      </w:r>
      <w:r w:rsidR="0024743A">
        <w:rPr>
          <w:sz w:val="24"/>
          <w:szCs w:val="24"/>
        </w:rPr>
        <w:t>notion of “fundamental engineering research”</w:t>
      </w:r>
      <w:r w:rsidR="002915E0">
        <w:rPr>
          <w:sz w:val="24"/>
          <w:szCs w:val="24"/>
        </w:rPr>
        <w:t>, which is similar to the idea of “fundamental technology” used by the OECD’s Centre for Educational Research &amp; Innovation (CERI, 1982, p. 144)</w:t>
      </w:r>
      <w:r w:rsidR="00461550">
        <w:rPr>
          <w:sz w:val="24"/>
          <w:szCs w:val="24"/>
        </w:rPr>
        <w:t xml:space="preserve">, describes well the applied research I studied from ‘elite’ departments. </w:t>
      </w:r>
      <w:r w:rsidR="003135C9">
        <w:rPr>
          <w:sz w:val="24"/>
          <w:szCs w:val="24"/>
        </w:rPr>
        <w:t xml:space="preserve">The </w:t>
      </w:r>
      <w:r w:rsidR="00857BE6">
        <w:rPr>
          <w:sz w:val="24"/>
          <w:szCs w:val="24"/>
        </w:rPr>
        <w:t xml:space="preserve">research in </w:t>
      </w:r>
      <w:r w:rsidR="003135C9">
        <w:rPr>
          <w:sz w:val="24"/>
          <w:szCs w:val="24"/>
        </w:rPr>
        <w:t>such departments</w:t>
      </w:r>
      <w:r w:rsidR="00E72B4E">
        <w:rPr>
          <w:sz w:val="24"/>
          <w:szCs w:val="24"/>
        </w:rPr>
        <w:t>, when compared with that in ‘non-elite’ departments,</w:t>
      </w:r>
      <w:r w:rsidR="003135C9">
        <w:rPr>
          <w:sz w:val="24"/>
          <w:szCs w:val="24"/>
        </w:rPr>
        <w:t xml:space="preserve"> more </w:t>
      </w:r>
      <w:r w:rsidR="00E72B4E">
        <w:rPr>
          <w:sz w:val="24"/>
          <w:szCs w:val="24"/>
        </w:rPr>
        <w:t>consistently f</w:t>
      </w:r>
      <w:r w:rsidR="003135C9">
        <w:rPr>
          <w:sz w:val="24"/>
          <w:szCs w:val="24"/>
        </w:rPr>
        <w:t>it within an academic discipline</w:t>
      </w:r>
      <w:r w:rsidR="00E72B4E">
        <w:rPr>
          <w:sz w:val="24"/>
          <w:szCs w:val="24"/>
        </w:rPr>
        <w:t xml:space="preserve"> or sub-discipline</w:t>
      </w:r>
      <w:r w:rsidR="00857BE6">
        <w:rPr>
          <w:sz w:val="24"/>
          <w:szCs w:val="24"/>
        </w:rPr>
        <w:t xml:space="preserve"> so that, al</w:t>
      </w:r>
      <w:r w:rsidR="003135C9">
        <w:rPr>
          <w:sz w:val="24"/>
          <w:szCs w:val="24"/>
        </w:rPr>
        <w:t>though s</w:t>
      </w:r>
      <w:r w:rsidR="00FC687A">
        <w:rPr>
          <w:sz w:val="24"/>
          <w:szCs w:val="24"/>
        </w:rPr>
        <w:t xml:space="preserve">ometimes conducted in close proximity to the context of application, </w:t>
      </w:r>
      <w:r w:rsidR="00E72B4E">
        <w:rPr>
          <w:sz w:val="24"/>
          <w:szCs w:val="24"/>
        </w:rPr>
        <w:t>it would rarely enter a ‘transdisciplinary’ mode</w:t>
      </w:r>
      <w:r w:rsidR="000B44E3">
        <w:rPr>
          <w:sz w:val="24"/>
          <w:szCs w:val="24"/>
        </w:rPr>
        <w:t>. That is,</w:t>
      </w:r>
      <w:r w:rsidR="00F34532">
        <w:rPr>
          <w:sz w:val="24"/>
          <w:szCs w:val="24"/>
        </w:rPr>
        <w:t xml:space="preserve"> the experience of academics in ‘elite’ departments was that their </w:t>
      </w:r>
      <w:r w:rsidR="00486987">
        <w:rPr>
          <w:sz w:val="24"/>
          <w:szCs w:val="24"/>
        </w:rPr>
        <w:t>(sub-)disciplinary expertise</w:t>
      </w:r>
      <w:r w:rsidR="00F34532">
        <w:rPr>
          <w:sz w:val="24"/>
          <w:szCs w:val="24"/>
        </w:rPr>
        <w:t xml:space="preserve"> was</w:t>
      </w:r>
      <w:r w:rsidR="000B44E3">
        <w:rPr>
          <w:sz w:val="24"/>
          <w:szCs w:val="24"/>
        </w:rPr>
        <w:t xml:space="preserve"> necessary and sufficient to </w:t>
      </w:r>
      <w:r w:rsidR="006122E8">
        <w:rPr>
          <w:sz w:val="24"/>
          <w:szCs w:val="24"/>
        </w:rPr>
        <w:t>act as</w:t>
      </w:r>
      <w:r w:rsidR="000B44E3">
        <w:rPr>
          <w:sz w:val="24"/>
          <w:szCs w:val="24"/>
        </w:rPr>
        <w:t xml:space="preserve"> legitimate</w:t>
      </w:r>
      <w:r w:rsidR="00E4243E">
        <w:rPr>
          <w:sz w:val="24"/>
          <w:szCs w:val="24"/>
        </w:rPr>
        <w:t xml:space="preserve"> figures</w:t>
      </w:r>
      <w:r w:rsidR="000B44E3">
        <w:rPr>
          <w:sz w:val="24"/>
          <w:szCs w:val="24"/>
        </w:rPr>
        <w:t xml:space="preserve"> of authority on the non-academic issues at hand</w:t>
      </w:r>
      <w:r w:rsidR="00F34532">
        <w:rPr>
          <w:sz w:val="24"/>
          <w:szCs w:val="24"/>
        </w:rPr>
        <w:t xml:space="preserve">. </w:t>
      </w:r>
      <w:r w:rsidR="00B223D8">
        <w:rPr>
          <w:sz w:val="24"/>
          <w:szCs w:val="24"/>
        </w:rPr>
        <w:t>By contrast,</w:t>
      </w:r>
      <w:r w:rsidR="00112E25">
        <w:rPr>
          <w:sz w:val="24"/>
          <w:szCs w:val="24"/>
        </w:rPr>
        <w:t xml:space="preserve"> researchers in ‘non-elite’ departments experienced something different:</w:t>
      </w:r>
      <w:r w:rsidR="00B223D8">
        <w:rPr>
          <w:sz w:val="24"/>
          <w:szCs w:val="24"/>
        </w:rPr>
        <w:t xml:space="preserve"> expertise in </w:t>
      </w:r>
      <w:r w:rsidR="008C73C1">
        <w:rPr>
          <w:sz w:val="24"/>
          <w:szCs w:val="24"/>
        </w:rPr>
        <w:t xml:space="preserve">a </w:t>
      </w:r>
      <w:r w:rsidR="00D00D90">
        <w:rPr>
          <w:sz w:val="24"/>
          <w:szCs w:val="24"/>
        </w:rPr>
        <w:t>(</w:t>
      </w:r>
      <w:r w:rsidR="00B223D8">
        <w:rPr>
          <w:sz w:val="24"/>
          <w:szCs w:val="24"/>
        </w:rPr>
        <w:t>sub-</w:t>
      </w:r>
      <w:r w:rsidR="00D00D90">
        <w:rPr>
          <w:sz w:val="24"/>
          <w:szCs w:val="24"/>
        </w:rPr>
        <w:t>)</w:t>
      </w:r>
      <w:r w:rsidR="00B223D8">
        <w:rPr>
          <w:sz w:val="24"/>
          <w:szCs w:val="24"/>
        </w:rPr>
        <w:t xml:space="preserve">discipline was necessary, but </w:t>
      </w:r>
      <w:r w:rsidR="00B223D8" w:rsidRPr="00112E25">
        <w:rPr>
          <w:i/>
          <w:sz w:val="24"/>
          <w:szCs w:val="24"/>
        </w:rPr>
        <w:t>not</w:t>
      </w:r>
      <w:r w:rsidR="00B223D8">
        <w:rPr>
          <w:sz w:val="24"/>
          <w:szCs w:val="24"/>
        </w:rPr>
        <w:t xml:space="preserve"> sufficient. Instead, their legitimacy as figures of authority in a context of application was contingent on entering into </w:t>
      </w:r>
      <w:r w:rsidR="00F83FC5">
        <w:rPr>
          <w:sz w:val="24"/>
          <w:szCs w:val="24"/>
        </w:rPr>
        <w:t xml:space="preserve">“novel configurations” </w:t>
      </w:r>
      <w:r w:rsidR="00F83FC5">
        <w:rPr>
          <w:sz w:val="24"/>
          <w:szCs w:val="24"/>
        </w:rPr>
        <w:fldChar w:fldCharType="begin"/>
      </w:r>
      <w:r w:rsidR="00802F8A">
        <w:rPr>
          <w:sz w:val="24"/>
          <w:szCs w:val="24"/>
        </w:rPr>
        <w:instrText xml:space="preserve"> ADDIN EN.CITE &lt;EndNote&gt;&lt;Cite&gt;&lt;Author&gt;Nowotny&lt;/Author&gt;&lt;Year&gt;2005&lt;/Year&gt;&lt;IDText&gt;The Increase of Complexity and its Reduction&lt;/IDText&gt;&lt;Pages&gt;28&lt;/Pages&gt;&lt;DisplayText&gt;(Nowotny, 2005, p. 28)&lt;/DisplayText&gt;&lt;record&gt;&lt;keywords&gt;&lt;keyword&gt;Co-Evolution&lt;/keyword&gt;&lt;keyword&gt;Complexity&lt;/keyword&gt;&lt;keyword&gt;Emergence&lt;/keyword&gt;&lt;keyword&gt;Interface&lt;/keyword&gt;&lt;keyword&gt;Major Transitions In Evolution&lt;/keyword&gt;&lt;keyword&gt;Reduction Of&lt;/keyword&gt;&lt;keyword&gt;Transdisciplinarity&lt;/keyword&gt;&lt;/keywords&gt;&lt;isbn&gt;0263-2764&lt;/isbn&gt;&lt;titles&gt;&lt;title&gt;The Increase of Complexity and its Reduction&lt;/title&gt;&lt;secondary-title&gt;Theory, Culture &amp;amp; Society&lt;/secondary-title&gt;&lt;/titles&gt;&lt;pages&gt;15-31&lt;/pages&gt;&lt;number&gt;5&lt;/number&gt;&lt;contributors&gt;&lt;authors&gt;&lt;author&gt;Nowotny, Helga&lt;/author&gt;&lt;/authors&gt;&lt;/contributors&gt;&lt;added-date format="utc"&gt;1520820721&lt;/added-date&gt;&lt;ref-type name="Journal Article"&gt;17&lt;/ref-type&gt;&lt;dates&gt;&lt;year&gt;2005&lt;/year&gt;&lt;/dates&gt;&lt;rec-number&gt;7390&lt;/rec-number&gt;&lt;last-updated-date format="utc"&gt;1550789406&lt;/last-updated-date&gt;&lt;electronic-resource-num&gt;10.1177/0263276405057189&lt;/electronic-resource-num&gt;&lt;volume&gt;22&lt;/volume&gt;&lt;/record&gt;&lt;/Cite&gt;&lt;/EndNote&gt;</w:instrText>
      </w:r>
      <w:r w:rsidR="00F83FC5">
        <w:rPr>
          <w:sz w:val="24"/>
          <w:szCs w:val="24"/>
        </w:rPr>
        <w:fldChar w:fldCharType="separate"/>
      </w:r>
      <w:r w:rsidR="00802F8A">
        <w:rPr>
          <w:noProof/>
          <w:sz w:val="24"/>
          <w:szCs w:val="24"/>
        </w:rPr>
        <w:t>(Nowotny, 2005, p. 28)</w:t>
      </w:r>
      <w:r w:rsidR="00F83FC5">
        <w:rPr>
          <w:sz w:val="24"/>
          <w:szCs w:val="24"/>
        </w:rPr>
        <w:fldChar w:fldCharType="end"/>
      </w:r>
      <w:r w:rsidR="008A1B2B">
        <w:rPr>
          <w:sz w:val="24"/>
          <w:szCs w:val="24"/>
        </w:rPr>
        <w:t xml:space="preserve"> </w:t>
      </w:r>
      <w:r w:rsidR="000C0779">
        <w:rPr>
          <w:sz w:val="24"/>
          <w:szCs w:val="24"/>
        </w:rPr>
        <w:t>of scientists and experts</w:t>
      </w:r>
      <w:r w:rsidR="00B223D8">
        <w:rPr>
          <w:sz w:val="24"/>
          <w:szCs w:val="24"/>
        </w:rPr>
        <w:t xml:space="preserve"> which were more transdisciplinary in nature</w:t>
      </w:r>
      <w:r w:rsidR="00674C28">
        <w:rPr>
          <w:sz w:val="24"/>
          <w:szCs w:val="24"/>
        </w:rPr>
        <w:t xml:space="preserve"> (with the cases of</w:t>
      </w:r>
      <w:r w:rsidR="00672B27">
        <w:rPr>
          <w:sz w:val="24"/>
          <w:szCs w:val="24"/>
        </w:rPr>
        <w:t xml:space="preserve"> BoR</w:t>
      </w:r>
      <w:r w:rsidR="00674C28">
        <w:rPr>
          <w:sz w:val="24"/>
          <w:szCs w:val="24"/>
        </w:rPr>
        <w:t>5 and BoR</w:t>
      </w:r>
      <w:r w:rsidR="00672B27">
        <w:rPr>
          <w:sz w:val="24"/>
          <w:szCs w:val="24"/>
        </w:rPr>
        <w:t>11.1</w:t>
      </w:r>
      <w:r w:rsidR="00923521">
        <w:rPr>
          <w:sz w:val="24"/>
          <w:szCs w:val="24"/>
        </w:rPr>
        <w:t xml:space="preserve">, both discussed </w:t>
      </w:r>
      <w:r w:rsidR="00674C28">
        <w:rPr>
          <w:sz w:val="24"/>
          <w:szCs w:val="24"/>
        </w:rPr>
        <w:t>earlier in this chapter as in-depth</w:t>
      </w:r>
      <w:r w:rsidR="00923521">
        <w:rPr>
          <w:sz w:val="24"/>
          <w:szCs w:val="24"/>
        </w:rPr>
        <w:t xml:space="preserve"> illustrative case studies, </w:t>
      </w:r>
      <w:r w:rsidR="00F72835">
        <w:rPr>
          <w:sz w:val="24"/>
          <w:szCs w:val="24"/>
        </w:rPr>
        <w:t>being</w:t>
      </w:r>
      <w:r w:rsidR="00672B27">
        <w:rPr>
          <w:sz w:val="24"/>
          <w:szCs w:val="24"/>
        </w:rPr>
        <w:t xml:space="preserve"> just two examples</w:t>
      </w:r>
      <w:r w:rsidR="00923521">
        <w:rPr>
          <w:sz w:val="24"/>
          <w:szCs w:val="24"/>
        </w:rPr>
        <w:t>)</w:t>
      </w:r>
    </w:p>
    <w:p w14:paraId="2508B1E5" w14:textId="77777777" w:rsidR="00EE7BD2" w:rsidRDefault="00EE7BD2" w:rsidP="00EE7BD2">
      <w:pPr>
        <w:pStyle w:val="Heading4"/>
      </w:pPr>
      <w:r>
        <w:t>Control and confidence in ‘elite’ departments</w:t>
      </w:r>
    </w:p>
    <w:p w14:paraId="7789E50A" w14:textId="236A9931" w:rsidR="00AB51F8" w:rsidRDefault="00AB51F8" w:rsidP="009D752B">
      <w:pPr>
        <w:spacing w:before="120" w:after="120" w:line="360" w:lineRule="auto"/>
        <w:rPr>
          <w:sz w:val="24"/>
          <w:szCs w:val="24"/>
        </w:rPr>
      </w:pPr>
      <w:r>
        <w:rPr>
          <w:sz w:val="24"/>
          <w:szCs w:val="24"/>
        </w:rPr>
        <w:t xml:space="preserve">Another more general manifestation of the distinction between ‘elite’ and ‘non-elite’ departments </w:t>
      </w:r>
      <w:r w:rsidR="00DE53E1">
        <w:rPr>
          <w:sz w:val="24"/>
          <w:szCs w:val="24"/>
        </w:rPr>
        <w:t xml:space="preserve">relates to their experience of realising and evidencing impact submitted to </w:t>
      </w:r>
      <w:r w:rsidR="00DE53E1">
        <w:rPr>
          <w:i/>
          <w:sz w:val="24"/>
          <w:szCs w:val="24"/>
        </w:rPr>
        <w:t>REF2014</w:t>
      </w:r>
      <w:r w:rsidR="00DE53E1">
        <w:rPr>
          <w:sz w:val="24"/>
          <w:szCs w:val="24"/>
        </w:rPr>
        <w:t>.</w:t>
      </w:r>
      <w:r w:rsidR="00653B5D">
        <w:rPr>
          <w:sz w:val="24"/>
          <w:szCs w:val="24"/>
        </w:rPr>
        <w:t xml:space="preserve"> </w:t>
      </w:r>
      <w:r w:rsidR="00D83291">
        <w:rPr>
          <w:sz w:val="24"/>
          <w:szCs w:val="24"/>
        </w:rPr>
        <w:t xml:space="preserve">Although all of the researchers I interviewed hoped that their research would benefit society, a clear distinction emerged in terms of the perceptions of ‘impact’ in </w:t>
      </w:r>
      <w:r w:rsidR="00D83291">
        <w:rPr>
          <w:i/>
          <w:sz w:val="24"/>
          <w:szCs w:val="24"/>
        </w:rPr>
        <w:t>REF2014</w:t>
      </w:r>
      <w:r w:rsidR="00D83291">
        <w:rPr>
          <w:sz w:val="24"/>
          <w:szCs w:val="24"/>
        </w:rPr>
        <w:t xml:space="preserve">. </w:t>
      </w:r>
      <w:r w:rsidR="009736B7">
        <w:rPr>
          <w:sz w:val="24"/>
          <w:szCs w:val="24"/>
        </w:rPr>
        <w:t>Researcher</w:t>
      </w:r>
      <w:r w:rsidR="001C5E5B">
        <w:rPr>
          <w:sz w:val="24"/>
          <w:szCs w:val="24"/>
        </w:rPr>
        <w:t>s</w:t>
      </w:r>
      <w:r w:rsidR="009736B7">
        <w:rPr>
          <w:sz w:val="24"/>
          <w:szCs w:val="24"/>
        </w:rPr>
        <w:t xml:space="preserve"> in ‘elite’ departments were relatively cynical about, or at least unmoved and unmotivated, by the inclusion of impact in the REF. However, with their strong levels of ownership over the research they produced (in the form of ‘use-focused outputs’), researchers in these ‘elite’ departments were confident in their ability to evidence their impact and make the most of the opportunities that it presented:</w:t>
      </w:r>
    </w:p>
    <w:p w14:paraId="75DB6620" w14:textId="0B4A6A87" w:rsidR="009736B7" w:rsidRDefault="009736B7" w:rsidP="00F670FD">
      <w:pPr>
        <w:spacing w:after="120" w:line="240" w:lineRule="auto"/>
        <w:ind w:left="720"/>
        <w:rPr>
          <w:sz w:val="24"/>
          <w:szCs w:val="24"/>
        </w:rPr>
      </w:pPr>
      <w:r>
        <w:rPr>
          <w:sz w:val="24"/>
          <w:szCs w:val="24"/>
        </w:rPr>
        <w:t>“A lot of people don’t like the REF and its focus on impact. ...But if we’re sufficiently creative and inventive we can put a spin on what we do or do it a bit differently or do something more in addition to show how what we do, although it is not necessarily driven mainly by impact, still does have impact. ...For example most of what we did for this Impact Case Study, we probably would have done some of it anyway. But because of the REF we were guided to do it in a more structured and organised manner. ...So although it doesn’t sit very well with me philosophically, having to justify everything through impact, I think, practically, we can work with it. …You have to work within the system and we’re happy to do that.” (</w:t>
      </w:r>
      <w:r w:rsidR="0071774B">
        <w:rPr>
          <w:sz w:val="24"/>
          <w:szCs w:val="24"/>
        </w:rPr>
        <w:t>Basic s</w:t>
      </w:r>
      <w:r>
        <w:rPr>
          <w:sz w:val="24"/>
          <w:szCs w:val="24"/>
        </w:rPr>
        <w:t>cientist, ‘elite’ department)</w:t>
      </w:r>
    </w:p>
    <w:p w14:paraId="7CE9D28E" w14:textId="77777777" w:rsidR="009736B7" w:rsidRDefault="009736B7" w:rsidP="00F670FD">
      <w:pPr>
        <w:spacing w:after="120" w:line="240" w:lineRule="auto"/>
        <w:ind w:left="720"/>
        <w:rPr>
          <w:sz w:val="24"/>
          <w:szCs w:val="24"/>
        </w:rPr>
      </w:pPr>
      <w:r>
        <w:rPr>
          <w:sz w:val="24"/>
          <w:szCs w:val="24"/>
        </w:rPr>
        <w:t>“Although I’ve always been driven by the practical benefits of the work, ‘impact’ in the REF sense is not something I drive towards. It’s more an academic hoop to jump through. But if all it takes is a bit of gathering and passing on information and that helps our impact in the REF, then brilliant.” (Applied scientist, ‘elite’ department)</w:t>
      </w:r>
    </w:p>
    <w:p w14:paraId="4E083D97" w14:textId="66CC8E15" w:rsidR="0039281A" w:rsidRDefault="007B2F79" w:rsidP="0039281A">
      <w:pPr>
        <w:spacing w:after="120" w:line="360" w:lineRule="auto"/>
        <w:rPr>
          <w:sz w:val="24"/>
          <w:szCs w:val="24"/>
        </w:rPr>
      </w:pPr>
      <w:r>
        <w:rPr>
          <w:sz w:val="24"/>
          <w:szCs w:val="24"/>
        </w:rPr>
        <w:t>This contrasts in two main ways with</w:t>
      </w:r>
      <w:r w:rsidR="002C280F">
        <w:rPr>
          <w:sz w:val="24"/>
          <w:szCs w:val="24"/>
        </w:rPr>
        <w:t xml:space="preserve"> researchers in ‘non-elite’ departments</w:t>
      </w:r>
      <w:r>
        <w:rPr>
          <w:sz w:val="24"/>
          <w:szCs w:val="24"/>
        </w:rPr>
        <w:t>. First, there was more evidence that researchers in non-elite departments, particularly in ‘less prestigious’ departments, felt positively about the impact agenda</w:t>
      </w:r>
      <w:r w:rsidR="00144EBA">
        <w:rPr>
          <w:sz w:val="24"/>
          <w:szCs w:val="24"/>
        </w:rPr>
        <w:t xml:space="preserve"> </w:t>
      </w:r>
      <w:r w:rsidR="00BA6173">
        <w:rPr>
          <w:sz w:val="24"/>
          <w:szCs w:val="24"/>
        </w:rPr>
        <w:t xml:space="preserve">and were pleased that ‘impact’ </w:t>
      </w:r>
      <w:r w:rsidR="00DC08F2">
        <w:rPr>
          <w:sz w:val="24"/>
          <w:szCs w:val="24"/>
        </w:rPr>
        <w:t>was being recognised and afforded status</w:t>
      </w:r>
      <w:r w:rsidR="006E476C">
        <w:rPr>
          <w:sz w:val="24"/>
          <w:szCs w:val="24"/>
        </w:rPr>
        <w:t>:</w:t>
      </w:r>
    </w:p>
    <w:p w14:paraId="2D2F9A41" w14:textId="5C953016" w:rsidR="0039281A" w:rsidRPr="00E969D7" w:rsidRDefault="0039281A" w:rsidP="00F670FD">
      <w:pPr>
        <w:spacing w:before="120" w:after="120" w:line="240" w:lineRule="auto"/>
        <w:ind w:left="720"/>
        <w:rPr>
          <w:sz w:val="24"/>
          <w:szCs w:val="24"/>
        </w:rPr>
      </w:pPr>
      <w:r>
        <w:rPr>
          <w:sz w:val="24"/>
          <w:szCs w:val="24"/>
        </w:rPr>
        <w:t xml:space="preserve">“In my case it [the introduction of </w:t>
      </w:r>
      <w:r w:rsidR="00DC08F2">
        <w:rPr>
          <w:sz w:val="24"/>
          <w:szCs w:val="24"/>
        </w:rPr>
        <w:t>‘i</w:t>
      </w:r>
      <w:r>
        <w:rPr>
          <w:sz w:val="24"/>
          <w:szCs w:val="24"/>
        </w:rPr>
        <w:t>mpact</w:t>
      </w:r>
      <w:r w:rsidR="00DC08F2">
        <w:rPr>
          <w:sz w:val="24"/>
          <w:szCs w:val="24"/>
        </w:rPr>
        <w:t>’</w:t>
      </w:r>
      <w:r>
        <w:rPr>
          <w:sz w:val="24"/>
          <w:szCs w:val="24"/>
        </w:rPr>
        <w:t xml:space="preserve"> in the REF] was positive because ... it allows me to do the research I want to do anyway which makes benefits and impacts. It is more valued now so from my point of view it’s a positive thing. ...Whereas before you had to thinking </w:t>
      </w:r>
      <w:r w:rsidRPr="00E969D7">
        <w:rPr>
          <w:i/>
          <w:sz w:val="24"/>
          <w:szCs w:val="24"/>
        </w:rPr>
        <w:t>‘how can I get published’</w:t>
      </w:r>
      <w:r>
        <w:rPr>
          <w:sz w:val="24"/>
          <w:szCs w:val="24"/>
        </w:rPr>
        <w:t xml:space="preserve">, now you’re allowed to think </w:t>
      </w:r>
      <w:r w:rsidRPr="00E969D7">
        <w:rPr>
          <w:i/>
          <w:sz w:val="24"/>
          <w:szCs w:val="24"/>
        </w:rPr>
        <w:t>‘how can I demonstrate impact’</w:t>
      </w:r>
      <w:r>
        <w:rPr>
          <w:sz w:val="24"/>
          <w:szCs w:val="24"/>
        </w:rPr>
        <w:t>. So ... the consultancy, the training, everything I’m doing now becomes more relevant and recognised.” (</w:t>
      </w:r>
      <w:r w:rsidR="00CF3FDA">
        <w:rPr>
          <w:sz w:val="24"/>
          <w:szCs w:val="24"/>
        </w:rPr>
        <w:t>Basic/</w:t>
      </w:r>
      <w:r w:rsidR="00DC08F2">
        <w:rPr>
          <w:sz w:val="24"/>
          <w:szCs w:val="24"/>
        </w:rPr>
        <w:t>Applied s</w:t>
      </w:r>
      <w:r>
        <w:rPr>
          <w:sz w:val="24"/>
          <w:szCs w:val="24"/>
        </w:rPr>
        <w:t>cientist</w:t>
      </w:r>
      <w:r w:rsidR="00A277DF">
        <w:rPr>
          <w:sz w:val="24"/>
          <w:szCs w:val="24"/>
        </w:rPr>
        <w:t xml:space="preserve">, </w:t>
      </w:r>
      <w:r>
        <w:rPr>
          <w:sz w:val="24"/>
          <w:szCs w:val="24"/>
        </w:rPr>
        <w:t>‘less prestigious’ department)</w:t>
      </w:r>
    </w:p>
    <w:p w14:paraId="163D85A2" w14:textId="7A1045CE" w:rsidR="0039281A" w:rsidRDefault="0039281A" w:rsidP="00F670FD">
      <w:pPr>
        <w:spacing w:after="120" w:line="240" w:lineRule="auto"/>
        <w:ind w:left="720"/>
        <w:rPr>
          <w:sz w:val="24"/>
          <w:szCs w:val="24"/>
        </w:rPr>
      </w:pPr>
      <w:r>
        <w:rPr>
          <w:sz w:val="24"/>
          <w:szCs w:val="24"/>
        </w:rPr>
        <w:t xml:space="preserve">“Now with the REF having made it </w:t>
      </w:r>
      <w:r w:rsidR="006E2A3B">
        <w:rPr>
          <w:sz w:val="24"/>
          <w:szCs w:val="24"/>
        </w:rPr>
        <w:t xml:space="preserve">[impact] </w:t>
      </w:r>
      <w:r>
        <w:rPr>
          <w:sz w:val="24"/>
          <w:szCs w:val="24"/>
        </w:rPr>
        <w:t xml:space="preserve">really important, this institution can focus on impact in a way that it couldn’t really have afforded to do ten years ago. So I think impact particularly fits with a new university like ours which likes to think of itself as being close to business and communities. </w:t>
      </w:r>
      <w:r w:rsidR="00D958BB">
        <w:rPr>
          <w:sz w:val="24"/>
          <w:szCs w:val="24"/>
        </w:rPr>
        <w:t>...</w:t>
      </w:r>
      <w:r>
        <w:rPr>
          <w:sz w:val="24"/>
          <w:szCs w:val="24"/>
        </w:rPr>
        <w:t xml:space="preserve"> </w:t>
      </w:r>
      <w:r w:rsidR="00D958BB">
        <w:rPr>
          <w:sz w:val="24"/>
          <w:szCs w:val="24"/>
        </w:rPr>
        <w:t>[T]</w:t>
      </w:r>
      <w:r>
        <w:rPr>
          <w:sz w:val="24"/>
          <w:szCs w:val="24"/>
        </w:rPr>
        <w:t>his institution and my work have both probably benefited from it.” (</w:t>
      </w:r>
      <w:r w:rsidR="00DC08F2">
        <w:rPr>
          <w:sz w:val="24"/>
          <w:szCs w:val="24"/>
        </w:rPr>
        <w:t>Basic/Applied s</w:t>
      </w:r>
      <w:r w:rsidR="009B49E3">
        <w:rPr>
          <w:sz w:val="24"/>
          <w:szCs w:val="24"/>
        </w:rPr>
        <w:t>cientist</w:t>
      </w:r>
      <w:r w:rsidR="00A277DF">
        <w:rPr>
          <w:sz w:val="24"/>
          <w:szCs w:val="24"/>
        </w:rPr>
        <w:t xml:space="preserve">, </w:t>
      </w:r>
      <w:r>
        <w:rPr>
          <w:sz w:val="24"/>
          <w:szCs w:val="24"/>
        </w:rPr>
        <w:t>‘less prestigious’ department).</w:t>
      </w:r>
    </w:p>
    <w:p w14:paraId="6ED634AA" w14:textId="27676F76" w:rsidR="002676F1" w:rsidRPr="00C46607" w:rsidRDefault="00C46607" w:rsidP="00F670FD">
      <w:pPr>
        <w:spacing w:after="120" w:line="240" w:lineRule="auto"/>
        <w:ind w:left="720"/>
        <w:rPr>
          <w:sz w:val="24"/>
          <w:szCs w:val="24"/>
        </w:rPr>
      </w:pPr>
      <w:r>
        <w:rPr>
          <w:sz w:val="24"/>
          <w:szCs w:val="24"/>
        </w:rPr>
        <w:t>“</w:t>
      </w:r>
      <w:r w:rsidR="002676F1" w:rsidRPr="00C46607">
        <w:rPr>
          <w:sz w:val="24"/>
          <w:szCs w:val="24"/>
        </w:rPr>
        <w:t xml:space="preserve">There are still some people who </w:t>
      </w:r>
      <w:r>
        <w:rPr>
          <w:sz w:val="24"/>
          <w:szCs w:val="24"/>
        </w:rPr>
        <w:t>...</w:t>
      </w:r>
      <w:r w:rsidR="002676F1" w:rsidRPr="00C46607">
        <w:rPr>
          <w:sz w:val="24"/>
          <w:szCs w:val="24"/>
        </w:rPr>
        <w:t xml:space="preserve"> are not interested in impact at all, but for us, that’s what we’ve always done, so for us it</w:t>
      </w:r>
      <w:r>
        <w:rPr>
          <w:sz w:val="24"/>
          <w:szCs w:val="24"/>
        </w:rPr>
        <w:t xml:space="preserve"> [the impact agenda]</w:t>
      </w:r>
      <w:r w:rsidR="002676F1" w:rsidRPr="00C46607">
        <w:rPr>
          <w:sz w:val="24"/>
          <w:szCs w:val="24"/>
        </w:rPr>
        <w:t xml:space="preserve"> fits very well. And it has actually made us much more recognised across the university, as this agenda has been increasing</w:t>
      </w:r>
      <w:r>
        <w:rPr>
          <w:sz w:val="24"/>
          <w:szCs w:val="24"/>
        </w:rPr>
        <w:t>... [The university]</w:t>
      </w:r>
      <w:r w:rsidR="002676F1" w:rsidRPr="00C46607">
        <w:rPr>
          <w:sz w:val="24"/>
          <w:szCs w:val="24"/>
        </w:rPr>
        <w:t xml:space="preserve"> are very well aware of the value of having us and our ability to feed into impact studies but also other public engagement, we quite often get media stories out there, all this helps, helps bring in good students and helps raise awareness</w:t>
      </w:r>
      <w:r w:rsidR="00DC08F2">
        <w:rPr>
          <w:sz w:val="24"/>
          <w:szCs w:val="24"/>
        </w:rPr>
        <w:t>.</w:t>
      </w:r>
      <w:r w:rsidR="0037534B">
        <w:rPr>
          <w:sz w:val="24"/>
          <w:szCs w:val="24"/>
        </w:rPr>
        <w:t>” (Basic scientist, ‘more prestigious’ department)</w:t>
      </w:r>
    </w:p>
    <w:p w14:paraId="427DA4AB" w14:textId="05237E0C" w:rsidR="006E476C" w:rsidRDefault="001762F3" w:rsidP="001762F3">
      <w:pPr>
        <w:spacing w:after="120" w:line="360" w:lineRule="auto"/>
        <w:rPr>
          <w:sz w:val="24"/>
          <w:szCs w:val="24"/>
        </w:rPr>
      </w:pPr>
      <w:r>
        <w:rPr>
          <w:sz w:val="24"/>
          <w:szCs w:val="24"/>
        </w:rPr>
        <w:t xml:space="preserve">But secondly, and somewhat paradoxically, academics in ‘non-elite’ departments, with their more co-produced research which involved input from various organisations and stakeholders, were in fact less certain in confidently asserting that their contribution </w:t>
      </w:r>
      <w:r>
        <w:rPr>
          <w:i/>
          <w:sz w:val="24"/>
          <w:szCs w:val="24"/>
        </w:rPr>
        <w:t xml:space="preserve">had </w:t>
      </w:r>
      <w:r>
        <w:rPr>
          <w:sz w:val="24"/>
          <w:szCs w:val="24"/>
        </w:rPr>
        <w:t>been responsible for the claimed impact</w:t>
      </w:r>
      <w:r w:rsidR="00AE672C">
        <w:rPr>
          <w:sz w:val="24"/>
          <w:szCs w:val="24"/>
        </w:rPr>
        <w:t>:</w:t>
      </w:r>
    </w:p>
    <w:p w14:paraId="5C85C88B" w14:textId="5A706464" w:rsidR="006E476C" w:rsidRDefault="006E476C" w:rsidP="00F670FD">
      <w:pPr>
        <w:spacing w:after="120" w:line="240" w:lineRule="auto"/>
        <w:ind w:left="720"/>
        <w:rPr>
          <w:sz w:val="24"/>
          <w:szCs w:val="24"/>
        </w:rPr>
      </w:pPr>
      <w:r>
        <w:rPr>
          <w:sz w:val="24"/>
          <w:szCs w:val="24"/>
        </w:rPr>
        <w:t>“</w:t>
      </w:r>
      <w:r w:rsidR="00AE672C">
        <w:rPr>
          <w:sz w:val="24"/>
          <w:szCs w:val="24"/>
        </w:rPr>
        <w:t>W</w:t>
      </w:r>
      <w:r>
        <w:rPr>
          <w:sz w:val="24"/>
          <w:szCs w:val="24"/>
        </w:rPr>
        <w:t xml:space="preserve">e were invited to a meeting [with a policy advisory body]. </w:t>
      </w:r>
      <w:r w:rsidR="00AE672C">
        <w:rPr>
          <w:sz w:val="24"/>
          <w:szCs w:val="24"/>
        </w:rPr>
        <w:t>...</w:t>
      </w:r>
      <w:r>
        <w:rPr>
          <w:sz w:val="24"/>
          <w:szCs w:val="24"/>
        </w:rPr>
        <w:t xml:space="preserve"> But although you give them the evidence, you don’t always know what they’ve really taken into account when they make their decisions, because there’s different influences, not just the</w:t>
      </w:r>
      <w:r w:rsidR="00DF5C9D">
        <w:rPr>
          <w:sz w:val="24"/>
          <w:szCs w:val="24"/>
        </w:rPr>
        <w:t xml:space="preserve"> ...</w:t>
      </w:r>
      <w:r>
        <w:rPr>
          <w:sz w:val="24"/>
          <w:szCs w:val="24"/>
        </w:rPr>
        <w:t xml:space="preserve"> research, but also political agendas.” (</w:t>
      </w:r>
      <w:r w:rsidR="004966CD">
        <w:rPr>
          <w:sz w:val="24"/>
          <w:szCs w:val="24"/>
        </w:rPr>
        <w:t>Basic/Applied s</w:t>
      </w:r>
      <w:r>
        <w:rPr>
          <w:sz w:val="24"/>
          <w:szCs w:val="24"/>
        </w:rPr>
        <w:t>cientist, ‘less prestigious’ department)</w:t>
      </w:r>
    </w:p>
    <w:p w14:paraId="136B5D02" w14:textId="112F3B9C" w:rsidR="006E476C" w:rsidRDefault="006E476C" w:rsidP="00F670FD">
      <w:pPr>
        <w:spacing w:after="120" w:line="240" w:lineRule="auto"/>
        <w:ind w:left="720"/>
        <w:rPr>
          <w:sz w:val="24"/>
          <w:szCs w:val="24"/>
        </w:rPr>
      </w:pPr>
      <w:r>
        <w:rPr>
          <w:sz w:val="24"/>
          <w:szCs w:val="24"/>
        </w:rPr>
        <w:t>“We were invited to a meeting of civil servants, some policy advisers, and all the stakeholders, and this time the minister was there. ...Anyway, with these Impact Case Studies, you have to try and demonstrate that you’ve actually changed something then you get a big tick ... but really I was quite the ‘token’</w:t>
      </w:r>
      <w:r w:rsidR="00926014">
        <w:rPr>
          <w:rStyle w:val="FootnoteReference"/>
          <w:sz w:val="24"/>
          <w:szCs w:val="24"/>
        </w:rPr>
        <w:footnoteReference w:id="24"/>
      </w:r>
      <w:r>
        <w:rPr>
          <w:sz w:val="24"/>
          <w:szCs w:val="24"/>
        </w:rPr>
        <w:t xml:space="preserve"> scientist.” </w:t>
      </w:r>
      <w:r w:rsidR="00926014">
        <w:rPr>
          <w:sz w:val="24"/>
          <w:szCs w:val="24"/>
        </w:rPr>
        <w:t>(</w:t>
      </w:r>
      <w:r w:rsidR="00F96C81">
        <w:rPr>
          <w:sz w:val="24"/>
          <w:szCs w:val="24"/>
        </w:rPr>
        <w:t>Basic s</w:t>
      </w:r>
      <w:r>
        <w:rPr>
          <w:sz w:val="24"/>
          <w:szCs w:val="24"/>
        </w:rPr>
        <w:t>cientist, ‘more prestigious’ department)</w:t>
      </w:r>
    </w:p>
    <w:p w14:paraId="49809BE5" w14:textId="63CB864A" w:rsidR="007458AC" w:rsidRDefault="007458AC" w:rsidP="007458AC">
      <w:pPr>
        <w:pStyle w:val="Heading4"/>
      </w:pPr>
      <w:r>
        <w:t>Summary</w:t>
      </w:r>
    </w:p>
    <w:p w14:paraId="53BB8410" w14:textId="14EC54DF" w:rsidR="00883841" w:rsidRPr="00AB3957" w:rsidRDefault="00F911AC" w:rsidP="001762F3">
      <w:pPr>
        <w:spacing w:after="120" w:line="360" w:lineRule="auto"/>
        <w:rPr>
          <w:sz w:val="24"/>
          <w:szCs w:val="24"/>
        </w:rPr>
      </w:pPr>
      <w:r>
        <w:rPr>
          <w:sz w:val="24"/>
          <w:szCs w:val="24"/>
        </w:rPr>
        <w:t xml:space="preserve">In sum, researchers in ‘elite’ departments appear to have a distinctive experience of crossing and confronting academic boundaries when compared to those from ‘non-elite’ departments. </w:t>
      </w:r>
      <w:r w:rsidR="00C31A50">
        <w:rPr>
          <w:sz w:val="24"/>
          <w:szCs w:val="24"/>
        </w:rPr>
        <w:t>‘Elite’ departments exhibit greater levels of ownership over their knowledge content</w:t>
      </w:r>
      <w:r w:rsidR="00215F1A">
        <w:rPr>
          <w:sz w:val="24"/>
          <w:szCs w:val="24"/>
        </w:rPr>
        <w:t xml:space="preserve"> and this manifests in the ways in which they ‘transact’ across boundaries, primarily taking the form of outputs aimed at specific non-academic users, rather than collaborating with users in the production of knowledge. The specific context of the UK ‘impact agenda’ as institutionalised in the REF </w:t>
      </w:r>
      <w:r w:rsidR="007E1040">
        <w:rPr>
          <w:sz w:val="24"/>
          <w:szCs w:val="24"/>
        </w:rPr>
        <w:t xml:space="preserve">therefore </w:t>
      </w:r>
      <w:r w:rsidR="00215F1A">
        <w:rPr>
          <w:sz w:val="24"/>
          <w:szCs w:val="24"/>
        </w:rPr>
        <w:t xml:space="preserve">draws out </w:t>
      </w:r>
      <w:r w:rsidR="00C473DB">
        <w:rPr>
          <w:sz w:val="24"/>
          <w:szCs w:val="24"/>
        </w:rPr>
        <w:t>the</w:t>
      </w:r>
      <w:r w:rsidR="00215F1A">
        <w:rPr>
          <w:sz w:val="24"/>
          <w:szCs w:val="24"/>
        </w:rPr>
        <w:t xml:space="preserve"> distinction between ‘elite’ and ‘non-elite’</w:t>
      </w:r>
      <w:r w:rsidR="00766C31">
        <w:rPr>
          <w:sz w:val="24"/>
          <w:szCs w:val="24"/>
        </w:rPr>
        <w:t xml:space="preserve"> departmental</w:t>
      </w:r>
      <w:r w:rsidR="00215F1A">
        <w:rPr>
          <w:sz w:val="24"/>
          <w:szCs w:val="24"/>
        </w:rPr>
        <w:t xml:space="preserve"> contexts</w:t>
      </w:r>
      <w:r w:rsidR="007E1040">
        <w:rPr>
          <w:sz w:val="24"/>
          <w:szCs w:val="24"/>
        </w:rPr>
        <w:t>.</w:t>
      </w:r>
    </w:p>
    <w:p w14:paraId="78FDBD0E" w14:textId="03296113" w:rsidR="00E57A3E" w:rsidRDefault="00E57A3E" w:rsidP="00E57A3E">
      <w:pPr>
        <w:pStyle w:val="Heading3"/>
      </w:pPr>
      <w:bookmarkStart w:id="204" w:name="_Toc31701987"/>
      <w:r>
        <w:t>Epistemic context</w:t>
      </w:r>
      <w:r w:rsidR="000C5702">
        <w:t xml:space="preserve"> (br</w:t>
      </w:r>
      <w:r>
        <w:t>anch of science</w:t>
      </w:r>
      <w:r w:rsidR="000C5702">
        <w:t>): variation by</w:t>
      </w:r>
      <w:r w:rsidR="00C90DAC">
        <w:t xml:space="preserve"> </w:t>
      </w:r>
      <w:r w:rsidR="00920C25">
        <w:t xml:space="preserve">expertise of external </w:t>
      </w:r>
      <w:r w:rsidR="008C4182">
        <w:t>collaborator</w:t>
      </w:r>
      <w:bookmarkEnd w:id="204"/>
    </w:p>
    <w:p w14:paraId="174B3AE7" w14:textId="6E17193D" w:rsidR="00146163" w:rsidRDefault="00FE1738" w:rsidP="002A1FE2">
      <w:pPr>
        <w:spacing w:before="120" w:after="120" w:line="360" w:lineRule="auto"/>
        <w:rPr>
          <w:sz w:val="24"/>
          <w:szCs w:val="24"/>
        </w:rPr>
      </w:pPr>
      <w:r>
        <w:rPr>
          <w:sz w:val="24"/>
          <w:szCs w:val="24"/>
        </w:rPr>
        <w:t xml:space="preserve">I </w:t>
      </w:r>
      <w:r w:rsidR="00B04E07">
        <w:rPr>
          <w:sz w:val="24"/>
          <w:szCs w:val="24"/>
        </w:rPr>
        <w:t xml:space="preserve">distinguish between </w:t>
      </w:r>
      <w:r w:rsidR="00316ADC">
        <w:rPr>
          <w:sz w:val="24"/>
          <w:szCs w:val="24"/>
        </w:rPr>
        <w:t xml:space="preserve">three branches of science </w:t>
      </w:r>
      <w:r w:rsidR="00B04E07">
        <w:rPr>
          <w:sz w:val="24"/>
          <w:szCs w:val="24"/>
        </w:rPr>
        <w:t>–</w:t>
      </w:r>
      <w:r w:rsidR="00316ADC">
        <w:rPr>
          <w:sz w:val="24"/>
          <w:szCs w:val="24"/>
        </w:rPr>
        <w:t xml:space="preserve"> the life sciences, the natural sciences and the formal sciences</w:t>
      </w:r>
      <w:r w:rsidR="00082FFF">
        <w:rPr>
          <w:sz w:val="24"/>
          <w:szCs w:val="24"/>
        </w:rPr>
        <w:t xml:space="preserve"> (how these were defined and who the sampled departments and BoRs were categorised by branch of science was discussed in the Methodology, Chapter </w:t>
      </w:r>
      <w:r w:rsidR="008A3015">
        <w:rPr>
          <w:sz w:val="24"/>
          <w:szCs w:val="24"/>
        </w:rPr>
        <w:t>3</w:t>
      </w:r>
      <w:r w:rsidR="00082FFF">
        <w:rPr>
          <w:sz w:val="24"/>
          <w:szCs w:val="24"/>
        </w:rPr>
        <w:t>)</w:t>
      </w:r>
      <w:r w:rsidR="00316ADC">
        <w:rPr>
          <w:sz w:val="24"/>
          <w:szCs w:val="24"/>
        </w:rPr>
        <w:t xml:space="preserve">. </w:t>
      </w:r>
      <w:r w:rsidR="004A0D2D">
        <w:rPr>
          <w:sz w:val="24"/>
          <w:szCs w:val="24"/>
        </w:rPr>
        <w:t>The data in</w:t>
      </w:r>
      <w:r w:rsidR="00BF24B6">
        <w:rPr>
          <w:sz w:val="24"/>
          <w:szCs w:val="24"/>
        </w:rPr>
        <w:t xml:space="preserve"> </w:t>
      </w:r>
      <w:r w:rsidR="007F5FE1" w:rsidRPr="007F5FE1">
        <w:rPr>
          <w:sz w:val="24"/>
          <w:szCs w:val="24"/>
        </w:rPr>
        <w:fldChar w:fldCharType="begin"/>
      </w:r>
      <w:r w:rsidR="007F5FE1" w:rsidRPr="007F5FE1">
        <w:rPr>
          <w:sz w:val="24"/>
          <w:szCs w:val="24"/>
        </w:rPr>
        <w:instrText xml:space="preserve"> REF _Ref8937176 \h </w:instrText>
      </w:r>
      <w:r w:rsidR="007F5FE1">
        <w:rPr>
          <w:sz w:val="24"/>
          <w:szCs w:val="24"/>
        </w:rPr>
        <w:instrText xml:space="preserve"> \* MERGEFORMAT </w:instrText>
      </w:r>
      <w:r w:rsidR="007F5FE1" w:rsidRPr="007F5FE1">
        <w:rPr>
          <w:sz w:val="24"/>
          <w:szCs w:val="24"/>
        </w:rPr>
      </w:r>
      <w:r w:rsidR="007F5FE1" w:rsidRPr="007F5FE1">
        <w:rPr>
          <w:sz w:val="24"/>
          <w:szCs w:val="24"/>
        </w:rPr>
        <w:fldChar w:fldCharType="separate"/>
      </w:r>
      <w:r w:rsidR="0011424E" w:rsidRPr="0011424E">
        <w:rPr>
          <w:sz w:val="24"/>
          <w:szCs w:val="24"/>
        </w:rPr>
        <w:t xml:space="preserve">Table </w:t>
      </w:r>
      <w:r w:rsidR="0011424E" w:rsidRPr="0011424E">
        <w:rPr>
          <w:noProof/>
          <w:sz w:val="24"/>
          <w:szCs w:val="24"/>
        </w:rPr>
        <w:t>37</w:t>
      </w:r>
      <w:r w:rsidR="007F5FE1" w:rsidRPr="007F5FE1">
        <w:rPr>
          <w:sz w:val="24"/>
          <w:szCs w:val="24"/>
        </w:rPr>
        <w:fldChar w:fldCharType="end"/>
      </w:r>
      <w:r w:rsidR="00A347F6">
        <w:rPr>
          <w:sz w:val="24"/>
          <w:szCs w:val="24"/>
        </w:rPr>
        <w:t xml:space="preserve"> (p. </w:t>
      </w:r>
      <w:r w:rsidR="00A347F6">
        <w:rPr>
          <w:sz w:val="24"/>
          <w:szCs w:val="24"/>
        </w:rPr>
        <w:fldChar w:fldCharType="begin"/>
      </w:r>
      <w:r w:rsidR="00A347F6">
        <w:rPr>
          <w:sz w:val="24"/>
          <w:szCs w:val="24"/>
        </w:rPr>
        <w:instrText xml:space="preserve"> PAGEREF _Ref9085135 \h </w:instrText>
      </w:r>
      <w:r w:rsidR="00A347F6">
        <w:rPr>
          <w:sz w:val="24"/>
          <w:szCs w:val="24"/>
        </w:rPr>
      </w:r>
      <w:r w:rsidR="00A347F6">
        <w:rPr>
          <w:sz w:val="24"/>
          <w:szCs w:val="24"/>
        </w:rPr>
        <w:fldChar w:fldCharType="separate"/>
      </w:r>
      <w:r w:rsidR="0011424E">
        <w:rPr>
          <w:noProof/>
          <w:sz w:val="24"/>
          <w:szCs w:val="24"/>
        </w:rPr>
        <w:t>136</w:t>
      </w:r>
      <w:r w:rsidR="00A347F6">
        <w:rPr>
          <w:sz w:val="24"/>
          <w:szCs w:val="24"/>
        </w:rPr>
        <w:fldChar w:fldCharType="end"/>
      </w:r>
      <w:r w:rsidR="00A347F6">
        <w:rPr>
          <w:sz w:val="24"/>
          <w:szCs w:val="24"/>
        </w:rPr>
        <w:t xml:space="preserve">) </w:t>
      </w:r>
      <w:r w:rsidR="00146163">
        <w:rPr>
          <w:sz w:val="24"/>
          <w:szCs w:val="24"/>
        </w:rPr>
        <w:t>suggests</w:t>
      </w:r>
      <w:r w:rsidR="00BF24B6">
        <w:rPr>
          <w:sz w:val="24"/>
          <w:szCs w:val="24"/>
        </w:rPr>
        <w:t xml:space="preserve"> broad variation in the ways in which </w:t>
      </w:r>
      <w:r w:rsidR="00146163">
        <w:rPr>
          <w:sz w:val="24"/>
          <w:szCs w:val="24"/>
        </w:rPr>
        <w:t>research in different branches of science</w:t>
      </w:r>
      <w:r w:rsidR="00BF24B6">
        <w:rPr>
          <w:sz w:val="24"/>
          <w:szCs w:val="24"/>
        </w:rPr>
        <w:t xml:space="preserve"> strike a balance between crossing and maintaining academic boundaries. </w:t>
      </w:r>
      <w:r w:rsidR="002203D6">
        <w:rPr>
          <w:sz w:val="24"/>
          <w:szCs w:val="24"/>
        </w:rPr>
        <w:t>I will explore these differences below</w:t>
      </w:r>
      <w:r w:rsidR="006E159F">
        <w:rPr>
          <w:sz w:val="24"/>
          <w:szCs w:val="24"/>
        </w:rPr>
        <w:t xml:space="preserve">. </w:t>
      </w:r>
    </w:p>
    <w:p w14:paraId="79FC3AF9" w14:textId="6917C73E" w:rsidR="00F31064" w:rsidRDefault="005136DE" w:rsidP="00731C5B">
      <w:pPr>
        <w:pStyle w:val="Heading4"/>
      </w:pPr>
      <w:r>
        <w:t>Variation</w:t>
      </w:r>
      <w:r w:rsidR="00434602">
        <w:t xml:space="preserve"> in the challenges faced</w:t>
      </w:r>
      <w:r w:rsidR="00F31064">
        <w:t xml:space="preserve"> </w:t>
      </w:r>
      <w:r>
        <w:t xml:space="preserve">(particularly </w:t>
      </w:r>
      <w:r w:rsidR="00F31064">
        <w:t>between Formal and Life sciences</w:t>
      </w:r>
      <w:r>
        <w:t>)</w:t>
      </w:r>
    </w:p>
    <w:p w14:paraId="1E8A0A22" w14:textId="09CDD5ED" w:rsidR="00F54E5F" w:rsidRDefault="006E159F" w:rsidP="00731C5B">
      <w:pPr>
        <w:spacing w:after="120" w:line="360" w:lineRule="auto"/>
        <w:rPr>
          <w:sz w:val="24"/>
          <w:szCs w:val="24"/>
        </w:rPr>
      </w:pPr>
      <w:r>
        <w:rPr>
          <w:sz w:val="24"/>
          <w:szCs w:val="24"/>
        </w:rPr>
        <w:t xml:space="preserve">Research in the Formal sciences </w:t>
      </w:r>
      <w:r w:rsidR="00C52A36">
        <w:rPr>
          <w:sz w:val="24"/>
          <w:szCs w:val="24"/>
        </w:rPr>
        <w:t>was found to exhibit</w:t>
      </w:r>
      <w:r w:rsidR="008B018B">
        <w:rPr>
          <w:sz w:val="24"/>
          <w:szCs w:val="24"/>
        </w:rPr>
        <w:t xml:space="preserve"> the </w:t>
      </w:r>
      <w:r w:rsidR="006C4FD3">
        <w:rPr>
          <w:sz w:val="24"/>
          <w:szCs w:val="24"/>
        </w:rPr>
        <w:t>interesting</w:t>
      </w:r>
      <w:r w:rsidR="008B018B">
        <w:rPr>
          <w:sz w:val="24"/>
          <w:szCs w:val="24"/>
        </w:rPr>
        <w:t xml:space="preserve"> combination of very high ‘social context’ values and very low ‘knowledge content’ values</w:t>
      </w:r>
      <w:r w:rsidR="006C4FD3">
        <w:rPr>
          <w:sz w:val="24"/>
          <w:szCs w:val="24"/>
        </w:rPr>
        <w:t xml:space="preserve">, whereas research based in the Life sciences exhibited the opposite </w:t>
      </w:r>
      <w:r w:rsidR="006D4D9A">
        <w:rPr>
          <w:sz w:val="24"/>
          <w:szCs w:val="24"/>
        </w:rPr>
        <w:t>features</w:t>
      </w:r>
      <w:r w:rsidR="008B018B">
        <w:rPr>
          <w:sz w:val="24"/>
          <w:szCs w:val="24"/>
        </w:rPr>
        <w:t xml:space="preserve">. </w:t>
      </w:r>
      <w:r w:rsidR="008D18BD">
        <w:rPr>
          <w:sz w:val="24"/>
          <w:szCs w:val="24"/>
        </w:rPr>
        <w:t>The way that interview participants spoke about their research</w:t>
      </w:r>
      <w:r w:rsidR="00092649">
        <w:rPr>
          <w:sz w:val="24"/>
          <w:szCs w:val="24"/>
        </w:rPr>
        <w:t xml:space="preserve"> and</w:t>
      </w:r>
      <w:r w:rsidR="008D18BD">
        <w:rPr>
          <w:sz w:val="24"/>
          <w:szCs w:val="24"/>
        </w:rPr>
        <w:t xml:space="preserve"> the ‘boundary transactions’ which brought them into contact with significant non-academic actors, helps shed light on th</w:t>
      </w:r>
      <w:r w:rsidR="00092649">
        <w:rPr>
          <w:sz w:val="24"/>
          <w:szCs w:val="24"/>
        </w:rPr>
        <w:t xml:space="preserve">ese </w:t>
      </w:r>
      <w:r w:rsidR="008D18BD">
        <w:rPr>
          <w:sz w:val="24"/>
          <w:szCs w:val="24"/>
        </w:rPr>
        <w:t>result</w:t>
      </w:r>
      <w:r w:rsidR="00092649">
        <w:rPr>
          <w:sz w:val="24"/>
          <w:szCs w:val="24"/>
        </w:rPr>
        <w:t>s</w:t>
      </w:r>
      <w:r w:rsidR="008D18BD">
        <w:rPr>
          <w:sz w:val="24"/>
          <w:szCs w:val="24"/>
        </w:rPr>
        <w:t xml:space="preserve">. </w:t>
      </w:r>
    </w:p>
    <w:p w14:paraId="5D9EB44C" w14:textId="5C27D561" w:rsidR="00591955" w:rsidRDefault="00092649" w:rsidP="00464B0D">
      <w:pPr>
        <w:spacing w:before="120" w:after="120" w:line="360" w:lineRule="auto"/>
        <w:rPr>
          <w:sz w:val="24"/>
          <w:szCs w:val="24"/>
        </w:rPr>
      </w:pPr>
      <w:r>
        <w:rPr>
          <w:sz w:val="24"/>
          <w:szCs w:val="24"/>
        </w:rPr>
        <w:t>I</w:t>
      </w:r>
      <w:r w:rsidR="00F54E5F">
        <w:rPr>
          <w:sz w:val="24"/>
          <w:szCs w:val="24"/>
        </w:rPr>
        <w:t>n</w:t>
      </w:r>
      <w:r w:rsidR="008D18BD">
        <w:rPr>
          <w:sz w:val="24"/>
          <w:szCs w:val="24"/>
        </w:rPr>
        <w:t>terviewees from</w:t>
      </w:r>
      <w:r w:rsidR="009156CC">
        <w:rPr>
          <w:sz w:val="24"/>
          <w:szCs w:val="24"/>
        </w:rPr>
        <w:t xml:space="preserve"> the Life sciences</w:t>
      </w:r>
      <w:r w:rsidR="008F30B1">
        <w:rPr>
          <w:sz w:val="24"/>
          <w:szCs w:val="24"/>
        </w:rPr>
        <w:t xml:space="preserve"> (including where the discipline was interdisciplinary in nature, classified as Life/Natural) </w:t>
      </w:r>
      <w:r w:rsidR="00464B0D">
        <w:rPr>
          <w:sz w:val="24"/>
          <w:szCs w:val="24"/>
        </w:rPr>
        <w:t>talked about the significant</w:t>
      </w:r>
      <w:r w:rsidR="00591955">
        <w:rPr>
          <w:sz w:val="24"/>
          <w:szCs w:val="24"/>
        </w:rPr>
        <w:t xml:space="preserve"> effort and </w:t>
      </w:r>
      <w:r w:rsidR="00464B0D">
        <w:rPr>
          <w:sz w:val="24"/>
          <w:szCs w:val="24"/>
        </w:rPr>
        <w:t>sometimes difficult</w:t>
      </w:r>
      <w:r w:rsidR="00591955">
        <w:rPr>
          <w:sz w:val="24"/>
          <w:szCs w:val="24"/>
        </w:rPr>
        <w:t xml:space="preserve"> challenges associated with</w:t>
      </w:r>
      <w:r w:rsidR="00464B0D">
        <w:rPr>
          <w:sz w:val="24"/>
          <w:szCs w:val="24"/>
        </w:rPr>
        <w:t xml:space="preserve"> interacting with non-academic actors. In particular,</w:t>
      </w:r>
      <w:r w:rsidR="00591955">
        <w:rPr>
          <w:sz w:val="24"/>
          <w:szCs w:val="24"/>
        </w:rPr>
        <w:t xml:space="preserve"> achieving shared understanding and trust</w:t>
      </w:r>
      <w:r w:rsidR="00464B0D">
        <w:rPr>
          <w:sz w:val="24"/>
          <w:szCs w:val="24"/>
        </w:rPr>
        <w:t xml:space="preserve"> was considered to be</w:t>
      </w:r>
      <w:r w:rsidR="00021998">
        <w:rPr>
          <w:sz w:val="24"/>
          <w:szCs w:val="24"/>
        </w:rPr>
        <w:t xml:space="preserve"> a</w:t>
      </w:r>
      <w:r w:rsidR="00591955">
        <w:rPr>
          <w:sz w:val="24"/>
          <w:szCs w:val="24"/>
        </w:rPr>
        <w:t xml:space="preserve"> necessary but </w:t>
      </w:r>
      <w:r w:rsidR="00021998">
        <w:rPr>
          <w:sz w:val="24"/>
          <w:szCs w:val="24"/>
        </w:rPr>
        <w:t xml:space="preserve">very </w:t>
      </w:r>
      <w:r w:rsidR="00591955">
        <w:rPr>
          <w:sz w:val="24"/>
          <w:szCs w:val="24"/>
        </w:rPr>
        <w:t xml:space="preserve">complex process </w:t>
      </w:r>
      <w:r w:rsidR="00816F2F">
        <w:rPr>
          <w:sz w:val="24"/>
          <w:szCs w:val="24"/>
        </w:rPr>
        <w:t xml:space="preserve">which </w:t>
      </w:r>
      <w:r w:rsidR="00591955">
        <w:rPr>
          <w:sz w:val="24"/>
          <w:szCs w:val="24"/>
        </w:rPr>
        <w:t>needed to be constantly worked o</w:t>
      </w:r>
      <w:r w:rsidR="00464B0D">
        <w:rPr>
          <w:sz w:val="24"/>
          <w:szCs w:val="24"/>
        </w:rPr>
        <w:t>n, particularly since Life science research typically touches upon issues of significant human relevance</w:t>
      </w:r>
      <w:r w:rsidR="002D3247">
        <w:rPr>
          <w:sz w:val="24"/>
          <w:szCs w:val="24"/>
        </w:rPr>
        <w:t>,</w:t>
      </w:r>
      <w:r w:rsidR="00464B0D">
        <w:rPr>
          <w:sz w:val="24"/>
          <w:szCs w:val="24"/>
        </w:rPr>
        <w:t xml:space="preserve"> such as </w:t>
      </w:r>
      <w:r w:rsidR="002D3247">
        <w:rPr>
          <w:sz w:val="24"/>
          <w:szCs w:val="24"/>
        </w:rPr>
        <w:t xml:space="preserve">health and the environment. </w:t>
      </w:r>
      <w:r w:rsidR="00DF49CC">
        <w:rPr>
          <w:sz w:val="24"/>
          <w:szCs w:val="24"/>
        </w:rPr>
        <w:t>For example:</w:t>
      </w:r>
    </w:p>
    <w:p w14:paraId="621BB769" w14:textId="41F83236" w:rsidR="00687954" w:rsidRDefault="00687954" w:rsidP="00EB0A14">
      <w:pPr>
        <w:spacing w:after="120" w:line="240" w:lineRule="auto"/>
        <w:ind w:left="720"/>
        <w:rPr>
          <w:sz w:val="24"/>
          <w:szCs w:val="24"/>
        </w:rPr>
      </w:pPr>
      <w:r>
        <w:rPr>
          <w:sz w:val="24"/>
          <w:szCs w:val="24"/>
        </w:rPr>
        <w:t>“You need to gain trust of everyone you work with and accept that you have to do something for them, that clearly benefits them, even though sometimes they’re not ready or willing to see that.” (Life scientist)</w:t>
      </w:r>
    </w:p>
    <w:p w14:paraId="23ED13D3" w14:textId="6BF61EED" w:rsidR="00F54E5F" w:rsidRDefault="00F54E5F" w:rsidP="00EB0A14">
      <w:pPr>
        <w:spacing w:after="120" w:line="240" w:lineRule="auto"/>
        <w:ind w:left="720"/>
        <w:rPr>
          <w:sz w:val="24"/>
          <w:szCs w:val="24"/>
        </w:rPr>
      </w:pPr>
      <w:r>
        <w:rPr>
          <w:sz w:val="24"/>
          <w:szCs w:val="24"/>
        </w:rPr>
        <w:t>“The ‘realpolitik’ of this gets very messy ... And with such a political climate, trust is essential to our work, and that only comes through long-term commitment.” (</w:t>
      </w:r>
      <w:r w:rsidR="001D30FB">
        <w:rPr>
          <w:sz w:val="24"/>
          <w:szCs w:val="24"/>
        </w:rPr>
        <w:t>Life/Natu</w:t>
      </w:r>
      <w:r w:rsidR="005927B5">
        <w:rPr>
          <w:sz w:val="24"/>
          <w:szCs w:val="24"/>
        </w:rPr>
        <w:t>ral</w:t>
      </w:r>
      <w:r>
        <w:rPr>
          <w:sz w:val="24"/>
          <w:szCs w:val="24"/>
        </w:rPr>
        <w:t xml:space="preserve"> scientist)</w:t>
      </w:r>
    </w:p>
    <w:p w14:paraId="6946F46C" w14:textId="77BFED07" w:rsidR="00687954" w:rsidRDefault="0095396D" w:rsidP="00464B0D">
      <w:pPr>
        <w:spacing w:before="120" w:after="120" w:line="360" w:lineRule="auto"/>
        <w:rPr>
          <w:sz w:val="24"/>
          <w:szCs w:val="24"/>
        </w:rPr>
      </w:pPr>
      <w:r>
        <w:rPr>
          <w:sz w:val="24"/>
          <w:szCs w:val="24"/>
        </w:rPr>
        <w:t>What makes this so challenging and, from the boundary transaction perspective, so ‘costly’, is that the social, political and scientific issues all combine to create very complex situations in which various actors with different interests and sometimes little or no scientific background all have a legitimate stake</w:t>
      </w:r>
      <w:r w:rsidR="00F21196">
        <w:rPr>
          <w:sz w:val="24"/>
          <w:szCs w:val="24"/>
        </w:rPr>
        <w:t xml:space="preserve"> in the research, its interpretation and its implications</w:t>
      </w:r>
      <w:r>
        <w:rPr>
          <w:sz w:val="24"/>
          <w:szCs w:val="24"/>
        </w:rPr>
        <w:t>. Many life scientists discussed issues with communicating to broad audiences:</w:t>
      </w:r>
    </w:p>
    <w:p w14:paraId="3367AEF9" w14:textId="21279C90" w:rsidR="00FB4DA9" w:rsidRDefault="00FB4DA9" w:rsidP="00CE5CDB">
      <w:pPr>
        <w:spacing w:after="120" w:line="240" w:lineRule="auto"/>
        <w:ind w:left="720"/>
        <w:rPr>
          <w:sz w:val="24"/>
          <w:szCs w:val="24"/>
        </w:rPr>
      </w:pPr>
      <w:r>
        <w:rPr>
          <w:sz w:val="24"/>
          <w:szCs w:val="24"/>
        </w:rPr>
        <w:t>“I have to work with a lot of policy people, government employees, NGOs [non-governmental organisations], and some of these people are very naïve when it comes to the implications of these scientific issues</w:t>
      </w:r>
      <w:r w:rsidR="0095396D">
        <w:rPr>
          <w:sz w:val="24"/>
          <w:szCs w:val="24"/>
        </w:rPr>
        <w:t>. B</w:t>
      </w:r>
      <w:r>
        <w:rPr>
          <w:sz w:val="24"/>
          <w:szCs w:val="24"/>
        </w:rPr>
        <w:t>ut I have to find a language which reduces some of this complexity and package it for them logically so that they can learn. ... But it’s no surprise they find it difficult because it quickly gets quite technical. And we bring together different disciplines here ... so even some of us are a bit hazy on some of it sometimes.” (Life scientist)</w:t>
      </w:r>
    </w:p>
    <w:p w14:paraId="6B19827C" w14:textId="0F8C0277" w:rsidR="008A02C1" w:rsidRDefault="008A02C1" w:rsidP="00CE5CDB">
      <w:pPr>
        <w:spacing w:after="120" w:line="240" w:lineRule="auto"/>
        <w:ind w:left="720"/>
        <w:rPr>
          <w:sz w:val="24"/>
          <w:szCs w:val="24"/>
        </w:rPr>
      </w:pPr>
      <w:r>
        <w:rPr>
          <w:sz w:val="24"/>
          <w:szCs w:val="24"/>
        </w:rPr>
        <w:t>“It’s really hard to explain this stuff, most people just don’t understand it. I’m not even sure I do fully. So that’s a challenge. I wouldn’t say we’ve overcome it but that’s why we’ve got to keep communicating as well as we can all the time.” (Life</w:t>
      </w:r>
      <w:r w:rsidR="001019D0">
        <w:rPr>
          <w:sz w:val="24"/>
          <w:szCs w:val="24"/>
        </w:rPr>
        <w:t>/Natural</w:t>
      </w:r>
      <w:r>
        <w:rPr>
          <w:sz w:val="24"/>
          <w:szCs w:val="24"/>
        </w:rPr>
        <w:t xml:space="preserve"> scientist)</w:t>
      </w:r>
    </w:p>
    <w:p w14:paraId="64F75012" w14:textId="5271E3EC" w:rsidR="00CB3DB9" w:rsidRDefault="00731C5B" w:rsidP="00731C5B">
      <w:pPr>
        <w:pStyle w:val="Heading4"/>
      </w:pPr>
      <w:r>
        <w:t>Life scientists in contested spaces</w:t>
      </w:r>
    </w:p>
    <w:p w14:paraId="5E9FCA77" w14:textId="5C56DD30" w:rsidR="009074AC" w:rsidRDefault="009074AC" w:rsidP="009074AC">
      <w:pPr>
        <w:spacing w:after="120" w:line="360" w:lineRule="auto"/>
        <w:rPr>
          <w:sz w:val="24"/>
          <w:szCs w:val="24"/>
        </w:rPr>
      </w:pPr>
      <w:r>
        <w:rPr>
          <w:sz w:val="24"/>
          <w:szCs w:val="24"/>
        </w:rPr>
        <w:t>Academics</w:t>
      </w:r>
      <w:r w:rsidR="00CB3DB9">
        <w:rPr>
          <w:sz w:val="24"/>
          <w:szCs w:val="24"/>
        </w:rPr>
        <w:t>, particularly Life scientists (according to my interviews)</w:t>
      </w:r>
      <w:r>
        <w:rPr>
          <w:sz w:val="24"/>
          <w:szCs w:val="24"/>
        </w:rPr>
        <w:t xml:space="preserve"> were often face</w:t>
      </w:r>
      <w:r w:rsidR="00583B6A">
        <w:rPr>
          <w:sz w:val="24"/>
          <w:szCs w:val="24"/>
        </w:rPr>
        <w:t>d</w:t>
      </w:r>
      <w:r>
        <w:rPr>
          <w:sz w:val="24"/>
          <w:szCs w:val="24"/>
        </w:rPr>
        <w:t xml:space="preserve"> with a difficult balancing act between maintaining an objective and neutral stance and being more proactive in terms of arguing that the science suggests a given policy. </w:t>
      </w:r>
      <w:r w:rsidR="00CB3DB9">
        <w:rPr>
          <w:sz w:val="24"/>
          <w:szCs w:val="24"/>
        </w:rPr>
        <w:t>Different Life scientists reported</w:t>
      </w:r>
      <w:r>
        <w:rPr>
          <w:sz w:val="24"/>
          <w:szCs w:val="24"/>
        </w:rPr>
        <w:t xml:space="preserve"> very different approaches to this dilemma</w:t>
      </w:r>
      <w:r w:rsidR="00DA6509">
        <w:rPr>
          <w:sz w:val="24"/>
          <w:szCs w:val="24"/>
        </w:rPr>
        <w:t>: some adopted a strict</w:t>
      </w:r>
      <w:r>
        <w:rPr>
          <w:sz w:val="24"/>
          <w:szCs w:val="24"/>
        </w:rPr>
        <w:t xml:space="preserve"> scientific standpoint </w:t>
      </w:r>
      <w:r w:rsidR="00D40AA9">
        <w:rPr>
          <w:sz w:val="24"/>
          <w:szCs w:val="24"/>
        </w:rPr>
        <w:t>whereby the academic would make a point of not advising on policy but only on policy implications</w:t>
      </w:r>
      <w:r w:rsidR="00DA6509">
        <w:rPr>
          <w:sz w:val="24"/>
          <w:szCs w:val="24"/>
        </w:rPr>
        <w:t xml:space="preserve">; others considered themselves activists or </w:t>
      </w:r>
      <w:r w:rsidR="00D40AA9">
        <w:rPr>
          <w:sz w:val="24"/>
          <w:szCs w:val="24"/>
        </w:rPr>
        <w:t>lobbyi</w:t>
      </w:r>
      <w:r w:rsidR="00DA6509">
        <w:rPr>
          <w:sz w:val="24"/>
          <w:szCs w:val="24"/>
        </w:rPr>
        <w:t>sts</w:t>
      </w:r>
      <w:r w:rsidR="00D40AA9">
        <w:rPr>
          <w:sz w:val="24"/>
          <w:szCs w:val="24"/>
        </w:rPr>
        <w:t>. The following two quotes exhibit both perspectives:</w:t>
      </w:r>
    </w:p>
    <w:p w14:paraId="2FD56ED7" w14:textId="651BB1D9" w:rsidR="001505FF" w:rsidRDefault="001505FF" w:rsidP="00CE5CDB">
      <w:pPr>
        <w:spacing w:after="120" w:line="240" w:lineRule="auto"/>
        <w:ind w:left="720"/>
        <w:rPr>
          <w:sz w:val="24"/>
          <w:szCs w:val="24"/>
        </w:rPr>
      </w:pPr>
      <w:r>
        <w:rPr>
          <w:sz w:val="24"/>
          <w:szCs w:val="24"/>
        </w:rPr>
        <w:t xml:space="preserve">“You find yourself in the middle of very enthusiastic political debate, with vehement beliefs on one side and the other. And then there’s people like me who try to put that to one side when doing the science. So you’re under fire from both sides. ...You’re ploughing the middle way through the interest groups which are quite polarized. </w:t>
      </w:r>
      <w:r w:rsidR="00E30076">
        <w:rPr>
          <w:sz w:val="24"/>
          <w:szCs w:val="24"/>
        </w:rPr>
        <w:t>…</w:t>
      </w:r>
      <w:r>
        <w:rPr>
          <w:sz w:val="24"/>
          <w:szCs w:val="24"/>
        </w:rPr>
        <w:t xml:space="preserve"> And we provide the information. And not everyone agrees with this, but for me I’m absolutely clear that we provide the science, we don’t advise on policy.” (Life scientist)</w:t>
      </w:r>
    </w:p>
    <w:p w14:paraId="3579A959" w14:textId="3FC3C752" w:rsidR="008A1311" w:rsidRDefault="006C3EE0" w:rsidP="00CE5CDB">
      <w:pPr>
        <w:spacing w:after="120" w:line="240" w:lineRule="auto"/>
        <w:ind w:left="720"/>
        <w:rPr>
          <w:sz w:val="24"/>
          <w:szCs w:val="24"/>
        </w:rPr>
      </w:pPr>
      <w:r>
        <w:rPr>
          <w:sz w:val="24"/>
          <w:szCs w:val="24"/>
        </w:rPr>
        <w:t>“I am speaking effectively as an ‘activist’ rather than a ‘scientist’. And I think that’s a blurred distinction for a lot of us. ... The reason I do it [aim to achieve impact through research] is not because of an academic identity, and in some ways the academic identity gets in the way, but it’s more as an ... activist.</w:t>
      </w:r>
      <w:r w:rsidR="000B6A7D">
        <w:rPr>
          <w:sz w:val="24"/>
          <w:szCs w:val="24"/>
        </w:rPr>
        <w:t xml:space="preserve"> ... You have to suggest action which means you step across that line between disinterested science and advocacy.</w:t>
      </w:r>
      <w:r w:rsidR="00E30076">
        <w:rPr>
          <w:sz w:val="24"/>
          <w:szCs w:val="24"/>
        </w:rPr>
        <w:t xml:space="preserve">” </w:t>
      </w:r>
      <w:r w:rsidR="000B6A7D">
        <w:rPr>
          <w:sz w:val="24"/>
          <w:szCs w:val="24"/>
        </w:rPr>
        <w:t xml:space="preserve">(Life scientist) </w:t>
      </w:r>
    </w:p>
    <w:p w14:paraId="5DABEE6A" w14:textId="4A8A60A9" w:rsidR="001505FF" w:rsidRDefault="00477E1B" w:rsidP="001505FF">
      <w:pPr>
        <w:spacing w:after="120" w:line="360" w:lineRule="auto"/>
        <w:rPr>
          <w:sz w:val="24"/>
          <w:szCs w:val="24"/>
        </w:rPr>
      </w:pPr>
      <w:r>
        <w:rPr>
          <w:sz w:val="24"/>
          <w:szCs w:val="24"/>
        </w:rPr>
        <w:t>The broad public interest of s</w:t>
      </w:r>
      <w:r w:rsidR="00061460">
        <w:rPr>
          <w:sz w:val="24"/>
          <w:szCs w:val="24"/>
        </w:rPr>
        <w:t>ome of the topics that Life scientists in my research focused on</w:t>
      </w:r>
      <w:r>
        <w:rPr>
          <w:sz w:val="24"/>
          <w:szCs w:val="24"/>
        </w:rPr>
        <w:t xml:space="preserve"> can be evidenced by the</w:t>
      </w:r>
      <w:r w:rsidR="00061460">
        <w:rPr>
          <w:sz w:val="24"/>
          <w:szCs w:val="24"/>
        </w:rPr>
        <w:t xml:space="preserve"> attention of mainstream media. A few of my respondents discuss</w:t>
      </w:r>
      <w:r w:rsidR="00980511">
        <w:rPr>
          <w:sz w:val="24"/>
          <w:szCs w:val="24"/>
        </w:rPr>
        <w:t>ed</w:t>
      </w:r>
      <w:r w:rsidR="00061460">
        <w:rPr>
          <w:sz w:val="24"/>
          <w:szCs w:val="24"/>
        </w:rPr>
        <w:t xml:space="preserve"> the challenges t</w:t>
      </w:r>
      <w:r w:rsidR="00005DA8">
        <w:rPr>
          <w:sz w:val="24"/>
          <w:szCs w:val="24"/>
        </w:rPr>
        <w:t xml:space="preserve">hat media attention and media communication </w:t>
      </w:r>
      <w:r w:rsidR="00061460">
        <w:rPr>
          <w:sz w:val="24"/>
          <w:szCs w:val="24"/>
        </w:rPr>
        <w:t>could bring</w:t>
      </w:r>
      <w:r w:rsidR="00B2076C">
        <w:rPr>
          <w:sz w:val="24"/>
          <w:szCs w:val="24"/>
        </w:rPr>
        <w:t>. For example, it was considered very difficult to ensure academic research is accurately and objectively portrayed by the media:</w:t>
      </w:r>
    </w:p>
    <w:p w14:paraId="01D6DF8C" w14:textId="79532C8B" w:rsidR="00B2076C" w:rsidRDefault="00B2076C" w:rsidP="00CE5CDB">
      <w:pPr>
        <w:spacing w:after="120" w:line="240" w:lineRule="auto"/>
        <w:ind w:left="720"/>
        <w:rPr>
          <w:sz w:val="24"/>
          <w:szCs w:val="24"/>
        </w:rPr>
      </w:pPr>
      <w:r>
        <w:rPr>
          <w:sz w:val="24"/>
          <w:szCs w:val="24"/>
        </w:rPr>
        <w:t>“T</w:t>
      </w:r>
      <w:r w:rsidRPr="00DD0466">
        <w:rPr>
          <w:sz w:val="24"/>
          <w:szCs w:val="24"/>
        </w:rPr>
        <w:t>he way the media want you to give a message is very black and white</w:t>
      </w:r>
      <w:r>
        <w:rPr>
          <w:sz w:val="24"/>
          <w:szCs w:val="24"/>
        </w:rPr>
        <w:t>, b</w:t>
      </w:r>
      <w:r w:rsidRPr="00DD0466">
        <w:rPr>
          <w:sz w:val="24"/>
          <w:szCs w:val="24"/>
        </w:rPr>
        <w:t>ut in science it’s never black and white.</w:t>
      </w:r>
      <w:r>
        <w:rPr>
          <w:sz w:val="24"/>
          <w:szCs w:val="24"/>
        </w:rPr>
        <w:t xml:space="preserve"> ...T</w:t>
      </w:r>
      <w:r w:rsidRPr="00DD0466">
        <w:rPr>
          <w:sz w:val="24"/>
          <w:szCs w:val="24"/>
        </w:rPr>
        <w:t>hey want to know</w:t>
      </w:r>
      <w:r w:rsidR="00CE0EDB">
        <w:rPr>
          <w:sz w:val="24"/>
          <w:szCs w:val="24"/>
        </w:rPr>
        <w:t xml:space="preserve"> – </w:t>
      </w:r>
      <w:r w:rsidR="00CE0EDB" w:rsidRPr="00CE0EDB">
        <w:rPr>
          <w:i/>
          <w:sz w:val="24"/>
          <w:szCs w:val="24"/>
        </w:rPr>
        <w:t>‘I</w:t>
      </w:r>
      <w:r w:rsidRPr="00CE0EDB">
        <w:rPr>
          <w:i/>
          <w:sz w:val="24"/>
          <w:szCs w:val="24"/>
        </w:rPr>
        <w:t>s it dangerous or not? Is it worse or better…?</w:t>
      </w:r>
      <w:r w:rsidR="00CE0EDB" w:rsidRPr="00CE0EDB">
        <w:rPr>
          <w:i/>
          <w:sz w:val="24"/>
          <w:szCs w:val="24"/>
        </w:rPr>
        <w:t>’</w:t>
      </w:r>
      <w:r w:rsidR="00CE0EDB">
        <w:rPr>
          <w:sz w:val="24"/>
          <w:szCs w:val="24"/>
        </w:rPr>
        <w:t xml:space="preserve"> But “w</w:t>
      </w:r>
      <w:r w:rsidRPr="00DD0466">
        <w:rPr>
          <w:sz w:val="24"/>
          <w:szCs w:val="24"/>
        </w:rPr>
        <w:t>orse</w:t>
      </w:r>
      <w:r w:rsidR="00CE0EDB">
        <w:rPr>
          <w:sz w:val="24"/>
          <w:szCs w:val="24"/>
        </w:rPr>
        <w:t>”</w:t>
      </w:r>
      <w:r w:rsidRPr="00DD0466">
        <w:rPr>
          <w:sz w:val="24"/>
          <w:szCs w:val="24"/>
        </w:rPr>
        <w:t xml:space="preserve"> in terms of what?</w:t>
      </w:r>
      <w:r>
        <w:rPr>
          <w:sz w:val="24"/>
          <w:szCs w:val="24"/>
        </w:rPr>
        <w:t xml:space="preserve"> </w:t>
      </w:r>
      <w:r w:rsidRPr="00DD0466">
        <w:rPr>
          <w:sz w:val="24"/>
          <w:szCs w:val="24"/>
        </w:rPr>
        <w:t xml:space="preserve">... As a scientist it is difficult to give a message that is accurate because the media </w:t>
      </w:r>
      <w:r>
        <w:rPr>
          <w:sz w:val="24"/>
          <w:szCs w:val="24"/>
        </w:rPr>
        <w:t xml:space="preserve">just </w:t>
      </w:r>
      <w:r w:rsidRPr="00DD0466">
        <w:rPr>
          <w:sz w:val="24"/>
          <w:szCs w:val="24"/>
        </w:rPr>
        <w:t xml:space="preserve">wants </w:t>
      </w:r>
      <w:r>
        <w:rPr>
          <w:sz w:val="24"/>
          <w:szCs w:val="24"/>
        </w:rPr>
        <w:t>to turn it into</w:t>
      </w:r>
      <w:r w:rsidRPr="00DD0466">
        <w:rPr>
          <w:sz w:val="24"/>
          <w:szCs w:val="24"/>
        </w:rPr>
        <w:t xml:space="preserve"> headlines.</w:t>
      </w:r>
      <w:r>
        <w:rPr>
          <w:sz w:val="24"/>
          <w:szCs w:val="24"/>
        </w:rPr>
        <w:t>” (Life scientist)</w:t>
      </w:r>
    </w:p>
    <w:p w14:paraId="7B374363" w14:textId="77777777" w:rsidR="00CB52EB" w:rsidRDefault="00CB52EB" w:rsidP="00CE5CDB">
      <w:pPr>
        <w:spacing w:after="120" w:line="240" w:lineRule="auto"/>
        <w:ind w:left="720"/>
        <w:rPr>
          <w:sz w:val="24"/>
          <w:szCs w:val="24"/>
        </w:rPr>
      </w:pPr>
      <w:r>
        <w:rPr>
          <w:sz w:val="24"/>
          <w:szCs w:val="24"/>
        </w:rPr>
        <w:t>“The</w:t>
      </w:r>
      <w:r w:rsidRPr="00307FCD">
        <w:rPr>
          <w:sz w:val="24"/>
          <w:szCs w:val="24"/>
        </w:rPr>
        <w:t xml:space="preserve"> media are always happy to run with anything</w:t>
      </w:r>
      <w:r>
        <w:rPr>
          <w:sz w:val="24"/>
          <w:szCs w:val="24"/>
        </w:rPr>
        <w:t xml:space="preserve"> on these kinds of topics</w:t>
      </w:r>
      <w:r w:rsidRPr="00307FCD">
        <w:rPr>
          <w:sz w:val="24"/>
          <w:szCs w:val="24"/>
        </w:rPr>
        <w:t xml:space="preserve">, </w:t>
      </w:r>
      <w:r>
        <w:rPr>
          <w:sz w:val="24"/>
          <w:szCs w:val="24"/>
        </w:rPr>
        <w:t xml:space="preserve">... </w:t>
      </w:r>
      <w:r w:rsidRPr="00307FCD">
        <w:rPr>
          <w:sz w:val="24"/>
          <w:szCs w:val="24"/>
        </w:rPr>
        <w:t>the good news and the bad news. One of our papers</w:t>
      </w:r>
      <w:r>
        <w:rPr>
          <w:sz w:val="24"/>
          <w:szCs w:val="24"/>
        </w:rPr>
        <w:t xml:space="preserve"> ma</w:t>
      </w:r>
      <w:r w:rsidRPr="00307FCD">
        <w:rPr>
          <w:sz w:val="24"/>
          <w:szCs w:val="24"/>
        </w:rPr>
        <w:t xml:space="preserve">de the front page </w:t>
      </w:r>
      <w:r>
        <w:rPr>
          <w:sz w:val="24"/>
          <w:szCs w:val="24"/>
        </w:rPr>
        <w:t>and</w:t>
      </w:r>
      <w:r w:rsidRPr="00307FCD">
        <w:rPr>
          <w:sz w:val="24"/>
          <w:szCs w:val="24"/>
        </w:rPr>
        <w:t xml:space="preserve"> </w:t>
      </w:r>
      <w:r>
        <w:rPr>
          <w:sz w:val="24"/>
          <w:szCs w:val="24"/>
        </w:rPr>
        <w:t xml:space="preserve">the </w:t>
      </w:r>
      <w:r w:rsidRPr="00307FCD">
        <w:rPr>
          <w:sz w:val="24"/>
          <w:szCs w:val="24"/>
        </w:rPr>
        <w:t>headline referred to</w:t>
      </w:r>
      <w:r>
        <w:rPr>
          <w:sz w:val="24"/>
          <w:szCs w:val="24"/>
        </w:rPr>
        <w:t xml:space="preserve"> a</w:t>
      </w:r>
      <w:r w:rsidRPr="00307FCD">
        <w:rPr>
          <w:sz w:val="24"/>
          <w:szCs w:val="24"/>
        </w:rPr>
        <w:t xml:space="preserve"> ‘miracle</w:t>
      </w:r>
      <w:r>
        <w:rPr>
          <w:sz w:val="24"/>
          <w:szCs w:val="24"/>
        </w:rPr>
        <w:t>’… [But it has]</w:t>
      </w:r>
      <w:r w:rsidRPr="00307FCD">
        <w:rPr>
          <w:sz w:val="24"/>
          <w:szCs w:val="24"/>
        </w:rPr>
        <w:t xml:space="preserve"> </w:t>
      </w:r>
      <w:r>
        <w:rPr>
          <w:sz w:val="24"/>
          <w:szCs w:val="24"/>
        </w:rPr>
        <w:t xml:space="preserve">also </w:t>
      </w:r>
      <w:r w:rsidRPr="00307FCD">
        <w:rPr>
          <w:sz w:val="24"/>
          <w:szCs w:val="24"/>
        </w:rPr>
        <w:t xml:space="preserve">been constantly in the press with </w:t>
      </w:r>
      <w:r>
        <w:rPr>
          <w:sz w:val="24"/>
          <w:szCs w:val="24"/>
        </w:rPr>
        <w:t xml:space="preserve">… suggestions of </w:t>
      </w:r>
      <w:r w:rsidRPr="00307FCD">
        <w:rPr>
          <w:sz w:val="24"/>
          <w:szCs w:val="24"/>
        </w:rPr>
        <w:t>all sorts of</w:t>
      </w:r>
      <w:r>
        <w:rPr>
          <w:sz w:val="24"/>
          <w:szCs w:val="24"/>
        </w:rPr>
        <w:t xml:space="preserve"> negative</w:t>
      </w:r>
      <w:r w:rsidRPr="00307FCD">
        <w:rPr>
          <w:sz w:val="24"/>
          <w:szCs w:val="24"/>
        </w:rPr>
        <w:t xml:space="preserve"> things</w:t>
      </w:r>
      <w:r>
        <w:rPr>
          <w:sz w:val="24"/>
          <w:szCs w:val="24"/>
        </w:rPr>
        <w:t xml:space="preserve"> as well.” (Life scientist)</w:t>
      </w:r>
    </w:p>
    <w:p w14:paraId="06E0DAD1" w14:textId="72CF2B6B" w:rsidR="00CB52EB" w:rsidRPr="0099637F" w:rsidRDefault="009B1021" w:rsidP="001F61F8">
      <w:pPr>
        <w:spacing w:after="120" w:line="360" w:lineRule="auto"/>
        <w:rPr>
          <w:sz w:val="24"/>
          <w:szCs w:val="24"/>
        </w:rPr>
      </w:pPr>
      <w:r>
        <w:rPr>
          <w:sz w:val="24"/>
          <w:szCs w:val="24"/>
        </w:rPr>
        <w:t>And the contested nature of some Life science topics meant that academics also had to be careful about how their research was portrayed by the media. For example, accepting funding from certain funders was considered risky:</w:t>
      </w:r>
    </w:p>
    <w:p w14:paraId="27E63E00" w14:textId="6CC26857" w:rsidR="001505FF" w:rsidRDefault="001505FF" w:rsidP="00CE5CDB">
      <w:pPr>
        <w:spacing w:after="120" w:line="240" w:lineRule="auto"/>
        <w:ind w:left="720"/>
        <w:rPr>
          <w:sz w:val="24"/>
          <w:szCs w:val="24"/>
        </w:rPr>
      </w:pPr>
      <w:r w:rsidRPr="00FE34DF">
        <w:rPr>
          <w:sz w:val="24"/>
          <w:szCs w:val="24"/>
        </w:rPr>
        <w:t>“</w:t>
      </w:r>
      <w:r>
        <w:rPr>
          <w:sz w:val="24"/>
          <w:szCs w:val="24"/>
        </w:rPr>
        <w:t xml:space="preserve">Some research </w:t>
      </w:r>
      <w:r w:rsidRPr="00FE34DF">
        <w:rPr>
          <w:sz w:val="24"/>
          <w:szCs w:val="24"/>
        </w:rPr>
        <w:t xml:space="preserve">carries what the university calls ‘reputational risk’. …And that actually happened in this School. Some journalists found that some guys here </w:t>
      </w:r>
      <w:r>
        <w:rPr>
          <w:sz w:val="24"/>
          <w:szCs w:val="24"/>
        </w:rPr>
        <w:t>...</w:t>
      </w:r>
      <w:r w:rsidRPr="00FE34DF">
        <w:rPr>
          <w:sz w:val="24"/>
          <w:szCs w:val="24"/>
        </w:rPr>
        <w:t>were analysing some data</w:t>
      </w:r>
      <w:r w:rsidR="009B1021">
        <w:rPr>
          <w:sz w:val="24"/>
          <w:szCs w:val="24"/>
        </w:rPr>
        <w:t xml:space="preserve"> from a project ...</w:t>
      </w:r>
      <w:r>
        <w:rPr>
          <w:sz w:val="24"/>
          <w:szCs w:val="24"/>
        </w:rPr>
        <w:t xml:space="preserve"> which</w:t>
      </w:r>
      <w:r w:rsidRPr="00FE34DF">
        <w:rPr>
          <w:sz w:val="24"/>
          <w:szCs w:val="24"/>
        </w:rPr>
        <w:t xml:space="preserve"> was originally funded by [</w:t>
      </w:r>
      <w:r>
        <w:rPr>
          <w:sz w:val="24"/>
          <w:szCs w:val="24"/>
        </w:rPr>
        <w:t xml:space="preserve">controversial industrial </w:t>
      </w:r>
      <w:r w:rsidRPr="00FE34DF">
        <w:rPr>
          <w:sz w:val="24"/>
          <w:szCs w:val="24"/>
        </w:rPr>
        <w:t>sponsor</w:t>
      </w:r>
      <w:r>
        <w:rPr>
          <w:sz w:val="24"/>
          <w:szCs w:val="24"/>
        </w:rPr>
        <w:t>, name removed</w:t>
      </w:r>
      <w:r w:rsidRPr="00FE34DF">
        <w:rPr>
          <w:sz w:val="24"/>
          <w:szCs w:val="24"/>
        </w:rPr>
        <w:t>]. Suddenly this hit the front page of a tabloid and the University went ape-shit.</w:t>
      </w:r>
      <w:r w:rsidR="007F6F1C">
        <w:rPr>
          <w:sz w:val="24"/>
          <w:szCs w:val="24"/>
        </w:rPr>
        <w:t xml:space="preserve"> ... There are definitely some situations where I would say ‘no’ [to an offer of research funding]... I haven’t done so yet but I know it could happen.</w:t>
      </w:r>
      <w:r w:rsidRPr="00FE34DF">
        <w:rPr>
          <w:sz w:val="24"/>
          <w:szCs w:val="24"/>
        </w:rPr>
        <w:t>”</w:t>
      </w:r>
      <w:r>
        <w:rPr>
          <w:sz w:val="24"/>
          <w:szCs w:val="24"/>
        </w:rPr>
        <w:t xml:space="preserve"> (Life scientist)</w:t>
      </w:r>
    </w:p>
    <w:p w14:paraId="3121F324" w14:textId="3C01DCDE" w:rsidR="001757E7" w:rsidRDefault="001757E7" w:rsidP="001757E7">
      <w:pPr>
        <w:pStyle w:val="Heading4"/>
      </w:pPr>
      <w:r>
        <w:t>The relative simplicity for Formal scientists</w:t>
      </w:r>
    </w:p>
    <w:p w14:paraId="1E22E6BC" w14:textId="0FE0762A" w:rsidR="006E159F" w:rsidRDefault="00DB5493" w:rsidP="001757E7">
      <w:pPr>
        <w:spacing w:after="120" w:line="360" w:lineRule="auto"/>
        <w:rPr>
          <w:sz w:val="24"/>
          <w:szCs w:val="24"/>
        </w:rPr>
      </w:pPr>
      <w:r>
        <w:rPr>
          <w:sz w:val="24"/>
          <w:szCs w:val="24"/>
        </w:rPr>
        <w:t xml:space="preserve">The complexity of boundary transactions in the Life sciences as highlighted in the above quotes contrast greatly with those from interview respondents in the Formal sciences. The Formal scientists in my sample overwhelmingly interact with specific industries, rather than with multiple and potentially conflicting stakeholders. </w:t>
      </w:r>
      <w:r w:rsidR="002B1313">
        <w:rPr>
          <w:sz w:val="24"/>
          <w:szCs w:val="24"/>
        </w:rPr>
        <w:t>Quotes from Formal scientists highlight the relative ease with which they interacted</w:t>
      </w:r>
      <w:r w:rsidR="008D18BD">
        <w:rPr>
          <w:sz w:val="24"/>
          <w:szCs w:val="24"/>
        </w:rPr>
        <w:t xml:space="preserve"> with key collaborators</w:t>
      </w:r>
      <w:r w:rsidR="000C36E2">
        <w:rPr>
          <w:sz w:val="24"/>
          <w:szCs w:val="24"/>
        </w:rPr>
        <w:t>. For example</w:t>
      </w:r>
      <w:r w:rsidR="002B1313">
        <w:rPr>
          <w:sz w:val="24"/>
          <w:szCs w:val="24"/>
        </w:rPr>
        <w:t>:</w:t>
      </w:r>
      <w:r w:rsidR="008D18BD">
        <w:rPr>
          <w:sz w:val="24"/>
          <w:szCs w:val="24"/>
        </w:rPr>
        <w:t xml:space="preserve"> </w:t>
      </w:r>
    </w:p>
    <w:p w14:paraId="06A969AB" w14:textId="489B1E0A" w:rsidR="008D18BD" w:rsidRDefault="008D18BD" w:rsidP="00CE5CDB">
      <w:pPr>
        <w:spacing w:after="120" w:line="240" w:lineRule="auto"/>
        <w:ind w:left="720"/>
        <w:rPr>
          <w:sz w:val="24"/>
          <w:szCs w:val="24"/>
        </w:rPr>
      </w:pPr>
      <w:r>
        <w:rPr>
          <w:sz w:val="24"/>
          <w:szCs w:val="24"/>
        </w:rPr>
        <w:t>“I think the technical challenges of working with industry are manageable, the personal challenges are manageable. I don’t find any issues.” (Formal scientist)</w:t>
      </w:r>
    </w:p>
    <w:p w14:paraId="7F87FBDC" w14:textId="2D7C8BF1" w:rsidR="004B27AD" w:rsidRDefault="000C36E2" w:rsidP="008D18BD">
      <w:pPr>
        <w:spacing w:after="120" w:line="360" w:lineRule="auto"/>
        <w:rPr>
          <w:sz w:val="24"/>
          <w:szCs w:val="24"/>
        </w:rPr>
      </w:pPr>
      <w:r>
        <w:rPr>
          <w:sz w:val="24"/>
          <w:szCs w:val="24"/>
        </w:rPr>
        <w:t xml:space="preserve">Other respondents who expressed similar views also gave greater insight into why </w:t>
      </w:r>
      <w:r w:rsidR="00FE7E45">
        <w:rPr>
          <w:sz w:val="24"/>
          <w:szCs w:val="24"/>
        </w:rPr>
        <w:t>the challenges were so</w:t>
      </w:r>
      <w:r>
        <w:rPr>
          <w:sz w:val="24"/>
          <w:szCs w:val="24"/>
        </w:rPr>
        <w:t xml:space="preserve"> fe</w:t>
      </w:r>
      <w:r w:rsidR="00FE7E45">
        <w:rPr>
          <w:sz w:val="24"/>
          <w:szCs w:val="24"/>
        </w:rPr>
        <w:t>w</w:t>
      </w:r>
      <w:r>
        <w:rPr>
          <w:sz w:val="24"/>
          <w:szCs w:val="24"/>
        </w:rPr>
        <w:t xml:space="preserve">. The main factor was that although their collaborators, or ‘co-transactors’, were based in non-academic sectors, they predominantly had very significant academic skills and contacts, the vast majority holding PhDs and having maintained links to their universities. </w:t>
      </w:r>
      <w:r w:rsidR="004B27AD">
        <w:rPr>
          <w:sz w:val="24"/>
          <w:szCs w:val="24"/>
        </w:rPr>
        <w:t>As one explained:</w:t>
      </w:r>
    </w:p>
    <w:p w14:paraId="0A60C556" w14:textId="54B1DAD2" w:rsidR="004B27AD" w:rsidRDefault="004B27AD" w:rsidP="00CE5CDB">
      <w:pPr>
        <w:spacing w:after="120" w:line="240" w:lineRule="auto"/>
        <w:ind w:left="720"/>
        <w:rPr>
          <w:sz w:val="24"/>
          <w:szCs w:val="24"/>
        </w:rPr>
      </w:pPr>
      <w:r>
        <w:rPr>
          <w:sz w:val="24"/>
          <w:szCs w:val="24"/>
        </w:rPr>
        <w:t>“M</w:t>
      </w:r>
      <w:r w:rsidRPr="005E2347">
        <w:rPr>
          <w:sz w:val="24"/>
          <w:szCs w:val="24"/>
        </w:rPr>
        <w:t>ost if not all of the particular group that we worked with had PhDs</w:t>
      </w:r>
      <w:r>
        <w:rPr>
          <w:sz w:val="24"/>
          <w:szCs w:val="24"/>
        </w:rPr>
        <w:t xml:space="preserve"> and</w:t>
      </w:r>
      <w:r w:rsidRPr="005E2347">
        <w:rPr>
          <w:sz w:val="24"/>
          <w:szCs w:val="24"/>
        </w:rPr>
        <w:t xml:space="preserve"> many will have ongoing links with different university departments</w:t>
      </w:r>
      <w:r>
        <w:rPr>
          <w:sz w:val="24"/>
          <w:szCs w:val="24"/>
        </w:rPr>
        <w:t>,</w:t>
      </w:r>
      <w:r w:rsidRPr="005E2347">
        <w:rPr>
          <w:sz w:val="24"/>
          <w:szCs w:val="24"/>
        </w:rPr>
        <w:t xml:space="preserve"> so they would understand the research environment of a university</w:t>
      </w:r>
      <w:r>
        <w:rPr>
          <w:sz w:val="24"/>
          <w:szCs w:val="24"/>
        </w:rPr>
        <w:t xml:space="preserve"> and </w:t>
      </w:r>
      <w:r w:rsidRPr="005E2347">
        <w:rPr>
          <w:sz w:val="24"/>
          <w:szCs w:val="24"/>
        </w:rPr>
        <w:t>the mode of operation if you like.</w:t>
      </w:r>
      <w:r>
        <w:rPr>
          <w:sz w:val="24"/>
          <w:szCs w:val="24"/>
        </w:rPr>
        <w:t>” (Formal scientist)</w:t>
      </w:r>
    </w:p>
    <w:p w14:paraId="2C478962" w14:textId="0E580B8A" w:rsidR="008D18BD" w:rsidRDefault="003823C4" w:rsidP="008D18BD">
      <w:pPr>
        <w:spacing w:after="120" w:line="360" w:lineRule="auto"/>
        <w:rPr>
          <w:sz w:val="24"/>
          <w:szCs w:val="24"/>
        </w:rPr>
      </w:pPr>
      <w:r>
        <w:rPr>
          <w:sz w:val="24"/>
          <w:szCs w:val="24"/>
        </w:rPr>
        <w:t xml:space="preserve">Another </w:t>
      </w:r>
      <w:r w:rsidR="008D18BD">
        <w:rPr>
          <w:sz w:val="24"/>
          <w:szCs w:val="24"/>
        </w:rPr>
        <w:t>respondent’s experience vividly illustrates the point that shared expertise and intellectual interest can greatly help to overcome</w:t>
      </w:r>
      <w:r w:rsidR="00FB303D">
        <w:rPr>
          <w:sz w:val="24"/>
          <w:szCs w:val="24"/>
        </w:rPr>
        <w:t xml:space="preserve"> potentially significant</w:t>
      </w:r>
      <w:r w:rsidR="008D18BD">
        <w:rPr>
          <w:sz w:val="24"/>
          <w:szCs w:val="24"/>
        </w:rPr>
        <w:t xml:space="preserve"> barriers</w:t>
      </w:r>
      <w:r w:rsidR="00FB303D">
        <w:rPr>
          <w:sz w:val="24"/>
          <w:szCs w:val="24"/>
        </w:rPr>
        <w:t xml:space="preserve"> associated with different institutional interests</w:t>
      </w:r>
      <w:r w:rsidR="008D18BD">
        <w:rPr>
          <w:sz w:val="24"/>
          <w:szCs w:val="24"/>
        </w:rPr>
        <w:t xml:space="preserve">: </w:t>
      </w:r>
    </w:p>
    <w:p w14:paraId="4F6E3A49" w14:textId="0868FA65" w:rsidR="008D18BD" w:rsidRDefault="008D18BD" w:rsidP="00CE5CDB">
      <w:pPr>
        <w:spacing w:after="120" w:line="240" w:lineRule="auto"/>
        <w:ind w:left="720"/>
        <w:rPr>
          <w:sz w:val="24"/>
          <w:szCs w:val="24"/>
        </w:rPr>
      </w:pPr>
      <w:r>
        <w:rPr>
          <w:sz w:val="24"/>
          <w:szCs w:val="24"/>
        </w:rPr>
        <w:t xml:space="preserve">“We work with a lot of companies all in the same sector ... and it is competitive because they’re trying to guard what they’ve got. But when we work with them, we’re working typically with the companies’ engineers, not the managers or the accountants or what have you, and they [the engineers] have all got similar needs and we provide a forum where we all share ideas together, and they’re not worried about being competitive, it’s an open discussion.” (Formal scientist) </w:t>
      </w:r>
    </w:p>
    <w:p w14:paraId="69F5320D" w14:textId="17C5B4FA" w:rsidR="006E3F64" w:rsidRDefault="00FB303D" w:rsidP="001D1E67">
      <w:pPr>
        <w:spacing w:after="120" w:line="360" w:lineRule="auto"/>
        <w:rPr>
          <w:sz w:val="24"/>
          <w:szCs w:val="24"/>
        </w:rPr>
      </w:pPr>
      <w:r>
        <w:rPr>
          <w:sz w:val="24"/>
          <w:szCs w:val="24"/>
        </w:rPr>
        <w:t xml:space="preserve">In the above respondent’s case, the shared intellectual interest and expertise between the university and the industry not only helped to overcome university-industry </w:t>
      </w:r>
      <w:r w:rsidR="00201994">
        <w:rPr>
          <w:sz w:val="24"/>
          <w:szCs w:val="24"/>
        </w:rPr>
        <w:t xml:space="preserve">relationship challenges, but also helped overcome barriers to </w:t>
      </w:r>
      <w:r w:rsidR="00E75559">
        <w:rPr>
          <w:sz w:val="24"/>
          <w:szCs w:val="24"/>
        </w:rPr>
        <w:t>collaboration between ind</w:t>
      </w:r>
      <w:r w:rsidR="00201994">
        <w:rPr>
          <w:sz w:val="24"/>
          <w:szCs w:val="24"/>
        </w:rPr>
        <w:t xml:space="preserve">ustry competitors. </w:t>
      </w:r>
      <w:r w:rsidR="0004460B">
        <w:rPr>
          <w:sz w:val="24"/>
          <w:szCs w:val="24"/>
        </w:rPr>
        <w:t xml:space="preserve">The university offered a space in which competitors could meet as a kind of community of practice integrated by a common industrial problem that was best faced by collaboratively pooling data and resources together – in this case, </w:t>
      </w:r>
      <w:r w:rsidR="000F1A38">
        <w:rPr>
          <w:sz w:val="24"/>
          <w:szCs w:val="24"/>
        </w:rPr>
        <w:t>via</w:t>
      </w:r>
      <w:r w:rsidR="0004460B">
        <w:rPr>
          <w:sz w:val="24"/>
          <w:szCs w:val="24"/>
        </w:rPr>
        <w:t xml:space="preserve"> the disinterested and trusted channel of the university. </w:t>
      </w:r>
    </w:p>
    <w:p w14:paraId="4E2DDDDD" w14:textId="501C0996" w:rsidR="001D1E67" w:rsidRDefault="001D1E67" w:rsidP="001D1E67">
      <w:pPr>
        <w:pStyle w:val="Heading4"/>
      </w:pPr>
      <w:r>
        <w:t>Natural scientists: mixed experiences</w:t>
      </w:r>
    </w:p>
    <w:p w14:paraId="5F17D64F" w14:textId="05028ED3" w:rsidR="00F309C5" w:rsidRDefault="00F309C5" w:rsidP="001D1E67">
      <w:pPr>
        <w:spacing w:after="120" w:line="360" w:lineRule="auto"/>
        <w:rPr>
          <w:sz w:val="24"/>
          <w:szCs w:val="24"/>
        </w:rPr>
      </w:pPr>
      <w:r>
        <w:rPr>
          <w:sz w:val="24"/>
          <w:szCs w:val="24"/>
        </w:rPr>
        <w:t>Researchers in the Natural sciences</w:t>
      </w:r>
      <w:r w:rsidR="00B74BF2">
        <w:rPr>
          <w:sz w:val="24"/>
          <w:szCs w:val="24"/>
        </w:rPr>
        <w:t xml:space="preserve"> (including where the discipline was inherently interdisciplinary, classified as ‘Natural/Formal’)</w:t>
      </w:r>
      <w:r>
        <w:rPr>
          <w:sz w:val="24"/>
          <w:szCs w:val="24"/>
        </w:rPr>
        <w:t xml:space="preserve"> exhibited elements </w:t>
      </w:r>
      <w:r w:rsidR="00E57631">
        <w:rPr>
          <w:sz w:val="24"/>
          <w:szCs w:val="24"/>
        </w:rPr>
        <w:t>which fell somewhere in between the experiences and perceptions of Formal and Life scientists</w:t>
      </w:r>
      <w:r>
        <w:rPr>
          <w:sz w:val="24"/>
          <w:szCs w:val="24"/>
        </w:rPr>
        <w:t xml:space="preserve">. For example, </w:t>
      </w:r>
      <w:r w:rsidR="00A358D6">
        <w:rPr>
          <w:sz w:val="24"/>
          <w:szCs w:val="24"/>
        </w:rPr>
        <w:t xml:space="preserve">the following Natural scientist, although speaking positively about the relationship with industry, expressed this positive experience with somewhat greater qualification than those interviewees in the Formal scientists. He </w:t>
      </w:r>
      <w:r w:rsidR="00E57631">
        <w:rPr>
          <w:sz w:val="24"/>
          <w:szCs w:val="24"/>
        </w:rPr>
        <w:t>said:</w:t>
      </w:r>
    </w:p>
    <w:p w14:paraId="25ACAD8C" w14:textId="77777777" w:rsidR="00F309C5" w:rsidRDefault="00F309C5" w:rsidP="00CE5CDB">
      <w:pPr>
        <w:spacing w:after="120" w:line="240" w:lineRule="auto"/>
        <w:ind w:left="720"/>
        <w:rPr>
          <w:sz w:val="24"/>
          <w:szCs w:val="24"/>
        </w:rPr>
      </w:pPr>
      <w:r>
        <w:rPr>
          <w:sz w:val="24"/>
          <w:szCs w:val="24"/>
        </w:rPr>
        <w:t>“We have some really good partnerships with big companies. And that’s perfectly good because it’s not an artificial partnership, we’re not just bringing them in because we have to. They can actually add something because of their particular expertise, and that strengthens our case for research funding. So now we have a joint academic-industrial partnership mode ... rather than the purely academic that we did before.” (Basic Natural Scientist, ‘elite’ department)</w:t>
      </w:r>
    </w:p>
    <w:p w14:paraId="3681F179" w14:textId="4363FCF7" w:rsidR="002A1FE2" w:rsidRDefault="00E57631" w:rsidP="00C2566A">
      <w:pPr>
        <w:spacing w:before="120" w:after="120" w:line="360" w:lineRule="auto"/>
        <w:rPr>
          <w:sz w:val="24"/>
          <w:szCs w:val="24"/>
        </w:rPr>
      </w:pPr>
      <w:r>
        <w:rPr>
          <w:sz w:val="24"/>
          <w:szCs w:val="24"/>
        </w:rPr>
        <w:t xml:space="preserve">So, in the above account, the relationship with industry is not necessarily the only or most obvious way to go, as was the case for Formal scientists. But rather it was more context-specific; they “add something because of their particular expertise”. </w:t>
      </w:r>
      <w:r w:rsidR="00C2566A">
        <w:rPr>
          <w:sz w:val="24"/>
          <w:szCs w:val="24"/>
        </w:rPr>
        <w:t xml:space="preserve">Moreover, although ultimately giving a positive assessment of industry collaborations, the same respondent explained later in the interview the difficulty he sometimes faced in overseeing collaborations: </w:t>
      </w:r>
    </w:p>
    <w:p w14:paraId="237DC1FC" w14:textId="377C4516" w:rsidR="00C2566A" w:rsidRDefault="00C2566A" w:rsidP="00CE5CDB">
      <w:pPr>
        <w:spacing w:after="120" w:line="240" w:lineRule="auto"/>
        <w:ind w:left="720"/>
        <w:rPr>
          <w:sz w:val="24"/>
          <w:szCs w:val="24"/>
        </w:rPr>
      </w:pPr>
      <w:r w:rsidRPr="007E520F">
        <w:rPr>
          <w:sz w:val="24"/>
          <w:szCs w:val="24"/>
        </w:rPr>
        <w:t xml:space="preserve">“So it was my job to manage the consortium. That involved </w:t>
      </w:r>
      <w:r>
        <w:rPr>
          <w:sz w:val="24"/>
          <w:szCs w:val="24"/>
        </w:rPr>
        <w:t xml:space="preserve">… </w:t>
      </w:r>
      <w:r w:rsidRPr="007E520F">
        <w:rPr>
          <w:sz w:val="24"/>
          <w:szCs w:val="24"/>
        </w:rPr>
        <w:t>multiple industries, multiple institutes, and lots of individuals, scientists, engineers, managers, specialists of all kinds. So you can imagine that’s a recipe for continuing anguish, pain, crisis, that’s just the way it works. We used to talk about the ‘crisis of the day’, the ‘crisis of the week’, and the ‘crisis of the month’, and generally we were working on all three of them at the same time. And that’s the way this kind of research works. Because it’s very complicated politically, very complicated sociologically, and very complicated technically and scientifically.”</w:t>
      </w:r>
      <w:r>
        <w:rPr>
          <w:sz w:val="24"/>
          <w:szCs w:val="24"/>
        </w:rPr>
        <w:t xml:space="preserve"> (Natural scientist)</w:t>
      </w:r>
    </w:p>
    <w:p w14:paraId="6DEC7628" w14:textId="5CECED75" w:rsidR="00C2566A" w:rsidRDefault="00446273" w:rsidP="00C2566A">
      <w:pPr>
        <w:spacing w:before="120" w:after="120" w:line="360" w:lineRule="auto"/>
        <w:rPr>
          <w:sz w:val="24"/>
          <w:szCs w:val="24"/>
        </w:rPr>
      </w:pPr>
      <w:r>
        <w:rPr>
          <w:sz w:val="24"/>
          <w:szCs w:val="24"/>
        </w:rPr>
        <w:t>Another respondent also had equivocal experiences of external collaboration. On the one hand, he had multiple experiences of successfully working with individuals or small private companies in order to produce new technologies and devices for different sectors. But he also had many negative experiences along the way:</w:t>
      </w:r>
    </w:p>
    <w:p w14:paraId="0B045AE9" w14:textId="2DAE599F" w:rsidR="002D1B39" w:rsidRDefault="00446273" w:rsidP="00CE5CDB">
      <w:pPr>
        <w:spacing w:before="120" w:after="120" w:line="240" w:lineRule="auto"/>
        <w:ind w:left="720"/>
        <w:rPr>
          <w:sz w:val="24"/>
          <w:szCs w:val="24"/>
        </w:rPr>
      </w:pPr>
      <w:r>
        <w:rPr>
          <w:sz w:val="24"/>
          <w:szCs w:val="24"/>
        </w:rPr>
        <w:t xml:space="preserve">“Initially we had </w:t>
      </w:r>
      <w:r w:rsidR="004622A6">
        <w:rPr>
          <w:sz w:val="24"/>
          <w:szCs w:val="24"/>
        </w:rPr>
        <w:t>...</w:t>
      </w:r>
      <w:r>
        <w:rPr>
          <w:sz w:val="24"/>
          <w:szCs w:val="24"/>
        </w:rPr>
        <w:t xml:space="preserve"> nobody who believed us. They didn’t believe that it could work</w:t>
      </w:r>
      <w:r w:rsidR="002D1B39">
        <w:rPr>
          <w:sz w:val="24"/>
          <w:szCs w:val="24"/>
        </w:rPr>
        <w:t>.” (Natural/Formal scientist)</w:t>
      </w:r>
    </w:p>
    <w:p w14:paraId="6537AF9C" w14:textId="7519F256" w:rsidR="002D1B39" w:rsidRDefault="002D1B39" w:rsidP="002D1B39">
      <w:pPr>
        <w:spacing w:before="120" w:after="120" w:line="360" w:lineRule="auto"/>
        <w:rPr>
          <w:sz w:val="24"/>
          <w:szCs w:val="24"/>
        </w:rPr>
      </w:pPr>
      <w:r>
        <w:rPr>
          <w:sz w:val="24"/>
          <w:szCs w:val="24"/>
        </w:rPr>
        <w:t>And describing earlier experiences of working with industry:</w:t>
      </w:r>
    </w:p>
    <w:p w14:paraId="712ED935" w14:textId="170EE727" w:rsidR="002D1B39" w:rsidRDefault="002D1B39" w:rsidP="00CE5CDB">
      <w:pPr>
        <w:spacing w:after="120" w:line="240" w:lineRule="auto"/>
        <w:ind w:left="720"/>
        <w:rPr>
          <w:sz w:val="24"/>
          <w:szCs w:val="24"/>
        </w:rPr>
      </w:pPr>
      <w:r>
        <w:rPr>
          <w:sz w:val="24"/>
          <w:szCs w:val="24"/>
        </w:rPr>
        <w:t>“Large companies sometimes just take the idea and then, unless they really need you to develop it, you don’t hear from them again. ...They just steal your ideas.” (</w:t>
      </w:r>
      <w:r w:rsidR="00123F4A">
        <w:rPr>
          <w:sz w:val="24"/>
          <w:szCs w:val="24"/>
        </w:rPr>
        <w:t>Natural/</w:t>
      </w:r>
      <w:r>
        <w:rPr>
          <w:sz w:val="24"/>
          <w:szCs w:val="24"/>
        </w:rPr>
        <w:t>Formal scientist)</w:t>
      </w:r>
    </w:p>
    <w:p w14:paraId="19F739B5" w14:textId="115ABC16" w:rsidR="008F4421" w:rsidRDefault="008F4421" w:rsidP="008F4421">
      <w:pPr>
        <w:pStyle w:val="Heading4"/>
      </w:pPr>
      <w:r>
        <w:t>Different kinds of collaborator amongst the three branches of science</w:t>
      </w:r>
    </w:p>
    <w:p w14:paraId="6E288D0E" w14:textId="678F6949" w:rsidR="004C3D81" w:rsidRDefault="00CC571F" w:rsidP="00CC571F">
      <w:pPr>
        <w:spacing w:before="120" w:after="120" w:line="360" w:lineRule="auto"/>
        <w:rPr>
          <w:sz w:val="24"/>
          <w:szCs w:val="24"/>
        </w:rPr>
      </w:pPr>
      <w:r>
        <w:rPr>
          <w:sz w:val="24"/>
          <w:szCs w:val="24"/>
        </w:rPr>
        <w:t>Interestingly, this pattern whereby Formal scientists tended to have relatively simple boundary transaction experiences, Life scientists have more complex experiences, and Natural sciences exhibit elements of both, maps precisely onto a statistical finding relating to the educational qualifications of non-academic collaborators</w:t>
      </w:r>
      <w:r w:rsidR="007947E2">
        <w:rPr>
          <w:sz w:val="24"/>
          <w:szCs w:val="24"/>
        </w:rPr>
        <w:t xml:space="preserve"> (co-authors)</w:t>
      </w:r>
      <w:r>
        <w:rPr>
          <w:sz w:val="24"/>
          <w:szCs w:val="24"/>
        </w:rPr>
        <w:t xml:space="preserve">. </w:t>
      </w:r>
      <w:r w:rsidR="004C3D81" w:rsidRPr="00FC7E33">
        <w:rPr>
          <w:sz w:val="24"/>
          <w:szCs w:val="24"/>
        </w:rPr>
        <w:fldChar w:fldCharType="begin"/>
      </w:r>
      <w:r w:rsidR="004C3D81" w:rsidRPr="00FC7E33">
        <w:rPr>
          <w:sz w:val="24"/>
          <w:szCs w:val="24"/>
        </w:rPr>
        <w:instrText xml:space="preserve"> REF _Ref9016426 \h </w:instrText>
      </w:r>
      <w:r w:rsidR="004C3D81">
        <w:rPr>
          <w:sz w:val="24"/>
          <w:szCs w:val="24"/>
        </w:rPr>
        <w:instrText xml:space="preserve"> \* MERGEFORMAT </w:instrText>
      </w:r>
      <w:r w:rsidR="004C3D81" w:rsidRPr="00FC7E33">
        <w:rPr>
          <w:sz w:val="24"/>
          <w:szCs w:val="24"/>
        </w:rPr>
      </w:r>
      <w:r w:rsidR="004C3D81" w:rsidRPr="00FC7E33">
        <w:rPr>
          <w:sz w:val="24"/>
          <w:szCs w:val="24"/>
        </w:rPr>
        <w:fldChar w:fldCharType="separate"/>
      </w:r>
      <w:r w:rsidR="0011424E" w:rsidRPr="0011424E">
        <w:rPr>
          <w:sz w:val="24"/>
          <w:szCs w:val="24"/>
        </w:rPr>
        <w:t xml:space="preserve">Figure </w:t>
      </w:r>
      <w:r w:rsidR="0011424E" w:rsidRPr="0011424E">
        <w:rPr>
          <w:noProof/>
          <w:sz w:val="24"/>
          <w:szCs w:val="24"/>
        </w:rPr>
        <w:t>15</w:t>
      </w:r>
      <w:r w:rsidR="004C3D81" w:rsidRPr="00FC7E33">
        <w:rPr>
          <w:sz w:val="24"/>
          <w:szCs w:val="24"/>
        </w:rPr>
        <w:fldChar w:fldCharType="end"/>
      </w:r>
      <w:r w:rsidR="004C3D81">
        <w:rPr>
          <w:sz w:val="24"/>
          <w:szCs w:val="24"/>
        </w:rPr>
        <w:t xml:space="preserve"> show that nearly all </w:t>
      </w:r>
      <w:r>
        <w:rPr>
          <w:sz w:val="24"/>
          <w:szCs w:val="24"/>
        </w:rPr>
        <w:t>sampled bodies of research (</w:t>
      </w:r>
      <w:r w:rsidR="004C3D81">
        <w:rPr>
          <w:sz w:val="24"/>
          <w:szCs w:val="24"/>
        </w:rPr>
        <w:t>BoRs</w:t>
      </w:r>
      <w:r>
        <w:rPr>
          <w:sz w:val="24"/>
          <w:szCs w:val="24"/>
        </w:rPr>
        <w:t>) based</w:t>
      </w:r>
      <w:r w:rsidR="004C3D81">
        <w:rPr>
          <w:sz w:val="24"/>
          <w:szCs w:val="24"/>
        </w:rPr>
        <w:t xml:space="preserve"> in the sampled Formal sciences exclusively involve collaborators who have PhDs, with only around 12% of these BoRs involving a collaborator without a PhD. By contrast, nearly half of the BoRs in Natural sciences and more than half of the BoRs in the Life sciences involve collaborators without PhDs. </w:t>
      </w:r>
    </w:p>
    <w:p w14:paraId="24B84F25" w14:textId="77777777" w:rsidR="004C3D81" w:rsidRDefault="004C3D81" w:rsidP="004C3D81">
      <w:pPr>
        <w:keepNext/>
        <w:spacing w:before="120" w:after="120" w:line="360" w:lineRule="auto"/>
      </w:pPr>
      <w:r>
        <w:rPr>
          <w:noProof/>
          <w:sz w:val="24"/>
          <w:szCs w:val="24"/>
          <w:lang w:eastAsia="en-GB"/>
        </w:rPr>
        <w:drawing>
          <wp:inline distT="0" distB="0" distL="0" distR="0" wp14:anchorId="7EF94B6F" wp14:editId="3CCFE86C">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C0F810" w14:textId="12B8BD14" w:rsidR="004C3D81" w:rsidRDefault="004C3D81" w:rsidP="004C3D81">
      <w:pPr>
        <w:pStyle w:val="Caption"/>
      </w:pPr>
      <w:bookmarkStart w:id="205" w:name="_Ref9016426"/>
      <w:bookmarkStart w:id="206" w:name="_Toc31702084"/>
      <w:r>
        <w:t xml:space="preserve">Figure </w:t>
      </w:r>
      <w:r>
        <w:rPr>
          <w:noProof/>
        </w:rPr>
        <w:fldChar w:fldCharType="begin"/>
      </w:r>
      <w:r>
        <w:rPr>
          <w:noProof/>
        </w:rPr>
        <w:instrText xml:space="preserve"> SEQ Figure \* ARABIC </w:instrText>
      </w:r>
      <w:r>
        <w:rPr>
          <w:noProof/>
        </w:rPr>
        <w:fldChar w:fldCharType="separate"/>
      </w:r>
      <w:r w:rsidR="0011424E">
        <w:rPr>
          <w:noProof/>
        </w:rPr>
        <w:t>15</w:t>
      </w:r>
      <w:r>
        <w:rPr>
          <w:noProof/>
        </w:rPr>
        <w:fldChar w:fldCharType="end"/>
      </w:r>
      <w:bookmarkEnd w:id="205"/>
      <w:r>
        <w:t xml:space="preserve">. </w:t>
      </w:r>
      <w:r w:rsidRPr="00A46C48">
        <w:t>Percentage (stacked) of BoRs</w:t>
      </w:r>
      <w:r>
        <w:t xml:space="preserve"> collaborating with non-doctorate holders by branch of science</w:t>
      </w:r>
      <w:bookmarkEnd w:id="206"/>
    </w:p>
    <w:p w14:paraId="5C4FFB5C" w14:textId="77777777" w:rsidR="00BA0B9F" w:rsidRDefault="00BA0B9F" w:rsidP="00BA0B9F">
      <w:pPr>
        <w:pStyle w:val="Heading4"/>
      </w:pPr>
      <w:r>
        <w:t>Summary</w:t>
      </w:r>
    </w:p>
    <w:p w14:paraId="1BA0E30C" w14:textId="3A61F2AD" w:rsidR="002A1FE2" w:rsidRDefault="001039AB" w:rsidP="002E6F20">
      <w:pPr>
        <w:spacing w:after="120" w:line="360" w:lineRule="auto"/>
        <w:rPr>
          <w:rFonts w:eastAsia="Times New Roman"/>
          <w:sz w:val="24"/>
          <w:szCs w:val="24"/>
        </w:rPr>
      </w:pPr>
      <w:r>
        <w:rPr>
          <w:sz w:val="24"/>
          <w:szCs w:val="24"/>
        </w:rPr>
        <w:t xml:space="preserve">The </w:t>
      </w:r>
      <w:r w:rsidR="00FF3BBA">
        <w:rPr>
          <w:sz w:val="24"/>
          <w:szCs w:val="24"/>
        </w:rPr>
        <w:t xml:space="preserve">data presented here therefore </w:t>
      </w:r>
      <w:r w:rsidR="003367DC">
        <w:rPr>
          <w:sz w:val="24"/>
          <w:szCs w:val="24"/>
        </w:rPr>
        <w:t xml:space="preserve">suggests that </w:t>
      </w:r>
      <w:r w:rsidR="00440EDD">
        <w:rPr>
          <w:sz w:val="24"/>
          <w:szCs w:val="24"/>
        </w:rPr>
        <w:t xml:space="preserve">when </w:t>
      </w:r>
      <w:r w:rsidR="003367DC">
        <w:rPr>
          <w:sz w:val="24"/>
          <w:szCs w:val="24"/>
        </w:rPr>
        <w:t>researchers in Formal sciences collaborate</w:t>
      </w:r>
      <w:r w:rsidR="00440EDD">
        <w:rPr>
          <w:sz w:val="24"/>
          <w:szCs w:val="24"/>
        </w:rPr>
        <w:t xml:space="preserve"> with non-academics, it is</w:t>
      </w:r>
      <w:r w:rsidR="003367DC">
        <w:rPr>
          <w:sz w:val="24"/>
          <w:szCs w:val="24"/>
        </w:rPr>
        <w:t xml:space="preserve"> almost exclusively with non-academics </w:t>
      </w:r>
      <w:r w:rsidR="00440EDD">
        <w:rPr>
          <w:sz w:val="24"/>
          <w:szCs w:val="24"/>
        </w:rPr>
        <w:t>with</w:t>
      </w:r>
      <w:r w:rsidR="005F63DB">
        <w:rPr>
          <w:sz w:val="24"/>
          <w:szCs w:val="24"/>
        </w:rPr>
        <w:t xml:space="preserve"> whom they</w:t>
      </w:r>
      <w:r w:rsidR="003367DC">
        <w:rPr>
          <w:sz w:val="24"/>
          <w:szCs w:val="24"/>
        </w:rPr>
        <w:t xml:space="preserve"> share scientific backgrounds and expertise</w:t>
      </w:r>
      <w:r w:rsidR="0058771B">
        <w:rPr>
          <w:sz w:val="24"/>
          <w:szCs w:val="24"/>
        </w:rPr>
        <w:t>. T</w:t>
      </w:r>
      <w:r w:rsidR="00440EDD">
        <w:rPr>
          <w:sz w:val="24"/>
          <w:szCs w:val="24"/>
        </w:rPr>
        <w:t xml:space="preserve">he vast majority </w:t>
      </w:r>
      <w:r w:rsidR="0058771B">
        <w:rPr>
          <w:sz w:val="24"/>
          <w:szCs w:val="24"/>
        </w:rPr>
        <w:t xml:space="preserve">of these external collaborators </w:t>
      </w:r>
      <w:r w:rsidR="00440EDD">
        <w:rPr>
          <w:sz w:val="24"/>
          <w:szCs w:val="24"/>
        </w:rPr>
        <w:t>hav</w:t>
      </w:r>
      <w:r w:rsidR="0058771B">
        <w:rPr>
          <w:sz w:val="24"/>
          <w:szCs w:val="24"/>
        </w:rPr>
        <w:t>e</w:t>
      </w:r>
      <w:r w:rsidR="00440EDD">
        <w:rPr>
          <w:sz w:val="24"/>
          <w:szCs w:val="24"/>
        </w:rPr>
        <w:t xml:space="preserve"> a doctoral qualification and continuing links to academia. This allows far smoother and less ‘costly’ boundary transactions</w:t>
      </w:r>
      <w:r w:rsidR="003C1049">
        <w:rPr>
          <w:sz w:val="24"/>
          <w:szCs w:val="24"/>
        </w:rPr>
        <w:t xml:space="preserve"> than is possible in </w:t>
      </w:r>
      <w:r w:rsidR="00BA0B9F">
        <w:rPr>
          <w:sz w:val="24"/>
          <w:szCs w:val="24"/>
        </w:rPr>
        <w:t>Natural and, in particular,</w:t>
      </w:r>
      <w:r w:rsidR="003C1049">
        <w:rPr>
          <w:sz w:val="24"/>
          <w:szCs w:val="24"/>
        </w:rPr>
        <w:t xml:space="preserve"> in the Life sciences, where academics more frequently interact with non-experts and a more disparate group of stakeholders as they transact across boundaries</w:t>
      </w:r>
      <w:r w:rsidR="00D14113">
        <w:rPr>
          <w:sz w:val="24"/>
          <w:szCs w:val="24"/>
        </w:rPr>
        <w:t>.</w:t>
      </w:r>
      <w:r w:rsidR="003C1049">
        <w:rPr>
          <w:sz w:val="24"/>
          <w:szCs w:val="24"/>
        </w:rPr>
        <w:t xml:space="preserve"> </w:t>
      </w:r>
      <w:r w:rsidR="00D14113">
        <w:rPr>
          <w:sz w:val="24"/>
          <w:szCs w:val="24"/>
        </w:rPr>
        <w:t>To draw on Bernstein’s (2000) concepts, researchers in th</w:t>
      </w:r>
      <w:r w:rsidR="00320306">
        <w:rPr>
          <w:sz w:val="24"/>
          <w:szCs w:val="24"/>
        </w:rPr>
        <w:t>e Life sciences are able to communicate via ‘restricted’ code – a shortened</w:t>
      </w:r>
      <w:r w:rsidR="00FB50C7">
        <w:rPr>
          <w:sz w:val="24"/>
          <w:szCs w:val="24"/>
        </w:rPr>
        <w:t>,</w:t>
      </w:r>
      <w:r w:rsidR="00E704F1">
        <w:rPr>
          <w:sz w:val="24"/>
          <w:szCs w:val="24"/>
        </w:rPr>
        <w:t xml:space="preserve"> “intimate and immediate” (Moore, 201</w:t>
      </w:r>
      <w:r w:rsidR="00FB50C7">
        <w:rPr>
          <w:sz w:val="24"/>
          <w:szCs w:val="24"/>
        </w:rPr>
        <w:t>3</w:t>
      </w:r>
      <w:r w:rsidR="00E704F1">
        <w:rPr>
          <w:sz w:val="24"/>
          <w:szCs w:val="24"/>
        </w:rPr>
        <w:t>, p. 66-67)</w:t>
      </w:r>
      <w:r w:rsidR="00320306">
        <w:rPr>
          <w:sz w:val="24"/>
          <w:szCs w:val="24"/>
        </w:rPr>
        <w:t xml:space="preserve"> </w:t>
      </w:r>
      <w:r w:rsidR="00320306">
        <w:rPr>
          <w:rFonts w:eastAsia="Times New Roman"/>
          <w:sz w:val="24"/>
          <w:szCs w:val="24"/>
        </w:rPr>
        <w:t>form of communication exhibited within a group of people who can take for granted a significant amount of shared prior knowledge and understanding.</w:t>
      </w:r>
      <w:r w:rsidR="00FB50C7">
        <w:rPr>
          <w:rFonts w:eastAsia="Times New Roman"/>
          <w:sz w:val="24"/>
          <w:szCs w:val="24"/>
        </w:rPr>
        <w:t xml:space="preserve"> By contrast, researchers in other branches of science must more frequently communicate using ‘elaborating’ code (Bernstein, 2000; Moore, 2013)</w:t>
      </w:r>
      <w:r w:rsidR="00143C30">
        <w:rPr>
          <w:rFonts w:eastAsia="Times New Roman"/>
          <w:sz w:val="24"/>
          <w:szCs w:val="24"/>
        </w:rPr>
        <w:t xml:space="preserve">, which is more intensive and aims at coming to the kind of shared understanding that ‘restricted’ code assumes. </w:t>
      </w:r>
    </w:p>
    <w:p w14:paraId="60893BAB" w14:textId="695EC750" w:rsidR="00D5066D" w:rsidRDefault="00A20520" w:rsidP="002E6F20">
      <w:pPr>
        <w:spacing w:after="120" w:line="360" w:lineRule="auto"/>
        <w:rPr>
          <w:sz w:val="24"/>
          <w:szCs w:val="24"/>
        </w:rPr>
      </w:pPr>
      <w:r>
        <w:rPr>
          <w:sz w:val="24"/>
          <w:szCs w:val="24"/>
        </w:rPr>
        <w:t>T</w:t>
      </w:r>
      <w:r w:rsidR="00235A34">
        <w:rPr>
          <w:sz w:val="24"/>
          <w:szCs w:val="24"/>
        </w:rPr>
        <w:t xml:space="preserve">he relationship between </w:t>
      </w:r>
      <w:r w:rsidR="005C0F4B">
        <w:rPr>
          <w:sz w:val="24"/>
          <w:szCs w:val="24"/>
        </w:rPr>
        <w:t>a</w:t>
      </w:r>
      <w:r w:rsidR="00235A34">
        <w:rPr>
          <w:sz w:val="24"/>
          <w:szCs w:val="24"/>
        </w:rPr>
        <w:t xml:space="preserve"> branch of science and the areas of social </w:t>
      </w:r>
      <w:r w:rsidR="005C0F4B">
        <w:rPr>
          <w:sz w:val="24"/>
          <w:szCs w:val="24"/>
        </w:rPr>
        <w:t>or</w:t>
      </w:r>
      <w:r w:rsidR="00235A34">
        <w:rPr>
          <w:sz w:val="24"/>
          <w:szCs w:val="24"/>
        </w:rPr>
        <w:t xml:space="preserve"> economic life </w:t>
      </w:r>
      <w:r w:rsidR="00033C94">
        <w:rPr>
          <w:sz w:val="24"/>
          <w:szCs w:val="24"/>
        </w:rPr>
        <w:t xml:space="preserve">in which that science might have application shapes the kinds of actors with whom academic researchers must transact. </w:t>
      </w:r>
      <w:r w:rsidR="00BA0B9F">
        <w:rPr>
          <w:sz w:val="24"/>
          <w:szCs w:val="24"/>
        </w:rPr>
        <w:t>To a notably greater degree than in the Natural or Life sciences,</w:t>
      </w:r>
      <w:r w:rsidR="009D4F29">
        <w:rPr>
          <w:sz w:val="24"/>
          <w:szCs w:val="24"/>
        </w:rPr>
        <w:t xml:space="preserve"> </w:t>
      </w:r>
      <w:r w:rsidR="00BA0B9F">
        <w:rPr>
          <w:sz w:val="24"/>
          <w:szCs w:val="24"/>
        </w:rPr>
        <w:t>the</w:t>
      </w:r>
      <w:r w:rsidR="009D4F29">
        <w:rPr>
          <w:sz w:val="24"/>
          <w:szCs w:val="24"/>
        </w:rPr>
        <w:t xml:space="preserve"> non-academic collaborators with whom </w:t>
      </w:r>
      <w:r w:rsidR="00BA0B9F">
        <w:rPr>
          <w:sz w:val="24"/>
          <w:szCs w:val="24"/>
        </w:rPr>
        <w:t xml:space="preserve">Formal scientists’ </w:t>
      </w:r>
      <w:r w:rsidR="009D4F29">
        <w:rPr>
          <w:sz w:val="24"/>
          <w:szCs w:val="24"/>
        </w:rPr>
        <w:t>boundary transactions occur have strongly academic backgrounds consisting of a PhD</w:t>
      </w:r>
      <w:r w:rsidR="00BA0B9F">
        <w:rPr>
          <w:sz w:val="24"/>
          <w:szCs w:val="24"/>
        </w:rPr>
        <w:t>, as well as</w:t>
      </w:r>
      <w:r w:rsidR="009D4F29">
        <w:rPr>
          <w:sz w:val="24"/>
          <w:szCs w:val="24"/>
        </w:rPr>
        <w:t xml:space="preserve"> strong personal and intellectual ties to academia. In short, boundary transactions in th</w:t>
      </w:r>
      <w:r w:rsidR="00E63D4C">
        <w:rPr>
          <w:sz w:val="24"/>
          <w:szCs w:val="24"/>
        </w:rPr>
        <w:t>e context of the Formal sciences may</w:t>
      </w:r>
      <w:r w:rsidR="009D4F29">
        <w:rPr>
          <w:sz w:val="24"/>
          <w:szCs w:val="24"/>
        </w:rPr>
        <w:t xml:space="preserve"> barely </w:t>
      </w:r>
      <w:r w:rsidR="00E63D4C">
        <w:rPr>
          <w:sz w:val="24"/>
          <w:szCs w:val="24"/>
        </w:rPr>
        <w:t xml:space="preserve">be </w:t>
      </w:r>
      <w:r w:rsidR="009D4F29">
        <w:rPr>
          <w:sz w:val="24"/>
          <w:szCs w:val="24"/>
        </w:rPr>
        <w:t xml:space="preserve">experienced as boundary transactions at all. </w:t>
      </w:r>
      <w:r w:rsidR="00E63D4C">
        <w:rPr>
          <w:sz w:val="24"/>
          <w:szCs w:val="24"/>
        </w:rPr>
        <w:t xml:space="preserve">It may make more sense to conceive of </w:t>
      </w:r>
      <w:r w:rsidR="00AB25AB">
        <w:rPr>
          <w:sz w:val="24"/>
          <w:szCs w:val="24"/>
        </w:rPr>
        <w:t xml:space="preserve">boundaries </w:t>
      </w:r>
      <w:r w:rsidR="00AB25AB">
        <w:rPr>
          <w:i/>
          <w:sz w:val="24"/>
          <w:szCs w:val="24"/>
        </w:rPr>
        <w:t xml:space="preserve">extending </w:t>
      </w:r>
      <w:r w:rsidR="00AB25AB">
        <w:rPr>
          <w:sz w:val="24"/>
          <w:szCs w:val="24"/>
        </w:rPr>
        <w:t xml:space="preserve">and </w:t>
      </w:r>
      <w:r w:rsidR="00AB25AB">
        <w:rPr>
          <w:i/>
          <w:sz w:val="24"/>
          <w:szCs w:val="24"/>
        </w:rPr>
        <w:t>merging</w:t>
      </w:r>
      <w:r w:rsidR="00AB25AB">
        <w:rPr>
          <w:sz w:val="24"/>
          <w:szCs w:val="24"/>
        </w:rPr>
        <w:t xml:space="preserve">, thereby greatly reducing transaction ‘costs’ almost to the levels of intra-institutional communication. There is an extensive flow of highly </w:t>
      </w:r>
      <w:r w:rsidR="00A022A5">
        <w:rPr>
          <w:sz w:val="24"/>
          <w:szCs w:val="24"/>
        </w:rPr>
        <w:t>academically trained</w:t>
      </w:r>
      <w:r w:rsidR="00AB25AB">
        <w:rPr>
          <w:sz w:val="24"/>
          <w:szCs w:val="24"/>
        </w:rPr>
        <w:t xml:space="preserve"> graduates who bring academic skills, networks and inclinations into non-academic knowledge-intensive sectors, from within which these individuals have the capacity and incentive to demand, absorb, apply and occasionally even collaborate on new academic science. </w:t>
      </w:r>
      <w:r w:rsidR="0034545E">
        <w:rPr>
          <w:sz w:val="24"/>
          <w:szCs w:val="24"/>
        </w:rPr>
        <w:t xml:space="preserve">As these </w:t>
      </w:r>
      <w:r w:rsidR="00A022A5">
        <w:rPr>
          <w:sz w:val="24"/>
          <w:szCs w:val="24"/>
        </w:rPr>
        <w:t>academically trained</w:t>
      </w:r>
      <w:r w:rsidR="0034545E">
        <w:rPr>
          <w:sz w:val="24"/>
          <w:szCs w:val="24"/>
        </w:rPr>
        <w:t xml:space="preserve"> and </w:t>
      </w:r>
      <w:r w:rsidR="00A022A5">
        <w:rPr>
          <w:sz w:val="24"/>
          <w:szCs w:val="24"/>
        </w:rPr>
        <w:t>academically inclined</w:t>
      </w:r>
      <w:r w:rsidR="0034545E">
        <w:rPr>
          <w:sz w:val="24"/>
          <w:szCs w:val="24"/>
        </w:rPr>
        <w:t xml:space="preserve"> doctoral graduates move into non-academic contexts, they </w:t>
      </w:r>
      <w:r w:rsidR="000157BB">
        <w:rPr>
          <w:sz w:val="24"/>
          <w:szCs w:val="24"/>
        </w:rPr>
        <w:t xml:space="preserve">simultaneously </w:t>
      </w:r>
      <w:r w:rsidR="000157BB">
        <w:rPr>
          <w:i/>
          <w:sz w:val="24"/>
          <w:szCs w:val="24"/>
        </w:rPr>
        <w:t xml:space="preserve">extend </w:t>
      </w:r>
      <w:r w:rsidR="000157BB">
        <w:rPr>
          <w:sz w:val="24"/>
          <w:szCs w:val="24"/>
        </w:rPr>
        <w:t xml:space="preserve">and </w:t>
      </w:r>
      <w:r w:rsidR="000157BB">
        <w:rPr>
          <w:i/>
          <w:sz w:val="24"/>
          <w:szCs w:val="24"/>
        </w:rPr>
        <w:t xml:space="preserve">merge </w:t>
      </w:r>
      <w:r w:rsidR="000157BB">
        <w:rPr>
          <w:sz w:val="24"/>
          <w:szCs w:val="24"/>
        </w:rPr>
        <w:t xml:space="preserve">academic boundaries into/with these non-academic contexts. </w:t>
      </w:r>
      <w:r w:rsidR="002004CE">
        <w:rPr>
          <w:sz w:val="24"/>
          <w:szCs w:val="24"/>
        </w:rPr>
        <w:t xml:space="preserve">This creates a new space, a kind of ‘free trade zone’, where ‘low-cost transactions’ can take place between </w:t>
      </w:r>
      <w:r w:rsidR="00A022A5">
        <w:rPr>
          <w:sz w:val="24"/>
          <w:szCs w:val="24"/>
        </w:rPr>
        <w:t>similarly minded</w:t>
      </w:r>
      <w:r w:rsidR="002004CE">
        <w:rPr>
          <w:sz w:val="24"/>
          <w:szCs w:val="24"/>
        </w:rPr>
        <w:t xml:space="preserve"> individuals, both of whom can simultaneously contribute to one another’s institutional missions without significantly threatening the distinctive identity</w:t>
      </w:r>
      <w:r w:rsidR="003312F2">
        <w:rPr>
          <w:sz w:val="24"/>
          <w:szCs w:val="24"/>
        </w:rPr>
        <w:t xml:space="preserve"> and core boundaries</w:t>
      </w:r>
      <w:r w:rsidR="002004CE">
        <w:rPr>
          <w:sz w:val="24"/>
          <w:szCs w:val="24"/>
        </w:rPr>
        <w:t xml:space="preserve"> of either </w:t>
      </w:r>
      <w:r w:rsidR="003312F2">
        <w:rPr>
          <w:sz w:val="24"/>
          <w:szCs w:val="24"/>
        </w:rPr>
        <w:t>institution/mission.</w:t>
      </w:r>
      <w:r w:rsidR="002004CE">
        <w:rPr>
          <w:sz w:val="24"/>
          <w:szCs w:val="24"/>
        </w:rPr>
        <w:t xml:space="preserve"> </w:t>
      </w:r>
    </w:p>
    <w:p w14:paraId="60F428F4" w14:textId="6C54E152" w:rsidR="00E950A2" w:rsidRDefault="00CB7EE2" w:rsidP="00574251">
      <w:pPr>
        <w:pStyle w:val="Heading3"/>
      </w:pPr>
      <w:bookmarkStart w:id="207" w:name="_Toc31701988"/>
      <w:r>
        <w:t xml:space="preserve">Epistemic context </w:t>
      </w:r>
      <w:r w:rsidR="0044687A">
        <w:t>(</w:t>
      </w:r>
      <w:r>
        <w:t>r</w:t>
      </w:r>
      <w:r w:rsidR="00E950A2">
        <w:t xml:space="preserve">esearch </w:t>
      </w:r>
      <w:r>
        <w:t>o</w:t>
      </w:r>
      <w:r w:rsidR="00E950A2">
        <w:t>rientation</w:t>
      </w:r>
      <w:r w:rsidR="0044687A">
        <w:t>)</w:t>
      </w:r>
      <w:r w:rsidR="00612C73">
        <w:t xml:space="preserve">: </w:t>
      </w:r>
      <w:r w:rsidR="00956654">
        <w:t xml:space="preserve">various </w:t>
      </w:r>
      <w:r w:rsidR="00417E65">
        <w:t xml:space="preserve">systems of knowledge </w:t>
      </w:r>
      <w:r w:rsidR="00400C25">
        <w:t>(</w:t>
      </w:r>
      <w:r w:rsidR="00417E65">
        <w:t>production</w:t>
      </w:r>
      <w:r w:rsidR="00400C25">
        <w:t>)</w:t>
      </w:r>
      <w:bookmarkEnd w:id="207"/>
    </w:p>
    <w:p w14:paraId="552F1C55" w14:textId="52DAEF3B" w:rsidR="00A12F2A" w:rsidRDefault="00C90B09" w:rsidP="00C15EBD">
      <w:pPr>
        <w:spacing w:before="120" w:after="120" w:line="360" w:lineRule="auto"/>
        <w:rPr>
          <w:sz w:val="24"/>
          <w:szCs w:val="24"/>
        </w:rPr>
      </w:pPr>
      <w:r>
        <w:rPr>
          <w:sz w:val="24"/>
          <w:szCs w:val="24"/>
        </w:rPr>
        <w:t xml:space="preserve">The </w:t>
      </w:r>
      <w:r>
        <w:rPr>
          <w:i/>
          <w:sz w:val="24"/>
          <w:szCs w:val="24"/>
        </w:rPr>
        <w:t xml:space="preserve">research </w:t>
      </w:r>
      <w:r w:rsidRPr="00C90B09">
        <w:rPr>
          <w:i/>
          <w:sz w:val="24"/>
          <w:szCs w:val="24"/>
        </w:rPr>
        <w:t>orientation</w:t>
      </w:r>
      <w:r>
        <w:rPr>
          <w:sz w:val="24"/>
          <w:szCs w:val="24"/>
        </w:rPr>
        <w:t xml:space="preserve"> dimension is different to the other two, </w:t>
      </w:r>
      <w:r>
        <w:rPr>
          <w:i/>
          <w:sz w:val="24"/>
          <w:szCs w:val="24"/>
        </w:rPr>
        <w:t xml:space="preserve">departmental status </w:t>
      </w:r>
      <w:r>
        <w:rPr>
          <w:sz w:val="24"/>
          <w:szCs w:val="24"/>
        </w:rPr>
        <w:t xml:space="preserve">and </w:t>
      </w:r>
      <w:r>
        <w:rPr>
          <w:i/>
          <w:sz w:val="24"/>
          <w:szCs w:val="24"/>
        </w:rPr>
        <w:t>branch of science</w:t>
      </w:r>
      <w:r>
        <w:rPr>
          <w:sz w:val="24"/>
          <w:szCs w:val="24"/>
        </w:rPr>
        <w:t xml:space="preserve">, in that the latter two are more solidly grounded in an external reality: departmental status is grounded in </w:t>
      </w:r>
      <w:r w:rsidR="005106EB">
        <w:rPr>
          <w:sz w:val="24"/>
          <w:szCs w:val="24"/>
        </w:rPr>
        <w:t>the reality of institutional</w:t>
      </w:r>
      <w:r>
        <w:rPr>
          <w:sz w:val="24"/>
          <w:szCs w:val="24"/>
        </w:rPr>
        <w:t xml:space="preserve"> hierarchies</w:t>
      </w:r>
      <w:r w:rsidR="005106EB">
        <w:rPr>
          <w:sz w:val="24"/>
          <w:szCs w:val="24"/>
        </w:rPr>
        <w:t xml:space="preserve"> (Boliver, 2015)</w:t>
      </w:r>
      <w:r>
        <w:rPr>
          <w:sz w:val="24"/>
          <w:szCs w:val="24"/>
        </w:rPr>
        <w:t>, while branches of science are grounded in their focus on distinct phenomena (that is, distinct objects of study)</w:t>
      </w:r>
      <w:r w:rsidR="005106EB">
        <w:rPr>
          <w:sz w:val="24"/>
          <w:szCs w:val="24"/>
        </w:rPr>
        <w:t xml:space="preserve"> (Bernstein, 2000; Young, 2008)</w:t>
      </w:r>
      <w:r>
        <w:rPr>
          <w:sz w:val="24"/>
          <w:szCs w:val="24"/>
        </w:rPr>
        <w:t xml:space="preserve">. By contrast, </w:t>
      </w:r>
      <w:r>
        <w:rPr>
          <w:i/>
          <w:sz w:val="24"/>
          <w:szCs w:val="24"/>
        </w:rPr>
        <w:t xml:space="preserve">orientation </w:t>
      </w:r>
      <w:r>
        <w:rPr>
          <w:sz w:val="24"/>
          <w:szCs w:val="24"/>
        </w:rPr>
        <w:t xml:space="preserve">to knowledge is </w:t>
      </w:r>
      <w:r w:rsidR="008A1BF7">
        <w:rPr>
          <w:sz w:val="24"/>
          <w:szCs w:val="24"/>
        </w:rPr>
        <w:t>a looser</w:t>
      </w:r>
      <w:r>
        <w:rPr>
          <w:sz w:val="24"/>
          <w:szCs w:val="24"/>
        </w:rPr>
        <w:t xml:space="preserve"> concept</w:t>
      </w:r>
      <w:r w:rsidR="007C174F">
        <w:rPr>
          <w:sz w:val="24"/>
          <w:szCs w:val="24"/>
        </w:rPr>
        <w:t xml:space="preserve">. Research in all disciplines can shift quite rapidly from being focused on ‘understanding’ (Basic science) to ‘use’ (Applied science), with an increasing </w:t>
      </w:r>
      <w:r w:rsidR="00A022A5">
        <w:rPr>
          <w:sz w:val="24"/>
          <w:szCs w:val="24"/>
        </w:rPr>
        <w:t>number</w:t>
      </w:r>
      <w:r w:rsidR="007C174F">
        <w:rPr>
          <w:sz w:val="24"/>
          <w:szCs w:val="24"/>
        </w:rPr>
        <w:t xml:space="preserve"> of researchers self-defining their work as having elements of both (Hughes et al., 2016; Stokes, 1997). Hard distinctions quickly break down. Although disciplines such as mathematics, physics, chemistry and biology may still</w:t>
      </w:r>
      <w:r w:rsidR="00DE4B52">
        <w:rPr>
          <w:sz w:val="24"/>
          <w:szCs w:val="24"/>
        </w:rPr>
        <w:t>, in general,</w:t>
      </w:r>
      <w:r w:rsidR="007C174F">
        <w:rPr>
          <w:sz w:val="24"/>
          <w:szCs w:val="24"/>
        </w:rPr>
        <w:t xml:space="preserve"> be considered Basic </w:t>
      </w:r>
      <w:r w:rsidR="00DE4B52">
        <w:rPr>
          <w:sz w:val="24"/>
          <w:szCs w:val="24"/>
        </w:rPr>
        <w:t>disciplines</w:t>
      </w:r>
      <w:r w:rsidR="007C174F">
        <w:rPr>
          <w:sz w:val="24"/>
          <w:szCs w:val="24"/>
        </w:rPr>
        <w:t xml:space="preserve">, this categorisation </w:t>
      </w:r>
      <w:r w:rsidR="00B92706">
        <w:rPr>
          <w:sz w:val="24"/>
          <w:szCs w:val="24"/>
        </w:rPr>
        <w:t>may</w:t>
      </w:r>
      <w:r w:rsidR="007C174F">
        <w:rPr>
          <w:sz w:val="24"/>
          <w:szCs w:val="24"/>
        </w:rPr>
        <w:t xml:space="preserve"> not accurately depict much of the research conducted by mathematicians, physicists</w:t>
      </w:r>
      <w:r w:rsidR="00893592">
        <w:rPr>
          <w:sz w:val="24"/>
          <w:szCs w:val="24"/>
        </w:rPr>
        <w:t>, chemists and biologists</w:t>
      </w:r>
      <w:r w:rsidR="007C174F">
        <w:rPr>
          <w:sz w:val="24"/>
          <w:szCs w:val="24"/>
        </w:rPr>
        <w:t xml:space="preserve">, which </w:t>
      </w:r>
      <w:r w:rsidR="00FB662A">
        <w:rPr>
          <w:sz w:val="24"/>
          <w:szCs w:val="24"/>
        </w:rPr>
        <w:t>is often use-oriented</w:t>
      </w:r>
      <w:r w:rsidR="007C174F">
        <w:rPr>
          <w:sz w:val="24"/>
          <w:szCs w:val="24"/>
        </w:rPr>
        <w:t xml:space="preserve">. Similarly, Applied </w:t>
      </w:r>
      <w:r w:rsidR="003555B1">
        <w:rPr>
          <w:sz w:val="24"/>
          <w:szCs w:val="24"/>
        </w:rPr>
        <w:t>disciplines</w:t>
      </w:r>
      <w:r w:rsidR="007C174F">
        <w:rPr>
          <w:sz w:val="24"/>
          <w:szCs w:val="24"/>
        </w:rPr>
        <w:t xml:space="preserve">, such as medicine and </w:t>
      </w:r>
      <w:r w:rsidR="0074576D">
        <w:rPr>
          <w:sz w:val="24"/>
          <w:szCs w:val="24"/>
        </w:rPr>
        <w:t xml:space="preserve">computer science, may necessitate advances in fundamental and abstract understanding, say in life systems and in logic. </w:t>
      </w:r>
      <w:r w:rsidR="004E2AB2">
        <w:rPr>
          <w:sz w:val="24"/>
          <w:szCs w:val="24"/>
        </w:rPr>
        <w:t>R</w:t>
      </w:r>
      <w:r w:rsidR="0074576D">
        <w:rPr>
          <w:sz w:val="24"/>
          <w:szCs w:val="24"/>
        </w:rPr>
        <w:t>ecognising the imperfect and heuristic nature of the</w:t>
      </w:r>
      <w:r w:rsidR="00A12F2A">
        <w:rPr>
          <w:sz w:val="24"/>
          <w:szCs w:val="24"/>
        </w:rPr>
        <w:t>se</w:t>
      </w:r>
      <w:r w:rsidR="0074576D">
        <w:rPr>
          <w:sz w:val="24"/>
          <w:szCs w:val="24"/>
        </w:rPr>
        <w:t xml:space="preserve"> categorisations</w:t>
      </w:r>
      <w:r w:rsidR="004E2AB2">
        <w:rPr>
          <w:sz w:val="24"/>
          <w:szCs w:val="24"/>
        </w:rPr>
        <w:t>,</w:t>
      </w:r>
      <w:r w:rsidR="0074576D">
        <w:rPr>
          <w:sz w:val="24"/>
          <w:szCs w:val="24"/>
        </w:rPr>
        <w:t xml:space="preserve"> </w:t>
      </w:r>
      <w:r w:rsidR="004E2AB2">
        <w:rPr>
          <w:sz w:val="24"/>
          <w:szCs w:val="24"/>
        </w:rPr>
        <w:t xml:space="preserve">my analysis will </w:t>
      </w:r>
      <w:r w:rsidR="00A12F2A">
        <w:rPr>
          <w:sz w:val="24"/>
          <w:szCs w:val="24"/>
        </w:rPr>
        <w:t xml:space="preserve">treat the </w:t>
      </w:r>
      <w:r w:rsidR="00F06744">
        <w:rPr>
          <w:sz w:val="24"/>
          <w:szCs w:val="24"/>
        </w:rPr>
        <w:t>identifi</w:t>
      </w:r>
      <w:r w:rsidR="00A12F2A">
        <w:rPr>
          <w:sz w:val="24"/>
          <w:szCs w:val="24"/>
        </w:rPr>
        <w:t>ed variations</w:t>
      </w:r>
      <w:r w:rsidR="00F44585">
        <w:rPr>
          <w:sz w:val="24"/>
          <w:szCs w:val="24"/>
        </w:rPr>
        <w:t xml:space="preserve"> between BoRs from Basic, Applied and Basic/Applied disciplines</w:t>
      </w:r>
      <w:r w:rsidR="00A12F2A">
        <w:rPr>
          <w:sz w:val="24"/>
          <w:szCs w:val="24"/>
        </w:rPr>
        <w:t xml:space="preserve"> as indications of different systems</w:t>
      </w:r>
      <w:r w:rsidR="00FD658C">
        <w:rPr>
          <w:sz w:val="24"/>
          <w:szCs w:val="24"/>
        </w:rPr>
        <w:t xml:space="preserve"> or regimes</w:t>
      </w:r>
      <w:r w:rsidR="00A12F2A">
        <w:rPr>
          <w:sz w:val="24"/>
          <w:szCs w:val="24"/>
        </w:rPr>
        <w:t xml:space="preserve"> of knowledge </w:t>
      </w:r>
      <w:r w:rsidR="00FD658C">
        <w:rPr>
          <w:sz w:val="24"/>
          <w:szCs w:val="24"/>
        </w:rPr>
        <w:t>(</w:t>
      </w:r>
      <w:r w:rsidR="00A12F2A">
        <w:rPr>
          <w:sz w:val="24"/>
          <w:szCs w:val="24"/>
        </w:rPr>
        <w:t>production</w:t>
      </w:r>
      <w:r w:rsidR="00FD658C">
        <w:rPr>
          <w:sz w:val="24"/>
          <w:szCs w:val="24"/>
        </w:rPr>
        <w:t>)</w:t>
      </w:r>
      <w:r w:rsidR="00A12F2A">
        <w:rPr>
          <w:sz w:val="24"/>
          <w:szCs w:val="24"/>
        </w:rPr>
        <w:t xml:space="preserve"> within which </w:t>
      </w:r>
      <w:r w:rsidR="00FD658C">
        <w:rPr>
          <w:sz w:val="24"/>
          <w:szCs w:val="24"/>
        </w:rPr>
        <w:t xml:space="preserve">universities </w:t>
      </w:r>
      <w:r w:rsidR="00A12F2A">
        <w:rPr>
          <w:sz w:val="24"/>
          <w:szCs w:val="24"/>
        </w:rPr>
        <w:t>function</w:t>
      </w:r>
      <w:r w:rsidR="00FD658C">
        <w:rPr>
          <w:sz w:val="24"/>
          <w:szCs w:val="24"/>
        </w:rPr>
        <w:t>, with different implications for academic boundaries</w:t>
      </w:r>
      <w:r w:rsidR="00A12F2A">
        <w:rPr>
          <w:sz w:val="24"/>
          <w:szCs w:val="24"/>
        </w:rPr>
        <w:t xml:space="preserve">. Specifically, I will show that: </w:t>
      </w:r>
    </w:p>
    <w:p w14:paraId="0F9ABB30" w14:textId="77777777" w:rsidR="00A12F2A" w:rsidRDefault="00A12F2A" w:rsidP="00A17598">
      <w:pPr>
        <w:pStyle w:val="ListParagraph"/>
        <w:numPr>
          <w:ilvl w:val="0"/>
          <w:numId w:val="4"/>
        </w:numPr>
        <w:spacing w:before="120" w:after="120" w:line="360" w:lineRule="auto"/>
        <w:rPr>
          <w:sz w:val="24"/>
          <w:szCs w:val="24"/>
        </w:rPr>
      </w:pPr>
      <w:r w:rsidRPr="00A12F2A">
        <w:rPr>
          <w:sz w:val="24"/>
          <w:szCs w:val="24"/>
        </w:rPr>
        <w:t xml:space="preserve">the </w:t>
      </w:r>
      <w:r w:rsidR="00E101C8" w:rsidRPr="00A12F2A">
        <w:rPr>
          <w:sz w:val="24"/>
          <w:szCs w:val="24"/>
        </w:rPr>
        <w:t xml:space="preserve">Applied disciplines </w:t>
      </w:r>
      <w:r w:rsidRPr="00A12F2A">
        <w:rPr>
          <w:sz w:val="24"/>
          <w:szCs w:val="24"/>
        </w:rPr>
        <w:t>in my sample highlight universities’ position in a</w:t>
      </w:r>
      <w:r w:rsidR="00E101C8" w:rsidRPr="00A12F2A">
        <w:rPr>
          <w:sz w:val="24"/>
          <w:szCs w:val="24"/>
        </w:rPr>
        <w:t xml:space="preserve"> </w:t>
      </w:r>
      <w:r w:rsidR="00554E3E" w:rsidRPr="00A12F2A">
        <w:rPr>
          <w:sz w:val="24"/>
          <w:szCs w:val="24"/>
        </w:rPr>
        <w:t>‘Mode 2’</w:t>
      </w:r>
      <w:r w:rsidRPr="00A12F2A">
        <w:rPr>
          <w:sz w:val="24"/>
          <w:szCs w:val="24"/>
        </w:rPr>
        <w:t xml:space="preserve"> system of knowledge production which tends towards a</w:t>
      </w:r>
      <w:r w:rsidR="00554E3E" w:rsidRPr="00A12F2A">
        <w:rPr>
          <w:sz w:val="24"/>
          <w:szCs w:val="24"/>
        </w:rPr>
        <w:t xml:space="preserve"> ‘post-academic’ </w:t>
      </w:r>
      <w:r w:rsidRPr="00A12F2A">
        <w:rPr>
          <w:sz w:val="24"/>
          <w:szCs w:val="24"/>
        </w:rPr>
        <w:t xml:space="preserve">science, </w:t>
      </w:r>
      <w:r w:rsidR="00554E3E" w:rsidRPr="00A12F2A">
        <w:rPr>
          <w:sz w:val="24"/>
          <w:szCs w:val="24"/>
        </w:rPr>
        <w:t xml:space="preserve">which sees </w:t>
      </w:r>
      <w:r w:rsidR="00380242" w:rsidRPr="00A12F2A">
        <w:rPr>
          <w:sz w:val="24"/>
          <w:szCs w:val="24"/>
        </w:rPr>
        <w:t>an increasing number of academics being incentivised to apply their scientific and problem-solving expertise to</w:t>
      </w:r>
      <w:r w:rsidR="00554E3E" w:rsidRPr="00A12F2A">
        <w:rPr>
          <w:sz w:val="24"/>
          <w:szCs w:val="24"/>
        </w:rPr>
        <w:t xml:space="preserve"> localised contexts to generate specific outcomes for specific actors (Gibbons et al., 1994; Ziman, 1996); </w:t>
      </w:r>
    </w:p>
    <w:p w14:paraId="08D0083F" w14:textId="77777777" w:rsidR="00C124B7" w:rsidRDefault="00A12F2A" w:rsidP="00A17598">
      <w:pPr>
        <w:pStyle w:val="ListParagraph"/>
        <w:numPr>
          <w:ilvl w:val="0"/>
          <w:numId w:val="4"/>
        </w:numPr>
        <w:spacing w:before="120" w:after="120" w:line="360" w:lineRule="auto"/>
        <w:rPr>
          <w:sz w:val="24"/>
          <w:szCs w:val="24"/>
        </w:rPr>
      </w:pPr>
      <w:r>
        <w:rPr>
          <w:sz w:val="24"/>
          <w:szCs w:val="24"/>
        </w:rPr>
        <w:t xml:space="preserve">the </w:t>
      </w:r>
      <w:r w:rsidR="00554E3E" w:rsidRPr="00A12F2A">
        <w:rPr>
          <w:sz w:val="24"/>
          <w:szCs w:val="24"/>
        </w:rPr>
        <w:t>Basic disciplines</w:t>
      </w:r>
      <w:r>
        <w:rPr>
          <w:sz w:val="24"/>
          <w:szCs w:val="24"/>
        </w:rPr>
        <w:t xml:space="preserve"> in my sample highlight universities’ </w:t>
      </w:r>
      <w:r w:rsidR="00C124B7">
        <w:rPr>
          <w:sz w:val="24"/>
          <w:szCs w:val="24"/>
        </w:rPr>
        <w:t>participation in</w:t>
      </w:r>
      <w:r w:rsidR="00554E3E" w:rsidRPr="00A12F2A">
        <w:rPr>
          <w:sz w:val="24"/>
          <w:szCs w:val="24"/>
        </w:rPr>
        <w:t xml:space="preserve"> a broader ‘technoscientific’ system in which academic research is a factor of the success of national and international efforts to mobilise science and technology for broad political agendas</w:t>
      </w:r>
      <w:r w:rsidR="00C124B7">
        <w:rPr>
          <w:sz w:val="24"/>
          <w:szCs w:val="24"/>
        </w:rPr>
        <w:t>, for example those</w:t>
      </w:r>
      <w:r w:rsidR="00554E3E" w:rsidRPr="00A12F2A">
        <w:rPr>
          <w:sz w:val="24"/>
          <w:szCs w:val="24"/>
        </w:rPr>
        <w:t xml:space="preserve"> associated with national security and economic competitiveness </w:t>
      </w:r>
      <w:r w:rsidR="00554E3E" w:rsidRPr="00A12F2A">
        <w:rPr>
          <w:color w:val="000000"/>
          <w:sz w:val="24"/>
          <w:szCs w:val="24"/>
        </w:rPr>
        <w:fldChar w:fldCharType="begin">
          <w:fldData xml:space="preserve">PEVuZE5vdGU+PENpdGU+PEF1dGhvcj5aaW1hbjwvQXV0aG9yPjxZZWFyPjE5OTY8L1llYXI+PElE
VGV4dD5TY2llbmNlIFN0dWRpZXMgZnJvbSBQb2xlIHRvIFBvbGU6IEEgSG9va2VyLVJlc3Rpdm8g
Q29ubmVjdGlvbj8gKEJvb2sgUmV2aWV3KTwvSURUZXh0PjxQYWdlcz4zMTM8L1BhZ2VzPjxEaXNw
bGF5VGV4dD4oTGF0b3VyLCAxOTg3LCBwLiAxNjI7IExleWRlc2RvcmZmLCAyMDEyLCBwLiAzMjsg
U2xhdWdodGVyIGV0IGFsLiwgMjAwMiwgcC4gMjg2OyBaaW1hbiwgMTk5NmIsIHAuIDMxMyk8L0Rp
c3BsYXlUZXh0PjxyZWNvcmQ+PGtleXdvcmRzPjxrZXl3b3JkPkVkdWNhdGlvbjwva2V5d29yZD48
a2V5d29yZD5Tb2NpYWwgU2NpZW5jZXMgKEdlbmVyYWwpPC9rZXl3b3JkPjxrZXl3b3JkPlNjaWVu
Y2VzIChHZW5lcmFsKTwva2V5d29yZD48L2tleXdvcmRzPjxpc2JuPjAwMjY0Njk1PC9pc2JuPjx0
aXRsZXM+PHRpdGxlPlNjaWVuY2UgU3R1ZGllcyBmcm9tIFBvbGUgdG8gUG9sZTogQSBIb29rZXIt
UmVzdGl2byBDb25uZWN0aW9uPyAoQm9vayBSZXZpZXcpPC90aXRsZT48L3RpdGxlcz48cGFnZXM+
MzA5LTMxNDwvcGFnZXM+PGNvbnRyaWJ1dG9ycz48YXV0aG9ycz48YXV0aG9yPlppbWFuLCBKLiBN
LjwvYXV0aG9yPjwvYXV0aG9ycz48L2NvbnRyaWJ1dG9ycz48YWRkZWQtZGF0ZSBmb3JtYXQ9InV0
YyI+MTU0MjgwODYzNTwvYWRkZWQtZGF0ZT48cmVmLXR5cGUgbmFtZT0iSm91cm5hbCBBcnRpY2xl
Ij4xNzwvcmVmLXR5cGU+PGRhdGVzPjx5ZWFyPjE5OTY8L3llYXI+PC9kYXRlcz48cmVjLW51bWJl
cj43NjgwPC9yZWMtbnVtYmVyPjxsYXN0LXVwZGF0ZWQtZGF0ZSBmb3JtYXQ9InV0YyI+MTU0Mjgx
MjQzNzwvbGFzdC11cGRhdGVkLWRhdGU+PHZvbHVtZT4zNDwvdm9sdW1lPjwvcmVjb3JkPjwvQ2l0
ZT48Q2l0ZT48QXV0aG9yPkxhdG91cjwvQXV0aG9yPjxZZWFyPjE5ODc8L1llYXI+PElEVGV4dD5T
Y2llbmNlIGluIGFjdGlvbjogaG93IHRvIGZvbGxvdyBzY2llbnRpc3RzIGFuZCBlbmdpbmVlcnMg
dGhyb3VnaCBzb2NpZXR5PC9JRFRleHQ+PFBhZ2VzPjE2MjwvUGFnZXM+PHJlY29yZD48a2V5d29y
ZHM+PGtleXdvcmQ+U2NpZW5jZSAtLSBTb2NpYWwgYXNwZWN0czwva2V5d29yZD48a2V5d29yZD5U
ZWNobm9sb2d5IC0tIFNvY2lhbCBhc3BlY3RzPC9rZXl3b3JkPjxrZXl3b3JkPlNjaWVuY2UgLS0g
SGlzdG9yeTwva2V5d29yZD48a2V5d29yZD5TY2llbmNlIC0tIFBoaWxvc29waHk8L2tleXdvcmQ+
PGtleXdvcmQ+Tm9ybWFsIHNjaWVuY2U8L2tleXdvcmQ+PGtleXdvcmQ+UGhpbG9zb3BoeSBvZiBz
Y2llbmNlPC9rZXl3b3JkPjxrZXl3b3JkPlNjaWVuY2UgYW5kIHNvY2lldHk8L2tleXdvcmQ+PGtl
eXdvcmQ+U29jaW9sb2d5IG9mIHNjaWVuY2U8L2tleXdvcmQ+PC9rZXl3b3Jkcz48dGl0bGVzPjx0
aXRsZT5TY2llbmNlIGluIGFjdGlvbjogaG93IHRvIGZvbGxvdyBzY2llbnRpc3RzIGFuZCBlbmdp
bmVlcnMgdGhyb3VnaCBzb2NpZXR5PC90aXRsZT48L3RpdGxlcz48Y29udHJpYnV0b3JzPjxhdXRo
b3JzPjxhdXRob3I+TGF0b3VyLCBCcnVubzwvYXV0aG9yPjwvYXV0aG9ycz48L2NvbnRyaWJ1dG9y
cz48YWRkZWQtZGF0ZSBmb3JtYXQ9InV0YyI+MTU0MjgyNzY1MzwvYWRkZWQtZGF0ZT48cHViLWxv
Y2F0aW9uPkNhbWJyaWRnZSwgTWFzcy48L3B1Yi1sb2NhdGlvbj48cmVmLXR5cGUgbmFtZT0iQm9v
ayI+NjwvcmVmLXR5cGU+PGRhdGVzPjx5ZWFyPjE5ODc8L3llYXI+PC9kYXRlcz48cmVjLW51bWJl
cj43Njg0PC9yZWMtbnVtYmVyPjxwdWJsaXNoZXI+SGFydmFyZCBVbml2ZXJzaXR5IFByZXNzPC9w
dWJsaXNoZXI+PGxhc3QtdXBkYXRlZC1kYXRlIGZvcm1hdD0idXRjIj4xNTQyODI3Njc2PC9sYXN0
LXVwZGF0ZWQtZGF0ZT48L3JlY29yZD48L0NpdGU+PENpdGU+PEF1dGhvcj5MZXlkZXNkb3JmZjwv
QXV0aG9yPjxZZWFyPjIwMTI8L1llYXI+PElEVGV4dD5UaGUgVHJpcGxlIEhlbGl4LCBRdWFkcnVw
bGUgSGVsaXgsIOKApiwgYW5kIGFuIE4gLVR1cGxlIG9mIEhlbGljZXM6IEV4cGxhbmF0b3J5IE1v
ZGVscyBmb3IgQW5hbHl6aW5nIHRoZSBLbm93bGVkZ2UtQmFzZWQgRWNvbm9teT88L0lEVGV4dD48
UGFnZXM+MzI8L1BhZ2VzPjxyZWNvcmQ+PGtleXdvcmRzPjxrZXl3b3JkPlRyaXBsZSBIZWxpeDwv
a2V5d29yZD48a2V5d29yZD4tVHVwbGUgaGVsaWNlczwva2V5d29yZD48a2V5d29yZD5Jbm5vdmF0
aW9uIHN5c3RlbTwva2V5d29yZD48a2V5d29yZD5PdmVybGF5PC9rZXl3b3JkPjxrZXl3b3JkPk1v
ZGVsPC9rZXl3b3JkPjxrZXl3b3JkPk1lYXN1cmVtZW50PC9rZXl3b3JkPjwva2V5d29yZHM+PGlz
Ym4+MTg2OC03ODY1PC9pc2JuPjx0aXRsZXM+PHRpdGxlPlRoZSBUcmlwbGUgSGVsaXgsIFF1YWRy
dXBsZSBIZWxpeCwg4oCmLCBhbmQgYW4gTiAtVHVwbGUgb2YgSGVsaWNlczogRXhwbGFuYXRvcnkg
TW9kZWxzIGZvciBBbmFseXppbmcgdGhlIEtub3dsZWRnZS1CYXNlZCBFY29ub215PzwvdGl0bGU+
PHNlY29uZGFyeS10aXRsZT5Kb3VybmFsIG9mIHRoZSBLbm93bGVkZ2UgRWNvbm9teTwvc2Vjb25k
YXJ5LXRpdGxlPjwvdGl0bGVzPjxwYWdlcz4yNS0zNTwvcGFnZXM+PG51bWJlcj4xPC9udW1iZXI+
PGNvbnRyaWJ1dG9ycz48YXV0aG9ycz48YXV0aG9yPkxleWRlc2RvcmZmLCBMb2V0PC9hdXRob3I+
PC9hdXRob3JzPjwvY29udHJpYnV0b3JzPjxhZGRlZC1kYXRlIGZvcm1hdD0idXRjIj4xNTQ1MzE4
ODU5PC9hZGRlZC1kYXRlPjxwdWItbG9jYXRpb24+Qm9zdG9uPC9wdWItbG9jYXRpb24+PHJlZi10
eXBlIG5hbWU9IkpvdXJuYWwgQXJ0aWNsZSI+MTc8L3JlZi10eXBlPjxkYXRlcz48eWVhcj4yMDEy
PC95ZWFyPjwvZGF0ZXM+PHJlYy1udW1iZXI+NzY5MzwvcmVjLW51bWJlcj48bGFzdC11cGRhdGVk
LWRhdGUgZm9ybWF0PSJ1dGMiPjE1NDUzMTg4NTk8L2xhc3QtdXBkYXRlZC1kYXRlPjxlbGVjdHJv
bmljLXJlc291cmNlLW51bT4xMC4xMDA3L3MxMzEzMi0wMTEtMDA0OS00PC9lbGVjdHJvbmljLXJl
c291cmNlLW51bT48dm9sdW1lPjM8L3ZvbHVtZT48L3JlY29yZD48L0NpdGU+PENpdGU+PEF1dGhv
cj5TbGF1Z2h0ZXI8L0F1dGhvcj48WWVhcj4yMDAyPC9ZZWFyPjxJRFRleHQ+VGhlIOKAnCBUcmFm
Zmlj4oCdIGluIEdyYWR1YXRlIFN0dWRlbnRzOiBHcmFkdWF0ZSBTdHVkZW50cyBhcyBUb2tlbnMg
b2YgRXhjaGFuZ2UgYmV0d2VlbiBBY2FkZW1lIGFuZCBJbmR1c3RyeTwvSURUZXh0PjxQYWdlcz4y
ODY8L1BhZ2VzPjxyZWNvcmQ+PGtleXdvcmRzPjxrZXl3b3JkPlNjaWVuY2VzIChHZW5lcmFsKTwv
a2V5d29yZD48L2tleXdvcmRzPjxpc2JuPjAxNjItMjQzOTwvaXNibj48dGl0bGVzPjx0aXRsZT5U
aGUg4oCcIFRyYWZmaWPigJ0gaW4gR3JhZHVhdGUgU3R1ZGVudHM6IEdyYWR1YXRlIFN0dWRlbnRz
IGFzIFRva2VucyBvZiBFeGNoYW5nZSBiZXR3ZWVuIEFjYWRlbWUgYW5kIEluZHVzdHJ5PC90aXRs
ZT48c2Vjb25kYXJ5LXRpdGxlPlNjaWVuY2UsIFRlY2hub2xvZ3ksICZhbXA7IEh1bWFuIFZhbHVl
czwvc2Vjb25kYXJ5LXRpdGxlPjwvdGl0bGVzPjxwYWdlcz4yODItMzEyPC9wYWdlcz48bnVtYmVy
PjI8L251bWJlcj48Y29udHJpYnV0b3JzPjxhdXRob3JzPjxhdXRob3I+U2xhdWdodGVyLCBTaGVp
bGE8L2F1dGhvcj48YXV0aG9yPkNhbXBiZWxsLCBUZXJlc2E8L2F1dGhvcj48YXV0aG9yPkhvbGxl
bWFuLCBNYXJnYXJldDwvYXV0aG9yPjxhdXRob3I+TW9yZ2FuLCBFZHdhcmQ8L2F1dGhvcj48L2F1
dGhvcnM+PC9jb250cmlidXRvcnM+PGFkZGVkLWRhdGUgZm9ybWF0PSJ1dGMiPjE1NDk5OTAzMDY8
L2FkZGVkLWRhdGU+PHB1Yi1sb2NhdGlvbj5UaG91c2FuZCBPYWtzLCBDQTwvcHViLWxvY2F0aW9u
PjxyZWYtdHlwZSBuYW1lPSJKb3VybmFsIEFydGljbGUiPjE3PC9yZWYtdHlwZT48ZGF0ZXM+PHll
YXI+MjAwMjwveWVhcj48L2RhdGVzPjxyZWMtbnVtYmVyPjc3MzY8L3JlYy1udW1iZXI+PGxhc3Qt
dXBkYXRlZC1kYXRlIGZvcm1hdD0idXRjIj4xNTQ5OTkwMzA2PC9sYXN0LXVwZGF0ZWQtZGF0ZT48
ZWxlY3Ryb25pYy1yZXNvdXJjZS1udW0+MTAuMTE3Ny8wMTYyMjQzOTAyMDI3MDAyMDU8L2VsZWN0
cm9uaWMtcmVzb3VyY2UtbnVtPjx2b2x1bWU+Mjc8L3ZvbHVtZT48L3JlY29yZD48L0NpdGU+PC9F
bmROb3RlPn==
</w:fldData>
        </w:fldChar>
      </w:r>
      <w:r w:rsidR="00554E3E" w:rsidRPr="00A12F2A">
        <w:rPr>
          <w:color w:val="000000"/>
          <w:sz w:val="24"/>
          <w:szCs w:val="24"/>
        </w:rPr>
        <w:instrText xml:space="preserve"> ADDIN EN.CITE </w:instrText>
      </w:r>
      <w:r w:rsidR="00554E3E" w:rsidRPr="00A12F2A">
        <w:rPr>
          <w:color w:val="000000"/>
          <w:sz w:val="24"/>
          <w:szCs w:val="24"/>
        </w:rPr>
        <w:fldChar w:fldCharType="begin">
          <w:fldData xml:space="preserve">PEVuZE5vdGU+PENpdGU+PEF1dGhvcj5aaW1hbjwvQXV0aG9yPjxZZWFyPjE5OTY8L1llYXI+PElE
VGV4dD5TY2llbmNlIFN0dWRpZXMgZnJvbSBQb2xlIHRvIFBvbGU6IEEgSG9va2VyLVJlc3Rpdm8g
Q29ubmVjdGlvbj8gKEJvb2sgUmV2aWV3KTwvSURUZXh0PjxQYWdlcz4zMTM8L1BhZ2VzPjxEaXNw
bGF5VGV4dD4oTGF0b3VyLCAxOTg3LCBwLiAxNjI7IExleWRlc2RvcmZmLCAyMDEyLCBwLiAzMjsg
U2xhdWdodGVyIGV0IGFsLiwgMjAwMiwgcC4gMjg2OyBaaW1hbiwgMTk5NmIsIHAuIDMxMyk8L0Rp
c3BsYXlUZXh0PjxyZWNvcmQ+PGtleXdvcmRzPjxrZXl3b3JkPkVkdWNhdGlvbjwva2V5d29yZD48
a2V5d29yZD5Tb2NpYWwgU2NpZW5jZXMgKEdlbmVyYWwpPC9rZXl3b3JkPjxrZXl3b3JkPlNjaWVu
Y2VzIChHZW5lcmFsKTwva2V5d29yZD48L2tleXdvcmRzPjxpc2JuPjAwMjY0Njk1PC9pc2JuPjx0
aXRsZXM+PHRpdGxlPlNjaWVuY2UgU3R1ZGllcyBmcm9tIFBvbGUgdG8gUG9sZTogQSBIb29rZXIt
UmVzdGl2byBDb25uZWN0aW9uPyAoQm9vayBSZXZpZXcpPC90aXRsZT48L3RpdGxlcz48cGFnZXM+
MzA5LTMxNDwvcGFnZXM+PGNvbnRyaWJ1dG9ycz48YXV0aG9ycz48YXV0aG9yPlppbWFuLCBKLiBN
LjwvYXV0aG9yPjwvYXV0aG9ycz48L2NvbnRyaWJ1dG9ycz48YWRkZWQtZGF0ZSBmb3JtYXQ9InV0
YyI+MTU0MjgwODYzNTwvYWRkZWQtZGF0ZT48cmVmLXR5cGUgbmFtZT0iSm91cm5hbCBBcnRpY2xl
Ij4xNzwvcmVmLXR5cGU+PGRhdGVzPjx5ZWFyPjE5OTY8L3llYXI+PC9kYXRlcz48cmVjLW51bWJl
cj43NjgwPC9yZWMtbnVtYmVyPjxsYXN0LXVwZGF0ZWQtZGF0ZSBmb3JtYXQ9InV0YyI+MTU0Mjgx
MjQzNzwvbGFzdC11cGRhdGVkLWRhdGU+PHZvbHVtZT4zNDwvdm9sdW1lPjwvcmVjb3JkPjwvQ2l0
ZT48Q2l0ZT48QXV0aG9yPkxhdG91cjwvQXV0aG9yPjxZZWFyPjE5ODc8L1llYXI+PElEVGV4dD5T
Y2llbmNlIGluIGFjdGlvbjogaG93IHRvIGZvbGxvdyBzY2llbnRpc3RzIGFuZCBlbmdpbmVlcnMg
dGhyb3VnaCBzb2NpZXR5PC9JRFRleHQ+PFBhZ2VzPjE2MjwvUGFnZXM+PHJlY29yZD48a2V5d29y
ZHM+PGtleXdvcmQ+U2NpZW5jZSAtLSBTb2NpYWwgYXNwZWN0czwva2V5d29yZD48a2V5d29yZD5U
ZWNobm9sb2d5IC0tIFNvY2lhbCBhc3BlY3RzPC9rZXl3b3JkPjxrZXl3b3JkPlNjaWVuY2UgLS0g
SGlzdG9yeTwva2V5d29yZD48a2V5d29yZD5TY2llbmNlIC0tIFBoaWxvc29waHk8L2tleXdvcmQ+
PGtleXdvcmQ+Tm9ybWFsIHNjaWVuY2U8L2tleXdvcmQ+PGtleXdvcmQ+UGhpbG9zb3BoeSBvZiBz
Y2llbmNlPC9rZXl3b3JkPjxrZXl3b3JkPlNjaWVuY2UgYW5kIHNvY2lldHk8L2tleXdvcmQ+PGtl
eXdvcmQ+U29jaW9sb2d5IG9mIHNjaWVuY2U8L2tleXdvcmQ+PC9rZXl3b3Jkcz48dGl0bGVzPjx0
aXRsZT5TY2llbmNlIGluIGFjdGlvbjogaG93IHRvIGZvbGxvdyBzY2llbnRpc3RzIGFuZCBlbmdp
bmVlcnMgdGhyb3VnaCBzb2NpZXR5PC90aXRsZT48L3RpdGxlcz48Y29udHJpYnV0b3JzPjxhdXRo
b3JzPjxhdXRob3I+TGF0b3VyLCBCcnVubzwvYXV0aG9yPjwvYXV0aG9ycz48L2NvbnRyaWJ1dG9y
cz48YWRkZWQtZGF0ZSBmb3JtYXQ9InV0YyI+MTU0MjgyNzY1MzwvYWRkZWQtZGF0ZT48cHViLWxv
Y2F0aW9uPkNhbWJyaWRnZSwgTWFzcy48L3B1Yi1sb2NhdGlvbj48cmVmLXR5cGUgbmFtZT0iQm9v
ayI+NjwvcmVmLXR5cGU+PGRhdGVzPjx5ZWFyPjE5ODc8L3llYXI+PC9kYXRlcz48cmVjLW51bWJl
cj43Njg0PC9yZWMtbnVtYmVyPjxwdWJsaXNoZXI+SGFydmFyZCBVbml2ZXJzaXR5IFByZXNzPC9w
dWJsaXNoZXI+PGxhc3QtdXBkYXRlZC1kYXRlIGZvcm1hdD0idXRjIj4xNTQyODI3Njc2PC9sYXN0
LXVwZGF0ZWQtZGF0ZT48L3JlY29yZD48L0NpdGU+PENpdGU+PEF1dGhvcj5MZXlkZXNkb3JmZjwv
QXV0aG9yPjxZZWFyPjIwMTI8L1llYXI+PElEVGV4dD5UaGUgVHJpcGxlIEhlbGl4LCBRdWFkcnVw
bGUgSGVsaXgsIOKApiwgYW5kIGFuIE4gLVR1cGxlIG9mIEhlbGljZXM6IEV4cGxhbmF0b3J5IE1v
ZGVscyBmb3IgQW5hbHl6aW5nIHRoZSBLbm93bGVkZ2UtQmFzZWQgRWNvbm9teT88L0lEVGV4dD48
UGFnZXM+MzI8L1BhZ2VzPjxyZWNvcmQ+PGtleXdvcmRzPjxrZXl3b3JkPlRyaXBsZSBIZWxpeDwv
a2V5d29yZD48a2V5d29yZD4tVHVwbGUgaGVsaWNlczwva2V5d29yZD48a2V5d29yZD5Jbm5vdmF0
aW9uIHN5c3RlbTwva2V5d29yZD48a2V5d29yZD5PdmVybGF5PC9rZXl3b3JkPjxrZXl3b3JkPk1v
ZGVsPC9rZXl3b3JkPjxrZXl3b3JkPk1lYXN1cmVtZW50PC9rZXl3b3JkPjwva2V5d29yZHM+PGlz
Ym4+MTg2OC03ODY1PC9pc2JuPjx0aXRsZXM+PHRpdGxlPlRoZSBUcmlwbGUgSGVsaXgsIFF1YWRy
dXBsZSBIZWxpeCwg4oCmLCBhbmQgYW4gTiAtVHVwbGUgb2YgSGVsaWNlczogRXhwbGFuYXRvcnkg
TW9kZWxzIGZvciBBbmFseXppbmcgdGhlIEtub3dsZWRnZS1CYXNlZCBFY29ub215PzwvdGl0bGU+
PHNlY29uZGFyeS10aXRsZT5Kb3VybmFsIG9mIHRoZSBLbm93bGVkZ2UgRWNvbm9teTwvc2Vjb25k
YXJ5LXRpdGxlPjwvdGl0bGVzPjxwYWdlcz4yNS0zNTwvcGFnZXM+PG51bWJlcj4xPC9udW1iZXI+
PGNvbnRyaWJ1dG9ycz48YXV0aG9ycz48YXV0aG9yPkxleWRlc2RvcmZmLCBMb2V0PC9hdXRob3I+
PC9hdXRob3JzPjwvY29udHJpYnV0b3JzPjxhZGRlZC1kYXRlIGZvcm1hdD0idXRjIj4xNTQ1MzE4
ODU5PC9hZGRlZC1kYXRlPjxwdWItbG9jYXRpb24+Qm9zdG9uPC9wdWItbG9jYXRpb24+PHJlZi10
eXBlIG5hbWU9IkpvdXJuYWwgQXJ0aWNsZSI+MTc8L3JlZi10eXBlPjxkYXRlcz48eWVhcj4yMDEy
PC95ZWFyPjwvZGF0ZXM+PHJlYy1udW1iZXI+NzY5MzwvcmVjLW51bWJlcj48bGFzdC11cGRhdGVk
LWRhdGUgZm9ybWF0PSJ1dGMiPjE1NDUzMTg4NTk8L2xhc3QtdXBkYXRlZC1kYXRlPjxlbGVjdHJv
bmljLXJlc291cmNlLW51bT4xMC4xMDA3L3MxMzEzMi0wMTEtMDA0OS00PC9lbGVjdHJvbmljLXJl
c291cmNlLW51bT48dm9sdW1lPjM8L3ZvbHVtZT48L3JlY29yZD48L0NpdGU+PENpdGU+PEF1dGhv
cj5TbGF1Z2h0ZXI8L0F1dGhvcj48WWVhcj4yMDAyPC9ZZWFyPjxJRFRleHQ+VGhlIOKAnCBUcmFm
Zmlj4oCdIGluIEdyYWR1YXRlIFN0dWRlbnRzOiBHcmFkdWF0ZSBTdHVkZW50cyBhcyBUb2tlbnMg
b2YgRXhjaGFuZ2UgYmV0d2VlbiBBY2FkZW1lIGFuZCBJbmR1c3RyeTwvSURUZXh0PjxQYWdlcz4y
ODY8L1BhZ2VzPjxyZWNvcmQ+PGtleXdvcmRzPjxrZXl3b3JkPlNjaWVuY2VzIChHZW5lcmFsKTwv
a2V5d29yZD48L2tleXdvcmRzPjxpc2JuPjAxNjItMjQzOTwvaXNibj48dGl0bGVzPjx0aXRsZT5U
aGUg4oCcIFRyYWZmaWPigJ0gaW4gR3JhZHVhdGUgU3R1ZGVudHM6IEdyYWR1YXRlIFN0dWRlbnRz
IGFzIFRva2VucyBvZiBFeGNoYW5nZSBiZXR3ZWVuIEFjYWRlbWUgYW5kIEluZHVzdHJ5PC90aXRs
ZT48c2Vjb25kYXJ5LXRpdGxlPlNjaWVuY2UsIFRlY2hub2xvZ3ksICZhbXA7IEh1bWFuIFZhbHVl
czwvc2Vjb25kYXJ5LXRpdGxlPjwvdGl0bGVzPjxwYWdlcz4yODItMzEyPC9wYWdlcz48bnVtYmVy
PjI8L251bWJlcj48Y29udHJpYnV0b3JzPjxhdXRob3JzPjxhdXRob3I+U2xhdWdodGVyLCBTaGVp
bGE8L2F1dGhvcj48YXV0aG9yPkNhbXBiZWxsLCBUZXJlc2E8L2F1dGhvcj48YXV0aG9yPkhvbGxl
bWFuLCBNYXJnYXJldDwvYXV0aG9yPjxhdXRob3I+TW9yZ2FuLCBFZHdhcmQ8L2F1dGhvcj48L2F1
dGhvcnM+PC9jb250cmlidXRvcnM+PGFkZGVkLWRhdGUgZm9ybWF0PSJ1dGMiPjE1NDk5OTAzMDY8
L2FkZGVkLWRhdGU+PHB1Yi1sb2NhdGlvbj5UaG91c2FuZCBPYWtzLCBDQTwvcHViLWxvY2F0aW9u
PjxyZWYtdHlwZSBuYW1lPSJKb3VybmFsIEFydGljbGUiPjE3PC9yZWYtdHlwZT48ZGF0ZXM+PHll
YXI+MjAwMjwveWVhcj48L2RhdGVzPjxyZWMtbnVtYmVyPjc3MzY8L3JlYy1udW1iZXI+PGxhc3Qt
dXBkYXRlZC1kYXRlIGZvcm1hdD0idXRjIj4xNTQ5OTkwMzA2PC9sYXN0LXVwZGF0ZWQtZGF0ZT48
ZWxlY3Ryb25pYy1yZXNvdXJjZS1udW0+MTAuMTE3Ny8wMTYyMjQzOTAyMDI3MDAyMDU8L2VsZWN0
cm9uaWMtcmVzb3VyY2UtbnVtPjx2b2x1bWU+Mjc8L3ZvbHVtZT48L3JlY29yZD48L0NpdGU+PC9F
bmROb3RlPn==
</w:fldData>
        </w:fldChar>
      </w:r>
      <w:r w:rsidR="00554E3E" w:rsidRPr="00A12F2A">
        <w:rPr>
          <w:color w:val="000000"/>
          <w:sz w:val="24"/>
          <w:szCs w:val="24"/>
        </w:rPr>
        <w:instrText xml:space="preserve"> ADDIN EN.CITE.DATA </w:instrText>
      </w:r>
      <w:r w:rsidR="00554E3E" w:rsidRPr="00A12F2A">
        <w:rPr>
          <w:color w:val="000000"/>
          <w:sz w:val="24"/>
          <w:szCs w:val="24"/>
        </w:rPr>
      </w:r>
      <w:r w:rsidR="00554E3E" w:rsidRPr="00A12F2A">
        <w:rPr>
          <w:color w:val="000000"/>
          <w:sz w:val="24"/>
          <w:szCs w:val="24"/>
        </w:rPr>
        <w:fldChar w:fldCharType="end"/>
      </w:r>
      <w:r w:rsidR="00554E3E" w:rsidRPr="00A12F2A">
        <w:rPr>
          <w:color w:val="000000"/>
          <w:sz w:val="24"/>
          <w:szCs w:val="24"/>
        </w:rPr>
      </w:r>
      <w:r w:rsidR="00554E3E" w:rsidRPr="00A12F2A">
        <w:rPr>
          <w:color w:val="000000"/>
          <w:sz w:val="24"/>
          <w:szCs w:val="24"/>
        </w:rPr>
        <w:fldChar w:fldCharType="separate"/>
      </w:r>
      <w:r w:rsidR="00554E3E" w:rsidRPr="00A12F2A">
        <w:rPr>
          <w:noProof/>
          <w:color w:val="000000"/>
          <w:sz w:val="24"/>
          <w:szCs w:val="24"/>
        </w:rPr>
        <w:t>(Latour, 1987, p. 162; Leydesdorff, 2012, p. 32; Slaughter et al., 2002, p. 286; Ziman, 1996b, p. 313)</w:t>
      </w:r>
      <w:r w:rsidR="00554E3E" w:rsidRPr="00A12F2A">
        <w:rPr>
          <w:color w:val="000000"/>
          <w:sz w:val="24"/>
          <w:szCs w:val="24"/>
        </w:rPr>
        <w:fldChar w:fldCharType="end"/>
      </w:r>
      <w:r w:rsidR="00554E3E" w:rsidRPr="00A12F2A">
        <w:rPr>
          <w:sz w:val="24"/>
          <w:szCs w:val="24"/>
        </w:rPr>
        <w:t xml:space="preserve">; </w:t>
      </w:r>
    </w:p>
    <w:p w14:paraId="66B81717" w14:textId="686AB6E8" w:rsidR="00D77A0C" w:rsidRPr="00A12F2A" w:rsidRDefault="00C124B7" w:rsidP="00A17598">
      <w:pPr>
        <w:pStyle w:val="ListParagraph"/>
        <w:numPr>
          <w:ilvl w:val="0"/>
          <w:numId w:val="4"/>
        </w:numPr>
        <w:spacing w:before="120" w:after="120" w:line="360" w:lineRule="auto"/>
        <w:rPr>
          <w:sz w:val="24"/>
          <w:szCs w:val="24"/>
        </w:rPr>
      </w:pPr>
      <w:r>
        <w:rPr>
          <w:sz w:val="24"/>
          <w:szCs w:val="24"/>
        </w:rPr>
        <w:t xml:space="preserve">lastly, the </w:t>
      </w:r>
      <w:r w:rsidR="00554E3E" w:rsidRPr="00A12F2A">
        <w:rPr>
          <w:sz w:val="24"/>
          <w:szCs w:val="24"/>
        </w:rPr>
        <w:t xml:space="preserve">Basic/Applied </w:t>
      </w:r>
      <w:r>
        <w:rPr>
          <w:sz w:val="24"/>
          <w:szCs w:val="24"/>
        </w:rPr>
        <w:t xml:space="preserve">(use-inspired basic) </w:t>
      </w:r>
      <w:r w:rsidR="00554E3E" w:rsidRPr="00A12F2A">
        <w:rPr>
          <w:sz w:val="24"/>
          <w:szCs w:val="24"/>
        </w:rPr>
        <w:t xml:space="preserve">disciplines </w:t>
      </w:r>
      <w:r>
        <w:rPr>
          <w:sz w:val="24"/>
          <w:szCs w:val="24"/>
        </w:rPr>
        <w:t xml:space="preserve">in my sample </w:t>
      </w:r>
      <w:r w:rsidR="002607A5">
        <w:rPr>
          <w:sz w:val="24"/>
          <w:szCs w:val="24"/>
        </w:rPr>
        <w:t>highlight</w:t>
      </w:r>
      <w:r w:rsidR="005B2B64" w:rsidRPr="00A12F2A">
        <w:rPr>
          <w:sz w:val="24"/>
          <w:szCs w:val="24"/>
        </w:rPr>
        <w:t xml:space="preserve"> the centrifugal forces associated with the natural advancement, proliferation and </w:t>
      </w:r>
      <w:r w:rsidR="002607A5">
        <w:rPr>
          <w:sz w:val="24"/>
          <w:szCs w:val="24"/>
        </w:rPr>
        <w:t>fragmentation</w:t>
      </w:r>
      <w:r w:rsidR="005B2B64" w:rsidRPr="00A12F2A">
        <w:rPr>
          <w:sz w:val="24"/>
          <w:szCs w:val="24"/>
        </w:rPr>
        <w:t xml:space="preserve"> of new scientific </w:t>
      </w:r>
      <w:r w:rsidR="002D05E8">
        <w:rPr>
          <w:sz w:val="24"/>
          <w:szCs w:val="24"/>
        </w:rPr>
        <w:t>(inter-/multi-)</w:t>
      </w:r>
      <w:r w:rsidR="005B2B64" w:rsidRPr="00A12F2A">
        <w:rPr>
          <w:sz w:val="24"/>
          <w:szCs w:val="24"/>
        </w:rPr>
        <w:t>disciplin</w:t>
      </w:r>
      <w:r w:rsidR="002D05E8">
        <w:rPr>
          <w:sz w:val="24"/>
          <w:szCs w:val="24"/>
        </w:rPr>
        <w:t>ary (sub)fields</w:t>
      </w:r>
      <w:r w:rsidR="005B2B64" w:rsidRPr="00A12F2A">
        <w:rPr>
          <w:sz w:val="24"/>
          <w:szCs w:val="24"/>
        </w:rPr>
        <w:t xml:space="preserve"> which</w:t>
      </w:r>
      <w:r w:rsidR="006874D2">
        <w:rPr>
          <w:sz w:val="24"/>
          <w:szCs w:val="24"/>
        </w:rPr>
        <w:t xml:space="preserve"> is </w:t>
      </w:r>
      <w:r w:rsidR="00D55178">
        <w:rPr>
          <w:sz w:val="24"/>
          <w:szCs w:val="24"/>
        </w:rPr>
        <w:t>constantly</w:t>
      </w:r>
      <w:r w:rsidR="006874D2">
        <w:rPr>
          <w:sz w:val="24"/>
          <w:szCs w:val="24"/>
        </w:rPr>
        <w:t xml:space="preserve"> finding</w:t>
      </w:r>
      <w:r w:rsidR="00252B57">
        <w:rPr>
          <w:sz w:val="24"/>
          <w:szCs w:val="24"/>
        </w:rPr>
        <w:t>,</w:t>
      </w:r>
      <w:r w:rsidR="006874D2">
        <w:rPr>
          <w:sz w:val="24"/>
          <w:szCs w:val="24"/>
        </w:rPr>
        <w:t xml:space="preserve"> in the natural world</w:t>
      </w:r>
      <w:r w:rsidR="00252B57">
        <w:rPr>
          <w:sz w:val="24"/>
          <w:szCs w:val="24"/>
        </w:rPr>
        <w:t>,</w:t>
      </w:r>
      <w:r w:rsidR="006874D2">
        <w:rPr>
          <w:sz w:val="24"/>
          <w:szCs w:val="24"/>
        </w:rPr>
        <w:t xml:space="preserve"> new objects of </w:t>
      </w:r>
      <w:r w:rsidR="00252B57">
        <w:rPr>
          <w:sz w:val="24"/>
          <w:szCs w:val="24"/>
        </w:rPr>
        <w:t xml:space="preserve">(disciplinary) </w:t>
      </w:r>
      <w:r w:rsidR="006874D2">
        <w:rPr>
          <w:sz w:val="24"/>
          <w:szCs w:val="24"/>
        </w:rPr>
        <w:t>study</w:t>
      </w:r>
      <w:r w:rsidR="00BA6417">
        <w:rPr>
          <w:sz w:val="24"/>
          <w:szCs w:val="24"/>
        </w:rPr>
        <w:t xml:space="preserve"> </w:t>
      </w:r>
      <w:r w:rsidR="005B2B64" w:rsidRPr="00A12F2A">
        <w:rPr>
          <w:sz w:val="24"/>
          <w:szCs w:val="24"/>
        </w:rPr>
        <w:t xml:space="preserve">(Bernstein, 2000; </w:t>
      </w:r>
      <w:r w:rsidR="001A435F" w:rsidRPr="00A12F2A">
        <w:rPr>
          <w:sz w:val="24"/>
          <w:szCs w:val="24"/>
        </w:rPr>
        <w:t xml:space="preserve">B.R. </w:t>
      </w:r>
      <w:r w:rsidR="005B2B64" w:rsidRPr="00A12F2A">
        <w:rPr>
          <w:sz w:val="24"/>
          <w:szCs w:val="24"/>
        </w:rPr>
        <w:t>Clark, 1983</w:t>
      </w:r>
      <w:r w:rsidR="001A435F" w:rsidRPr="00A12F2A">
        <w:rPr>
          <w:sz w:val="24"/>
          <w:szCs w:val="24"/>
        </w:rPr>
        <w:t>b, 1996</w:t>
      </w:r>
      <w:r w:rsidR="003B54A5" w:rsidRPr="00A12F2A">
        <w:rPr>
          <w:sz w:val="24"/>
          <w:szCs w:val="24"/>
        </w:rPr>
        <w:t xml:space="preserve">; Durkheim, </w:t>
      </w:r>
      <w:r w:rsidR="000F33E8" w:rsidRPr="00A12F2A">
        <w:rPr>
          <w:sz w:val="24"/>
          <w:szCs w:val="24"/>
        </w:rPr>
        <w:t>2013</w:t>
      </w:r>
      <w:r w:rsidR="005B2B64" w:rsidRPr="00A12F2A">
        <w:rPr>
          <w:sz w:val="24"/>
          <w:szCs w:val="24"/>
        </w:rPr>
        <w:t xml:space="preserve">). </w:t>
      </w:r>
    </w:p>
    <w:p w14:paraId="529F58CB" w14:textId="67A44A04" w:rsidR="00C12596" w:rsidRDefault="00C12596" w:rsidP="00C12596">
      <w:pPr>
        <w:pStyle w:val="Heading4"/>
      </w:pPr>
      <w:r>
        <w:t>Applied sciences</w:t>
      </w:r>
      <w:r w:rsidR="008446AA">
        <w:t xml:space="preserve">: </w:t>
      </w:r>
      <w:r>
        <w:t>‘mode 2’ knowledge production</w:t>
      </w:r>
    </w:p>
    <w:p w14:paraId="2859C4E0" w14:textId="0DA30AFC" w:rsidR="00C15EBD" w:rsidRDefault="00184137" w:rsidP="00C12596">
      <w:pPr>
        <w:spacing w:after="120" w:line="360" w:lineRule="auto"/>
        <w:rPr>
          <w:sz w:val="24"/>
          <w:szCs w:val="24"/>
        </w:rPr>
      </w:pPr>
      <w:r>
        <w:rPr>
          <w:sz w:val="24"/>
          <w:szCs w:val="24"/>
        </w:rPr>
        <w:t>I will start</w:t>
      </w:r>
      <w:r w:rsidR="00250831">
        <w:rPr>
          <w:sz w:val="24"/>
          <w:szCs w:val="24"/>
        </w:rPr>
        <w:t xml:space="preserve"> by discussing</w:t>
      </w:r>
      <w:r>
        <w:rPr>
          <w:sz w:val="24"/>
          <w:szCs w:val="24"/>
        </w:rPr>
        <w:t xml:space="preserve"> research from the Applied disciplines in my study. </w:t>
      </w:r>
      <w:r w:rsidR="003C65DB">
        <w:rPr>
          <w:sz w:val="24"/>
          <w:szCs w:val="24"/>
        </w:rPr>
        <w:t xml:space="preserve">As </w:t>
      </w:r>
      <w:r w:rsidR="003C65DB" w:rsidRPr="003C65DB">
        <w:rPr>
          <w:sz w:val="24"/>
          <w:szCs w:val="24"/>
        </w:rPr>
        <w:fldChar w:fldCharType="begin"/>
      </w:r>
      <w:r w:rsidR="003C65DB" w:rsidRPr="003C65DB">
        <w:rPr>
          <w:sz w:val="24"/>
          <w:szCs w:val="24"/>
        </w:rPr>
        <w:instrText xml:space="preserve"> REF _Ref8937176 \h </w:instrText>
      </w:r>
      <w:r w:rsidR="003C65DB">
        <w:rPr>
          <w:sz w:val="24"/>
          <w:szCs w:val="24"/>
        </w:rPr>
        <w:instrText xml:space="preserve"> \* MERGEFORMAT </w:instrText>
      </w:r>
      <w:r w:rsidR="003C65DB" w:rsidRPr="003C65DB">
        <w:rPr>
          <w:sz w:val="24"/>
          <w:szCs w:val="24"/>
        </w:rPr>
      </w:r>
      <w:r w:rsidR="003C65DB" w:rsidRPr="003C65DB">
        <w:rPr>
          <w:sz w:val="24"/>
          <w:szCs w:val="24"/>
        </w:rPr>
        <w:fldChar w:fldCharType="separate"/>
      </w:r>
      <w:r w:rsidR="0011424E" w:rsidRPr="0011424E">
        <w:rPr>
          <w:sz w:val="24"/>
          <w:szCs w:val="24"/>
        </w:rPr>
        <w:t xml:space="preserve">Table </w:t>
      </w:r>
      <w:r w:rsidR="0011424E" w:rsidRPr="0011424E">
        <w:rPr>
          <w:noProof/>
          <w:sz w:val="24"/>
          <w:szCs w:val="24"/>
        </w:rPr>
        <w:t>37</w:t>
      </w:r>
      <w:r w:rsidR="003C65DB" w:rsidRPr="003C65DB">
        <w:rPr>
          <w:sz w:val="24"/>
          <w:szCs w:val="24"/>
        </w:rPr>
        <w:fldChar w:fldCharType="end"/>
      </w:r>
      <w:r w:rsidR="006048FC">
        <w:rPr>
          <w:sz w:val="24"/>
          <w:szCs w:val="24"/>
        </w:rPr>
        <w:t xml:space="preserve"> </w:t>
      </w:r>
      <w:r w:rsidR="00A17844">
        <w:rPr>
          <w:sz w:val="24"/>
          <w:szCs w:val="24"/>
        </w:rPr>
        <w:t xml:space="preserve">(see p. </w:t>
      </w:r>
      <w:r w:rsidR="00A17844">
        <w:rPr>
          <w:sz w:val="24"/>
          <w:szCs w:val="24"/>
        </w:rPr>
        <w:fldChar w:fldCharType="begin"/>
      </w:r>
      <w:r w:rsidR="00A17844">
        <w:rPr>
          <w:sz w:val="24"/>
          <w:szCs w:val="24"/>
        </w:rPr>
        <w:instrText xml:space="preserve"> PAGEREF _Ref9085135 \h </w:instrText>
      </w:r>
      <w:r w:rsidR="00A17844">
        <w:rPr>
          <w:sz w:val="24"/>
          <w:szCs w:val="24"/>
        </w:rPr>
      </w:r>
      <w:r w:rsidR="00A17844">
        <w:rPr>
          <w:sz w:val="24"/>
          <w:szCs w:val="24"/>
        </w:rPr>
        <w:fldChar w:fldCharType="separate"/>
      </w:r>
      <w:r w:rsidR="0011424E">
        <w:rPr>
          <w:noProof/>
          <w:sz w:val="24"/>
          <w:szCs w:val="24"/>
        </w:rPr>
        <w:t>136</w:t>
      </w:r>
      <w:r w:rsidR="00A17844">
        <w:rPr>
          <w:sz w:val="24"/>
          <w:szCs w:val="24"/>
        </w:rPr>
        <w:fldChar w:fldCharType="end"/>
      </w:r>
      <w:r w:rsidR="00A17844">
        <w:rPr>
          <w:sz w:val="24"/>
          <w:szCs w:val="24"/>
        </w:rPr>
        <w:t xml:space="preserve">) </w:t>
      </w:r>
      <w:r w:rsidR="006048FC">
        <w:rPr>
          <w:sz w:val="24"/>
          <w:szCs w:val="24"/>
        </w:rPr>
        <w:t xml:space="preserve">showed, the extent of the ‘unboundedness’ of </w:t>
      </w:r>
      <w:r w:rsidR="003C65DB">
        <w:rPr>
          <w:sz w:val="24"/>
          <w:szCs w:val="24"/>
        </w:rPr>
        <w:t>Applied research stands out</w:t>
      </w:r>
      <w:r w:rsidR="006048FC">
        <w:rPr>
          <w:sz w:val="24"/>
          <w:szCs w:val="24"/>
        </w:rPr>
        <w:t>, not only among the three categories in the ‘Disciplinary orientation’ dimension, but among all nine categories in all three dimensions, receiving a very high total typology</w:t>
      </w:r>
      <w:r w:rsidR="003C65DB">
        <w:rPr>
          <w:sz w:val="24"/>
          <w:szCs w:val="24"/>
        </w:rPr>
        <w:t xml:space="preserve"> value (2.71)</w:t>
      </w:r>
      <w:r w:rsidR="006760D4">
        <w:rPr>
          <w:sz w:val="24"/>
          <w:szCs w:val="24"/>
        </w:rPr>
        <w:t xml:space="preserve">. </w:t>
      </w:r>
      <w:r w:rsidR="00144AA4">
        <w:rPr>
          <w:sz w:val="24"/>
          <w:szCs w:val="24"/>
        </w:rPr>
        <w:t>This was based mainly on the very high ‘social context’ value (3.95).</w:t>
      </w:r>
      <w:r w:rsidR="00C15EBD">
        <w:rPr>
          <w:sz w:val="24"/>
          <w:szCs w:val="24"/>
        </w:rPr>
        <w:t xml:space="preserve"> Unsurprisingly then, Applied scientists interviewed as part of my study placed very significant value on practical outcomes as a marker of research success. For example, one Applied scientist, reflecting on his field, explained: </w:t>
      </w:r>
    </w:p>
    <w:p w14:paraId="16E2806C" w14:textId="6620F482" w:rsidR="00C15EBD" w:rsidRDefault="00C15EBD" w:rsidP="00CE5CDB">
      <w:pPr>
        <w:spacing w:after="120" w:line="240" w:lineRule="auto"/>
        <w:ind w:left="720"/>
        <w:rPr>
          <w:sz w:val="24"/>
          <w:szCs w:val="24"/>
        </w:rPr>
      </w:pPr>
      <w:r>
        <w:rPr>
          <w:sz w:val="24"/>
          <w:szCs w:val="24"/>
        </w:rPr>
        <w:t>“It’s an applied subject</w:t>
      </w:r>
      <w:r w:rsidR="00E472F6">
        <w:rPr>
          <w:sz w:val="24"/>
          <w:szCs w:val="24"/>
        </w:rPr>
        <w:t>. T</w:t>
      </w:r>
      <w:r>
        <w:rPr>
          <w:sz w:val="24"/>
          <w:szCs w:val="24"/>
        </w:rPr>
        <w:t>o be of any good, somebody has to use it. ...My thinking is, if it helps one [person] I’ll be pleased.” (Applied scientist, ‘elite’ department)</w:t>
      </w:r>
    </w:p>
    <w:p w14:paraId="0A6567CF" w14:textId="6C01622F" w:rsidR="00C15EBD" w:rsidRDefault="00C15EBD" w:rsidP="00C15EBD">
      <w:pPr>
        <w:spacing w:after="120" w:line="360" w:lineRule="auto"/>
        <w:rPr>
          <w:sz w:val="24"/>
          <w:szCs w:val="24"/>
        </w:rPr>
      </w:pPr>
      <w:r>
        <w:rPr>
          <w:sz w:val="24"/>
          <w:szCs w:val="24"/>
        </w:rPr>
        <w:t>Another explained</w:t>
      </w:r>
      <w:r w:rsidR="00EE0DF7">
        <w:rPr>
          <w:sz w:val="24"/>
          <w:szCs w:val="24"/>
        </w:rPr>
        <w:t xml:space="preserve"> how he focused his dissemination efforts on specific individuals who would be most likely to use his work in the intended way, ignoring others who may potentially have an interest:</w:t>
      </w:r>
    </w:p>
    <w:p w14:paraId="6F4C28FE" w14:textId="506DC262" w:rsidR="00C15EBD" w:rsidRDefault="00C15EBD" w:rsidP="00CE5CDB">
      <w:pPr>
        <w:spacing w:after="120" w:line="240" w:lineRule="auto"/>
        <w:ind w:left="720"/>
        <w:rPr>
          <w:sz w:val="24"/>
          <w:szCs w:val="24"/>
        </w:rPr>
      </w:pPr>
      <w:r>
        <w:rPr>
          <w:sz w:val="24"/>
          <w:szCs w:val="24"/>
        </w:rPr>
        <w:t>“There’s tonnes of others who might be interested in the work we do but ... the people I want to influence are clinicians.</w:t>
      </w:r>
      <w:r w:rsidR="000617D1">
        <w:rPr>
          <w:sz w:val="24"/>
          <w:szCs w:val="24"/>
        </w:rPr>
        <w:t xml:space="preserve"> …</w:t>
      </w:r>
      <w:r w:rsidR="000617D1" w:rsidRPr="000617D1">
        <w:rPr>
          <w:sz w:val="24"/>
          <w:szCs w:val="24"/>
        </w:rPr>
        <w:t xml:space="preserve"> </w:t>
      </w:r>
      <w:r w:rsidR="000617D1">
        <w:rPr>
          <w:sz w:val="24"/>
          <w:szCs w:val="24"/>
        </w:rPr>
        <w:t>If the work isn’t clinically relevant it’s kind of pointless.</w:t>
      </w:r>
      <w:r>
        <w:rPr>
          <w:sz w:val="24"/>
          <w:szCs w:val="24"/>
        </w:rPr>
        <w:t>” (Applied scientist, ‘less prestigious’ department)</w:t>
      </w:r>
    </w:p>
    <w:p w14:paraId="57CD8C56" w14:textId="3C8BE13B" w:rsidR="00C15EBD" w:rsidRDefault="00321FA8" w:rsidP="00C15EBD">
      <w:pPr>
        <w:spacing w:after="120" w:line="360" w:lineRule="auto"/>
        <w:rPr>
          <w:sz w:val="24"/>
          <w:szCs w:val="24"/>
        </w:rPr>
      </w:pPr>
      <w:r>
        <w:rPr>
          <w:sz w:val="24"/>
          <w:szCs w:val="24"/>
        </w:rPr>
        <w:t>One Applied scientist explained how being ambitious about maximising the impact potential of research helped with funding bids:</w:t>
      </w:r>
    </w:p>
    <w:p w14:paraId="038DA706" w14:textId="77777777" w:rsidR="00C15EBD" w:rsidRDefault="00C15EBD" w:rsidP="00CE5CDB">
      <w:pPr>
        <w:spacing w:after="120" w:line="240" w:lineRule="auto"/>
        <w:ind w:left="720"/>
        <w:rPr>
          <w:sz w:val="24"/>
          <w:szCs w:val="24"/>
        </w:rPr>
      </w:pPr>
      <w:r>
        <w:rPr>
          <w:sz w:val="24"/>
          <w:szCs w:val="24"/>
        </w:rPr>
        <w:t xml:space="preserve">“If you really want to avoid all these negative consequences [of a specific medical condition], then the best thing to do is stop it in the first place, otherwise you’re always fighting against the tide. ...That is why our proposal won the bid – because we were the only group who wanted to design a study from </w:t>
      </w:r>
      <w:r>
        <w:rPr>
          <w:i/>
          <w:sz w:val="24"/>
          <w:szCs w:val="24"/>
        </w:rPr>
        <w:t xml:space="preserve">before </w:t>
      </w:r>
      <w:r>
        <w:rPr>
          <w:sz w:val="24"/>
          <w:szCs w:val="24"/>
        </w:rPr>
        <w:t>any problems had been diagnosed.” (Applied scientist, ‘more prestigious’ context)</w:t>
      </w:r>
    </w:p>
    <w:p w14:paraId="6C4D343E" w14:textId="77777777" w:rsidR="00C15EBD" w:rsidRPr="00376594" w:rsidRDefault="00C15EBD" w:rsidP="00C15EBD">
      <w:pPr>
        <w:spacing w:after="120" w:line="360" w:lineRule="auto"/>
        <w:rPr>
          <w:sz w:val="24"/>
          <w:szCs w:val="24"/>
        </w:rPr>
      </w:pPr>
      <w:r>
        <w:rPr>
          <w:sz w:val="24"/>
          <w:szCs w:val="24"/>
        </w:rPr>
        <w:t xml:space="preserve">One respondent even felt that his latest work, which built on that associated with the </w:t>
      </w:r>
      <w:r w:rsidRPr="00640E76">
        <w:rPr>
          <w:i/>
          <w:sz w:val="24"/>
          <w:szCs w:val="24"/>
        </w:rPr>
        <w:t>REF2014</w:t>
      </w:r>
      <w:r>
        <w:rPr>
          <w:sz w:val="24"/>
          <w:szCs w:val="24"/>
        </w:rPr>
        <w:t xml:space="preserve"> Impact submission, had taken the goal of achieving practical outcomes so far that he no longer considered it to be ‘research’:</w:t>
      </w:r>
    </w:p>
    <w:p w14:paraId="68DA2F06" w14:textId="77777777" w:rsidR="00C15EBD" w:rsidRDefault="00C15EBD" w:rsidP="00CE5CDB">
      <w:pPr>
        <w:spacing w:after="120" w:line="240" w:lineRule="auto"/>
        <w:ind w:left="720"/>
        <w:rPr>
          <w:sz w:val="24"/>
          <w:szCs w:val="24"/>
        </w:rPr>
      </w:pPr>
      <w:r>
        <w:rPr>
          <w:sz w:val="24"/>
          <w:szCs w:val="24"/>
        </w:rPr>
        <w:t>“I want to help people get as good an experience as possible for as cheap as possible, that was always my end goal... And now it’s trying to deliver those ideas. ...So we’ve tried to move away from a key ‘research question’ and we’re offering more of a delivery of findings, so it’s not research-oriented as much.” (Applied scientist, ‘elite’ department context)</w:t>
      </w:r>
    </w:p>
    <w:p w14:paraId="4FC2C026" w14:textId="09FF9AA7" w:rsidR="00F045F6" w:rsidRDefault="00652DCE" w:rsidP="00675F27">
      <w:pPr>
        <w:spacing w:after="120" w:line="360" w:lineRule="auto"/>
        <w:rPr>
          <w:sz w:val="24"/>
          <w:szCs w:val="24"/>
        </w:rPr>
      </w:pPr>
      <w:r>
        <w:rPr>
          <w:sz w:val="24"/>
          <w:szCs w:val="24"/>
        </w:rPr>
        <w:t>According to these responses, Applied scientists in my sample were strongly committed to real-world impacts</w:t>
      </w:r>
      <w:r w:rsidR="00A176B1">
        <w:rPr>
          <w:sz w:val="24"/>
          <w:szCs w:val="24"/>
        </w:rPr>
        <w:t xml:space="preserve"> and adopted a ‘what works’ approach to achieving them, prioritising outcomes over scientific findings</w:t>
      </w:r>
      <w:r>
        <w:rPr>
          <w:sz w:val="24"/>
          <w:szCs w:val="24"/>
        </w:rPr>
        <w:t>. To them, this did not just mean the successful conduct of ‘applied’ research which was judged scientifically rigorous by peers; rather, it meant tangible benefits to clinicians and patients, industry and customers</w:t>
      </w:r>
      <w:r w:rsidR="00734295">
        <w:rPr>
          <w:sz w:val="24"/>
          <w:szCs w:val="24"/>
        </w:rPr>
        <w:t>, etc</w:t>
      </w:r>
      <w:r w:rsidR="00D90A34">
        <w:rPr>
          <w:sz w:val="24"/>
          <w:szCs w:val="24"/>
        </w:rPr>
        <w:t>.</w:t>
      </w:r>
      <w:r w:rsidR="006A3666">
        <w:rPr>
          <w:sz w:val="24"/>
          <w:szCs w:val="24"/>
        </w:rPr>
        <w:t xml:space="preserve"> </w:t>
      </w:r>
      <w:r>
        <w:rPr>
          <w:sz w:val="24"/>
          <w:szCs w:val="24"/>
        </w:rPr>
        <w:t>They often had very specific</w:t>
      </w:r>
      <w:r w:rsidR="006A3666">
        <w:rPr>
          <w:sz w:val="24"/>
          <w:szCs w:val="24"/>
        </w:rPr>
        <w:t xml:space="preserve"> intended</w:t>
      </w:r>
      <w:r>
        <w:rPr>
          <w:sz w:val="24"/>
          <w:szCs w:val="24"/>
        </w:rPr>
        <w:t xml:space="preserve"> outcomes in mind</w:t>
      </w:r>
      <w:r w:rsidR="006A3666">
        <w:rPr>
          <w:sz w:val="24"/>
          <w:szCs w:val="24"/>
        </w:rPr>
        <w:t>. For example: BoR14.2 (‘Management of discolouration in drinking water distribution systems’) did not just aim at research into the causes of water discolouration, but worked directly with the industry engineers and management to help institute management, monitoring and response procedures</w:t>
      </w:r>
      <w:r w:rsidR="00675F27">
        <w:rPr>
          <w:sz w:val="24"/>
          <w:szCs w:val="24"/>
        </w:rPr>
        <w:t xml:space="preserve"> with </w:t>
      </w:r>
      <w:r w:rsidR="00675F27" w:rsidRPr="00915F21">
        <w:rPr>
          <w:i/>
          <w:sz w:val="24"/>
          <w:szCs w:val="24"/>
        </w:rPr>
        <w:t>the specific intended outcomes</w:t>
      </w:r>
      <w:r w:rsidR="00675F27" w:rsidRPr="00675F27">
        <w:rPr>
          <w:sz w:val="24"/>
          <w:szCs w:val="24"/>
        </w:rPr>
        <w:t xml:space="preserve"> of improving the exp</w:t>
      </w:r>
      <w:r w:rsidR="00675F27">
        <w:rPr>
          <w:sz w:val="24"/>
          <w:szCs w:val="24"/>
        </w:rPr>
        <w:t>eriences of water users and reducing the burden of dealing with customer complaints for water companies. Similarly,</w:t>
      </w:r>
      <w:r w:rsidR="006A3666">
        <w:rPr>
          <w:sz w:val="24"/>
          <w:szCs w:val="24"/>
        </w:rPr>
        <w:t xml:space="preserve"> BoR11.2 (‘Improved mobility and quality of life for children with disabilities’) did not just aim to improve the artificial intelligence in automated wheelchairs</w:t>
      </w:r>
      <w:r w:rsidR="0092241F">
        <w:rPr>
          <w:sz w:val="24"/>
          <w:szCs w:val="24"/>
        </w:rPr>
        <w:t xml:space="preserve"> for children</w:t>
      </w:r>
      <w:r w:rsidR="006A3666">
        <w:rPr>
          <w:sz w:val="24"/>
          <w:szCs w:val="24"/>
        </w:rPr>
        <w:t>, but went to great lengths to ensure close input from child user</w:t>
      </w:r>
      <w:r w:rsidR="0092241F">
        <w:rPr>
          <w:sz w:val="24"/>
          <w:szCs w:val="24"/>
        </w:rPr>
        <w:t xml:space="preserve">s </w:t>
      </w:r>
      <w:r w:rsidR="006A3666">
        <w:rPr>
          <w:sz w:val="24"/>
          <w:szCs w:val="24"/>
        </w:rPr>
        <w:t>and related professionals</w:t>
      </w:r>
      <w:r w:rsidR="0092241F">
        <w:rPr>
          <w:sz w:val="24"/>
          <w:szCs w:val="24"/>
        </w:rPr>
        <w:t>,</w:t>
      </w:r>
      <w:r w:rsidR="006A3666">
        <w:rPr>
          <w:sz w:val="24"/>
          <w:szCs w:val="24"/>
        </w:rPr>
        <w:t xml:space="preserve"> such as </w:t>
      </w:r>
      <w:r w:rsidR="0092241F">
        <w:rPr>
          <w:sz w:val="24"/>
          <w:szCs w:val="24"/>
        </w:rPr>
        <w:t xml:space="preserve">staff at </w:t>
      </w:r>
      <w:r w:rsidR="006A3666">
        <w:rPr>
          <w:sz w:val="24"/>
          <w:szCs w:val="24"/>
        </w:rPr>
        <w:t>‘special</w:t>
      </w:r>
      <w:r w:rsidR="0092241F">
        <w:rPr>
          <w:sz w:val="24"/>
          <w:szCs w:val="24"/>
        </w:rPr>
        <w:t xml:space="preserve"> </w:t>
      </w:r>
      <w:r w:rsidR="006A3666">
        <w:rPr>
          <w:sz w:val="24"/>
          <w:szCs w:val="24"/>
        </w:rPr>
        <w:t>schools</w:t>
      </w:r>
      <w:r w:rsidR="0092241F">
        <w:rPr>
          <w:sz w:val="24"/>
          <w:szCs w:val="24"/>
        </w:rPr>
        <w:t>’</w:t>
      </w:r>
      <w:r w:rsidR="006A3666">
        <w:rPr>
          <w:sz w:val="24"/>
          <w:szCs w:val="24"/>
        </w:rPr>
        <w:t xml:space="preserve"> and health care professionals</w:t>
      </w:r>
      <w:r w:rsidR="0092241F">
        <w:rPr>
          <w:sz w:val="24"/>
          <w:szCs w:val="24"/>
        </w:rPr>
        <w:t xml:space="preserve">, in order to achieve </w:t>
      </w:r>
      <w:r w:rsidR="0092241F" w:rsidRPr="00915F21">
        <w:rPr>
          <w:sz w:val="24"/>
          <w:szCs w:val="24"/>
        </w:rPr>
        <w:t>specific improved user experience targets</w:t>
      </w:r>
      <w:r w:rsidR="00675F27">
        <w:rPr>
          <w:sz w:val="24"/>
          <w:szCs w:val="24"/>
        </w:rPr>
        <w:t>. BoR13.2</w:t>
      </w:r>
      <w:r w:rsidR="00677710">
        <w:rPr>
          <w:sz w:val="24"/>
          <w:szCs w:val="24"/>
        </w:rPr>
        <w:t xml:space="preserve"> (‘Topical oxygen therapy for wound healing’)</w:t>
      </w:r>
      <w:r w:rsidR="00A35968">
        <w:rPr>
          <w:sz w:val="24"/>
          <w:szCs w:val="24"/>
        </w:rPr>
        <w:t xml:space="preserve"> did not just </w:t>
      </w:r>
      <w:r w:rsidR="00915F21">
        <w:rPr>
          <w:sz w:val="24"/>
          <w:szCs w:val="24"/>
        </w:rPr>
        <w:t>aim to show ‘proof of concept’ that hydrometallurgy concepts could be used to generate flows of oxygen (which it is known is helpful for would healing), but was specifically driven by the motivation of healing patients with chronic wounds – the resultant device was indeed found to be able to heal chronic wounds</w:t>
      </w:r>
      <w:r w:rsidR="0056187B">
        <w:rPr>
          <w:sz w:val="24"/>
          <w:szCs w:val="24"/>
        </w:rPr>
        <w:t xml:space="preserve"> and ulcers</w:t>
      </w:r>
      <w:r w:rsidR="0026306E">
        <w:rPr>
          <w:sz w:val="24"/>
          <w:szCs w:val="24"/>
        </w:rPr>
        <w:t>,</w:t>
      </w:r>
      <w:r w:rsidR="0056187B">
        <w:rPr>
          <w:sz w:val="24"/>
          <w:szCs w:val="24"/>
        </w:rPr>
        <w:t xml:space="preserve"> in one case healing a </w:t>
      </w:r>
      <w:r w:rsidR="0026306E">
        <w:rPr>
          <w:sz w:val="24"/>
          <w:szCs w:val="24"/>
        </w:rPr>
        <w:t>ten-</w:t>
      </w:r>
      <w:r w:rsidR="0056187B">
        <w:rPr>
          <w:sz w:val="24"/>
          <w:szCs w:val="24"/>
        </w:rPr>
        <w:t>year</w:t>
      </w:r>
      <w:r w:rsidR="0026306E">
        <w:rPr>
          <w:sz w:val="24"/>
          <w:szCs w:val="24"/>
        </w:rPr>
        <w:t>-old wound.</w:t>
      </w:r>
      <w:r w:rsidR="0056187B">
        <w:rPr>
          <w:sz w:val="24"/>
          <w:szCs w:val="24"/>
        </w:rPr>
        <w:t xml:space="preserve"> </w:t>
      </w:r>
    </w:p>
    <w:p w14:paraId="33A5449A" w14:textId="11DEFEF3" w:rsidR="00574251" w:rsidRDefault="00914668" w:rsidP="00574251">
      <w:pPr>
        <w:spacing w:after="120" w:line="360" w:lineRule="auto"/>
        <w:rPr>
          <w:sz w:val="24"/>
          <w:szCs w:val="24"/>
        </w:rPr>
      </w:pPr>
      <w:r>
        <w:rPr>
          <w:sz w:val="24"/>
          <w:szCs w:val="24"/>
        </w:rPr>
        <w:t xml:space="preserve">The research in these Applied disciplinary contexts </w:t>
      </w:r>
      <w:r w:rsidR="00922D12">
        <w:rPr>
          <w:sz w:val="24"/>
          <w:szCs w:val="24"/>
        </w:rPr>
        <w:t xml:space="preserve">thus </w:t>
      </w:r>
      <w:r w:rsidR="00F44BE7">
        <w:rPr>
          <w:sz w:val="24"/>
          <w:szCs w:val="24"/>
        </w:rPr>
        <w:t xml:space="preserve">display the ‘mode 2’, </w:t>
      </w:r>
      <w:r w:rsidR="00A023E9">
        <w:rPr>
          <w:sz w:val="24"/>
          <w:szCs w:val="24"/>
        </w:rPr>
        <w:t xml:space="preserve">at times </w:t>
      </w:r>
      <w:r w:rsidR="00F44BE7">
        <w:rPr>
          <w:sz w:val="24"/>
          <w:szCs w:val="24"/>
        </w:rPr>
        <w:t>almost ‘post-academic’ characteristics of prioritising the</w:t>
      </w:r>
      <w:r w:rsidR="00913463">
        <w:rPr>
          <w:sz w:val="24"/>
          <w:szCs w:val="24"/>
        </w:rPr>
        <w:t xml:space="preserve"> use and</w:t>
      </w:r>
      <w:r w:rsidR="00F44BE7">
        <w:rPr>
          <w:sz w:val="24"/>
          <w:szCs w:val="24"/>
        </w:rPr>
        <w:t xml:space="preserve"> impact of research over the theoretical relevance or depth of understanding achieved by research. Disciplines are fonts of knowledge and methodologies,</w:t>
      </w:r>
      <w:r w:rsidR="000D09C3">
        <w:rPr>
          <w:sz w:val="24"/>
          <w:szCs w:val="24"/>
        </w:rPr>
        <w:t xml:space="preserve"> and may be a source of identity and commitment,</w:t>
      </w:r>
      <w:r w:rsidR="007156D4">
        <w:rPr>
          <w:sz w:val="24"/>
          <w:szCs w:val="24"/>
        </w:rPr>
        <w:t xml:space="preserve"> but</w:t>
      </w:r>
      <w:r w:rsidR="000D09C3">
        <w:rPr>
          <w:sz w:val="24"/>
          <w:szCs w:val="24"/>
        </w:rPr>
        <w:t xml:space="preserve"> they</w:t>
      </w:r>
      <w:r w:rsidR="00133F84">
        <w:rPr>
          <w:sz w:val="24"/>
          <w:szCs w:val="24"/>
        </w:rPr>
        <w:t xml:space="preserve"> are</w:t>
      </w:r>
      <w:r w:rsidR="007156D4">
        <w:rPr>
          <w:sz w:val="24"/>
          <w:szCs w:val="24"/>
        </w:rPr>
        <w:t xml:space="preserve"> not drivers or organisational anchors of research efforts. Rather,</w:t>
      </w:r>
      <w:r w:rsidR="007E3676">
        <w:rPr>
          <w:sz w:val="24"/>
          <w:szCs w:val="24"/>
        </w:rPr>
        <w:t xml:space="preserve"> in the research I have sampled from Applied disciplines,</w:t>
      </w:r>
      <w:r w:rsidR="007156D4">
        <w:rPr>
          <w:sz w:val="24"/>
          <w:szCs w:val="24"/>
        </w:rPr>
        <w:t xml:space="preserve"> scientific </w:t>
      </w:r>
      <w:r w:rsidR="00F44BE7">
        <w:rPr>
          <w:sz w:val="24"/>
          <w:szCs w:val="24"/>
        </w:rPr>
        <w:t xml:space="preserve">expertise and effort is co-ordinated around </w:t>
      </w:r>
      <w:r w:rsidR="007156D4">
        <w:rPr>
          <w:sz w:val="24"/>
          <w:szCs w:val="24"/>
        </w:rPr>
        <w:t xml:space="preserve">the integrating principle of collaborating to find </w:t>
      </w:r>
      <w:r w:rsidR="00F44BE7">
        <w:rPr>
          <w:sz w:val="24"/>
          <w:szCs w:val="24"/>
        </w:rPr>
        <w:t xml:space="preserve">transdisciplinary solutions to localised social, economic and technological </w:t>
      </w:r>
      <w:r w:rsidR="007156D4">
        <w:rPr>
          <w:sz w:val="24"/>
          <w:szCs w:val="24"/>
        </w:rPr>
        <w:t>problems</w:t>
      </w:r>
      <w:r w:rsidR="00574251">
        <w:rPr>
          <w:sz w:val="24"/>
          <w:szCs w:val="24"/>
        </w:rPr>
        <w:t xml:space="preserve">. </w:t>
      </w:r>
    </w:p>
    <w:p w14:paraId="4B353AA1" w14:textId="79954677" w:rsidR="00C12596" w:rsidRDefault="00C12596" w:rsidP="00C12596">
      <w:pPr>
        <w:pStyle w:val="Heading4"/>
      </w:pPr>
      <w:r>
        <w:t>Basic/Applied (use-inspired basic) disciplines:</w:t>
      </w:r>
      <w:r w:rsidR="008959A2">
        <w:t xml:space="preserve"> proliferation of academic knowledge</w:t>
      </w:r>
    </w:p>
    <w:p w14:paraId="2576526E" w14:textId="22C42D9C" w:rsidR="007853F3" w:rsidRDefault="00574251" w:rsidP="00574251">
      <w:pPr>
        <w:spacing w:after="120" w:line="360" w:lineRule="auto"/>
        <w:rPr>
          <w:sz w:val="24"/>
          <w:szCs w:val="24"/>
        </w:rPr>
      </w:pPr>
      <w:r>
        <w:rPr>
          <w:sz w:val="24"/>
          <w:szCs w:val="24"/>
        </w:rPr>
        <w:t xml:space="preserve">Research in the Basic/Applied disciplines in my sample exhibit </w:t>
      </w:r>
      <w:r w:rsidR="00F80F1D">
        <w:rPr>
          <w:sz w:val="24"/>
          <w:szCs w:val="24"/>
        </w:rPr>
        <w:t>very</w:t>
      </w:r>
      <w:r>
        <w:rPr>
          <w:sz w:val="24"/>
          <w:szCs w:val="24"/>
        </w:rPr>
        <w:t xml:space="preserve"> different characteristics from Applied science. This is indicated by the very different typology values, with a very low ‘social context’ value (3.06), low ‘intermediary’ value and very high ‘knowledge content’</w:t>
      </w:r>
      <w:r w:rsidR="00251A39">
        <w:rPr>
          <w:sz w:val="24"/>
          <w:szCs w:val="24"/>
        </w:rPr>
        <w:t xml:space="preserve"> (1.78) (see </w:t>
      </w:r>
      <w:r w:rsidR="00251A39" w:rsidRPr="003C65DB">
        <w:rPr>
          <w:sz w:val="24"/>
          <w:szCs w:val="24"/>
        </w:rPr>
        <w:fldChar w:fldCharType="begin"/>
      </w:r>
      <w:r w:rsidR="00251A39" w:rsidRPr="003C65DB">
        <w:rPr>
          <w:sz w:val="24"/>
          <w:szCs w:val="24"/>
        </w:rPr>
        <w:instrText xml:space="preserve"> REF _Ref8937176 \h </w:instrText>
      </w:r>
      <w:r w:rsidR="00251A39">
        <w:rPr>
          <w:sz w:val="24"/>
          <w:szCs w:val="24"/>
        </w:rPr>
        <w:instrText xml:space="preserve"> \* MERGEFORMAT </w:instrText>
      </w:r>
      <w:r w:rsidR="00251A39" w:rsidRPr="003C65DB">
        <w:rPr>
          <w:sz w:val="24"/>
          <w:szCs w:val="24"/>
        </w:rPr>
      </w:r>
      <w:r w:rsidR="00251A39" w:rsidRPr="003C65DB">
        <w:rPr>
          <w:sz w:val="24"/>
          <w:szCs w:val="24"/>
        </w:rPr>
        <w:fldChar w:fldCharType="separate"/>
      </w:r>
      <w:r w:rsidR="0011424E" w:rsidRPr="0011424E">
        <w:rPr>
          <w:sz w:val="24"/>
          <w:szCs w:val="24"/>
        </w:rPr>
        <w:t xml:space="preserve">Table </w:t>
      </w:r>
      <w:r w:rsidR="0011424E" w:rsidRPr="0011424E">
        <w:rPr>
          <w:noProof/>
          <w:sz w:val="24"/>
          <w:szCs w:val="24"/>
        </w:rPr>
        <w:t>37</w:t>
      </w:r>
      <w:r w:rsidR="00251A39" w:rsidRPr="003C65DB">
        <w:rPr>
          <w:sz w:val="24"/>
          <w:szCs w:val="24"/>
        </w:rPr>
        <w:fldChar w:fldCharType="end"/>
      </w:r>
      <w:r w:rsidR="00A17844">
        <w:rPr>
          <w:sz w:val="24"/>
          <w:szCs w:val="24"/>
        </w:rPr>
        <w:t xml:space="preserve">, p. </w:t>
      </w:r>
      <w:r w:rsidR="00A17844">
        <w:rPr>
          <w:sz w:val="24"/>
          <w:szCs w:val="24"/>
        </w:rPr>
        <w:fldChar w:fldCharType="begin"/>
      </w:r>
      <w:r w:rsidR="00A17844">
        <w:rPr>
          <w:sz w:val="24"/>
          <w:szCs w:val="24"/>
        </w:rPr>
        <w:instrText xml:space="preserve"> PAGEREF _Ref9085135 \h </w:instrText>
      </w:r>
      <w:r w:rsidR="00A17844">
        <w:rPr>
          <w:sz w:val="24"/>
          <w:szCs w:val="24"/>
        </w:rPr>
      </w:r>
      <w:r w:rsidR="00A17844">
        <w:rPr>
          <w:sz w:val="24"/>
          <w:szCs w:val="24"/>
        </w:rPr>
        <w:fldChar w:fldCharType="separate"/>
      </w:r>
      <w:r w:rsidR="0011424E">
        <w:rPr>
          <w:noProof/>
          <w:sz w:val="24"/>
          <w:szCs w:val="24"/>
        </w:rPr>
        <w:t>136</w:t>
      </w:r>
      <w:r w:rsidR="00A17844">
        <w:rPr>
          <w:sz w:val="24"/>
          <w:szCs w:val="24"/>
        </w:rPr>
        <w:fldChar w:fldCharType="end"/>
      </w:r>
      <w:r w:rsidR="00251A39">
        <w:rPr>
          <w:sz w:val="24"/>
          <w:szCs w:val="24"/>
        </w:rPr>
        <w:t>).</w:t>
      </w:r>
      <w:r w:rsidR="008C6946">
        <w:rPr>
          <w:sz w:val="24"/>
          <w:szCs w:val="24"/>
        </w:rPr>
        <w:t xml:space="preserve"> This difference</w:t>
      </w:r>
      <w:r w:rsidR="00F80F1D">
        <w:rPr>
          <w:sz w:val="24"/>
          <w:szCs w:val="24"/>
        </w:rPr>
        <w:t xml:space="preserve"> did not lie in the motivations of</w:t>
      </w:r>
      <w:r w:rsidR="007853F3">
        <w:rPr>
          <w:sz w:val="24"/>
          <w:szCs w:val="24"/>
        </w:rPr>
        <w:t xml:space="preserve"> researchers </w:t>
      </w:r>
      <w:r w:rsidR="00F80F1D">
        <w:rPr>
          <w:sz w:val="24"/>
          <w:szCs w:val="24"/>
        </w:rPr>
        <w:t>from Basic/Applied</w:t>
      </w:r>
      <w:r w:rsidR="007853F3">
        <w:rPr>
          <w:sz w:val="24"/>
          <w:szCs w:val="24"/>
        </w:rPr>
        <w:t xml:space="preserve"> disciplines</w:t>
      </w:r>
      <w:r w:rsidR="00F80F1D">
        <w:rPr>
          <w:sz w:val="24"/>
          <w:szCs w:val="24"/>
        </w:rPr>
        <w:t>, though, who, like those in Applied</w:t>
      </w:r>
      <w:r w:rsidR="007853F3">
        <w:rPr>
          <w:sz w:val="24"/>
          <w:szCs w:val="24"/>
        </w:rPr>
        <w:t xml:space="preserve"> </w:t>
      </w:r>
      <w:r w:rsidR="00F80F1D">
        <w:rPr>
          <w:sz w:val="24"/>
          <w:szCs w:val="24"/>
        </w:rPr>
        <w:t xml:space="preserve">disciplines, </w:t>
      </w:r>
      <w:r w:rsidR="00D9237E">
        <w:rPr>
          <w:sz w:val="24"/>
          <w:szCs w:val="24"/>
        </w:rPr>
        <w:t>were clear that they wanted</w:t>
      </w:r>
      <w:r w:rsidR="00E84C28">
        <w:rPr>
          <w:sz w:val="24"/>
          <w:szCs w:val="24"/>
        </w:rPr>
        <w:t xml:space="preserve"> their research to have benefits in</w:t>
      </w:r>
      <w:r w:rsidR="007853F3">
        <w:rPr>
          <w:sz w:val="24"/>
          <w:szCs w:val="24"/>
        </w:rPr>
        <w:t xml:space="preserve"> the </w:t>
      </w:r>
      <w:r w:rsidR="00E84C28">
        <w:rPr>
          <w:sz w:val="24"/>
          <w:szCs w:val="24"/>
        </w:rPr>
        <w:t>real world</w:t>
      </w:r>
      <w:r w:rsidR="009E6D2A">
        <w:rPr>
          <w:sz w:val="24"/>
          <w:szCs w:val="24"/>
        </w:rPr>
        <w:t>. For example:</w:t>
      </w:r>
    </w:p>
    <w:p w14:paraId="63639B4D" w14:textId="7F5A3BA0" w:rsidR="00E84C28" w:rsidRDefault="00E84C28" w:rsidP="00CE5CDB">
      <w:pPr>
        <w:spacing w:after="120" w:line="240" w:lineRule="auto"/>
        <w:ind w:left="720"/>
        <w:rPr>
          <w:sz w:val="24"/>
          <w:szCs w:val="24"/>
        </w:rPr>
      </w:pPr>
      <w:r>
        <w:rPr>
          <w:sz w:val="24"/>
          <w:szCs w:val="24"/>
        </w:rPr>
        <w:t>“When I do research, it’s not just about the publication, I really want to help.” (Basic/Applied scientist)</w:t>
      </w:r>
    </w:p>
    <w:p w14:paraId="27A9A12E" w14:textId="57A9CD51" w:rsidR="007853F3" w:rsidRDefault="00A53B67" w:rsidP="00CE5CDB">
      <w:pPr>
        <w:spacing w:after="120" w:line="240" w:lineRule="auto"/>
        <w:ind w:left="720"/>
        <w:rPr>
          <w:sz w:val="24"/>
          <w:szCs w:val="24"/>
        </w:rPr>
      </w:pPr>
      <w:r>
        <w:rPr>
          <w:sz w:val="24"/>
          <w:szCs w:val="24"/>
        </w:rPr>
        <w:t>“I’m quite idealistic</w:t>
      </w:r>
      <w:r w:rsidR="00CA4764">
        <w:rPr>
          <w:sz w:val="24"/>
          <w:szCs w:val="24"/>
        </w:rPr>
        <w:t>. I’m working in this area … because I’m concerned about the situation… The early part of the work in terms of impact was essentially a hobby, I wasn’t getting paid to do that. … But I’m fortunate to be in an institution that has always tolerated impact.” (Basic/Applied scientist</w:t>
      </w:r>
      <w:r w:rsidR="00472539">
        <w:rPr>
          <w:sz w:val="24"/>
          <w:szCs w:val="24"/>
        </w:rPr>
        <w:t>)</w:t>
      </w:r>
    </w:p>
    <w:p w14:paraId="39A0FE55" w14:textId="2AB53545" w:rsidR="00574251" w:rsidRDefault="000E3076" w:rsidP="00574251">
      <w:pPr>
        <w:spacing w:after="120" w:line="360" w:lineRule="auto"/>
        <w:rPr>
          <w:sz w:val="24"/>
          <w:szCs w:val="24"/>
        </w:rPr>
      </w:pPr>
      <w:r>
        <w:rPr>
          <w:sz w:val="24"/>
          <w:szCs w:val="24"/>
        </w:rPr>
        <w:t>What explains th</w:t>
      </w:r>
      <w:r w:rsidR="00297E72">
        <w:rPr>
          <w:sz w:val="24"/>
          <w:szCs w:val="24"/>
        </w:rPr>
        <w:t>e low typology values, then, is</w:t>
      </w:r>
      <w:r>
        <w:rPr>
          <w:sz w:val="24"/>
          <w:szCs w:val="24"/>
        </w:rPr>
        <w:t xml:space="preserve"> th</w:t>
      </w:r>
      <w:r w:rsidR="002F7CBF">
        <w:rPr>
          <w:sz w:val="24"/>
          <w:szCs w:val="24"/>
        </w:rPr>
        <w:t xml:space="preserve">e indirect and long-term nature of the use-inspired goals in Basic/Applied disciplines. </w:t>
      </w:r>
      <w:r w:rsidR="002F7D4D">
        <w:rPr>
          <w:sz w:val="24"/>
          <w:szCs w:val="24"/>
        </w:rPr>
        <w:t xml:space="preserve">Rather than research oriented towards achieving specific outcomes for specific actors, as was the norm in research sampled from Applied disciplines, </w:t>
      </w:r>
      <w:r w:rsidR="00980CE8">
        <w:rPr>
          <w:sz w:val="24"/>
          <w:szCs w:val="24"/>
        </w:rPr>
        <w:t xml:space="preserve">research from Basic/Applied disciplines was focused, </w:t>
      </w:r>
      <w:r w:rsidR="00302A8A">
        <w:rPr>
          <w:sz w:val="24"/>
          <w:szCs w:val="24"/>
        </w:rPr>
        <w:t>in the main, on advancing the</w:t>
      </w:r>
      <w:r w:rsidR="00302A8A">
        <w:rPr>
          <w:i/>
          <w:sz w:val="24"/>
          <w:szCs w:val="24"/>
        </w:rPr>
        <w:t xml:space="preserve"> </w:t>
      </w:r>
      <w:r w:rsidR="00302A8A">
        <w:rPr>
          <w:sz w:val="24"/>
          <w:szCs w:val="24"/>
        </w:rPr>
        <w:t xml:space="preserve">discipline in the first instance. </w:t>
      </w:r>
      <w:r w:rsidR="003B581A">
        <w:rPr>
          <w:sz w:val="24"/>
          <w:szCs w:val="24"/>
        </w:rPr>
        <w:t>For researchers in these disciplines, the way to achieve impact was to contribute to the discipline, because</w:t>
      </w:r>
      <w:r w:rsidR="00302A8A">
        <w:rPr>
          <w:sz w:val="24"/>
          <w:szCs w:val="24"/>
        </w:rPr>
        <w:t xml:space="preserve"> long-term impact </w:t>
      </w:r>
      <w:r w:rsidR="003B581A">
        <w:rPr>
          <w:sz w:val="24"/>
          <w:szCs w:val="24"/>
        </w:rPr>
        <w:t xml:space="preserve">depended on the strength of the body of knowledge defined by the discipline. Researchers were aware that such an approach, although ‘use-inspired’ in the long run, could sometimes mean periods of </w:t>
      </w:r>
      <w:r w:rsidR="00F80F1D">
        <w:rPr>
          <w:sz w:val="24"/>
          <w:szCs w:val="24"/>
        </w:rPr>
        <w:t>“</w:t>
      </w:r>
      <w:r w:rsidR="003B581A" w:rsidRPr="00F80F1D">
        <w:rPr>
          <w:sz w:val="24"/>
          <w:szCs w:val="24"/>
        </w:rPr>
        <w:t>un</w:t>
      </w:r>
      <w:r w:rsidR="003B581A">
        <w:rPr>
          <w:sz w:val="24"/>
          <w:szCs w:val="24"/>
        </w:rPr>
        <w:t>applied</w:t>
      </w:r>
      <w:r w:rsidR="00F80F1D">
        <w:rPr>
          <w:sz w:val="24"/>
          <w:szCs w:val="24"/>
        </w:rPr>
        <w:t>”</w:t>
      </w:r>
      <w:r w:rsidR="003B581A">
        <w:rPr>
          <w:sz w:val="24"/>
          <w:szCs w:val="24"/>
        </w:rPr>
        <w:t xml:space="preserve"> research</w:t>
      </w:r>
      <w:r w:rsidR="00F80F1D">
        <w:rPr>
          <w:sz w:val="24"/>
          <w:szCs w:val="24"/>
        </w:rPr>
        <w:t xml:space="preserve">, in the words of </w:t>
      </w:r>
      <w:r w:rsidR="003B581A">
        <w:rPr>
          <w:sz w:val="24"/>
          <w:szCs w:val="24"/>
        </w:rPr>
        <w:t>one respondent:</w:t>
      </w:r>
    </w:p>
    <w:p w14:paraId="43BE6D26" w14:textId="0E20B7E7" w:rsidR="003B581A" w:rsidRDefault="003B581A" w:rsidP="00CE5CDB">
      <w:pPr>
        <w:spacing w:after="120" w:line="240" w:lineRule="auto"/>
        <w:ind w:left="720"/>
        <w:rPr>
          <w:sz w:val="24"/>
          <w:szCs w:val="24"/>
        </w:rPr>
      </w:pPr>
      <w:r>
        <w:rPr>
          <w:sz w:val="24"/>
          <w:szCs w:val="24"/>
        </w:rPr>
        <w:t>“I’ve been working on this since 2002 and for the first several years of that it was very unapplied… We</w:t>
      </w:r>
      <w:r w:rsidR="009F4D32">
        <w:rPr>
          <w:sz w:val="24"/>
          <w:szCs w:val="24"/>
        </w:rPr>
        <w:t xml:space="preserve"> [the discipline]</w:t>
      </w:r>
      <w:r>
        <w:rPr>
          <w:sz w:val="24"/>
          <w:szCs w:val="24"/>
        </w:rPr>
        <w:t xml:space="preserve"> didn’t understand something, and I wanted to understand it.”</w:t>
      </w:r>
      <w:r w:rsidR="002D1630">
        <w:rPr>
          <w:sz w:val="24"/>
          <w:szCs w:val="24"/>
        </w:rPr>
        <w:t xml:space="preserve"> (Basic/Applied scientist)</w:t>
      </w:r>
    </w:p>
    <w:p w14:paraId="4BBDF323" w14:textId="3E42C8CC" w:rsidR="002D1630" w:rsidRDefault="002D1630" w:rsidP="00574251">
      <w:pPr>
        <w:spacing w:after="120" w:line="360" w:lineRule="auto"/>
        <w:rPr>
          <w:sz w:val="24"/>
          <w:szCs w:val="24"/>
        </w:rPr>
      </w:pPr>
      <w:r>
        <w:rPr>
          <w:sz w:val="24"/>
          <w:szCs w:val="24"/>
        </w:rPr>
        <w:t xml:space="preserve">Similarly, another respondent </w:t>
      </w:r>
      <w:r w:rsidR="000172A6">
        <w:rPr>
          <w:sz w:val="24"/>
          <w:szCs w:val="24"/>
        </w:rPr>
        <w:t>recall</w:t>
      </w:r>
      <w:r>
        <w:rPr>
          <w:sz w:val="24"/>
          <w:szCs w:val="24"/>
        </w:rPr>
        <w:t>ed</w:t>
      </w:r>
      <w:r w:rsidR="000172A6">
        <w:rPr>
          <w:sz w:val="24"/>
          <w:szCs w:val="24"/>
        </w:rPr>
        <w:t xml:space="preserve"> that</w:t>
      </w:r>
      <w:r>
        <w:rPr>
          <w:sz w:val="24"/>
          <w:szCs w:val="24"/>
        </w:rPr>
        <w:t xml:space="preserve">: </w:t>
      </w:r>
    </w:p>
    <w:p w14:paraId="0281E77C" w14:textId="789A80F8" w:rsidR="002D1630" w:rsidRDefault="002D1630" w:rsidP="00CE5CDB">
      <w:pPr>
        <w:spacing w:after="120" w:line="240" w:lineRule="auto"/>
        <w:ind w:left="720"/>
        <w:rPr>
          <w:sz w:val="24"/>
          <w:szCs w:val="24"/>
        </w:rPr>
      </w:pPr>
      <w:r>
        <w:rPr>
          <w:sz w:val="24"/>
          <w:szCs w:val="24"/>
        </w:rPr>
        <w:t>“When I first did my study here I did more like a lab-based study, and I was thinking, okay, it’s an ‘applied’ area,</w:t>
      </w:r>
      <w:r w:rsidR="00481877">
        <w:rPr>
          <w:sz w:val="24"/>
          <w:szCs w:val="24"/>
        </w:rPr>
        <w:t xml:space="preserve"> and I might get a ‘significant result’,</w:t>
      </w:r>
      <w:r>
        <w:rPr>
          <w:sz w:val="24"/>
          <w:szCs w:val="24"/>
        </w:rPr>
        <w:t xml:space="preserve"> but in terms of impact, is that really making a difference in everyday life?” (Basic/Applied scientist)</w:t>
      </w:r>
    </w:p>
    <w:p w14:paraId="3F44FA39" w14:textId="77777777" w:rsidR="00472539" w:rsidRDefault="00FC186D" w:rsidP="00472539">
      <w:pPr>
        <w:spacing w:after="120" w:line="360" w:lineRule="auto"/>
        <w:rPr>
          <w:sz w:val="24"/>
          <w:szCs w:val="24"/>
        </w:rPr>
      </w:pPr>
      <w:r>
        <w:rPr>
          <w:sz w:val="24"/>
          <w:szCs w:val="24"/>
        </w:rPr>
        <w:t>This</w:t>
      </w:r>
      <w:r w:rsidR="00DB379C">
        <w:rPr>
          <w:sz w:val="24"/>
          <w:szCs w:val="24"/>
        </w:rPr>
        <w:t xml:space="preserve"> Basic/Applied</w:t>
      </w:r>
      <w:r>
        <w:rPr>
          <w:sz w:val="24"/>
          <w:szCs w:val="24"/>
        </w:rPr>
        <w:t xml:space="preserve"> approach to achieving research-based impact through contribution to a use-inspired basic discipline rather than localised projects in the context of application (as was the norm in sampled research from Applied disciplines)</w:t>
      </w:r>
      <w:r w:rsidR="00DB379C">
        <w:rPr>
          <w:sz w:val="24"/>
          <w:szCs w:val="24"/>
        </w:rPr>
        <w:t xml:space="preserve"> had an interesting implication for the nature and epistemic content of the research. </w:t>
      </w:r>
      <w:r w:rsidR="002537E8">
        <w:rPr>
          <w:sz w:val="24"/>
          <w:szCs w:val="24"/>
        </w:rPr>
        <w:t xml:space="preserve">Research from Basic/Applied disciplines was much more explicitly engaged in </w:t>
      </w:r>
      <w:r w:rsidR="002537E8">
        <w:rPr>
          <w:i/>
          <w:sz w:val="24"/>
          <w:szCs w:val="24"/>
        </w:rPr>
        <w:t xml:space="preserve">theory </w:t>
      </w:r>
      <w:r w:rsidR="002537E8">
        <w:rPr>
          <w:sz w:val="24"/>
          <w:szCs w:val="24"/>
        </w:rPr>
        <w:t xml:space="preserve">work: disciplinary theory, or at least a certain kind of disciplinary theorising, was a significant part of the link between abstract academic science and application in real world contexts. </w:t>
      </w:r>
    </w:p>
    <w:p w14:paraId="00C2C620" w14:textId="4992692B" w:rsidR="00472539" w:rsidRDefault="00472539" w:rsidP="00B46D04">
      <w:pPr>
        <w:spacing w:after="120" w:line="360" w:lineRule="auto"/>
        <w:rPr>
          <w:sz w:val="24"/>
          <w:szCs w:val="24"/>
        </w:rPr>
      </w:pPr>
      <w:r>
        <w:rPr>
          <w:sz w:val="24"/>
          <w:szCs w:val="24"/>
        </w:rPr>
        <w:t>This importance of theory as a pathway to impact</w:t>
      </w:r>
      <w:r w:rsidR="00DF6B79">
        <w:rPr>
          <w:sz w:val="24"/>
          <w:szCs w:val="24"/>
        </w:rPr>
        <w:t xml:space="preserve"> can be seen </w:t>
      </w:r>
      <w:r w:rsidR="00A41F5A">
        <w:rPr>
          <w:sz w:val="24"/>
          <w:szCs w:val="24"/>
        </w:rPr>
        <w:t>in</w:t>
      </w:r>
      <w:r w:rsidR="00DF6B79">
        <w:rPr>
          <w:sz w:val="24"/>
          <w:szCs w:val="24"/>
        </w:rPr>
        <w:t xml:space="preserve"> the</w:t>
      </w:r>
      <w:r w:rsidR="00196E77">
        <w:rPr>
          <w:sz w:val="24"/>
          <w:szCs w:val="24"/>
        </w:rPr>
        <w:t xml:space="preserve"> importance of</w:t>
      </w:r>
      <w:r w:rsidR="00DF6B79">
        <w:rPr>
          <w:sz w:val="24"/>
          <w:szCs w:val="24"/>
        </w:rPr>
        <w:t xml:space="preserve"> ‘bridging concepts</w:t>
      </w:r>
      <w:r w:rsidR="00196E77">
        <w:rPr>
          <w:sz w:val="24"/>
          <w:szCs w:val="24"/>
        </w:rPr>
        <w:t>’ in Basic/Applied research</w:t>
      </w:r>
      <w:r w:rsidR="00DF6B79">
        <w:rPr>
          <w:sz w:val="24"/>
          <w:szCs w:val="24"/>
        </w:rPr>
        <w:t>.</w:t>
      </w:r>
      <w:r w:rsidR="00282F36">
        <w:rPr>
          <w:sz w:val="24"/>
          <w:szCs w:val="24"/>
        </w:rPr>
        <w:t xml:space="preserve"> As explained earlier, these are concepts which condense underpinning scientific research and theory into a more readily understandable concept so as to be suitable for consideration and application by non-specialist users and stakeholders (and as such ‘bridging concepts’ can be understood as a form of ‘use-focused output’). </w:t>
      </w:r>
      <w:r>
        <w:rPr>
          <w:sz w:val="24"/>
          <w:szCs w:val="24"/>
        </w:rPr>
        <w:t>One such bridging concept, that of ‘serotonin syndrome’, was discussed earlier in the extended illustrative discussion of BoR4.2 (‘Informing MDMA policy’). Another is that of ‘assimilative capacity’ in the Basic/Applied context of BoR7.1 (‘</w:t>
      </w:r>
      <w:r w:rsidRPr="00FC33ED">
        <w:rPr>
          <w:sz w:val="24"/>
          <w:szCs w:val="24"/>
        </w:rPr>
        <w:t>Defining and Sustaining Healthy Seas</w:t>
      </w:r>
      <w:r>
        <w:rPr>
          <w:sz w:val="24"/>
          <w:szCs w:val="24"/>
        </w:rPr>
        <w:t>’)</w:t>
      </w:r>
      <w:r w:rsidR="00B46D04">
        <w:rPr>
          <w:sz w:val="24"/>
          <w:szCs w:val="24"/>
        </w:rPr>
        <w:t xml:space="preserve"> based on research by the Centre for Environmental and Marine Science</w:t>
      </w:r>
      <w:r w:rsidR="00A9005E">
        <w:rPr>
          <w:sz w:val="24"/>
          <w:szCs w:val="24"/>
        </w:rPr>
        <w:t>s</w:t>
      </w:r>
      <w:r w:rsidR="00B46D04">
        <w:rPr>
          <w:sz w:val="24"/>
          <w:szCs w:val="24"/>
        </w:rPr>
        <w:t xml:space="preserve"> and Services (CEMaSS)</w:t>
      </w:r>
      <w:r w:rsidR="00A9005E">
        <w:rPr>
          <w:sz w:val="24"/>
          <w:szCs w:val="24"/>
        </w:rPr>
        <w:t xml:space="preserve"> at Edinburgh Napier University</w:t>
      </w:r>
      <w:r>
        <w:rPr>
          <w:sz w:val="24"/>
          <w:szCs w:val="24"/>
        </w:rPr>
        <w:t xml:space="preserve">. </w:t>
      </w:r>
      <w:r w:rsidR="00DE087F">
        <w:rPr>
          <w:sz w:val="24"/>
          <w:szCs w:val="24"/>
        </w:rPr>
        <w:t xml:space="preserve">CEMaSS’ work </w:t>
      </w:r>
      <w:r w:rsidR="00B46D04">
        <w:rPr>
          <w:sz w:val="24"/>
          <w:szCs w:val="24"/>
        </w:rPr>
        <w:t>had significant relevance to environmental regulations and responsibilities under the European Union. One of the goals of the</w:t>
      </w:r>
      <w:r w:rsidR="00DE087F">
        <w:rPr>
          <w:sz w:val="24"/>
          <w:szCs w:val="24"/>
        </w:rPr>
        <w:t>ir</w:t>
      </w:r>
      <w:r w:rsidR="00B46D04">
        <w:rPr>
          <w:sz w:val="24"/>
          <w:szCs w:val="24"/>
        </w:rPr>
        <w:t xml:space="preserve"> researchers was to provide policy </w:t>
      </w:r>
      <w:r>
        <w:rPr>
          <w:sz w:val="24"/>
          <w:szCs w:val="24"/>
        </w:rPr>
        <w:t>actors with a</w:t>
      </w:r>
      <w:r w:rsidR="00B46D04">
        <w:rPr>
          <w:sz w:val="24"/>
          <w:szCs w:val="24"/>
        </w:rPr>
        <w:t xml:space="preserve"> concept which was</w:t>
      </w:r>
      <w:r>
        <w:rPr>
          <w:sz w:val="24"/>
          <w:szCs w:val="24"/>
        </w:rPr>
        <w:t xml:space="preserve"> </w:t>
      </w:r>
      <w:r w:rsidR="00B46D04">
        <w:rPr>
          <w:sz w:val="24"/>
          <w:szCs w:val="24"/>
        </w:rPr>
        <w:t xml:space="preserve">grounded in rigorous science about the </w:t>
      </w:r>
      <w:r>
        <w:rPr>
          <w:sz w:val="24"/>
          <w:szCs w:val="24"/>
        </w:rPr>
        <w:t>health and s</w:t>
      </w:r>
      <w:r w:rsidR="00B46D04">
        <w:rPr>
          <w:sz w:val="24"/>
          <w:szCs w:val="24"/>
        </w:rPr>
        <w:t>ustain</w:t>
      </w:r>
      <w:r>
        <w:rPr>
          <w:sz w:val="24"/>
          <w:szCs w:val="24"/>
        </w:rPr>
        <w:t xml:space="preserve">ability of European seas, but </w:t>
      </w:r>
      <w:r w:rsidR="00B46D04">
        <w:rPr>
          <w:sz w:val="24"/>
          <w:szCs w:val="24"/>
        </w:rPr>
        <w:t xml:space="preserve">which was also readily understandable and usable by </w:t>
      </w:r>
      <w:r w:rsidR="00DE087F">
        <w:rPr>
          <w:sz w:val="24"/>
          <w:szCs w:val="24"/>
        </w:rPr>
        <w:t xml:space="preserve">non-scientific </w:t>
      </w:r>
      <w:r w:rsidR="00B46D04">
        <w:rPr>
          <w:sz w:val="24"/>
          <w:szCs w:val="24"/>
        </w:rPr>
        <w:t>policy actors</w:t>
      </w:r>
      <w:r>
        <w:rPr>
          <w:sz w:val="24"/>
          <w:szCs w:val="24"/>
        </w:rPr>
        <w:t xml:space="preserve">. CEMaSS put forward the concept of ‘assimilative capacity’. </w:t>
      </w:r>
      <w:r w:rsidR="00DE087F">
        <w:rPr>
          <w:sz w:val="24"/>
          <w:szCs w:val="24"/>
        </w:rPr>
        <w:t>The ‘assimilative capacity’ concept</w:t>
      </w:r>
      <w:r>
        <w:rPr>
          <w:sz w:val="24"/>
          <w:szCs w:val="24"/>
        </w:rPr>
        <w:t xml:space="preserve"> summarises a </w:t>
      </w:r>
      <w:r w:rsidR="00DE087F">
        <w:rPr>
          <w:sz w:val="24"/>
          <w:szCs w:val="24"/>
        </w:rPr>
        <w:t xml:space="preserve">scientific </w:t>
      </w:r>
      <w:r>
        <w:rPr>
          <w:sz w:val="24"/>
          <w:szCs w:val="24"/>
        </w:rPr>
        <w:t xml:space="preserve">model which assumes that all natural environments have the capacity to assimilate some level of acceptable change, and that only change beyond this level should be considered unacceptable. The ‘assimilative capacity’ model aimed to provide a formula for ascertaining what level of change a given region or environment could acceptably assimilate. CEMaSS were thus proposing a model which accounted not only for the latest oceanographic science but also for political realities, such as current regulation and the inevitability of clashing socio-economic interests (such as between regulators and farmers whose agricultural waste may </w:t>
      </w:r>
      <w:r w:rsidR="00121E5F">
        <w:rPr>
          <w:sz w:val="24"/>
          <w:szCs w:val="24"/>
        </w:rPr>
        <w:t xml:space="preserve">contribute to changes in the ‘changes’ in European seas, since </w:t>
      </w:r>
      <w:r w:rsidR="00DF503B">
        <w:rPr>
          <w:sz w:val="24"/>
          <w:szCs w:val="24"/>
        </w:rPr>
        <w:t xml:space="preserve">agricultural </w:t>
      </w:r>
      <w:r w:rsidR="00121E5F">
        <w:rPr>
          <w:sz w:val="24"/>
          <w:szCs w:val="24"/>
        </w:rPr>
        <w:t xml:space="preserve">waste can lead to an increase in phytoplankton on water surfaces with the result that less sunlight penetrates below the surface, with potentially negative </w:t>
      </w:r>
      <w:r w:rsidR="00DF503B">
        <w:rPr>
          <w:sz w:val="24"/>
          <w:szCs w:val="24"/>
        </w:rPr>
        <w:t>effects</w:t>
      </w:r>
      <w:r w:rsidR="00121E5F">
        <w:rPr>
          <w:sz w:val="24"/>
          <w:szCs w:val="24"/>
        </w:rPr>
        <w:t xml:space="preserve"> on sea life</w:t>
      </w:r>
      <w:r>
        <w:rPr>
          <w:sz w:val="24"/>
          <w:szCs w:val="24"/>
        </w:rPr>
        <w:t xml:space="preserve">). </w:t>
      </w:r>
    </w:p>
    <w:p w14:paraId="3B505AA3" w14:textId="5235E5DF" w:rsidR="00DF6B79" w:rsidRDefault="00DF6B79" w:rsidP="00DF6B79">
      <w:pPr>
        <w:spacing w:after="120" w:line="360" w:lineRule="auto"/>
        <w:rPr>
          <w:sz w:val="24"/>
          <w:szCs w:val="24"/>
        </w:rPr>
      </w:pPr>
      <w:r>
        <w:rPr>
          <w:sz w:val="24"/>
          <w:szCs w:val="24"/>
        </w:rPr>
        <w:t>This</w:t>
      </w:r>
      <w:r w:rsidR="002726BA">
        <w:rPr>
          <w:sz w:val="24"/>
          <w:szCs w:val="24"/>
        </w:rPr>
        <w:t xml:space="preserve"> greater preoccupation with theory</w:t>
      </w:r>
      <w:r>
        <w:rPr>
          <w:sz w:val="24"/>
          <w:szCs w:val="24"/>
        </w:rPr>
        <w:t xml:space="preserve"> also came through in the interview data, as respondents from Basic/Applied disciplines explicitly conceptualised their work in terms of linking theory to practice</w:t>
      </w:r>
      <w:r w:rsidR="002726BA">
        <w:rPr>
          <w:sz w:val="24"/>
          <w:szCs w:val="24"/>
        </w:rPr>
        <w:t xml:space="preserve"> in a way that other respondents did not</w:t>
      </w:r>
      <w:r>
        <w:rPr>
          <w:sz w:val="24"/>
          <w:szCs w:val="24"/>
        </w:rPr>
        <w:t>. For example,</w:t>
      </w:r>
    </w:p>
    <w:p w14:paraId="14B1FC81" w14:textId="01F74664" w:rsidR="00DF6B79" w:rsidRDefault="00DF6B79" w:rsidP="00CE5CDB">
      <w:pPr>
        <w:spacing w:after="120" w:line="240" w:lineRule="auto"/>
        <w:ind w:left="720"/>
        <w:rPr>
          <w:sz w:val="24"/>
          <w:szCs w:val="24"/>
        </w:rPr>
      </w:pPr>
      <w:r>
        <w:rPr>
          <w:sz w:val="24"/>
          <w:szCs w:val="24"/>
        </w:rPr>
        <w:t>“Whether it’s teaching, training, consultancy, research, whatever, I’m working with theory, but at the same time always thinking how to make sure the theory is relevant. The transfer from theory to practice and the links between theory and practice, as well as to policy, are really important to me.” (Basic/Applied scientis</w:t>
      </w:r>
      <w:r w:rsidR="00073523">
        <w:rPr>
          <w:sz w:val="24"/>
          <w:szCs w:val="24"/>
        </w:rPr>
        <w:t>t</w:t>
      </w:r>
      <w:r>
        <w:rPr>
          <w:sz w:val="24"/>
          <w:szCs w:val="24"/>
        </w:rPr>
        <w:t>)</w:t>
      </w:r>
    </w:p>
    <w:p w14:paraId="0B3099D0" w14:textId="20508930" w:rsidR="00DF6B79" w:rsidRDefault="00DF6B79" w:rsidP="00CE5CDB">
      <w:pPr>
        <w:spacing w:after="120" w:line="240" w:lineRule="auto"/>
        <w:ind w:left="720"/>
        <w:rPr>
          <w:sz w:val="24"/>
          <w:szCs w:val="24"/>
        </w:rPr>
      </w:pPr>
      <w:r>
        <w:rPr>
          <w:sz w:val="24"/>
          <w:szCs w:val="24"/>
        </w:rPr>
        <w:t>“My theoretical background ... was originally quite abstract and very scientific... Now, I still work theoretically, but I’ve made the decision to use the theory but to be driven by practical goals.” (Basic/Applied scientist, ‘less prestigious’ department)</w:t>
      </w:r>
    </w:p>
    <w:p w14:paraId="4F99D03F" w14:textId="4E199FD3" w:rsidR="006D3FB5" w:rsidRDefault="009B7C34" w:rsidP="008B4424">
      <w:pPr>
        <w:keepNext/>
        <w:spacing w:after="120" w:line="360" w:lineRule="auto"/>
        <w:rPr>
          <w:sz w:val="24"/>
          <w:szCs w:val="24"/>
        </w:rPr>
      </w:pPr>
      <w:r>
        <w:rPr>
          <w:sz w:val="24"/>
          <w:szCs w:val="24"/>
        </w:rPr>
        <w:t>Based on this evidence, I see r</w:t>
      </w:r>
      <w:r w:rsidR="006D3FB5">
        <w:rPr>
          <w:sz w:val="24"/>
          <w:szCs w:val="24"/>
        </w:rPr>
        <w:t xml:space="preserve">esearch in the Basic/Applied disciplines in my sample </w:t>
      </w:r>
      <w:r>
        <w:rPr>
          <w:sz w:val="24"/>
          <w:szCs w:val="24"/>
        </w:rPr>
        <w:t>as</w:t>
      </w:r>
      <w:r w:rsidR="006D3FB5">
        <w:rPr>
          <w:sz w:val="24"/>
          <w:szCs w:val="24"/>
        </w:rPr>
        <w:t xml:space="preserve"> illustrat</w:t>
      </w:r>
      <w:r>
        <w:rPr>
          <w:sz w:val="24"/>
          <w:szCs w:val="24"/>
        </w:rPr>
        <w:t>ing</w:t>
      </w:r>
      <w:r w:rsidR="006D3FB5">
        <w:rPr>
          <w:sz w:val="24"/>
          <w:szCs w:val="24"/>
        </w:rPr>
        <w:t xml:space="preserve"> </w:t>
      </w:r>
      <w:r>
        <w:rPr>
          <w:sz w:val="24"/>
          <w:szCs w:val="24"/>
        </w:rPr>
        <w:t xml:space="preserve">academia’s internal drive to continually bring ever more </w:t>
      </w:r>
      <w:r w:rsidR="00A022A5">
        <w:rPr>
          <w:sz w:val="24"/>
          <w:szCs w:val="24"/>
        </w:rPr>
        <w:t>finely classified</w:t>
      </w:r>
      <w:r>
        <w:rPr>
          <w:sz w:val="24"/>
          <w:szCs w:val="24"/>
        </w:rPr>
        <w:t xml:space="preserve"> aspects of the world into the domain of academic knowledge. As knowledge specialisms proliferate, new sub-disciplines, often interdisciplinary, emerge, which have their own theoretical perspectives on phenomena deemed to fall within its purview. Instances of such sub-disciplines in my own sample of Basic/Applied disciplines include </w:t>
      </w:r>
      <w:r w:rsidR="005749EB" w:rsidRPr="00122F0D">
        <w:rPr>
          <w:i/>
          <w:sz w:val="24"/>
          <w:szCs w:val="24"/>
        </w:rPr>
        <w:t>psychopharmacology</w:t>
      </w:r>
      <w:r>
        <w:rPr>
          <w:sz w:val="24"/>
          <w:szCs w:val="24"/>
        </w:rPr>
        <w:t xml:space="preserve">, which best describes the discipline of the Drugs and Addictive Behaviour Research Group at the University of East London, School of Psychology (responsible for BoR4.1 and BoR4.2), and </w:t>
      </w:r>
      <w:r w:rsidR="005749EB" w:rsidRPr="00122F0D">
        <w:rPr>
          <w:i/>
          <w:sz w:val="24"/>
          <w:szCs w:val="24"/>
        </w:rPr>
        <w:t>marine ecology</w:t>
      </w:r>
      <w:r w:rsidR="005749EB">
        <w:rPr>
          <w:sz w:val="24"/>
          <w:szCs w:val="24"/>
        </w:rPr>
        <w:t xml:space="preserve">, </w:t>
      </w:r>
      <w:r>
        <w:rPr>
          <w:sz w:val="24"/>
          <w:szCs w:val="24"/>
        </w:rPr>
        <w:t>which best describes the discipline of CEMaSS researchers (responsible for</w:t>
      </w:r>
      <w:r w:rsidR="005749EB">
        <w:rPr>
          <w:sz w:val="24"/>
          <w:szCs w:val="24"/>
        </w:rPr>
        <w:t xml:space="preserve"> BoR7.1 </w:t>
      </w:r>
      <w:r>
        <w:rPr>
          <w:sz w:val="24"/>
          <w:szCs w:val="24"/>
        </w:rPr>
        <w:t xml:space="preserve">and </w:t>
      </w:r>
      <w:r w:rsidR="005749EB">
        <w:rPr>
          <w:sz w:val="24"/>
          <w:szCs w:val="24"/>
        </w:rPr>
        <w:t>BoR7.2</w:t>
      </w:r>
      <w:r>
        <w:rPr>
          <w:sz w:val="24"/>
          <w:szCs w:val="24"/>
        </w:rPr>
        <w:t>)</w:t>
      </w:r>
      <w:r w:rsidR="005749EB">
        <w:rPr>
          <w:sz w:val="24"/>
          <w:szCs w:val="24"/>
        </w:rPr>
        <w:t xml:space="preserve">. </w:t>
      </w:r>
      <w:r w:rsidR="0082792B">
        <w:rPr>
          <w:sz w:val="24"/>
          <w:szCs w:val="24"/>
        </w:rPr>
        <w:t xml:space="preserve">The impact agenda seems to sit well with this internal academic drive, as it rewards sustained (disciplinary) focus on specific aspects of the natural world which have relevance to humanity’s projects and problems. </w:t>
      </w:r>
    </w:p>
    <w:p w14:paraId="6F889735" w14:textId="199BD283" w:rsidR="008959A2" w:rsidRDefault="008959A2" w:rsidP="00F76175">
      <w:pPr>
        <w:pStyle w:val="Heading4"/>
      </w:pPr>
      <w:r>
        <w:t>Basic scie</w:t>
      </w:r>
      <w:r w:rsidR="006D151B">
        <w:t>nces: a technoscientific system</w:t>
      </w:r>
    </w:p>
    <w:p w14:paraId="444FD878" w14:textId="1870AA4C" w:rsidR="000D7748" w:rsidRDefault="000D7748" w:rsidP="00533BFD">
      <w:pPr>
        <w:keepNext/>
        <w:spacing w:after="120" w:line="360" w:lineRule="auto"/>
        <w:rPr>
          <w:sz w:val="24"/>
          <w:szCs w:val="24"/>
        </w:rPr>
      </w:pPr>
      <w:r>
        <w:rPr>
          <w:sz w:val="24"/>
          <w:szCs w:val="24"/>
        </w:rPr>
        <w:t xml:space="preserve">The last category is that of Basic disciplines. </w:t>
      </w:r>
      <w:r w:rsidR="002521DC">
        <w:rPr>
          <w:sz w:val="24"/>
          <w:szCs w:val="24"/>
        </w:rPr>
        <w:t>According to the</w:t>
      </w:r>
      <w:r w:rsidR="008959A2">
        <w:rPr>
          <w:sz w:val="24"/>
          <w:szCs w:val="24"/>
        </w:rPr>
        <w:t xml:space="preserve"> typology values associated with Basic disciplines</w:t>
      </w:r>
      <w:r w:rsidR="002521DC">
        <w:rPr>
          <w:sz w:val="24"/>
          <w:szCs w:val="24"/>
        </w:rPr>
        <w:t xml:space="preserve">, they are relatively ‘unbounded’ on all research dimensions. </w:t>
      </w:r>
      <w:r w:rsidR="006B5384">
        <w:rPr>
          <w:sz w:val="24"/>
          <w:szCs w:val="24"/>
        </w:rPr>
        <w:t xml:space="preserve">It </w:t>
      </w:r>
      <w:r w:rsidR="00002F43">
        <w:rPr>
          <w:sz w:val="24"/>
          <w:szCs w:val="24"/>
        </w:rPr>
        <w:t>receive</w:t>
      </w:r>
      <w:r w:rsidR="006B5384">
        <w:rPr>
          <w:sz w:val="24"/>
          <w:szCs w:val="24"/>
        </w:rPr>
        <w:t>d relatively low values for</w:t>
      </w:r>
      <w:r w:rsidR="002521DC">
        <w:rPr>
          <w:sz w:val="24"/>
          <w:szCs w:val="24"/>
        </w:rPr>
        <w:t xml:space="preserve"> ‘social context’ (3.24)</w:t>
      </w:r>
      <w:r w:rsidR="006B5384">
        <w:rPr>
          <w:sz w:val="24"/>
          <w:szCs w:val="24"/>
        </w:rPr>
        <w:t>,</w:t>
      </w:r>
      <w:r w:rsidR="002521DC">
        <w:rPr>
          <w:sz w:val="24"/>
          <w:szCs w:val="24"/>
        </w:rPr>
        <w:t xml:space="preserve"> ‘intermediary’ (2.37) and ‘knowledge content’ (1.52)</w:t>
      </w:r>
      <w:r w:rsidR="006B5384">
        <w:rPr>
          <w:sz w:val="24"/>
          <w:szCs w:val="24"/>
        </w:rPr>
        <w:t xml:space="preserve">, and, accordingly, a low Total typology value </w:t>
      </w:r>
      <w:r w:rsidR="00F744F4">
        <w:rPr>
          <w:sz w:val="24"/>
          <w:szCs w:val="24"/>
        </w:rPr>
        <w:t>(2.43)</w:t>
      </w:r>
      <w:r w:rsidR="002521DC">
        <w:rPr>
          <w:sz w:val="24"/>
          <w:szCs w:val="24"/>
        </w:rPr>
        <w:t xml:space="preserve"> (see </w:t>
      </w:r>
      <w:r w:rsidR="002521DC" w:rsidRPr="008959A2">
        <w:rPr>
          <w:sz w:val="24"/>
          <w:szCs w:val="24"/>
        </w:rPr>
        <w:fldChar w:fldCharType="begin"/>
      </w:r>
      <w:r w:rsidR="002521DC" w:rsidRPr="008959A2">
        <w:rPr>
          <w:sz w:val="24"/>
          <w:szCs w:val="24"/>
        </w:rPr>
        <w:instrText xml:space="preserve"> REF _Ref8937176 \h </w:instrText>
      </w:r>
      <w:r w:rsidR="002521DC">
        <w:rPr>
          <w:sz w:val="24"/>
          <w:szCs w:val="24"/>
        </w:rPr>
        <w:instrText xml:space="preserve"> \* MERGEFORMAT </w:instrText>
      </w:r>
      <w:r w:rsidR="002521DC" w:rsidRPr="008959A2">
        <w:rPr>
          <w:sz w:val="24"/>
          <w:szCs w:val="24"/>
        </w:rPr>
      </w:r>
      <w:r w:rsidR="002521DC" w:rsidRPr="008959A2">
        <w:rPr>
          <w:sz w:val="24"/>
          <w:szCs w:val="24"/>
        </w:rPr>
        <w:fldChar w:fldCharType="separate"/>
      </w:r>
      <w:r w:rsidR="0011424E" w:rsidRPr="0011424E">
        <w:rPr>
          <w:sz w:val="24"/>
          <w:szCs w:val="24"/>
        </w:rPr>
        <w:t xml:space="preserve">Table </w:t>
      </w:r>
      <w:r w:rsidR="0011424E" w:rsidRPr="0011424E">
        <w:rPr>
          <w:noProof/>
          <w:sz w:val="24"/>
          <w:szCs w:val="24"/>
        </w:rPr>
        <w:t>37</w:t>
      </w:r>
      <w:r w:rsidR="002521DC" w:rsidRPr="008959A2">
        <w:rPr>
          <w:sz w:val="24"/>
          <w:szCs w:val="24"/>
        </w:rPr>
        <w:fldChar w:fldCharType="end"/>
      </w:r>
      <w:r w:rsidR="00A17844">
        <w:rPr>
          <w:sz w:val="24"/>
          <w:szCs w:val="24"/>
        </w:rPr>
        <w:t xml:space="preserve">, p. </w:t>
      </w:r>
      <w:r w:rsidR="00A17844">
        <w:rPr>
          <w:sz w:val="24"/>
          <w:szCs w:val="24"/>
        </w:rPr>
        <w:fldChar w:fldCharType="begin"/>
      </w:r>
      <w:r w:rsidR="00A17844">
        <w:rPr>
          <w:sz w:val="24"/>
          <w:szCs w:val="24"/>
        </w:rPr>
        <w:instrText xml:space="preserve"> PAGEREF _Ref9085135 \h </w:instrText>
      </w:r>
      <w:r w:rsidR="00A17844">
        <w:rPr>
          <w:sz w:val="24"/>
          <w:szCs w:val="24"/>
        </w:rPr>
      </w:r>
      <w:r w:rsidR="00A17844">
        <w:rPr>
          <w:sz w:val="24"/>
          <w:szCs w:val="24"/>
        </w:rPr>
        <w:fldChar w:fldCharType="separate"/>
      </w:r>
      <w:r w:rsidR="0011424E">
        <w:rPr>
          <w:noProof/>
          <w:sz w:val="24"/>
          <w:szCs w:val="24"/>
        </w:rPr>
        <w:t>136</w:t>
      </w:r>
      <w:r w:rsidR="00A17844">
        <w:rPr>
          <w:sz w:val="24"/>
          <w:szCs w:val="24"/>
        </w:rPr>
        <w:fldChar w:fldCharType="end"/>
      </w:r>
      <w:r w:rsidR="002521DC">
        <w:rPr>
          <w:sz w:val="24"/>
          <w:szCs w:val="24"/>
        </w:rPr>
        <w:t>).</w:t>
      </w:r>
      <w:r w:rsidR="006C4EBA">
        <w:rPr>
          <w:sz w:val="24"/>
          <w:szCs w:val="24"/>
        </w:rPr>
        <w:t xml:space="preserve"> In fact, the category of Basic</w:t>
      </w:r>
      <w:r w:rsidR="00E03CC4">
        <w:rPr>
          <w:sz w:val="24"/>
          <w:szCs w:val="24"/>
        </w:rPr>
        <w:t xml:space="preserve"> disciplines is the only one among</w:t>
      </w:r>
      <w:r w:rsidR="006C4EBA">
        <w:rPr>
          <w:sz w:val="24"/>
          <w:szCs w:val="24"/>
        </w:rPr>
        <w:t xml:space="preserve"> all nine categories across the three </w:t>
      </w:r>
      <w:r w:rsidR="00983963">
        <w:rPr>
          <w:sz w:val="24"/>
          <w:szCs w:val="24"/>
        </w:rPr>
        <w:t>‘</w:t>
      </w:r>
      <w:r w:rsidR="006C4EBA">
        <w:rPr>
          <w:sz w:val="24"/>
          <w:szCs w:val="24"/>
        </w:rPr>
        <w:t>contextual dimensions</w:t>
      </w:r>
      <w:r w:rsidR="00983963">
        <w:rPr>
          <w:sz w:val="24"/>
          <w:szCs w:val="24"/>
        </w:rPr>
        <w:t>’</w:t>
      </w:r>
      <w:r w:rsidR="006C4EBA">
        <w:rPr>
          <w:sz w:val="24"/>
          <w:szCs w:val="24"/>
        </w:rPr>
        <w:t xml:space="preserve"> (departmental prestige, branch of science, orientation of discipline)</w:t>
      </w:r>
      <w:r w:rsidR="00983963">
        <w:rPr>
          <w:sz w:val="24"/>
          <w:szCs w:val="24"/>
        </w:rPr>
        <w:t xml:space="preserve"> which has low values on all three ‘research dimensions’ (social context, intermediary and knowledge content). </w:t>
      </w:r>
      <w:r w:rsidR="00DB69ED">
        <w:rPr>
          <w:sz w:val="24"/>
          <w:szCs w:val="24"/>
        </w:rPr>
        <w:t xml:space="preserve">I will aim to shed light on these findings by exploring the sampled research from Basic disciplines in greater detail. </w:t>
      </w:r>
    </w:p>
    <w:p w14:paraId="6C392D52" w14:textId="113EF7DB" w:rsidR="002A47C2" w:rsidRDefault="00C74711" w:rsidP="00B04E0A">
      <w:pPr>
        <w:spacing w:before="120" w:after="120" w:line="360" w:lineRule="auto"/>
        <w:rPr>
          <w:sz w:val="24"/>
          <w:szCs w:val="24"/>
        </w:rPr>
      </w:pPr>
      <w:r>
        <w:rPr>
          <w:sz w:val="24"/>
          <w:szCs w:val="24"/>
        </w:rPr>
        <w:t>Two</w:t>
      </w:r>
      <w:r w:rsidR="00B04E0A">
        <w:rPr>
          <w:sz w:val="24"/>
          <w:szCs w:val="24"/>
        </w:rPr>
        <w:t xml:space="preserve"> of the key features of Basic </w:t>
      </w:r>
      <w:r w:rsidR="00DB69ED">
        <w:rPr>
          <w:sz w:val="24"/>
          <w:szCs w:val="24"/>
        </w:rPr>
        <w:t>science</w:t>
      </w:r>
      <w:r>
        <w:rPr>
          <w:sz w:val="24"/>
          <w:szCs w:val="24"/>
        </w:rPr>
        <w:t xml:space="preserve"> are (i)</w:t>
      </w:r>
      <w:r w:rsidR="00B04E0A">
        <w:rPr>
          <w:sz w:val="24"/>
          <w:szCs w:val="24"/>
        </w:rPr>
        <w:t xml:space="preserve"> that it is constantly pushing at the frontiers of current knowledge and humanly-accessible data</w:t>
      </w:r>
      <w:r>
        <w:rPr>
          <w:sz w:val="24"/>
          <w:szCs w:val="24"/>
        </w:rPr>
        <w:t xml:space="preserve"> and (ii) t</w:t>
      </w:r>
      <w:r w:rsidR="00B04E0A">
        <w:rPr>
          <w:sz w:val="24"/>
          <w:szCs w:val="24"/>
        </w:rPr>
        <w:t>hat its discoveries can have far-reaching consequences and implications for a range of different scientific and</w:t>
      </w:r>
      <w:r>
        <w:rPr>
          <w:sz w:val="24"/>
          <w:szCs w:val="24"/>
        </w:rPr>
        <w:t xml:space="preserve"> real-life applications</w:t>
      </w:r>
      <w:r w:rsidR="00B04E0A">
        <w:rPr>
          <w:sz w:val="24"/>
          <w:szCs w:val="24"/>
        </w:rPr>
        <w:t xml:space="preserve"> </w:t>
      </w:r>
      <w:r w:rsidR="00B04E0A">
        <w:rPr>
          <w:sz w:val="24"/>
          <w:szCs w:val="24"/>
        </w:rPr>
        <w:fldChar w:fldCharType="begin"/>
      </w:r>
      <w:r w:rsidR="00B04E0A">
        <w:rPr>
          <w:sz w:val="24"/>
          <w:szCs w:val="24"/>
        </w:rPr>
        <w:instrText xml:space="preserve"> ADDIN EN.CITE &lt;EndNote&gt;&lt;Cite&gt;&lt;Author&gt;Ziman&lt;/Author&gt;&lt;Year&gt;1984&lt;/Year&gt;&lt;IDText&gt;An Introduction to Science Studies: The philosophical and social aspects of science and technology&lt;/IDText&gt;&lt;DisplayText&gt;(Ziman, 1984)&lt;/DisplayText&gt;&lt;record&gt;&lt;keywords&gt;&lt;keyword&gt;Science -- Social aspects&lt;/keyword&gt;&lt;keyword&gt;Technology -- Social aspects&lt;/keyword&gt;&lt;keyword&gt;Science and society&lt;/keyword&gt;&lt;keyword&gt;Sociology of science&lt;/keyword&gt;&lt;keyword&gt;Science &amp;amp;amp&lt;/keyword&gt;&lt;keyword&gt;technology Social aspects&lt;/keyword&gt;&lt;/keywords&gt;&lt;titles&gt;&lt;title&gt;An Introduction to Science Studies: The philosophical and social aspects of science and technology&lt;/title&gt;&lt;/titles&gt;&lt;contributors&gt;&lt;authors&gt;&lt;author&gt;Ziman, J. M.&lt;/author&gt;&lt;/authors&gt;&lt;/contributors&gt;&lt;added-date format="utc"&gt;1467390090&lt;/added-date&gt;&lt;pub-location&gt;Cambridge&lt;/pub-location&gt;&lt;ref-type name="Book"&gt;6&lt;/ref-type&gt;&lt;dates&gt;&lt;year&gt;1984&lt;/year&gt;&lt;/dates&gt;&lt;rec-number&gt;408&lt;/rec-number&gt;&lt;publisher&gt;Cambridge University Press&lt;/publisher&gt;&lt;last-updated-date format="utc"&gt;1500394257&lt;/last-updated-date&gt;&lt;/record&gt;&lt;/Cite&gt;&lt;/EndNote&gt;</w:instrText>
      </w:r>
      <w:r w:rsidR="00B04E0A">
        <w:rPr>
          <w:sz w:val="24"/>
          <w:szCs w:val="24"/>
        </w:rPr>
        <w:fldChar w:fldCharType="separate"/>
      </w:r>
      <w:r w:rsidR="00B04E0A">
        <w:rPr>
          <w:noProof/>
          <w:sz w:val="24"/>
          <w:szCs w:val="24"/>
        </w:rPr>
        <w:t>(Ziman, 1984)</w:t>
      </w:r>
      <w:r w:rsidR="00B04E0A">
        <w:rPr>
          <w:sz w:val="24"/>
          <w:szCs w:val="24"/>
        </w:rPr>
        <w:fldChar w:fldCharType="end"/>
      </w:r>
      <w:r w:rsidR="00B04E0A">
        <w:rPr>
          <w:sz w:val="24"/>
          <w:szCs w:val="24"/>
        </w:rPr>
        <w:t>.</w:t>
      </w:r>
      <w:r w:rsidR="00833F17">
        <w:rPr>
          <w:sz w:val="24"/>
          <w:szCs w:val="24"/>
        </w:rPr>
        <w:t xml:space="preserve"> In the research from Basic disciplines that I have analysed, the main link between (i) and (ii) is </w:t>
      </w:r>
      <w:r w:rsidR="00833F17">
        <w:rPr>
          <w:i/>
          <w:sz w:val="24"/>
          <w:szCs w:val="24"/>
        </w:rPr>
        <w:t>technology</w:t>
      </w:r>
      <w:r w:rsidR="00833F17">
        <w:rPr>
          <w:sz w:val="24"/>
          <w:szCs w:val="24"/>
        </w:rPr>
        <w:t>: the desire for new data allowing ever more fundamental insight into various aspects of the natural world fuels the demand for technologies capable of accessing and analysing this data, and it is these technologies that</w:t>
      </w:r>
      <w:r w:rsidR="002A47C2">
        <w:rPr>
          <w:sz w:val="24"/>
          <w:szCs w:val="24"/>
        </w:rPr>
        <w:t xml:space="preserve"> </w:t>
      </w:r>
      <w:r w:rsidR="00833F17">
        <w:rPr>
          <w:sz w:val="24"/>
          <w:szCs w:val="24"/>
        </w:rPr>
        <w:t xml:space="preserve">then </w:t>
      </w:r>
      <w:r w:rsidR="002A47C2">
        <w:rPr>
          <w:sz w:val="24"/>
          <w:szCs w:val="24"/>
        </w:rPr>
        <w:t xml:space="preserve">have </w:t>
      </w:r>
      <w:r w:rsidR="00833F17">
        <w:rPr>
          <w:sz w:val="24"/>
          <w:szCs w:val="24"/>
        </w:rPr>
        <w:t>potentially wider scientific and real-life</w:t>
      </w:r>
      <w:r w:rsidR="002A47C2">
        <w:rPr>
          <w:sz w:val="24"/>
          <w:szCs w:val="24"/>
        </w:rPr>
        <w:t xml:space="preserve"> applicability</w:t>
      </w:r>
      <w:r w:rsidR="00833F17">
        <w:rPr>
          <w:sz w:val="24"/>
          <w:szCs w:val="24"/>
        </w:rPr>
        <w:t>.</w:t>
      </w:r>
      <w:r w:rsidR="002A47C2">
        <w:rPr>
          <w:sz w:val="24"/>
          <w:szCs w:val="24"/>
        </w:rPr>
        <w:t xml:space="preserve"> This was recognised by my interview respondents:</w:t>
      </w:r>
    </w:p>
    <w:p w14:paraId="6527989E" w14:textId="4B5A4A71" w:rsidR="002A47C2" w:rsidRDefault="002A47C2" w:rsidP="00CE5CDB">
      <w:pPr>
        <w:spacing w:after="120" w:line="240" w:lineRule="auto"/>
        <w:ind w:left="720"/>
        <w:rPr>
          <w:sz w:val="24"/>
          <w:szCs w:val="24"/>
        </w:rPr>
      </w:pPr>
      <w:r>
        <w:rPr>
          <w:sz w:val="24"/>
          <w:szCs w:val="24"/>
        </w:rPr>
        <w:t>“I think about the science rather than who might end up using it. But the hard work is actually the collection and analysis of the data – our science is driven by the data we can collect. So we have the instrumentation group ... [whose] instruments allow us to do much more in terms of the science, but then the technology also gets sold all over the world.” (Basic Life scientist)</w:t>
      </w:r>
    </w:p>
    <w:p w14:paraId="1E55A2A9" w14:textId="26EB01C2" w:rsidR="005D5FEA" w:rsidRDefault="002A47C2" w:rsidP="00CE5CDB">
      <w:pPr>
        <w:spacing w:after="120" w:line="240" w:lineRule="auto"/>
        <w:ind w:left="720"/>
        <w:rPr>
          <w:sz w:val="24"/>
          <w:szCs w:val="24"/>
        </w:rPr>
      </w:pPr>
      <w:r>
        <w:rPr>
          <w:sz w:val="24"/>
          <w:szCs w:val="24"/>
        </w:rPr>
        <w:t>“Scientists are always going to be playing around with the latest unproven technology</w:t>
      </w:r>
      <w:r w:rsidR="003C4313">
        <w:rPr>
          <w:sz w:val="24"/>
          <w:szCs w:val="24"/>
        </w:rPr>
        <w:t xml:space="preserve"> </w:t>
      </w:r>
      <w:r>
        <w:rPr>
          <w:sz w:val="24"/>
          <w:szCs w:val="24"/>
        </w:rPr>
        <w:t xml:space="preserve">... but actually there’s a synergy rather than a tension between scientific technology and technology for application. Because although </w:t>
      </w:r>
      <w:r w:rsidR="006C37A6">
        <w:rPr>
          <w:sz w:val="24"/>
          <w:szCs w:val="24"/>
        </w:rPr>
        <w:t>its</w:t>
      </w:r>
      <w:r>
        <w:rPr>
          <w:sz w:val="24"/>
          <w:szCs w:val="24"/>
        </w:rPr>
        <w:t xml:space="preserve"> core science, the components and technology can be used and sold for various other purposes.” (Basic Natural</w:t>
      </w:r>
      <w:r w:rsidR="0015536C">
        <w:rPr>
          <w:sz w:val="24"/>
          <w:szCs w:val="24"/>
        </w:rPr>
        <w:t xml:space="preserve"> scientist</w:t>
      </w:r>
      <w:r>
        <w:rPr>
          <w:sz w:val="24"/>
          <w:szCs w:val="24"/>
        </w:rPr>
        <w:t>)</w:t>
      </w:r>
    </w:p>
    <w:p w14:paraId="20A9CF47" w14:textId="4E3FE5E4" w:rsidR="005534DC" w:rsidRDefault="00E913BA" w:rsidP="005D5FEA">
      <w:pPr>
        <w:spacing w:after="120" w:line="360" w:lineRule="auto"/>
        <w:rPr>
          <w:color w:val="000000"/>
          <w:sz w:val="24"/>
          <w:szCs w:val="24"/>
        </w:rPr>
      </w:pPr>
      <w:r>
        <w:rPr>
          <w:sz w:val="24"/>
          <w:szCs w:val="24"/>
        </w:rPr>
        <w:t>Thi</w:t>
      </w:r>
      <w:r w:rsidR="00B04E0A">
        <w:rPr>
          <w:sz w:val="24"/>
          <w:szCs w:val="24"/>
        </w:rPr>
        <w:t>s synergy</w:t>
      </w:r>
      <w:r w:rsidR="0031387F">
        <w:rPr>
          <w:sz w:val="24"/>
          <w:szCs w:val="24"/>
        </w:rPr>
        <w:t>, whereby the demand for technology to drive Basic science converges with the</w:t>
      </w:r>
      <w:r w:rsidR="00C63EB7">
        <w:rPr>
          <w:sz w:val="24"/>
          <w:szCs w:val="24"/>
        </w:rPr>
        <w:t xml:space="preserve"> social</w:t>
      </w:r>
      <w:r w:rsidR="0031387F">
        <w:rPr>
          <w:sz w:val="24"/>
          <w:szCs w:val="24"/>
        </w:rPr>
        <w:t xml:space="preserve"> demand for technolog</w:t>
      </w:r>
      <w:r w:rsidR="00C63EB7">
        <w:rPr>
          <w:sz w:val="24"/>
          <w:szCs w:val="24"/>
        </w:rPr>
        <w:t xml:space="preserve">ies, </w:t>
      </w:r>
      <w:r w:rsidR="00B04E0A">
        <w:rPr>
          <w:sz w:val="24"/>
          <w:szCs w:val="24"/>
        </w:rPr>
        <w:t xml:space="preserve">underpins university’s </w:t>
      </w:r>
      <w:r w:rsidR="00F0787F">
        <w:rPr>
          <w:sz w:val="24"/>
          <w:szCs w:val="24"/>
        </w:rPr>
        <w:t>participation</w:t>
      </w:r>
      <w:r w:rsidR="00B04E0A">
        <w:rPr>
          <w:sz w:val="24"/>
          <w:szCs w:val="24"/>
        </w:rPr>
        <w:t xml:space="preserve"> in th</w:t>
      </w:r>
      <w:r w:rsidR="00B364FF">
        <w:rPr>
          <w:sz w:val="24"/>
          <w:szCs w:val="24"/>
        </w:rPr>
        <w:t xml:space="preserve">e </w:t>
      </w:r>
      <w:r w:rsidR="00B364FF" w:rsidRPr="00F66888">
        <w:rPr>
          <w:iCs/>
          <w:sz w:val="24"/>
          <w:szCs w:val="24"/>
        </w:rPr>
        <w:t>‘technoscientific’</w:t>
      </w:r>
      <w:r w:rsidR="00B364FF">
        <w:rPr>
          <w:iCs/>
          <w:sz w:val="24"/>
          <w:szCs w:val="24"/>
        </w:rPr>
        <w:t xml:space="preserve"> social order </w:t>
      </w:r>
      <w:r w:rsidR="00B364FF" w:rsidRPr="001C1917">
        <w:rPr>
          <w:color w:val="000000"/>
          <w:sz w:val="24"/>
          <w:szCs w:val="24"/>
        </w:rPr>
        <w:fldChar w:fldCharType="begin">
          <w:fldData xml:space="preserve">PEVuZE5vdGU+PENpdGU+PEF1dGhvcj5aaW1hbjwvQXV0aG9yPjxZZWFyPjE5OTY8L1llYXI+PElE
VGV4dD5TY2llbmNlIFN0dWRpZXMgZnJvbSBQb2xlIHRvIFBvbGU6IEEgSG9va2VyLVJlc3Rpdm8g
Q29ubmVjdGlvbj8gKEJvb2sgUmV2aWV3KTwvSURUZXh0PjxQYWdlcz4zMTM8L1BhZ2VzPjxEaXNw
bGF5VGV4dD4oTGF0b3VyLCAxOTg3LCBwLiAxNjI7IExleWRlc2RvcmZmLCAyMDEyLCBwLiAzMjsg
U2xhdWdodGVyIGV0IGFsLiwgMjAwMiwgcC4gMjg2OyBaaW1hbiwgMTk5NmIsIHAuIDMxMyk8L0Rp
c3BsYXlUZXh0PjxyZWNvcmQ+PGtleXdvcmRzPjxrZXl3b3JkPkVkdWNhdGlvbjwva2V5d29yZD48
a2V5d29yZD5Tb2NpYWwgU2NpZW5jZXMgKEdlbmVyYWwpPC9rZXl3b3JkPjxrZXl3b3JkPlNjaWVu
Y2VzIChHZW5lcmFsKTwva2V5d29yZD48L2tleXdvcmRzPjxpc2JuPjAwMjY0Njk1PC9pc2JuPjx0
aXRsZXM+PHRpdGxlPlNjaWVuY2UgU3R1ZGllcyBmcm9tIFBvbGUgdG8gUG9sZTogQSBIb29rZXIt
UmVzdGl2byBDb25uZWN0aW9uPyAoQm9vayBSZXZpZXcpPC90aXRsZT48L3RpdGxlcz48cGFnZXM+
MzA5LTMxNDwvcGFnZXM+PGNvbnRyaWJ1dG9ycz48YXV0aG9ycz48YXV0aG9yPlppbWFuLCBKLiBN
LjwvYXV0aG9yPjwvYXV0aG9ycz48L2NvbnRyaWJ1dG9ycz48YWRkZWQtZGF0ZSBmb3JtYXQ9InV0
YyI+MTU0MjgwODYzNTwvYWRkZWQtZGF0ZT48cmVmLXR5cGUgbmFtZT0iSm91cm5hbCBBcnRpY2xl
Ij4xNzwvcmVmLXR5cGU+PGRhdGVzPjx5ZWFyPjE5OTY8L3llYXI+PC9kYXRlcz48cmVjLW51bWJl
cj43NjgwPC9yZWMtbnVtYmVyPjxsYXN0LXVwZGF0ZWQtZGF0ZSBmb3JtYXQ9InV0YyI+MTU0Mjgx
MjQzNzwvbGFzdC11cGRhdGVkLWRhdGU+PHZvbHVtZT4zNDwvdm9sdW1lPjwvcmVjb3JkPjwvQ2l0
ZT48Q2l0ZT48QXV0aG9yPkxhdG91cjwvQXV0aG9yPjxZZWFyPjE5ODc8L1llYXI+PElEVGV4dD5T
Y2llbmNlIGluIGFjdGlvbjogaG93IHRvIGZvbGxvdyBzY2llbnRpc3RzIGFuZCBlbmdpbmVlcnMg
dGhyb3VnaCBzb2NpZXR5PC9JRFRleHQ+PFBhZ2VzPjE2MjwvUGFnZXM+PHJlY29yZD48a2V5d29y
ZHM+PGtleXdvcmQ+U2NpZW5jZSAtLSBTb2NpYWwgYXNwZWN0czwva2V5d29yZD48a2V5d29yZD5U
ZWNobm9sb2d5IC0tIFNvY2lhbCBhc3BlY3RzPC9rZXl3b3JkPjxrZXl3b3JkPlNjaWVuY2UgLS0g
SGlzdG9yeTwva2V5d29yZD48a2V5d29yZD5TY2llbmNlIC0tIFBoaWxvc29waHk8L2tleXdvcmQ+
PGtleXdvcmQ+Tm9ybWFsIHNjaWVuY2U8L2tleXdvcmQ+PGtleXdvcmQ+UGhpbG9zb3BoeSBvZiBz
Y2llbmNlPC9rZXl3b3JkPjxrZXl3b3JkPlNjaWVuY2UgYW5kIHNvY2lldHk8L2tleXdvcmQ+PGtl
eXdvcmQ+U29jaW9sb2d5IG9mIHNjaWVuY2U8L2tleXdvcmQ+PC9rZXl3b3Jkcz48dGl0bGVzPjx0
aXRsZT5TY2llbmNlIGluIGFjdGlvbjogaG93IHRvIGZvbGxvdyBzY2llbnRpc3RzIGFuZCBlbmdp
bmVlcnMgdGhyb3VnaCBzb2NpZXR5PC90aXRsZT48L3RpdGxlcz48Y29udHJpYnV0b3JzPjxhdXRo
b3JzPjxhdXRob3I+TGF0b3VyLCBCcnVubzwvYXV0aG9yPjwvYXV0aG9ycz48L2NvbnRyaWJ1dG9y
cz48YWRkZWQtZGF0ZSBmb3JtYXQ9InV0YyI+MTU0MjgyNzY1MzwvYWRkZWQtZGF0ZT48cHViLWxv
Y2F0aW9uPkNhbWJyaWRnZSwgTWFzcy48L3B1Yi1sb2NhdGlvbj48cmVmLXR5cGUgbmFtZT0iQm9v
ayI+NjwvcmVmLXR5cGU+PGRhdGVzPjx5ZWFyPjE5ODc8L3llYXI+PC9kYXRlcz48cmVjLW51bWJl
cj43Njg0PC9yZWMtbnVtYmVyPjxwdWJsaXNoZXI+SGFydmFyZCBVbml2ZXJzaXR5IFByZXNzPC9w
dWJsaXNoZXI+PGxhc3QtdXBkYXRlZC1kYXRlIGZvcm1hdD0idXRjIj4xNTQyODI3Njc2PC9sYXN0
LXVwZGF0ZWQtZGF0ZT48L3JlY29yZD48L0NpdGU+PENpdGU+PEF1dGhvcj5MZXlkZXNkb3JmZjwv
QXV0aG9yPjxZZWFyPjIwMTI8L1llYXI+PElEVGV4dD5UaGUgVHJpcGxlIEhlbGl4LCBRdWFkcnVw
bGUgSGVsaXgsIOKApiwgYW5kIGFuIE4gLVR1cGxlIG9mIEhlbGljZXM6IEV4cGxhbmF0b3J5IE1v
ZGVscyBmb3IgQW5hbHl6aW5nIHRoZSBLbm93bGVkZ2UtQmFzZWQgRWNvbm9teT88L0lEVGV4dD48
UGFnZXM+MzI8L1BhZ2VzPjxyZWNvcmQ+PGtleXdvcmRzPjxrZXl3b3JkPlRyaXBsZSBIZWxpeDwv
a2V5d29yZD48a2V5d29yZD4tVHVwbGUgaGVsaWNlczwva2V5d29yZD48a2V5d29yZD5Jbm5vdmF0
aW9uIHN5c3RlbTwva2V5d29yZD48a2V5d29yZD5PdmVybGF5PC9rZXl3b3JkPjxrZXl3b3JkPk1v
ZGVsPC9rZXl3b3JkPjxrZXl3b3JkPk1lYXN1cmVtZW50PC9rZXl3b3JkPjwva2V5d29yZHM+PGlz
Ym4+MTg2OC03ODY1PC9pc2JuPjx0aXRsZXM+PHRpdGxlPlRoZSBUcmlwbGUgSGVsaXgsIFF1YWRy
dXBsZSBIZWxpeCwg4oCmLCBhbmQgYW4gTiAtVHVwbGUgb2YgSGVsaWNlczogRXhwbGFuYXRvcnkg
TW9kZWxzIGZvciBBbmFseXppbmcgdGhlIEtub3dsZWRnZS1CYXNlZCBFY29ub215PzwvdGl0bGU+
PHNlY29uZGFyeS10aXRsZT5Kb3VybmFsIG9mIHRoZSBLbm93bGVkZ2UgRWNvbm9teTwvc2Vjb25k
YXJ5LXRpdGxlPjwvdGl0bGVzPjxwYWdlcz4yNS0zNTwvcGFnZXM+PG51bWJlcj4xPC9udW1iZXI+
PGNvbnRyaWJ1dG9ycz48YXV0aG9ycz48YXV0aG9yPkxleWRlc2RvcmZmLCBMb2V0PC9hdXRob3I+
PC9hdXRob3JzPjwvY29udHJpYnV0b3JzPjxhZGRlZC1kYXRlIGZvcm1hdD0idXRjIj4xNTQ1MzE4
ODU5PC9hZGRlZC1kYXRlPjxwdWItbG9jYXRpb24+Qm9zdG9uPC9wdWItbG9jYXRpb24+PHJlZi10
eXBlIG5hbWU9IkpvdXJuYWwgQXJ0aWNsZSI+MTc8L3JlZi10eXBlPjxkYXRlcz48eWVhcj4yMDEy
PC95ZWFyPjwvZGF0ZXM+PHJlYy1udW1iZXI+NzY5MzwvcmVjLW51bWJlcj48bGFzdC11cGRhdGVk
LWRhdGUgZm9ybWF0PSJ1dGMiPjE1NDUzMTg4NTk8L2xhc3QtdXBkYXRlZC1kYXRlPjxlbGVjdHJv
bmljLXJlc291cmNlLW51bT4xMC4xMDA3L3MxMzEzMi0wMTEtMDA0OS00PC9lbGVjdHJvbmljLXJl
c291cmNlLW51bT48dm9sdW1lPjM8L3ZvbHVtZT48L3JlY29yZD48L0NpdGU+PENpdGU+PEF1dGhv
cj5TbGF1Z2h0ZXI8L0F1dGhvcj48WWVhcj4yMDAyPC9ZZWFyPjxJRFRleHQ+VGhlIOKAnCBUcmFm
Zmlj4oCdIGluIEdyYWR1YXRlIFN0dWRlbnRzOiBHcmFkdWF0ZSBTdHVkZW50cyBhcyBUb2tlbnMg
b2YgRXhjaGFuZ2UgYmV0d2VlbiBBY2FkZW1lIGFuZCBJbmR1c3RyeTwvSURUZXh0PjxQYWdlcz4y
ODY8L1BhZ2VzPjxyZWNvcmQ+PGtleXdvcmRzPjxrZXl3b3JkPlNjaWVuY2VzIChHZW5lcmFsKTwv
a2V5d29yZD48L2tleXdvcmRzPjxpc2JuPjAxNjItMjQzOTwvaXNibj48dGl0bGVzPjx0aXRsZT5U
aGUg4oCcIFRyYWZmaWPigJ0gaW4gR3JhZHVhdGUgU3R1ZGVudHM6IEdyYWR1YXRlIFN0dWRlbnRz
IGFzIFRva2VucyBvZiBFeGNoYW5nZSBiZXR3ZWVuIEFjYWRlbWUgYW5kIEluZHVzdHJ5PC90aXRs
ZT48c2Vjb25kYXJ5LXRpdGxlPlNjaWVuY2UsIFRlY2hub2xvZ3ksICZhbXA7IEh1bWFuIFZhbHVl
czwvc2Vjb25kYXJ5LXRpdGxlPjwvdGl0bGVzPjxwYWdlcz4yODItMzEyPC9wYWdlcz48bnVtYmVy
PjI8L251bWJlcj48Y29udHJpYnV0b3JzPjxhdXRob3JzPjxhdXRob3I+U2xhdWdodGVyLCBTaGVp
bGE8L2F1dGhvcj48YXV0aG9yPkNhbXBiZWxsLCBUZXJlc2E8L2F1dGhvcj48YXV0aG9yPkhvbGxl
bWFuLCBNYXJnYXJldDwvYXV0aG9yPjxhdXRob3I+TW9yZ2FuLCBFZHdhcmQ8L2F1dGhvcj48L2F1
dGhvcnM+PC9jb250cmlidXRvcnM+PGFkZGVkLWRhdGUgZm9ybWF0PSJ1dGMiPjE1NDk5OTAzMDY8
L2FkZGVkLWRhdGU+PHB1Yi1sb2NhdGlvbj5UaG91c2FuZCBPYWtzLCBDQTwvcHViLWxvY2F0aW9u
PjxyZWYtdHlwZSBuYW1lPSJKb3VybmFsIEFydGljbGUiPjE3PC9yZWYtdHlwZT48ZGF0ZXM+PHll
YXI+MjAwMjwveWVhcj48L2RhdGVzPjxyZWMtbnVtYmVyPjc3MzY8L3JlYy1udW1iZXI+PGxhc3Qt
dXBkYXRlZC1kYXRlIGZvcm1hdD0idXRjIj4xNTQ5OTkwMzA2PC9sYXN0LXVwZGF0ZWQtZGF0ZT48
ZWxlY3Ryb25pYy1yZXNvdXJjZS1udW0+MTAuMTE3Ny8wMTYyMjQzOTAyMDI3MDAyMDU8L2VsZWN0
cm9uaWMtcmVzb3VyY2UtbnVtPjx2b2x1bWU+Mjc8L3ZvbHVtZT48L3JlY29yZD48L0NpdGU+PC9F
bmROb3RlPn==
</w:fldData>
        </w:fldChar>
      </w:r>
      <w:r w:rsidR="00B364FF">
        <w:rPr>
          <w:color w:val="000000"/>
          <w:sz w:val="24"/>
          <w:szCs w:val="24"/>
        </w:rPr>
        <w:instrText xml:space="preserve"> ADDIN EN.CITE </w:instrText>
      </w:r>
      <w:r w:rsidR="00B364FF">
        <w:rPr>
          <w:color w:val="000000"/>
          <w:sz w:val="24"/>
          <w:szCs w:val="24"/>
        </w:rPr>
        <w:fldChar w:fldCharType="begin">
          <w:fldData xml:space="preserve">PEVuZE5vdGU+PENpdGU+PEF1dGhvcj5aaW1hbjwvQXV0aG9yPjxZZWFyPjE5OTY8L1llYXI+PElE
VGV4dD5TY2llbmNlIFN0dWRpZXMgZnJvbSBQb2xlIHRvIFBvbGU6IEEgSG9va2VyLVJlc3Rpdm8g
Q29ubmVjdGlvbj8gKEJvb2sgUmV2aWV3KTwvSURUZXh0PjxQYWdlcz4zMTM8L1BhZ2VzPjxEaXNw
bGF5VGV4dD4oTGF0b3VyLCAxOTg3LCBwLiAxNjI7IExleWRlc2RvcmZmLCAyMDEyLCBwLiAzMjsg
U2xhdWdodGVyIGV0IGFsLiwgMjAwMiwgcC4gMjg2OyBaaW1hbiwgMTk5NmIsIHAuIDMxMyk8L0Rp
c3BsYXlUZXh0PjxyZWNvcmQ+PGtleXdvcmRzPjxrZXl3b3JkPkVkdWNhdGlvbjwva2V5d29yZD48
a2V5d29yZD5Tb2NpYWwgU2NpZW5jZXMgKEdlbmVyYWwpPC9rZXl3b3JkPjxrZXl3b3JkPlNjaWVu
Y2VzIChHZW5lcmFsKTwva2V5d29yZD48L2tleXdvcmRzPjxpc2JuPjAwMjY0Njk1PC9pc2JuPjx0
aXRsZXM+PHRpdGxlPlNjaWVuY2UgU3R1ZGllcyBmcm9tIFBvbGUgdG8gUG9sZTogQSBIb29rZXIt
UmVzdGl2byBDb25uZWN0aW9uPyAoQm9vayBSZXZpZXcpPC90aXRsZT48L3RpdGxlcz48cGFnZXM+
MzA5LTMxNDwvcGFnZXM+PGNvbnRyaWJ1dG9ycz48YXV0aG9ycz48YXV0aG9yPlppbWFuLCBKLiBN
LjwvYXV0aG9yPjwvYXV0aG9ycz48L2NvbnRyaWJ1dG9ycz48YWRkZWQtZGF0ZSBmb3JtYXQ9InV0
YyI+MTU0MjgwODYzNTwvYWRkZWQtZGF0ZT48cmVmLXR5cGUgbmFtZT0iSm91cm5hbCBBcnRpY2xl
Ij4xNzwvcmVmLXR5cGU+PGRhdGVzPjx5ZWFyPjE5OTY8L3llYXI+PC9kYXRlcz48cmVjLW51bWJl
cj43NjgwPC9yZWMtbnVtYmVyPjxsYXN0LXVwZGF0ZWQtZGF0ZSBmb3JtYXQ9InV0YyI+MTU0Mjgx
MjQzNzwvbGFzdC11cGRhdGVkLWRhdGU+PHZvbHVtZT4zNDwvdm9sdW1lPjwvcmVjb3JkPjwvQ2l0
ZT48Q2l0ZT48QXV0aG9yPkxhdG91cjwvQXV0aG9yPjxZZWFyPjE5ODc8L1llYXI+PElEVGV4dD5T
Y2llbmNlIGluIGFjdGlvbjogaG93IHRvIGZvbGxvdyBzY2llbnRpc3RzIGFuZCBlbmdpbmVlcnMg
dGhyb3VnaCBzb2NpZXR5PC9JRFRleHQ+PFBhZ2VzPjE2MjwvUGFnZXM+PHJlY29yZD48a2V5d29y
ZHM+PGtleXdvcmQ+U2NpZW5jZSAtLSBTb2NpYWwgYXNwZWN0czwva2V5d29yZD48a2V5d29yZD5U
ZWNobm9sb2d5IC0tIFNvY2lhbCBhc3BlY3RzPC9rZXl3b3JkPjxrZXl3b3JkPlNjaWVuY2UgLS0g
SGlzdG9yeTwva2V5d29yZD48a2V5d29yZD5TY2llbmNlIC0tIFBoaWxvc29waHk8L2tleXdvcmQ+
PGtleXdvcmQ+Tm9ybWFsIHNjaWVuY2U8L2tleXdvcmQ+PGtleXdvcmQ+UGhpbG9zb3BoeSBvZiBz
Y2llbmNlPC9rZXl3b3JkPjxrZXl3b3JkPlNjaWVuY2UgYW5kIHNvY2lldHk8L2tleXdvcmQ+PGtl
eXdvcmQ+U29jaW9sb2d5IG9mIHNjaWVuY2U8L2tleXdvcmQ+PC9rZXl3b3Jkcz48dGl0bGVzPjx0
aXRsZT5TY2llbmNlIGluIGFjdGlvbjogaG93IHRvIGZvbGxvdyBzY2llbnRpc3RzIGFuZCBlbmdp
bmVlcnMgdGhyb3VnaCBzb2NpZXR5PC90aXRsZT48L3RpdGxlcz48Y29udHJpYnV0b3JzPjxhdXRo
b3JzPjxhdXRob3I+TGF0b3VyLCBCcnVubzwvYXV0aG9yPjwvYXV0aG9ycz48L2NvbnRyaWJ1dG9y
cz48YWRkZWQtZGF0ZSBmb3JtYXQ9InV0YyI+MTU0MjgyNzY1MzwvYWRkZWQtZGF0ZT48cHViLWxv
Y2F0aW9uPkNhbWJyaWRnZSwgTWFzcy48L3B1Yi1sb2NhdGlvbj48cmVmLXR5cGUgbmFtZT0iQm9v
ayI+NjwvcmVmLXR5cGU+PGRhdGVzPjx5ZWFyPjE5ODc8L3llYXI+PC9kYXRlcz48cmVjLW51bWJl
cj43Njg0PC9yZWMtbnVtYmVyPjxwdWJsaXNoZXI+SGFydmFyZCBVbml2ZXJzaXR5IFByZXNzPC9w
dWJsaXNoZXI+PGxhc3QtdXBkYXRlZC1kYXRlIGZvcm1hdD0idXRjIj4xNTQyODI3Njc2PC9sYXN0
LXVwZGF0ZWQtZGF0ZT48L3JlY29yZD48L0NpdGU+PENpdGU+PEF1dGhvcj5MZXlkZXNkb3JmZjwv
QXV0aG9yPjxZZWFyPjIwMTI8L1llYXI+PElEVGV4dD5UaGUgVHJpcGxlIEhlbGl4LCBRdWFkcnVw
bGUgSGVsaXgsIOKApiwgYW5kIGFuIE4gLVR1cGxlIG9mIEhlbGljZXM6IEV4cGxhbmF0b3J5IE1v
ZGVscyBmb3IgQW5hbHl6aW5nIHRoZSBLbm93bGVkZ2UtQmFzZWQgRWNvbm9teT88L0lEVGV4dD48
UGFnZXM+MzI8L1BhZ2VzPjxyZWNvcmQ+PGtleXdvcmRzPjxrZXl3b3JkPlRyaXBsZSBIZWxpeDwv
a2V5d29yZD48a2V5d29yZD4tVHVwbGUgaGVsaWNlczwva2V5d29yZD48a2V5d29yZD5Jbm5vdmF0
aW9uIHN5c3RlbTwva2V5d29yZD48a2V5d29yZD5PdmVybGF5PC9rZXl3b3JkPjxrZXl3b3JkPk1v
ZGVsPC9rZXl3b3JkPjxrZXl3b3JkPk1lYXN1cmVtZW50PC9rZXl3b3JkPjwva2V5d29yZHM+PGlz
Ym4+MTg2OC03ODY1PC9pc2JuPjx0aXRsZXM+PHRpdGxlPlRoZSBUcmlwbGUgSGVsaXgsIFF1YWRy
dXBsZSBIZWxpeCwg4oCmLCBhbmQgYW4gTiAtVHVwbGUgb2YgSGVsaWNlczogRXhwbGFuYXRvcnkg
TW9kZWxzIGZvciBBbmFseXppbmcgdGhlIEtub3dsZWRnZS1CYXNlZCBFY29ub215PzwvdGl0bGU+
PHNlY29uZGFyeS10aXRsZT5Kb3VybmFsIG9mIHRoZSBLbm93bGVkZ2UgRWNvbm9teTwvc2Vjb25k
YXJ5LXRpdGxlPjwvdGl0bGVzPjxwYWdlcz4yNS0zNTwvcGFnZXM+PG51bWJlcj4xPC9udW1iZXI+
PGNvbnRyaWJ1dG9ycz48YXV0aG9ycz48YXV0aG9yPkxleWRlc2RvcmZmLCBMb2V0PC9hdXRob3I+
PC9hdXRob3JzPjwvY29udHJpYnV0b3JzPjxhZGRlZC1kYXRlIGZvcm1hdD0idXRjIj4xNTQ1MzE4
ODU5PC9hZGRlZC1kYXRlPjxwdWItbG9jYXRpb24+Qm9zdG9uPC9wdWItbG9jYXRpb24+PHJlZi10
eXBlIG5hbWU9IkpvdXJuYWwgQXJ0aWNsZSI+MTc8L3JlZi10eXBlPjxkYXRlcz48eWVhcj4yMDEy
PC95ZWFyPjwvZGF0ZXM+PHJlYy1udW1iZXI+NzY5MzwvcmVjLW51bWJlcj48bGFzdC11cGRhdGVk
LWRhdGUgZm9ybWF0PSJ1dGMiPjE1NDUzMTg4NTk8L2xhc3QtdXBkYXRlZC1kYXRlPjxlbGVjdHJv
bmljLXJlc291cmNlLW51bT4xMC4xMDA3L3MxMzEzMi0wMTEtMDA0OS00PC9lbGVjdHJvbmljLXJl
c291cmNlLW51bT48dm9sdW1lPjM8L3ZvbHVtZT48L3JlY29yZD48L0NpdGU+PENpdGU+PEF1dGhv
cj5TbGF1Z2h0ZXI8L0F1dGhvcj48WWVhcj4yMDAyPC9ZZWFyPjxJRFRleHQ+VGhlIOKAnCBUcmFm
Zmlj4oCdIGluIEdyYWR1YXRlIFN0dWRlbnRzOiBHcmFkdWF0ZSBTdHVkZW50cyBhcyBUb2tlbnMg
b2YgRXhjaGFuZ2UgYmV0d2VlbiBBY2FkZW1lIGFuZCBJbmR1c3RyeTwvSURUZXh0PjxQYWdlcz4y
ODY8L1BhZ2VzPjxyZWNvcmQ+PGtleXdvcmRzPjxrZXl3b3JkPlNjaWVuY2VzIChHZW5lcmFsKTwv
a2V5d29yZD48L2tleXdvcmRzPjxpc2JuPjAxNjItMjQzOTwvaXNibj48dGl0bGVzPjx0aXRsZT5U
aGUg4oCcIFRyYWZmaWPigJ0gaW4gR3JhZHVhdGUgU3R1ZGVudHM6IEdyYWR1YXRlIFN0dWRlbnRz
IGFzIFRva2VucyBvZiBFeGNoYW5nZSBiZXR3ZWVuIEFjYWRlbWUgYW5kIEluZHVzdHJ5PC90aXRs
ZT48c2Vjb25kYXJ5LXRpdGxlPlNjaWVuY2UsIFRlY2hub2xvZ3ksICZhbXA7IEh1bWFuIFZhbHVl
czwvc2Vjb25kYXJ5LXRpdGxlPjwvdGl0bGVzPjxwYWdlcz4yODItMzEyPC9wYWdlcz48bnVtYmVy
PjI8L251bWJlcj48Y29udHJpYnV0b3JzPjxhdXRob3JzPjxhdXRob3I+U2xhdWdodGVyLCBTaGVp
bGE8L2F1dGhvcj48YXV0aG9yPkNhbXBiZWxsLCBUZXJlc2E8L2F1dGhvcj48YXV0aG9yPkhvbGxl
bWFuLCBNYXJnYXJldDwvYXV0aG9yPjxhdXRob3I+TW9yZ2FuLCBFZHdhcmQ8L2F1dGhvcj48L2F1
dGhvcnM+PC9jb250cmlidXRvcnM+PGFkZGVkLWRhdGUgZm9ybWF0PSJ1dGMiPjE1NDk5OTAzMDY8
L2FkZGVkLWRhdGU+PHB1Yi1sb2NhdGlvbj5UaG91c2FuZCBPYWtzLCBDQTwvcHViLWxvY2F0aW9u
PjxyZWYtdHlwZSBuYW1lPSJKb3VybmFsIEFydGljbGUiPjE3PC9yZWYtdHlwZT48ZGF0ZXM+PHll
YXI+MjAwMjwveWVhcj48L2RhdGVzPjxyZWMtbnVtYmVyPjc3MzY8L3JlYy1udW1iZXI+PGxhc3Qt
dXBkYXRlZC1kYXRlIGZvcm1hdD0idXRjIj4xNTQ5OTkwMzA2PC9sYXN0LXVwZGF0ZWQtZGF0ZT48
ZWxlY3Ryb25pYy1yZXNvdXJjZS1udW0+MTAuMTE3Ny8wMTYyMjQzOTAyMDI3MDAyMDU8L2VsZWN0
cm9uaWMtcmVzb3VyY2UtbnVtPjx2b2x1bWU+Mjc8L3ZvbHVtZT48L3JlY29yZD48L0NpdGU+PC9F
bmROb3RlPn==
</w:fldData>
        </w:fldChar>
      </w:r>
      <w:r w:rsidR="00B364FF">
        <w:rPr>
          <w:color w:val="000000"/>
          <w:sz w:val="24"/>
          <w:szCs w:val="24"/>
        </w:rPr>
        <w:instrText xml:space="preserve"> ADDIN EN.CITE.DATA </w:instrText>
      </w:r>
      <w:r w:rsidR="00B364FF">
        <w:rPr>
          <w:color w:val="000000"/>
          <w:sz w:val="24"/>
          <w:szCs w:val="24"/>
        </w:rPr>
      </w:r>
      <w:r w:rsidR="00B364FF">
        <w:rPr>
          <w:color w:val="000000"/>
          <w:sz w:val="24"/>
          <w:szCs w:val="24"/>
        </w:rPr>
        <w:fldChar w:fldCharType="end"/>
      </w:r>
      <w:r w:rsidR="00B364FF" w:rsidRPr="001C1917">
        <w:rPr>
          <w:color w:val="000000"/>
          <w:sz w:val="24"/>
          <w:szCs w:val="24"/>
        </w:rPr>
      </w:r>
      <w:r w:rsidR="00B364FF" w:rsidRPr="001C1917">
        <w:rPr>
          <w:color w:val="000000"/>
          <w:sz w:val="24"/>
          <w:szCs w:val="24"/>
        </w:rPr>
        <w:fldChar w:fldCharType="separate"/>
      </w:r>
      <w:r w:rsidR="00B364FF">
        <w:rPr>
          <w:noProof/>
          <w:color w:val="000000"/>
          <w:sz w:val="24"/>
          <w:szCs w:val="24"/>
        </w:rPr>
        <w:t>(Latour, 1987, p. 162; Leydesdorff, 2012, p. 32; Slaughter et al., 2002, p. 286; Ziman, 1996b, p. 313)</w:t>
      </w:r>
      <w:r w:rsidR="00B364FF" w:rsidRPr="001C1917">
        <w:rPr>
          <w:color w:val="000000"/>
          <w:sz w:val="24"/>
          <w:szCs w:val="24"/>
        </w:rPr>
        <w:fldChar w:fldCharType="end"/>
      </w:r>
      <w:r w:rsidR="00B364FF">
        <w:rPr>
          <w:color w:val="000000"/>
          <w:sz w:val="24"/>
          <w:szCs w:val="24"/>
        </w:rPr>
        <w:t xml:space="preserve"> in which powerful political, </w:t>
      </w:r>
      <w:r w:rsidR="00C20B0C">
        <w:rPr>
          <w:color w:val="000000"/>
          <w:sz w:val="24"/>
          <w:szCs w:val="24"/>
        </w:rPr>
        <w:t>commercia</w:t>
      </w:r>
      <w:r w:rsidR="009B41B4">
        <w:rPr>
          <w:color w:val="000000"/>
          <w:sz w:val="24"/>
          <w:szCs w:val="24"/>
        </w:rPr>
        <w:t>l</w:t>
      </w:r>
      <w:r w:rsidR="00C20B0C">
        <w:rPr>
          <w:color w:val="000000"/>
          <w:sz w:val="24"/>
          <w:szCs w:val="24"/>
        </w:rPr>
        <w:t xml:space="preserve"> and defence (military)</w:t>
      </w:r>
      <w:r w:rsidR="00B364FF">
        <w:rPr>
          <w:color w:val="000000"/>
          <w:sz w:val="24"/>
          <w:szCs w:val="24"/>
        </w:rPr>
        <w:t xml:space="preserve"> interest groups aim</w:t>
      </w:r>
      <w:r w:rsidR="00B364FF" w:rsidRPr="001C1917">
        <w:rPr>
          <w:color w:val="000000"/>
          <w:sz w:val="24"/>
          <w:szCs w:val="24"/>
        </w:rPr>
        <w:t xml:space="preserve"> to “control” </w:t>
      </w:r>
      <w:r w:rsidR="00B364FF" w:rsidRPr="001C1917">
        <w:rPr>
          <w:color w:val="000000"/>
          <w:sz w:val="24"/>
          <w:szCs w:val="24"/>
        </w:rPr>
        <w:fldChar w:fldCharType="begin"/>
      </w:r>
      <w:r w:rsidR="00640715">
        <w:rPr>
          <w:color w:val="000000"/>
          <w:sz w:val="24"/>
          <w:szCs w:val="24"/>
        </w:rPr>
        <w:instrText xml:space="preserve"> ADDIN EN.CITE &lt;EndNote&gt;&lt;Cite&gt;&lt;Author&gt;Bensaude-Vincent&lt;/Author&gt;&lt;Year&gt;2011&lt;/Year&gt;&lt;IDText&gt;Matters of Interest: The Objects of Research in Science and Technoscience&lt;/IDText&gt;&lt;Pages&gt;366&lt;/Pages&gt;&lt;DisplayText&gt;(Bensaude-Vincent et al., 2011, p. 366)&lt;/DisplayText&gt;&lt;record&gt;&lt;keywords&gt;&lt;keyword&gt;Ontology&lt;/keyword&gt;&lt;keyword&gt;Research objects&lt;/keyword&gt;&lt;keyword&gt;Technoscience&lt;/keyword&gt;&lt;keyword&gt;Dispositions&lt;/keyword&gt;&lt;keyword&gt;Affordances&lt;/keyword&gt;&lt;keyword&gt;Philosophy of scientific experimentation&lt;/keyword&gt;&lt;/keywords&gt;&lt;isbn&gt;0925-4560&lt;/isbn&gt;&lt;titles&gt;&lt;title&gt;Matters of Interest: The Objects of Research in Science and Technoscience&lt;/title&gt;&lt;secondary-title&gt;Journal for General Philosophy of Science&lt;/secondary-title&gt;&lt;/titles&gt;&lt;pages&gt;365-383&lt;/pages&gt;&lt;number&gt;2&lt;/number&gt;&lt;contributors&gt;&lt;authors&gt;&lt;author&gt;Bensaude-Vincent, Bernadette&lt;/author&gt;&lt;author&gt;Loeve, Sacha&lt;/author&gt;&lt;author&gt;Nordmann, Alfred&lt;/author&gt;&lt;author&gt;Schwarz, Astrid&lt;/author&gt;&lt;/authors&gt;&lt;/contributors&gt;&lt;added-date format="utc"&gt;1542813302&lt;/added-date&gt;&lt;pub-location&gt;Dordrecht&lt;/pub-location&gt;&lt;ref-type name="Journal Article"&gt;17&lt;/ref-type&gt;&lt;dates&gt;&lt;year&gt;2011&lt;/year&gt;&lt;/dates&gt;&lt;rec-number&gt;7682&lt;/rec-number&gt;&lt;last-updated-date format="utc"&gt;1542813302&lt;/last-updated-date&gt;&lt;electronic-resource-num&gt;10.1007/s10838-011-9172-y&lt;/electronic-resource-num&gt;&lt;volume&gt;42&lt;/volume&gt;&lt;/record&gt;&lt;/Cite&gt;&lt;/EndNote&gt;</w:instrText>
      </w:r>
      <w:r w:rsidR="00B364FF" w:rsidRPr="001C1917">
        <w:rPr>
          <w:color w:val="000000"/>
          <w:sz w:val="24"/>
          <w:szCs w:val="24"/>
        </w:rPr>
        <w:fldChar w:fldCharType="separate"/>
      </w:r>
      <w:r w:rsidR="00640715">
        <w:rPr>
          <w:noProof/>
          <w:color w:val="000000"/>
          <w:sz w:val="24"/>
          <w:szCs w:val="24"/>
        </w:rPr>
        <w:t>(Bensaude-Vincent et al., 2011, p. 366)</w:t>
      </w:r>
      <w:r w:rsidR="00B364FF" w:rsidRPr="001C1917">
        <w:rPr>
          <w:color w:val="000000"/>
          <w:sz w:val="24"/>
          <w:szCs w:val="24"/>
        </w:rPr>
        <w:fldChar w:fldCharType="end"/>
      </w:r>
      <w:r w:rsidR="00B364FF" w:rsidRPr="001C1917">
        <w:rPr>
          <w:color w:val="000000"/>
          <w:sz w:val="24"/>
          <w:szCs w:val="24"/>
        </w:rPr>
        <w:t xml:space="preserve"> and “construct” </w:t>
      </w:r>
      <w:r w:rsidR="00B364FF" w:rsidRPr="001C1917">
        <w:rPr>
          <w:color w:val="000000"/>
          <w:sz w:val="24"/>
          <w:szCs w:val="24"/>
        </w:rPr>
        <w:fldChar w:fldCharType="begin"/>
      </w:r>
      <w:r w:rsidR="00B364FF" w:rsidRPr="001C1917">
        <w:rPr>
          <w:color w:val="000000"/>
          <w:sz w:val="24"/>
          <w:szCs w:val="24"/>
        </w:rPr>
        <w:instrText xml:space="preserve"> ADDIN EN.CITE &lt;EndNote&gt;&lt;Cite&gt;&lt;Author&gt;Schmidt&lt;/Author&gt;&lt;Year&gt;2011&lt;/Year&gt;&lt;IDText&gt;Toward an epistemology of nano- technosciences&lt;/IDText&gt;&lt;Pages&gt;104&lt;/Pages&gt;&lt;DisplayText&gt;(Schmidt, 2011, p. 104)&lt;/DisplayText&gt;&lt;record&gt;&lt;keywords&gt;&lt;keyword&gt;Prevalence Studies (Epidemiology) -- Analysis&lt;/keyword&gt;&lt;keyword&gt;Prevalence Studies (Epidemiology) -- Investigations&lt;/keyword&gt;&lt;/keywords&gt;&lt;isbn&gt;1615-6609&lt;/isbn&gt;&lt;titles&gt;&lt;title&gt;Toward an epistemology of nano- technosciences&lt;/title&gt;&lt;secondary-title&gt;International Journal of Ethics of Science and Technology Assessment&lt;/secondary-title&gt;&lt;/titles&gt;&lt;pages&gt;103-124&lt;/pages&gt;&lt;number&gt;2&lt;/number&gt;&lt;contributors&gt;&lt;authors&gt;&lt;author&gt;Schmidt, Jan&lt;/author&gt;&lt;/authors&gt;&lt;/contributors&gt;&lt;added-date format="utc"&gt;1542813857&lt;/added-date&gt;&lt;pub-location&gt;Berlin/Heidelberg&lt;/pub-location&gt;&lt;ref-type name="Journal Article"&gt;17&lt;/ref-type&gt;&lt;dates&gt;&lt;year&gt;2011&lt;/year&gt;&lt;/dates&gt;&lt;rec-number&gt;7683&lt;/rec-number&gt;&lt;last-updated-date format="utc"&gt;1542813857&lt;/last-updated-date&gt;&lt;electronic-resource-num&gt;10.1007/s10202-011-0104-z&lt;/electronic-resource-num&gt;&lt;volume&gt;8&lt;/volume&gt;&lt;/record&gt;&lt;/Cite&gt;&lt;/EndNote&gt;</w:instrText>
      </w:r>
      <w:r w:rsidR="00B364FF" w:rsidRPr="001C1917">
        <w:rPr>
          <w:color w:val="000000"/>
          <w:sz w:val="24"/>
          <w:szCs w:val="24"/>
        </w:rPr>
        <w:fldChar w:fldCharType="separate"/>
      </w:r>
      <w:r w:rsidR="00B364FF" w:rsidRPr="001C1917">
        <w:rPr>
          <w:noProof/>
          <w:color w:val="000000"/>
          <w:sz w:val="24"/>
          <w:szCs w:val="24"/>
        </w:rPr>
        <w:t>(Schmidt, 2011, p. 104)</w:t>
      </w:r>
      <w:r w:rsidR="00B364FF" w:rsidRPr="001C1917">
        <w:rPr>
          <w:color w:val="000000"/>
          <w:sz w:val="24"/>
          <w:szCs w:val="24"/>
        </w:rPr>
        <w:fldChar w:fldCharType="end"/>
      </w:r>
      <w:r w:rsidR="00B364FF" w:rsidRPr="001C1917">
        <w:rPr>
          <w:color w:val="000000"/>
          <w:sz w:val="24"/>
          <w:szCs w:val="24"/>
        </w:rPr>
        <w:t xml:space="preserve"> </w:t>
      </w:r>
      <w:r w:rsidR="00B364FF">
        <w:rPr>
          <w:color w:val="000000"/>
          <w:sz w:val="24"/>
          <w:szCs w:val="24"/>
        </w:rPr>
        <w:t>the social world via technological projects</w:t>
      </w:r>
      <w:r w:rsidR="00C20B0C">
        <w:rPr>
          <w:color w:val="000000"/>
          <w:sz w:val="24"/>
          <w:szCs w:val="24"/>
        </w:rPr>
        <w:t xml:space="preserve">. </w:t>
      </w:r>
      <w:r w:rsidR="005534DC">
        <w:rPr>
          <w:color w:val="000000"/>
          <w:sz w:val="24"/>
          <w:szCs w:val="24"/>
        </w:rPr>
        <w:t>For example, o</w:t>
      </w:r>
      <w:r w:rsidR="005B1817">
        <w:rPr>
          <w:color w:val="000000"/>
          <w:sz w:val="24"/>
          <w:szCs w:val="24"/>
        </w:rPr>
        <w:t xml:space="preserve">f the seven bodies of research (BoRs) sampled from Basic disciplines: </w:t>
      </w:r>
    </w:p>
    <w:p w14:paraId="00B1C2E9" w14:textId="4FDFF88A" w:rsidR="005534DC" w:rsidRDefault="005B1817" w:rsidP="00A17598">
      <w:pPr>
        <w:pStyle w:val="ListParagraph"/>
        <w:numPr>
          <w:ilvl w:val="0"/>
          <w:numId w:val="5"/>
        </w:numPr>
        <w:spacing w:before="120" w:after="120" w:line="360" w:lineRule="auto"/>
        <w:rPr>
          <w:color w:val="000000"/>
          <w:sz w:val="24"/>
          <w:szCs w:val="24"/>
        </w:rPr>
      </w:pPr>
      <w:r w:rsidRPr="005534DC">
        <w:rPr>
          <w:color w:val="000000"/>
          <w:sz w:val="24"/>
          <w:szCs w:val="24"/>
        </w:rPr>
        <w:t xml:space="preserve">three BoRs produce technologies which contribute to </w:t>
      </w:r>
      <w:r w:rsidRPr="00D33D61">
        <w:rPr>
          <w:i/>
          <w:color w:val="000000"/>
          <w:sz w:val="24"/>
          <w:szCs w:val="24"/>
        </w:rPr>
        <w:t>national security</w:t>
      </w:r>
      <w:r w:rsidRPr="005534DC">
        <w:rPr>
          <w:color w:val="000000"/>
          <w:sz w:val="24"/>
          <w:szCs w:val="24"/>
        </w:rPr>
        <w:t xml:space="preserve"> (BoR5 supported naval operations</w:t>
      </w:r>
      <w:r w:rsidR="005534DC">
        <w:rPr>
          <w:color w:val="000000"/>
          <w:sz w:val="24"/>
          <w:szCs w:val="24"/>
        </w:rPr>
        <w:t>;</w:t>
      </w:r>
      <w:r w:rsidRPr="005534DC">
        <w:rPr>
          <w:color w:val="000000"/>
          <w:sz w:val="24"/>
          <w:szCs w:val="24"/>
        </w:rPr>
        <w:t xml:space="preserve"> BoR8</w:t>
      </w:r>
      <w:r w:rsidR="00497177">
        <w:rPr>
          <w:color w:val="000000"/>
          <w:sz w:val="24"/>
          <w:szCs w:val="24"/>
        </w:rPr>
        <w:t>.3</w:t>
      </w:r>
      <w:r w:rsidRPr="005534DC">
        <w:rPr>
          <w:color w:val="000000"/>
          <w:sz w:val="24"/>
          <w:szCs w:val="24"/>
        </w:rPr>
        <w:t xml:space="preserve"> supported the prosecution of dealers of illicit drugs</w:t>
      </w:r>
      <w:r w:rsidR="005534DC">
        <w:rPr>
          <w:color w:val="000000"/>
          <w:sz w:val="24"/>
          <w:szCs w:val="24"/>
        </w:rPr>
        <w:t>; and</w:t>
      </w:r>
      <w:r w:rsidRPr="005534DC">
        <w:rPr>
          <w:color w:val="000000"/>
          <w:sz w:val="24"/>
          <w:szCs w:val="24"/>
        </w:rPr>
        <w:t xml:space="preserve"> BoR9 technology contributes to the European and more global aerospace industry); </w:t>
      </w:r>
    </w:p>
    <w:p w14:paraId="7959C043" w14:textId="55B75E5C" w:rsidR="00035A29" w:rsidRDefault="008455E2" w:rsidP="00A17598">
      <w:pPr>
        <w:pStyle w:val="ListParagraph"/>
        <w:numPr>
          <w:ilvl w:val="0"/>
          <w:numId w:val="5"/>
        </w:numPr>
        <w:spacing w:before="120" w:after="120" w:line="360" w:lineRule="auto"/>
        <w:rPr>
          <w:color w:val="000000"/>
          <w:sz w:val="24"/>
          <w:szCs w:val="24"/>
        </w:rPr>
      </w:pPr>
      <w:r>
        <w:rPr>
          <w:color w:val="000000"/>
          <w:sz w:val="24"/>
          <w:szCs w:val="24"/>
        </w:rPr>
        <w:t>t</w:t>
      </w:r>
      <w:r w:rsidR="009C6841">
        <w:rPr>
          <w:color w:val="000000"/>
          <w:sz w:val="24"/>
          <w:szCs w:val="24"/>
        </w:rPr>
        <w:t>hree</w:t>
      </w:r>
      <w:r>
        <w:rPr>
          <w:color w:val="000000"/>
          <w:sz w:val="24"/>
          <w:szCs w:val="24"/>
        </w:rPr>
        <w:t xml:space="preserve"> BoRs</w:t>
      </w:r>
      <w:r w:rsidR="009C6841">
        <w:rPr>
          <w:color w:val="000000"/>
          <w:sz w:val="24"/>
          <w:szCs w:val="24"/>
        </w:rPr>
        <w:t xml:space="preserve"> contribute to the </w:t>
      </w:r>
      <w:r w:rsidR="009C6841" w:rsidRPr="00D33D61">
        <w:rPr>
          <w:i/>
          <w:color w:val="000000"/>
          <w:sz w:val="24"/>
          <w:szCs w:val="24"/>
        </w:rPr>
        <w:t>energy sector</w:t>
      </w:r>
      <w:r>
        <w:rPr>
          <w:color w:val="000000"/>
          <w:sz w:val="24"/>
          <w:szCs w:val="24"/>
        </w:rPr>
        <w:t xml:space="preserve"> </w:t>
      </w:r>
      <w:r w:rsidR="00497177">
        <w:rPr>
          <w:color w:val="000000"/>
          <w:sz w:val="24"/>
          <w:szCs w:val="24"/>
        </w:rPr>
        <w:t>(BoR8.2</w:t>
      </w:r>
      <w:r w:rsidR="00035A29">
        <w:rPr>
          <w:color w:val="000000"/>
          <w:sz w:val="24"/>
          <w:szCs w:val="24"/>
        </w:rPr>
        <w:t xml:space="preserve"> and BoR10.1 both</w:t>
      </w:r>
      <w:r w:rsidR="00EA5CA2">
        <w:rPr>
          <w:color w:val="000000"/>
          <w:sz w:val="24"/>
          <w:szCs w:val="24"/>
        </w:rPr>
        <w:t xml:space="preserve"> </w:t>
      </w:r>
      <w:r w:rsidR="00035A29">
        <w:rPr>
          <w:color w:val="000000"/>
          <w:sz w:val="24"/>
          <w:szCs w:val="24"/>
        </w:rPr>
        <w:t>contributed to the</w:t>
      </w:r>
      <w:r w:rsidR="00EA5CA2">
        <w:rPr>
          <w:color w:val="000000"/>
          <w:sz w:val="24"/>
          <w:szCs w:val="24"/>
        </w:rPr>
        <w:t xml:space="preserve"> </w:t>
      </w:r>
      <w:r w:rsidR="009C6841" w:rsidRPr="005534DC">
        <w:rPr>
          <w:color w:val="000000"/>
          <w:sz w:val="24"/>
          <w:szCs w:val="24"/>
        </w:rPr>
        <w:t>oil and gas exploration and extraction industry</w:t>
      </w:r>
      <w:r w:rsidR="00EA5CA2">
        <w:rPr>
          <w:color w:val="000000"/>
          <w:sz w:val="24"/>
          <w:szCs w:val="24"/>
        </w:rPr>
        <w:t>;</w:t>
      </w:r>
      <w:r w:rsidR="009672F2">
        <w:rPr>
          <w:color w:val="000000"/>
          <w:sz w:val="24"/>
          <w:szCs w:val="24"/>
        </w:rPr>
        <w:t xml:space="preserve"> BoR9 technology has contributed to </w:t>
      </w:r>
      <w:r w:rsidR="00035A29">
        <w:rPr>
          <w:color w:val="000000"/>
          <w:sz w:val="24"/>
          <w:szCs w:val="24"/>
        </w:rPr>
        <w:t>international thermonuclear reactor projects)</w:t>
      </w:r>
      <w:r w:rsidR="003F1745">
        <w:rPr>
          <w:color w:val="000000"/>
          <w:sz w:val="24"/>
          <w:szCs w:val="24"/>
        </w:rPr>
        <w:t>;</w:t>
      </w:r>
    </w:p>
    <w:p w14:paraId="3C2D4D27" w14:textId="2BBF91DD" w:rsidR="00B364FF" w:rsidRPr="00035A29" w:rsidRDefault="00035A29" w:rsidP="00A17598">
      <w:pPr>
        <w:pStyle w:val="ListParagraph"/>
        <w:numPr>
          <w:ilvl w:val="0"/>
          <w:numId w:val="5"/>
        </w:numPr>
        <w:spacing w:before="120" w:after="120" w:line="360" w:lineRule="auto"/>
        <w:rPr>
          <w:color w:val="000000"/>
          <w:sz w:val="24"/>
          <w:szCs w:val="24"/>
        </w:rPr>
      </w:pPr>
      <w:r>
        <w:rPr>
          <w:color w:val="000000"/>
          <w:sz w:val="24"/>
          <w:szCs w:val="24"/>
        </w:rPr>
        <w:t>and two BoRs do research directly supporting</w:t>
      </w:r>
      <w:r w:rsidRPr="005534DC">
        <w:rPr>
          <w:color w:val="000000"/>
          <w:sz w:val="24"/>
          <w:szCs w:val="24"/>
        </w:rPr>
        <w:t xml:space="preserve"> </w:t>
      </w:r>
      <w:r>
        <w:rPr>
          <w:color w:val="000000"/>
          <w:sz w:val="24"/>
          <w:szCs w:val="24"/>
        </w:rPr>
        <w:t xml:space="preserve">large </w:t>
      </w:r>
      <w:r w:rsidRPr="00D33D61">
        <w:rPr>
          <w:i/>
          <w:color w:val="000000"/>
          <w:sz w:val="24"/>
          <w:szCs w:val="24"/>
        </w:rPr>
        <w:t>pharmaceutical companies</w:t>
      </w:r>
      <w:r>
        <w:rPr>
          <w:color w:val="000000"/>
          <w:sz w:val="24"/>
          <w:szCs w:val="24"/>
        </w:rPr>
        <w:t xml:space="preserve"> (BoR8.1 produces biocatalysts targeting use in pharmaceutical synthesis; BoR10.2 conducts drug trials for large pharmaceutical companies).</w:t>
      </w:r>
    </w:p>
    <w:p w14:paraId="3BF189C6" w14:textId="38447167" w:rsidR="00C72311" w:rsidRDefault="00C72311" w:rsidP="002D236D">
      <w:pPr>
        <w:spacing w:before="120" w:after="120" w:line="360" w:lineRule="auto"/>
        <w:rPr>
          <w:sz w:val="24"/>
          <w:szCs w:val="24"/>
        </w:rPr>
      </w:pPr>
      <w:r>
        <w:rPr>
          <w:sz w:val="24"/>
          <w:szCs w:val="24"/>
        </w:rPr>
        <w:t>This</w:t>
      </w:r>
      <w:r w:rsidR="00C8055E">
        <w:rPr>
          <w:sz w:val="24"/>
          <w:szCs w:val="24"/>
        </w:rPr>
        <w:t xml:space="preserve"> participation in a technoscientific system</w:t>
      </w:r>
      <w:r w:rsidR="002E5834">
        <w:rPr>
          <w:sz w:val="24"/>
          <w:szCs w:val="24"/>
        </w:rPr>
        <w:t xml:space="preserve"> </w:t>
      </w:r>
      <w:r w:rsidR="00BA0417">
        <w:rPr>
          <w:sz w:val="24"/>
          <w:szCs w:val="24"/>
        </w:rPr>
        <w:t xml:space="preserve">became </w:t>
      </w:r>
      <w:r w:rsidR="002E5834">
        <w:rPr>
          <w:sz w:val="24"/>
          <w:szCs w:val="24"/>
        </w:rPr>
        <w:t>manifest in</w:t>
      </w:r>
      <w:r w:rsidR="006608FF">
        <w:rPr>
          <w:sz w:val="24"/>
          <w:szCs w:val="24"/>
        </w:rPr>
        <w:t xml:space="preserve"> </w:t>
      </w:r>
      <w:r w:rsidR="007241B5">
        <w:rPr>
          <w:sz w:val="24"/>
          <w:szCs w:val="24"/>
        </w:rPr>
        <w:t>the forms of boundary transaction associated with sampled research in Basic disciplines.</w:t>
      </w:r>
      <w:r w:rsidR="00867FEB" w:rsidRPr="00867FEB">
        <w:rPr>
          <w:sz w:val="24"/>
          <w:szCs w:val="24"/>
        </w:rPr>
        <w:t xml:space="preserve"> </w:t>
      </w:r>
      <w:r w:rsidR="00867FEB" w:rsidRPr="00867FEB">
        <w:rPr>
          <w:sz w:val="24"/>
          <w:szCs w:val="24"/>
        </w:rPr>
        <w:fldChar w:fldCharType="begin"/>
      </w:r>
      <w:r w:rsidR="00867FEB" w:rsidRPr="00867FEB">
        <w:rPr>
          <w:sz w:val="24"/>
          <w:szCs w:val="24"/>
        </w:rPr>
        <w:instrText xml:space="preserve"> REF _Ref11836344 \h </w:instrText>
      </w:r>
      <w:r w:rsidR="00867FEB">
        <w:rPr>
          <w:sz w:val="24"/>
          <w:szCs w:val="24"/>
        </w:rPr>
        <w:instrText xml:space="preserve"> \* MERGEFORMAT </w:instrText>
      </w:r>
      <w:r w:rsidR="00867FEB" w:rsidRPr="00867FEB">
        <w:rPr>
          <w:sz w:val="24"/>
          <w:szCs w:val="24"/>
        </w:rPr>
      </w:r>
      <w:r w:rsidR="00867FEB" w:rsidRPr="00867FEB">
        <w:rPr>
          <w:sz w:val="24"/>
          <w:szCs w:val="24"/>
        </w:rPr>
        <w:fldChar w:fldCharType="separate"/>
      </w:r>
      <w:r w:rsidR="0011424E" w:rsidRPr="0011424E">
        <w:rPr>
          <w:sz w:val="24"/>
          <w:szCs w:val="24"/>
        </w:rPr>
        <w:t xml:space="preserve">Figure </w:t>
      </w:r>
      <w:r w:rsidR="0011424E" w:rsidRPr="0011424E">
        <w:rPr>
          <w:noProof/>
          <w:sz w:val="24"/>
          <w:szCs w:val="24"/>
        </w:rPr>
        <w:t>16</w:t>
      </w:r>
      <w:r w:rsidR="00867FEB" w:rsidRPr="00867FEB">
        <w:rPr>
          <w:sz w:val="24"/>
          <w:szCs w:val="24"/>
        </w:rPr>
        <w:fldChar w:fldCharType="end"/>
      </w:r>
      <w:r w:rsidRPr="00C72311">
        <w:rPr>
          <w:sz w:val="24"/>
          <w:szCs w:val="24"/>
        </w:rPr>
        <w:t xml:space="preserve"> </w:t>
      </w:r>
      <w:r>
        <w:rPr>
          <w:sz w:val="24"/>
          <w:szCs w:val="24"/>
        </w:rPr>
        <w:t xml:space="preserve">(below) contrasts two forms of people-led boundary transaction across the three categories, Basic disciplines, Applied disciplines and Basic/Applied disciplines. The figure highlights the significance </w:t>
      </w:r>
      <w:r w:rsidR="009059E2">
        <w:rPr>
          <w:sz w:val="24"/>
          <w:szCs w:val="24"/>
        </w:rPr>
        <w:t xml:space="preserve">of </w:t>
      </w:r>
      <w:r>
        <w:rPr>
          <w:sz w:val="24"/>
          <w:szCs w:val="24"/>
        </w:rPr>
        <w:t xml:space="preserve">boundary-spanners (or ‘knowledge brokers’) in Basic sciences – 100% of BoRs from Basic disciplines exhibit this form of boundary transaction. Outreach by contrast is relatively insignificant, with only 38% of Basic BoRs exhibiting this form of transaction. </w:t>
      </w:r>
      <w:r w:rsidR="002C56B4">
        <w:rPr>
          <w:sz w:val="24"/>
          <w:szCs w:val="24"/>
        </w:rPr>
        <w:t xml:space="preserve">This contrasts with Applied and Basic/Applied disciplines. In both of these categories, ‘outreach’ is a more frequent form of boundary transaction than ‘boundary-spanners’. </w:t>
      </w:r>
      <w:r w:rsidR="00FD2735">
        <w:rPr>
          <w:sz w:val="24"/>
          <w:szCs w:val="24"/>
        </w:rPr>
        <w:t xml:space="preserve">Uniquely to Basic sciences then, </w:t>
      </w:r>
      <w:r w:rsidR="009C6682">
        <w:rPr>
          <w:sz w:val="24"/>
          <w:szCs w:val="24"/>
        </w:rPr>
        <w:t xml:space="preserve">at least in my sample, is a priority of an interflow of experts to and from academic and non-academic settings, as opposed to a more one-way flow of academics only entering into non-academic contexts to disseminate findings or establish demand for their research. </w:t>
      </w:r>
    </w:p>
    <w:p w14:paraId="306BDFAC" w14:textId="0610574B" w:rsidR="00F76175" w:rsidRDefault="00F76175" w:rsidP="002D236D">
      <w:pPr>
        <w:spacing w:before="120" w:after="120" w:line="360" w:lineRule="auto"/>
      </w:pPr>
      <w:r>
        <w:rPr>
          <w:noProof/>
          <w:sz w:val="24"/>
          <w:szCs w:val="24"/>
        </w:rPr>
        <w:drawing>
          <wp:inline distT="0" distB="0" distL="0" distR="0" wp14:anchorId="3CA0FF8D" wp14:editId="07788DBB">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709F6E" w14:textId="434520EB" w:rsidR="00F76175" w:rsidRDefault="00F76175" w:rsidP="00F76175">
      <w:pPr>
        <w:pStyle w:val="Caption"/>
        <w:rPr>
          <w:sz w:val="24"/>
          <w:szCs w:val="24"/>
        </w:rPr>
      </w:pPr>
      <w:bookmarkStart w:id="208" w:name="_Ref11836344"/>
      <w:bookmarkStart w:id="209" w:name="_Toc31702085"/>
      <w:r>
        <w:t xml:space="preserve">Figure </w:t>
      </w:r>
      <w:r w:rsidR="00B256E3">
        <w:rPr>
          <w:noProof/>
        </w:rPr>
        <w:fldChar w:fldCharType="begin"/>
      </w:r>
      <w:r w:rsidR="00B256E3">
        <w:rPr>
          <w:noProof/>
        </w:rPr>
        <w:instrText xml:space="preserve"> SEQ Figure \* ARABIC </w:instrText>
      </w:r>
      <w:r w:rsidR="00B256E3">
        <w:rPr>
          <w:noProof/>
        </w:rPr>
        <w:fldChar w:fldCharType="separate"/>
      </w:r>
      <w:r w:rsidR="0011424E">
        <w:rPr>
          <w:noProof/>
        </w:rPr>
        <w:t>16</w:t>
      </w:r>
      <w:r w:rsidR="00B256E3">
        <w:rPr>
          <w:noProof/>
        </w:rPr>
        <w:fldChar w:fldCharType="end"/>
      </w:r>
      <w:bookmarkEnd w:id="208"/>
      <w:r>
        <w:t>. Percentage of BoRs exhibiting different forms of boundary transaction</w:t>
      </w:r>
      <w:r>
        <w:rPr>
          <w:noProof/>
        </w:rPr>
        <w:t xml:space="preserve"> by </w:t>
      </w:r>
      <w:r w:rsidR="003E777D">
        <w:rPr>
          <w:noProof/>
        </w:rPr>
        <w:t>research</w:t>
      </w:r>
      <w:r>
        <w:rPr>
          <w:noProof/>
        </w:rPr>
        <w:t xml:space="preserve"> orientation</w:t>
      </w:r>
      <w:bookmarkEnd w:id="209"/>
    </w:p>
    <w:p w14:paraId="310A2E10" w14:textId="2A8E03A3" w:rsidR="0054187B" w:rsidRDefault="009C6682" w:rsidP="007D4D0D">
      <w:pPr>
        <w:spacing w:after="120" w:line="360" w:lineRule="auto"/>
        <w:rPr>
          <w:sz w:val="24"/>
          <w:szCs w:val="24"/>
        </w:rPr>
      </w:pPr>
      <w:r>
        <w:rPr>
          <w:sz w:val="24"/>
          <w:szCs w:val="24"/>
        </w:rPr>
        <w:t xml:space="preserve">The importance of this point can be seen with greater clarity </w:t>
      </w:r>
      <w:r w:rsidR="00AB6ADB">
        <w:rPr>
          <w:sz w:val="24"/>
          <w:szCs w:val="24"/>
        </w:rPr>
        <w:t>when seen in context</w:t>
      </w:r>
      <w:r>
        <w:rPr>
          <w:sz w:val="24"/>
          <w:szCs w:val="24"/>
        </w:rPr>
        <w:t xml:space="preserve">. </w:t>
      </w:r>
      <w:r w:rsidR="00AB6ADB">
        <w:rPr>
          <w:sz w:val="24"/>
          <w:szCs w:val="24"/>
        </w:rPr>
        <w:t>For example, i</w:t>
      </w:r>
      <w:r w:rsidR="00D71C23">
        <w:rPr>
          <w:sz w:val="24"/>
          <w:szCs w:val="24"/>
        </w:rPr>
        <w:t>n BoR8.2 (</w:t>
      </w:r>
      <w:r w:rsidR="002C04EA">
        <w:rPr>
          <w:sz w:val="24"/>
          <w:szCs w:val="24"/>
        </w:rPr>
        <w:t>‘Mercury Capture Technology for the Global Petroleum Industry’)</w:t>
      </w:r>
      <w:r w:rsidR="00D71C23">
        <w:rPr>
          <w:sz w:val="24"/>
          <w:szCs w:val="24"/>
        </w:rPr>
        <w:t xml:space="preserve"> </w:t>
      </w:r>
      <w:r w:rsidR="00AB6ADB">
        <w:rPr>
          <w:sz w:val="24"/>
          <w:szCs w:val="24"/>
        </w:rPr>
        <w:t>r</w:t>
      </w:r>
      <w:r w:rsidR="00233D87">
        <w:rPr>
          <w:sz w:val="24"/>
          <w:szCs w:val="24"/>
        </w:rPr>
        <w:t>esearchers at the School of Chemistry and Chemical Engineering, Queen’s University Belfast</w:t>
      </w:r>
      <w:r w:rsidR="00E7358C">
        <w:rPr>
          <w:sz w:val="24"/>
          <w:szCs w:val="24"/>
        </w:rPr>
        <w:t xml:space="preserve"> (QUB)</w:t>
      </w:r>
      <w:r w:rsidR="00233D87">
        <w:rPr>
          <w:sz w:val="24"/>
          <w:szCs w:val="24"/>
        </w:rPr>
        <w:t xml:space="preserve">, had a long history of expertise in ‘ionic liquids’ (liquid salts). Research from the early 1990s had focused on how ionic liquids could be used as ‘green’ solvents (solvents are used to dissolve other substances, and can sometimes lead to by-products which are harmful to humans and the environment) in various industry contexts. </w:t>
      </w:r>
      <w:r w:rsidR="00E355FF">
        <w:rPr>
          <w:sz w:val="24"/>
          <w:szCs w:val="24"/>
        </w:rPr>
        <w:t>Eventually, this led to a significant formal partnership between the School and Petronas, a large Malaysian petroleum company</w:t>
      </w:r>
      <w:r w:rsidR="00E7358C">
        <w:rPr>
          <w:sz w:val="24"/>
          <w:szCs w:val="24"/>
        </w:rPr>
        <w:t xml:space="preserve"> who saw great potential in this use of ionic liquids. A leading scientist with several decades of experience at Petronas was given an academic appointment at QUB, where he is a professor, co-director of an academic spin-out company and also co-director of the Queen’s University Ionic Liquids Laboratory (QUILL) and a key knowledge broker not only between the university and Petronas, but to the wider petroleum industry.  </w:t>
      </w:r>
    </w:p>
    <w:p w14:paraId="40DDD93D" w14:textId="27085D09" w:rsidR="00DE4478" w:rsidRDefault="00390CA4" w:rsidP="00DE4478">
      <w:pPr>
        <w:spacing w:after="120" w:line="360" w:lineRule="auto"/>
        <w:rPr>
          <w:sz w:val="24"/>
          <w:szCs w:val="24"/>
        </w:rPr>
      </w:pPr>
      <w:r>
        <w:rPr>
          <w:sz w:val="24"/>
          <w:szCs w:val="24"/>
        </w:rPr>
        <w:t>A</w:t>
      </w:r>
      <w:r w:rsidR="00AB6ADB">
        <w:rPr>
          <w:sz w:val="24"/>
          <w:szCs w:val="24"/>
        </w:rPr>
        <w:t>n</w:t>
      </w:r>
      <w:r>
        <w:rPr>
          <w:sz w:val="24"/>
          <w:szCs w:val="24"/>
        </w:rPr>
        <w:t xml:space="preserve"> example of a student/graduate boundary-spanner </w:t>
      </w:r>
      <w:r w:rsidR="00DE4478">
        <w:rPr>
          <w:sz w:val="24"/>
          <w:szCs w:val="24"/>
        </w:rPr>
        <w:t xml:space="preserve">was already discussed earlier in this chapter, under the section on institutional context (‘disciplinary status’). This was the case of the doctoral graduate from the University of Glasgow School of Mathematics and Statistic associated with </w:t>
      </w:r>
      <w:r>
        <w:rPr>
          <w:sz w:val="24"/>
          <w:szCs w:val="24"/>
        </w:rPr>
        <w:t>BoR10.1 (‘Monitoring Groundwater Pollution’)</w:t>
      </w:r>
      <w:r w:rsidR="00DE4478">
        <w:rPr>
          <w:sz w:val="24"/>
          <w:szCs w:val="24"/>
        </w:rPr>
        <w:t xml:space="preserve">. As explained, the student was the boundary-spanner (knowledge broker) in that he provided a direct link between the School and his new employer, multinational oil and gas company, Shell. Through this student, Shell and the university commenced a research relationship which resulted in several co-authored papers, the sponsorship by Shell of another PhD student, and collaboration on a novel purpose-built data analysis software. </w:t>
      </w:r>
    </w:p>
    <w:p w14:paraId="7823925C" w14:textId="3BFDA012" w:rsidR="00FF7105" w:rsidRDefault="00AB6ADB" w:rsidP="00FF7105">
      <w:pPr>
        <w:spacing w:after="120" w:line="360" w:lineRule="auto"/>
        <w:rPr>
          <w:sz w:val="24"/>
          <w:szCs w:val="24"/>
        </w:rPr>
      </w:pPr>
      <w:r>
        <w:rPr>
          <w:sz w:val="24"/>
          <w:szCs w:val="24"/>
        </w:rPr>
        <w:t>Another example from QUB relates to BoR8.1 (‘Biocatalysts for Industrial and Medical Applications’)</w:t>
      </w:r>
      <w:r w:rsidR="008D737F">
        <w:rPr>
          <w:sz w:val="24"/>
          <w:szCs w:val="24"/>
        </w:rPr>
        <w:t xml:space="preserve"> and involves both student/graduate and more senior boundary-spanners. Researchers at QUB’s Centre for Theory and Application of Catalysis (CenTACat) have a long-standing expertise in the production of bioproducts through the process of ‘biocatalysis’ (the transformation of organic compounds using enzymes). Biocatalytic processes, and the bioproducts they produce are</w:t>
      </w:r>
      <w:r w:rsidR="00722EB5">
        <w:rPr>
          <w:sz w:val="24"/>
          <w:szCs w:val="24"/>
        </w:rPr>
        <w:t xml:space="preserve"> key to the industrial production of new medicines. </w:t>
      </w:r>
      <w:r w:rsidR="00017E25">
        <w:rPr>
          <w:sz w:val="24"/>
          <w:szCs w:val="24"/>
        </w:rPr>
        <w:t>In 2015, a new multi-</w:t>
      </w:r>
      <w:r w:rsidR="007B2567">
        <w:rPr>
          <w:sz w:val="24"/>
          <w:szCs w:val="24"/>
        </w:rPr>
        <w:t>million-pound</w:t>
      </w:r>
      <w:r w:rsidR="00017E25">
        <w:rPr>
          <w:sz w:val="24"/>
          <w:szCs w:val="24"/>
        </w:rPr>
        <w:t xml:space="preserve"> partnership between QUB and Almac Sciences, a large biotechnology company was announced, dedicated to collaboration on research into and application of biocatalysis. Although this formal </w:t>
      </w:r>
      <w:r w:rsidR="007D4D0D">
        <w:rPr>
          <w:sz w:val="24"/>
          <w:szCs w:val="24"/>
        </w:rPr>
        <w:t>‘</w:t>
      </w:r>
      <w:r w:rsidR="007D4D0D" w:rsidRPr="00BE37F6">
        <w:rPr>
          <w:sz w:val="24"/>
          <w:szCs w:val="24"/>
        </w:rPr>
        <w:t xml:space="preserve">QUB-Almac Sciences </w:t>
      </w:r>
      <w:r w:rsidR="007D4D0D">
        <w:rPr>
          <w:sz w:val="24"/>
          <w:szCs w:val="24"/>
        </w:rPr>
        <w:t>B</w:t>
      </w:r>
      <w:r w:rsidR="007D4D0D" w:rsidRPr="00BE37F6">
        <w:rPr>
          <w:sz w:val="24"/>
          <w:szCs w:val="24"/>
        </w:rPr>
        <w:t>iocatalysis</w:t>
      </w:r>
      <w:r w:rsidR="007D4D0D">
        <w:rPr>
          <w:sz w:val="24"/>
          <w:szCs w:val="24"/>
        </w:rPr>
        <w:t xml:space="preserve"> P</w:t>
      </w:r>
      <w:r w:rsidR="007D4D0D" w:rsidRPr="00BE37F6">
        <w:rPr>
          <w:sz w:val="24"/>
          <w:szCs w:val="24"/>
        </w:rPr>
        <w:t>artnership</w:t>
      </w:r>
      <w:r w:rsidR="007D4D0D">
        <w:rPr>
          <w:sz w:val="24"/>
          <w:szCs w:val="24"/>
        </w:rPr>
        <w:t xml:space="preserve">’ </w:t>
      </w:r>
      <w:r w:rsidR="00017E25">
        <w:rPr>
          <w:sz w:val="24"/>
          <w:szCs w:val="24"/>
        </w:rPr>
        <w:t>is only a recent development, it is underpinned by many years of significant inter-mobility of graduates, academics and industry scientists, characterised by Almac sponsoring PhD students with QUB’s CenTACat, Almac scientists visiting and co-authoring with CenTACat professors and sometimes holding joint academic posts, and, most significantly, Almac Sciences hiring doctoral graduates who studied at CenTACat</w:t>
      </w:r>
      <w:r w:rsidR="00FF7105">
        <w:rPr>
          <w:sz w:val="24"/>
          <w:szCs w:val="24"/>
        </w:rPr>
        <w:t xml:space="preserve"> – the extent of this was such that</w:t>
      </w:r>
      <w:r w:rsidR="00FE0388">
        <w:rPr>
          <w:sz w:val="24"/>
          <w:szCs w:val="24"/>
        </w:rPr>
        <w:t>,</w:t>
      </w:r>
      <w:r w:rsidR="00FF7105">
        <w:rPr>
          <w:sz w:val="24"/>
          <w:szCs w:val="24"/>
        </w:rPr>
        <w:t xml:space="preserve"> by 2014, fifteen of </w:t>
      </w:r>
      <w:r w:rsidR="00AF62FB">
        <w:rPr>
          <w:sz w:val="24"/>
          <w:szCs w:val="24"/>
        </w:rPr>
        <w:t>the t</w:t>
      </w:r>
      <w:r w:rsidR="00FF7105">
        <w:rPr>
          <w:sz w:val="24"/>
          <w:szCs w:val="24"/>
        </w:rPr>
        <w:t xml:space="preserve">hirty scientists </w:t>
      </w:r>
      <w:r w:rsidR="00AF62FB">
        <w:rPr>
          <w:sz w:val="24"/>
          <w:szCs w:val="24"/>
        </w:rPr>
        <w:t>which make up Almac Science’s</w:t>
      </w:r>
      <w:r w:rsidR="00FF7105">
        <w:rPr>
          <w:sz w:val="24"/>
          <w:szCs w:val="24"/>
        </w:rPr>
        <w:t xml:space="preserve"> ‘Biocatalysis Group’ were QUB graduates</w:t>
      </w:r>
      <w:r w:rsidR="00F23E10">
        <w:rPr>
          <w:sz w:val="24"/>
          <w:szCs w:val="24"/>
        </w:rPr>
        <w:t xml:space="preserve"> (with other QUB graduates having advanced onto more senior roles within the company, all the while maintaining close links with the university). </w:t>
      </w:r>
    </w:p>
    <w:p w14:paraId="2B13B05A" w14:textId="0401B8AB" w:rsidR="00267170" w:rsidRDefault="000160B9" w:rsidP="00FF7105">
      <w:pPr>
        <w:spacing w:after="120" w:line="360" w:lineRule="auto"/>
        <w:rPr>
          <w:sz w:val="24"/>
          <w:szCs w:val="24"/>
        </w:rPr>
      </w:pPr>
      <w:r>
        <w:rPr>
          <w:sz w:val="24"/>
          <w:szCs w:val="24"/>
        </w:rPr>
        <w:t>To summarise</w:t>
      </w:r>
      <w:r w:rsidR="005B4F99">
        <w:rPr>
          <w:sz w:val="24"/>
          <w:szCs w:val="24"/>
        </w:rPr>
        <w:t>, the research sampled from Basic disciplines</w:t>
      </w:r>
      <w:r w:rsidR="006930E1">
        <w:rPr>
          <w:sz w:val="24"/>
          <w:szCs w:val="24"/>
        </w:rPr>
        <w:t xml:space="preserve"> exhibit relatively ‘low’ (‘bounded’) typology values across all research dimensions, but they nonetheless go onto have significant real-world ‘impact’ because of the ways in which they are embedded into wider technoscientific systems which are driven by knowledge-intensive organisations who may themselves participate in and support fundamental research, but whose priority is the application and exploitation of knowledge for particular purposes. </w:t>
      </w:r>
      <w:r w:rsidR="006326CA">
        <w:rPr>
          <w:sz w:val="24"/>
          <w:szCs w:val="24"/>
        </w:rPr>
        <w:t xml:space="preserve">The synergy between scientifically-driven demand for technology and disciplinary experts and the application-driven demand for the same kinds of technologies and expertise means that boundary transactions </w:t>
      </w:r>
      <w:r w:rsidR="00785970">
        <w:rPr>
          <w:sz w:val="24"/>
          <w:szCs w:val="24"/>
        </w:rPr>
        <w:t>do not challenge the boundaries of academia</w:t>
      </w:r>
      <w:r w:rsidR="00751B44">
        <w:rPr>
          <w:sz w:val="24"/>
          <w:szCs w:val="24"/>
        </w:rPr>
        <w:t xml:space="preserve">, and this explains the low </w:t>
      </w:r>
      <w:r w:rsidR="00B94AFE">
        <w:rPr>
          <w:sz w:val="24"/>
          <w:szCs w:val="24"/>
        </w:rPr>
        <w:t>‘total’</w:t>
      </w:r>
      <w:r w:rsidR="00751B44">
        <w:rPr>
          <w:sz w:val="24"/>
          <w:szCs w:val="24"/>
        </w:rPr>
        <w:t xml:space="preserve"> typology value associated with the Basic disciplines in my sample (as seen in </w:t>
      </w:r>
      <w:r w:rsidR="00751B44" w:rsidRPr="008959A2">
        <w:rPr>
          <w:sz w:val="24"/>
          <w:szCs w:val="24"/>
        </w:rPr>
        <w:fldChar w:fldCharType="begin"/>
      </w:r>
      <w:r w:rsidR="00751B44" w:rsidRPr="008959A2">
        <w:rPr>
          <w:sz w:val="24"/>
          <w:szCs w:val="24"/>
        </w:rPr>
        <w:instrText xml:space="preserve"> REF _Ref8937176 \h </w:instrText>
      </w:r>
      <w:r w:rsidR="00751B44">
        <w:rPr>
          <w:sz w:val="24"/>
          <w:szCs w:val="24"/>
        </w:rPr>
        <w:instrText xml:space="preserve"> \* MERGEFORMAT </w:instrText>
      </w:r>
      <w:r w:rsidR="00751B44" w:rsidRPr="008959A2">
        <w:rPr>
          <w:sz w:val="24"/>
          <w:szCs w:val="24"/>
        </w:rPr>
      </w:r>
      <w:r w:rsidR="00751B44" w:rsidRPr="008959A2">
        <w:rPr>
          <w:sz w:val="24"/>
          <w:szCs w:val="24"/>
        </w:rPr>
        <w:fldChar w:fldCharType="separate"/>
      </w:r>
      <w:r w:rsidR="0011424E" w:rsidRPr="0011424E">
        <w:rPr>
          <w:sz w:val="24"/>
          <w:szCs w:val="24"/>
        </w:rPr>
        <w:t xml:space="preserve">Table </w:t>
      </w:r>
      <w:r w:rsidR="0011424E" w:rsidRPr="0011424E">
        <w:rPr>
          <w:noProof/>
          <w:sz w:val="24"/>
          <w:szCs w:val="24"/>
        </w:rPr>
        <w:t>37</w:t>
      </w:r>
      <w:r w:rsidR="00751B44" w:rsidRPr="008959A2">
        <w:rPr>
          <w:sz w:val="24"/>
          <w:szCs w:val="24"/>
        </w:rPr>
        <w:fldChar w:fldCharType="end"/>
      </w:r>
      <w:r w:rsidR="00751B44">
        <w:rPr>
          <w:sz w:val="24"/>
          <w:szCs w:val="24"/>
        </w:rPr>
        <w:t xml:space="preserve">, p. </w:t>
      </w:r>
      <w:r w:rsidR="00751B44">
        <w:rPr>
          <w:sz w:val="24"/>
          <w:szCs w:val="24"/>
        </w:rPr>
        <w:fldChar w:fldCharType="begin"/>
      </w:r>
      <w:r w:rsidR="00751B44">
        <w:rPr>
          <w:sz w:val="24"/>
          <w:szCs w:val="24"/>
        </w:rPr>
        <w:instrText xml:space="preserve"> PAGEREF _Ref9085135 \h </w:instrText>
      </w:r>
      <w:r w:rsidR="00751B44">
        <w:rPr>
          <w:sz w:val="24"/>
          <w:szCs w:val="24"/>
        </w:rPr>
      </w:r>
      <w:r w:rsidR="00751B44">
        <w:rPr>
          <w:sz w:val="24"/>
          <w:szCs w:val="24"/>
        </w:rPr>
        <w:fldChar w:fldCharType="separate"/>
      </w:r>
      <w:r w:rsidR="0011424E">
        <w:rPr>
          <w:noProof/>
          <w:sz w:val="24"/>
          <w:szCs w:val="24"/>
        </w:rPr>
        <w:t>136</w:t>
      </w:r>
      <w:r w:rsidR="00751B44">
        <w:rPr>
          <w:sz w:val="24"/>
          <w:szCs w:val="24"/>
        </w:rPr>
        <w:fldChar w:fldCharType="end"/>
      </w:r>
      <w:r w:rsidR="00751B44">
        <w:rPr>
          <w:sz w:val="24"/>
          <w:szCs w:val="24"/>
        </w:rPr>
        <w:t xml:space="preserve">). </w:t>
      </w:r>
    </w:p>
    <w:p w14:paraId="052C9858" w14:textId="0712180A" w:rsidR="009555C8" w:rsidRDefault="009555C8" w:rsidP="009555C8">
      <w:pPr>
        <w:pStyle w:val="Heading2"/>
      </w:pPr>
      <w:bookmarkStart w:id="210" w:name="_Toc536717956"/>
      <w:bookmarkStart w:id="211" w:name="_Toc31701989"/>
      <w:r>
        <w:t>Chapter summary</w:t>
      </w:r>
      <w:bookmarkEnd w:id="210"/>
      <w:bookmarkEnd w:id="211"/>
    </w:p>
    <w:p w14:paraId="1492E8C1" w14:textId="644F445B" w:rsidR="00A6214E" w:rsidRDefault="001760A4" w:rsidP="00EB70E8">
      <w:pPr>
        <w:spacing w:before="120" w:after="120" w:line="360" w:lineRule="auto"/>
        <w:rPr>
          <w:sz w:val="24"/>
          <w:szCs w:val="24"/>
          <w:lang w:eastAsia="zh-TW"/>
        </w:rPr>
      </w:pPr>
      <w:r>
        <w:rPr>
          <w:sz w:val="24"/>
          <w:szCs w:val="24"/>
          <w:lang w:eastAsia="zh-TW"/>
        </w:rPr>
        <w:t xml:space="preserve">This chapter </w:t>
      </w:r>
      <w:r w:rsidR="00063361">
        <w:rPr>
          <w:sz w:val="24"/>
          <w:szCs w:val="24"/>
          <w:lang w:eastAsia="zh-TW"/>
        </w:rPr>
        <w:t>presented</w:t>
      </w:r>
      <w:r w:rsidR="000D3AD4">
        <w:rPr>
          <w:sz w:val="24"/>
          <w:szCs w:val="24"/>
          <w:lang w:eastAsia="zh-TW"/>
        </w:rPr>
        <w:t xml:space="preserve"> and explained</w:t>
      </w:r>
      <w:r w:rsidR="00063361">
        <w:rPr>
          <w:sz w:val="24"/>
          <w:szCs w:val="24"/>
          <w:lang w:eastAsia="zh-TW"/>
        </w:rPr>
        <w:t xml:space="preserve"> the findings of my analysis. </w:t>
      </w:r>
      <w:r w:rsidR="006A0715">
        <w:rPr>
          <w:sz w:val="24"/>
          <w:szCs w:val="24"/>
          <w:lang w:eastAsia="zh-TW"/>
        </w:rPr>
        <w:t xml:space="preserve">I </w:t>
      </w:r>
      <w:r w:rsidR="00063361">
        <w:rPr>
          <w:sz w:val="24"/>
          <w:szCs w:val="24"/>
          <w:lang w:eastAsia="zh-TW"/>
        </w:rPr>
        <w:t>illustrated the earlier theoretical points made about boundary transactions, that is, how boundary transactions, rather than necessarily implying a weakness in academic boundaries, can be a mechanism for reinforcing academic boundaries. I</w:t>
      </w:r>
      <w:r w:rsidR="008B6EA9">
        <w:rPr>
          <w:sz w:val="24"/>
          <w:szCs w:val="24"/>
          <w:lang w:eastAsia="zh-TW"/>
        </w:rPr>
        <w:t xml:space="preserve"> also</w:t>
      </w:r>
      <w:r w:rsidR="00063361">
        <w:rPr>
          <w:sz w:val="24"/>
          <w:szCs w:val="24"/>
          <w:lang w:eastAsia="zh-TW"/>
        </w:rPr>
        <w:t xml:space="preserve"> showed how the various </w:t>
      </w:r>
      <w:r w:rsidR="0084702D">
        <w:rPr>
          <w:sz w:val="24"/>
          <w:szCs w:val="24"/>
          <w:lang w:eastAsia="zh-TW"/>
        </w:rPr>
        <w:t>attributes and activities associated with</w:t>
      </w:r>
      <w:r w:rsidR="00063361">
        <w:rPr>
          <w:sz w:val="24"/>
          <w:szCs w:val="24"/>
          <w:lang w:eastAsia="zh-TW"/>
        </w:rPr>
        <w:t xml:space="preserve"> academic research, derived from McNie et al.’s (2016) typology (see </w:t>
      </w:r>
      <w:r w:rsidR="008A3015">
        <w:rPr>
          <w:sz w:val="24"/>
          <w:szCs w:val="24"/>
          <w:lang w:eastAsia="zh-TW"/>
        </w:rPr>
        <w:t>Chapter 2</w:t>
      </w:r>
      <w:r w:rsidR="00063361">
        <w:rPr>
          <w:sz w:val="24"/>
          <w:szCs w:val="24"/>
          <w:lang w:eastAsia="zh-TW"/>
        </w:rPr>
        <w:t>)</w:t>
      </w:r>
      <w:r w:rsidR="0084702D">
        <w:rPr>
          <w:sz w:val="24"/>
          <w:szCs w:val="24"/>
          <w:lang w:eastAsia="zh-TW"/>
        </w:rPr>
        <w:t>,</w:t>
      </w:r>
      <w:r w:rsidR="00063361">
        <w:rPr>
          <w:sz w:val="24"/>
          <w:szCs w:val="24"/>
          <w:lang w:eastAsia="zh-TW"/>
        </w:rPr>
        <w:t xml:space="preserve"> could be grouped according to their relation to academic boundaries. Certain aspects of the research in my sample, most importantly the goals and outputs and their intended outcomes, were typically focused on the social context beyond the boundaries of academia. Most boundary transactions therefore focused on mobilising interest in the research from actors in relevant social contexts, or disseminating knowledge to potential ‘users’ in these contexts. </w:t>
      </w:r>
      <w:r w:rsidR="0084702D">
        <w:rPr>
          <w:sz w:val="24"/>
          <w:szCs w:val="24"/>
          <w:lang w:eastAsia="zh-TW"/>
        </w:rPr>
        <w:t xml:space="preserve">I classified these </w:t>
      </w:r>
      <w:r w:rsidR="000F3B6B">
        <w:rPr>
          <w:sz w:val="24"/>
          <w:szCs w:val="24"/>
          <w:lang w:eastAsia="zh-TW"/>
        </w:rPr>
        <w:t>attributes/activities</w:t>
      </w:r>
      <w:r w:rsidR="0084702D">
        <w:rPr>
          <w:sz w:val="24"/>
          <w:szCs w:val="24"/>
          <w:lang w:eastAsia="zh-TW"/>
        </w:rPr>
        <w:t xml:space="preserve"> of research as the ‘social context’ </w:t>
      </w:r>
      <w:r w:rsidR="000F3B6B">
        <w:rPr>
          <w:sz w:val="24"/>
          <w:szCs w:val="24"/>
          <w:lang w:eastAsia="zh-TW"/>
        </w:rPr>
        <w:t>dimension. Similarly, certain other aspects of the research in my sample were systematically focused on maintaining academic boundaries. These can be understood as those attributes of academic research which are a core part of defining academic boundaries and the academic identity – expertise, learning and human capital. I classified these attributes as research as the ‘knowledge content’ dimension. Only rarely in the sampled research did boundary transactions allow significant outside influence on the ‘knowledge content’ dimension.</w:t>
      </w:r>
      <w:r w:rsidR="00F308B3">
        <w:rPr>
          <w:sz w:val="24"/>
          <w:szCs w:val="24"/>
          <w:lang w:eastAsia="zh-TW"/>
        </w:rPr>
        <w:t xml:space="preserve"> Thirdly, there are a broad range of activities and attributes associated with research which mediate between the ‘bounded’ relation to the knowledge content and the unbounded relation to the social context. </w:t>
      </w:r>
      <w:r w:rsidR="007B08A5">
        <w:rPr>
          <w:sz w:val="24"/>
          <w:szCs w:val="24"/>
          <w:lang w:eastAsia="zh-TW"/>
        </w:rPr>
        <w:t xml:space="preserve">I classified these as the ‘intermediary’ dimension. These were more variable, sometimes being very ‘unbounded’, but sometimes operating to reinforce academic boundaries. Often, different aspects of the intermediary dimensions of research pulled in different directions. Indeed, this is to be expected given the earlier theoretical discussion which stated that a key function of ‘boundaries’ in general is to allow </w:t>
      </w:r>
      <w:r w:rsidR="007B08A5">
        <w:rPr>
          <w:i/>
          <w:sz w:val="24"/>
          <w:szCs w:val="24"/>
          <w:lang w:eastAsia="zh-TW"/>
        </w:rPr>
        <w:t xml:space="preserve">selective </w:t>
      </w:r>
      <w:r w:rsidR="007B08A5">
        <w:rPr>
          <w:sz w:val="24"/>
          <w:szCs w:val="24"/>
          <w:lang w:eastAsia="zh-TW"/>
        </w:rPr>
        <w:t xml:space="preserve">transactions, such that boundaries </w:t>
      </w:r>
      <w:r w:rsidR="007B08A5">
        <w:rPr>
          <w:i/>
          <w:sz w:val="24"/>
          <w:szCs w:val="24"/>
          <w:lang w:eastAsia="zh-TW"/>
        </w:rPr>
        <w:t xml:space="preserve">regulate </w:t>
      </w:r>
      <w:r w:rsidR="007B08A5">
        <w:rPr>
          <w:sz w:val="24"/>
          <w:szCs w:val="24"/>
          <w:lang w:eastAsia="zh-TW"/>
        </w:rPr>
        <w:t>the relationship between academia and wider society, as opposed to erecting an impenetrable boundary.</w:t>
      </w:r>
      <w:r w:rsidR="00796125">
        <w:rPr>
          <w:sz w:val="24"/>
          <w:szCs w:val="24"/>
          <w:lang w:eastAsia="zh-TW"/>
        </w:rPr>
        <w:t xml:space="preserve"> </w:t>
      </w:r>
      <w:r w:rsidR="00EB70E8">
        <w:rPr>
          <w:sz w:val="24"/>
          <w:szCs w:val="24"/>
          <w:lang w:eastAsia="zh-TW"/>
        </w:rPr>
        <w:t>I provided three in-depth illustrative case studies</w:t>
      </w:r>
      <w:r w:rsidR="00375C29">
        <w:rPr>
          <w:sz w:val="24"/>
          <w:szCs w:val="24"/>
          <w:lang w:eastAsia="zh-TW"/>
        </w:rPr>
        <w:t xml:space="preserve"> (BoRs 4.2, 5 &amp; 11.1) </w:t>
      </w:r>
      <w:r w:rsidR="00EB70E8">
        <w:rPr>
          <w:sz w:val="24"/>
          <w:szCs w:val="24"/>
          <w:lang w:eastAsia="zh-TW"/>
        </w:rPr>
        <w:t xml:space="preserve">to reveal the nature of these three different </w:t>
      </w:r>
      <w:r w:rsidR="00375C29">
        <w:rPr>
          <w:sz w:val="24"/>
          <w:szCs w:val="24"/>
          <w:lang w:eastAsia="zh-TW"/>
        </w:rPr>
        <w:t xml:space="preserve">research </w:t>
      </w:r>
      <w:r w:rsidR="00EB70E8">
        <w:rPr>
          <w:sz w:val="24"/>
          <w:szCs w:val="24"/>
          <w:lang w:eastAsia="zh-TW"/>
        </w:rPr>
        <w:t>dimensions</w:t>
      </w:r>
      <w:r w:rsidR="00375C29">
        <w:rPr>
          <w:sz w:val="24"/>
          <w:szCs w:val="24"/>
          <w:lang w:eastAsia="zh-TW"/>
        </w:rPr>
        <w:t xml:space="preserve"> (‘social context’, ‘knowledge content’, ‘intermediate’)</w:t>
      </w:r>
      <w:r w:rsidR="00EB70E8">
        <w:rPr>
          <w:sz w:val="24"/>
          <w:szCs w:val="24"/>
          <w:lang w:eastAsia="zh-TW"/>
        </w:rPr>
        <w:t xml:space="preserve">, and also to give the reader greater insight into how </w:t>
      </w:r>
      <w:r w:rsidR="00645F62">
        <w:rPr>
          <w:sz w:val="24"/>
          <w:szCs w:val="24"/>
          <w:lang w:eastAsia="zh-TW"/>
        </w:rPr>
        <w:t>I read, analysed and interpreted the data pertaining to the n=19 bodies of research (BoRs)</w:t>
      </w:r>
      <w:r w:rsidR="00EB70E8">
        <w:rPr>
          <w:sz w:val="24"/>
          <w:szCs w:val="24"/>
          <w:lang w:eastAsia="zh-TW"/>
        </w:rPr>
        <w:t xml:space="preserve">. </w:t>
      </w:r>
    </w:p>
    <w:p w14:paraId="7A96081F" w14:textId="72A0968B" w:rsidR="00EB70E8" w:rsidRPr="00A270A7" w:rsidRDefault="00A6214E" w:rsidP="00EB70E8">
      <w:pPr>
        <w:spacing w:before="120" w:after="120" w:line="360" w:lineRule="auto"/>
        <w:rPr>
          <w:sz w:val="24"/>
          <w:szCs w:val="24"/>
          <w:lang w:eastAsia="zh-TW"/>
        </w:rPr>
      </w:pPr>
      <w:r>
        <w:rPr>
          <w:sz w:val="24"/>
          <w:szCs w:val="24"/>
          <w:lang w:eastAsia="zh-TW"/>
        </w:rPr>
        <w:t xml:space="preserve">I then moved on to a more explanatory analysis. </w:t>
      </w:r>
      <w:r w:rsidR="008774AD">
        <w:rPr>
          <w:sz w:val="24"/>
          <w:szCs w:val="24"/>
          <w:lang w:eastAsia="zh-TW"/>
        </w:rPr>
        <w:t xml:space="preserve">Observed variations in the extent of boundedness in the </w:t>
      </w:r>
      <w:r w:rsidR="008774AD">
        <w:rPr>
          <w:i/>
          <w:sz w:val="24"/>
          <w:szCs w:val="24"/>
          <w:lang w:eastAsia="zh-TW"/>
        </w:rPr>
        <w:t xml:space="preserve">research dimensions </w:t>
      </w:r>
      <w:r w:rsidR="008774AD">
        <w:rPr>
          <w:sz w:val="24"/>
          <w:szCs w:val="24"/>
          <w:lang w:eastAsia="zh-TW"/>
        </w:rPr>
        <w:t xml:space="preserve">(social context, knowledge content and intermediary) across the three </w:t>
      </w:r>
      <w:r w:rsidR="008774AD">
        <w:rPr>
          <w:i/>
          <w:sz w:val="24"/>
          <w:szCs w:val="24"/>
          <w:lang w:eastAsia="zh-TW"/>
        </w:rPr>
        <w:t xml:space="preserve">contextual dimensions </w:t>
      </w:r>
      <w:r w:rsidR="008774AD">
        <w:rPr>
          <w:sz w:val="24"/>
          <w:szCs w:val="24"/>
          <w:lang w:eastAsia="zh-TW"/>
        </w:rPr>
        <w:t>(departmental status, branch of science, disciplinary orientation)</w:t>
      </w:r>
      <w:r w:rsidR="00E30CDD">
        <w:rPr>
          <w:sz w:val="24"/>
          <w:szCs w:val="24"/>
          <w:lang w:eastAsia="zh-TW"/>
        </w:rPr>
        <w:t xml:space="preserve"> </w:t>
      </w:r>
      <w:r>
        <w:rPr>
          <w:sz w:val="24"/>
          <w:szCs w:val="24"/>
          <w:lang w:eastAsia="zh-TW"/>
        </w:rPr>
        <w:t>guided my investigation into</w:t>
      </w:r>
      <w:r w:rsidR="00E30CDD">
        <w:rPr>
          <w:sz w:val="24"/>
          <w:szCs w:val="24"/>
          <w:lang w:eastAsia="zh-TW"/>
        </w:rPr>
        <w:t xml:space="preserve"> underpinning structures and mechanisms which would explain these variations. At this stage of the analysis, I searched from across the full qualitative and quantitative </w:t>
      </w:r>
      <w:r w:rsidR="00A022A5">
        <w:rPr>
          <w:sz w:val="24"/>
          <w:szCs w:val="24"/>
          <w:lang w:eastAsia="zh-TW"/>
        </w:rPr>
        <w:t>dataset</w:t>
      </w:r>
      <w:r w:rsidR="00E30CDD">
        <w:rPr>
          <w:sz w:val="24"/>
          <w:szCs w:val="24"/>
          <w:lang w:eastAsia="zh-TW"/>
        </w:rPr>
        <w:t xml:space="preserve"> that I had generated, based on documentary sources and interviews, to seek potential explanations. </w:t>
      </w:r>
      <w:r w:rsidR="00571D2B">
        <w:rPr>
          <w:sz w:val="24"/>
          <w:szCs w:val="24"/>
          <w:lang w:eastAsia="zh-TW"/>
        </w:rPr>
        <w:t>A</w:t>
      </w:r>
      <w:r w:rsidR="00A270A7">
        <w:rPr>
          <w:sz w:val="24"/>
          <w:szCs w:val="24"/>
          <w:lang w:eastAsia="zh-TW"/>
        </w:rPr>
        <w:t>lthough a</w:t>
      </w:r>
      <w:r w:rsidR="00571D2B">
        <w:rPr>
          <w:sz w:val="24"/>
          <w:szCs w:val="24"/>
          <w:lang w:eastAsia="zh-TW"/>
        </w:rPr>
        <w:t>nalysis revealed th</w:t>
      </w:r>
      <w:r w:rsidR="00A270A7">
        <w:rPr>
          <w:sz w:val="24"/>
          <w:szCs w:val="24"/>
          <w:lang w:eastAsia="zh-TW"/>
        </w:rPr>
        <w:t xml:space="preserve">at </w:t>
      </w:r>
      <w:r w:rsidR="00A270A7">
        <w:rPr>
          <w:i/>
          <w:sz w:val="24"/>
          <w:szCs w:val="24"/>
          <w:lang w:eastAsia="zh-TW"/>
        </w:rPr>
        <w:t xml:space="preserve">all nine </w:t>
      </w:r>
      <w:r w:rsidR="00A270A7">
        <w:rPr>
          <w:sz w:val="24"/>
          <w:szCs w:val="24"/>
          <w:lang w:eastAsia="zh-TW"/>
        </w:rPr>
        <w:t>contextual categories across the three contextual dimensio</w:t>
      </w:r>
      <w:r w:rsidR="00A91017">
        <w:rPr>
          <w:sz w:val="24"/>
          <w:szCs w:val="24"/>
          <w:lang w:eastAsia="zh-TW"/>
        </w:rPr>
        <w:t>ns tended, overall, towards the reproduction rather than the weakening of academic boundaries, it also revealed that there was variation within each dimension in the extent and nature of the management of boundaries and transactions across them.</w:t>
      </w:r>
    </w:p>
    <w:p w14:paraId="7276ABBF" w14:textId="37A6F45B" w:rsidR="005979CD" w:rsidRDefault="00D91AF6" w:rsidP="005979CD">
      <w:pPr>
        <w:spacing w:before="120" w:after="120" w:line="360" w:lineRule="auto"/>
        <w:rPr>
          <w:sz w:val="24"/>
          <w:szCs w:val="24"/>
        </w:rPr>
      </w:pPr>
      <w:r>
        <w:rPr>
          <w:sz w:val="24"/>
          <w:szCs w:val="24"/>
        </w:rPr>
        <w:t>First, d</w:t>
      </w:r>
      <w:r w:rsidR="005979CD">
        <w:rPr>
          <w:sz w:val="24"/>
          <w:szCs w:val="24"/>
        </w:rPr>
        <w:t>epartmental status influences the experience of academic boundaries and boundary transactions</w:t>
      </w:r>
      <w:r w:rsidR="00E4656B">
        <w:rPr>
          <w:sz w:val="24"/>
          <w:szCs w:val="24"/>
        </w:rPr>
        <w:t xml:space="preserve"> in my sampled research</w:t>
      </w:r>
      <w:r w:rsidR="005979CD">
        <w:rPr>
          <w:sz w:val="24"/>
          <w:szCs w:val="24"/>
        </w:rPr>
        <w:t>. The main dividing line is between a small ‘elite’ group of departments and the majority of ‘non-elite’</w:t>
      </w:r>
      <w:r w:rsidR="00A62CDC">
        <w:rPr>
          <w:sz w:val="24"/>
          <w:szCs w:val="24"/>
        </w:rPr>
        <w:t xml:space="preserve"> (comprising the categories of ‘more’ and ‘less’ prestigious)</w:t>
      </w:r>
      <w:r w:rsidR="005979CD">
        <w:rPr>
          <w:sz w:val="24"/>
          <w:szCs w:val="24"/>
        </w:rPr>
        <w:t xml:space="preserve"> departments. ‘Elite’ departments, although often very dedicated to ensuring that their research outputs have relevance to non-academic ‘users’, are able to balance this potential threat to academic boundaries by using their ‘power’ to maintain strong control over the process of knowledge production, rarely allowing ‘outsiders’ to contribute and this allows strong reinforcement. By contrast, ‘non-elite’ departments are often more collaborative and open in terms of allowing non-academics more input into shaping and generating the research. In these departments, boundary transactions therefore often take place</w:t>
      </w:r>
      <w:r w:rsidR="005D513B">
        <w:rPr>
          <w:sz w:val="24"/>
          <w:szCs w:val="24"/>
        </w:rPr>
        <w:t xml:space="preserve"> deeper within</w:t>
      </w:r>
      <w:r w:rsidR="005979CD">
        <w:rPr>
          <w:sz w:val="24"/>
          <w:szCs w:val="24"/>
        </w:rPr>
        <w:t xml:space="preserve"> academic boundaries</w:t>
      </w:r>
      <w:r w:rsidR="005D513B">
        <w:rPr>
          <w:sz w:val="24"/>
          <w:szCs w:val="24"/>
        </w:rPr>
        <w:t>, at the site of knowledge production</w:t>
      </w:r>
      <w:r w:rsidR="005979CD">
        <w:rPr>
          <w:sz w:val="24"/>
          <w:szCs w:val="24"/>
        </w:rPr>
        <w:t>. This poses potentially greater challenges</w:t>
      </w:r>
      <w:r w:rsidR="004F2398">
        <w:rPr>
          <w:sz w:val="24"/>
          <w:szCs w:val="24"/>
        </w:rPr>
        <w:t xml:space="preserve"> and even a threat to</w:t>
      </w:r>
      <w:r w:rsidR="005979CD">
        <w:rPr>
          <w:sz w:val="24"/>
          <w:szCs w:val="24"/>
        </w:rPr>
        <w:t xml:space="preserve"> the reproduction of these boundaries</w:t>
      </w:r>
      <w:r w:rsidR="004F2398">
        <w:rPr>
          <w:sz w:val="24"/>
          <w:szCs w:val="24"/>
        </w:rPr>
        <w:t xml:space="preserve">. </w:t>
      </w:r>
      <w:r w:rsidR="005D513B">
        <w:rPr>
          <w:sz w:val="24"/>
          <w:szCs w:val="24"/>
        </w:rPr>
        <w:t xml:space="preserve">But, in my analysis, research in non-elite departments also tends, ultimately, more towards reproduction rather than weakening of </w:t>
      </w:r>
      <w:r w:rsidR="001D046E">
        <w:rPr>
          <w:sz w:val="24"/>
          <w:szCs w:val="24"/>
        </w:rPr>
        <w:t>academic boundaries</w:t>
      </w:r>
      <w:r w:rsidR="00A270A7">
        <w:rPr>
          <w:sz w:val="24"/>
          <w:szCs w:val="24"/>
        </w:rPr>
        <w:t>; the potential</w:t>
      </w:r>
      <w:r w:rsidR="00CF73EB">
        <w:rPr>
          <w:sz w:val="24"/>
          <w:szCs w:val="24"/>
        </w:rPr>
        <w:t xml:space="preserve"> challenges of </w:t>
      </w:r>
      <w:r w:rsidR="00A270A7">
        <w:rPr>
          <w:sz w:val="24"/>
          <w:szCs w:val="24"/>
        </w:rPr>
        <w:t>close collaboration with non-academic actors and users do not appear to outweigh the strongly academic scientific objectives and approaches evident in these departments.</w:t>
      </w:r>
      <w:r w:rsidR="004F2398">
        <w:rPr>
          <w:sz w:val="24"/>
          <w:szCs w:val="24"/>
        </w:rPr>
        <w:t xml:space="preserve"> </w:t>
      </w:r>
    </w:p>
    <w:p w14:paraId="4DA7AEEE" w14:textId="1121E8E3" w:rsidR="005979CD" w:rsidRDefault="00A270A7" w:rsidP="005979CD">
      <w:pPr>
        <w:spacing w:before="120" w:after="120" w:line="360" w:lineRule="auto"/>
        <w:rPr>
          <w:sz w:val="24"/>
          <w:szCs w:val="24"/>
        </w:rPr>
      </w:pPr>
      <w:r>
        <w:rPr>
          <w:sz w:val="24"/>
          <w:szCs w:val="24"/>
        </w:rPr>
        <w:t xml:space="preserve">Second, </w:t>
      </w:r>
      <w:r w:rsidR="005979CD">
        <w:rPr>
          <w:sz w:val="24"/>
          <w:szCs w:val="24"/>
        </w:rPr>
        <w:t>Branch of science also influences the experience and extent of academic boundary transactions. The key factor here is the kind of actors with whom academics interact and ‘transact’. Formal scientists typically face far fewer boundary challenges because they almost exclusively transact with actors who have PhDs and have maintained something of their academic identity, bringing academic skills and an academic mind-set into non-academic contexts, where they continue to stay in touch with, apply and occasionally collaborate on academic research. Life scientists</w:t>
      </w:r>
      <w:r w:rsidR="00743006">
        <w:rPr>
          <w:sz w:val="24"/>
          <w:szCs w:val="24"/>
        </w:rPr>
        <w:t xml:space="preserve"> in my sample faced more frequent and difficult boundary transaction challenges as they interacted with a broader range of actors, such as policymakers, regulators, the public, the media and commercial actors, most of whom do not have a shared academic background or a shared understanding of scientific issues, but rather have a stake in the interpretations and implications of science. Natural scientists were more mixed, with some instances more in line with Formal science and others more in line with Life. </w:t>
      </w:r>
    </w:p>
    <w:p w14:paraId="52D641C9" w14:textId="09041F5A" w:rsidR="00C23784" w:rsidRDefault="00BC3766" w:rsidP="005979CD">
      <w:pPr>
        <w:spacing w:before="120" w:after="120" w:line="360" w:lineRule="auto"/>
        <w:rPr>
          <w:sz w:val="24"/>
          <w:szCs w:val="24"/>
        </w:rPr>
      </w:pPr>
      <w:r>
        <w:rPr>
          <w:sz w:val="24"/>
          <w:szCs w:val="24"/>
        </w:rPr>
        <w:t>Lastly, I found</w:t>
      </w:r>
      <w:r w:rsidR="00E206D4">
        <w:rPr>
          <w:sz w:val="24"/>
          <w:szCs w:val="24"/>
        </w:rPr>
        <w:t xml:space="preserve"> that the orientation of the discipline was also a dimension along which academic boundaries and boundary transactions varied. </w:t>
      </w:r>
      <w:r w:rsidR="00672F73">
        <w:rPr>
          <w:sz w:val="24"/>
          <w:szCs w:val="24"/>
        </w:rPr>
        <w:t>The main factor here is how different disciplines are embedded in different systems of knowledge. Applied disciplines in my sample mainly corresponded to a ‘mode 2’ system of knowledge production which was focused on producing knowledge in the context of application, with a reduced role for academic disciplines. Basic/Applied disciplines represented the underpinning drive of</w:t>
      </w:r>
      <w:r w:rsidR="000D7B77">
        <w:rPr>
          <w:sz w:val="24"/>
          <w:szCs w:val="24"/>
        </w:rPr>
        <w:t xml:space="preserve"> the</w:t>
      </w:r>
      <w:r w:rsidR="00672F73">
        <w:rPr>
          <w:sz w:val="24"/>
          <w:szCs w:val="24"/>
        </w:rPr>
        <w:t xml:space="preserve"> academi</w:t>
      </w:r>
      <w:r w:rsidR="000D7B77">
        <w:rPr>
          <w:sz w:val="24"/>
          <w:szCs w:val="24"/>
        </w:rPr>
        <w:t>c knowledge system</w:t>
      </w:r>
      <w:r w:rsidR="00672F73">
        <w:rPr>
          <w:sz w:val="24"/>
          <w:szCs w:val="24"/>
        </w:rPr>
        <w:t xml:space="preserve"> to internalise all elements of the natural world into the academic domain by making them objects of theoretical and disciplinary knowledge. </w:t>
      </w:r>
      <w:r w:rsidR="007729E5">
        <w:rPr>
          <w:sz w:val="24"/>
          <w:szCs w:val="24"/>
        </w:rPr>
        <w:t>Finally, the</w:t>
      </w:r>
      <w:r w:rsidR="000D7B77">
        <w:rPr>
          <w:sz w:val="24"/>
          <w:szCs w:val="24"/>
        </w:rPr>
        <w:t xml:space="preserve"> research associated with Basic sciences were found to be synergistic with technoscientific systems which operates at the level of powerful political, commercial and military interests.</w:t>
      </w:r>
    </w:p>
    <w:p w14:paraId="0A4D346D" w14:textId="153F715F" w:rsidR="00AD6761" w:rsidRDefault="00615320" w:rsidP="00615320">
      <w:pPr>
        <w:spacing w:before="120" w:after="120" w:line="360" w:lineRule="auto"/>
        <w:rPr>
          <w:sz w:val="24"/>
          <w:szCs w:val="24"/>
          <w:lang w:eastAsia="zh-TW"/>
        </w:rPr>
      </w:pPr>
      <w:r>
        <w:rPr>
          <w:sz w:val="24"/>
          <w:szCs w:val="24"/>
          <w:lang w:eastAsia="zh-TW"/>
        </w:rPr>
        <w:t xml:space="preserve">In the following chapter, I will discuss these findings in relation to the </w:t>
      </w:r>
      <w:r w:rsidR="008A3015">
        <w:rPr>
          <w:sz w:val="24"/>
          <w:szCs w:val="24"/>
          <w:lang w:eastAsia="zh-TW"/>
        </w:rPr>
        <w:t>empirical and theoretical literature reviewed in Chapter 2.</w:t>
      </w:r>
      <w:r w:rsidR="002371CD">
        <w:rPr>
          <w:sz w:val="24"/>
          <w:szCs w:val="24"/>
          <w:lang w:eastAsia="zh-TW"/>
        </w:rPr>
        <w:t xml:space="preserve"> </w:t>
      </w:r>
      <w:r w:rsidR="00AD6761">
        <w:rPr>
          <w:sz w:val="24"/>
          <w:szCs w:val="24"/>
          <w:lang w:eastAsia="zh-TW"/>
        </w:rPr>
        <w:br w:type="page"/>
      </w:r>
    </w:p>
    <w:p w14:paraId="4E52C845" w14:textId="056C3924" w:rsidR="0020765A" w:rsidRDefault="0020765A" w:rsidP="00BD7026">
      <w:pPr>
        <w:pStyle w:val="Heading1"/>
        <w:spacing w:before="0"/>
      </w:pPr>
      <w:bookmarkStart w:id="212" w:name="_Toc536717957"/>
      <w:bookmarkStart w:id="213" w:name="_Toc31701990"/>
      <w:r>
        <w:t xml:space="preserve">Chapter </w:t>
      </w:r>
      <w:r w:rsidR="001B4926">
        <w:t>5</w:t>
      </w:r>
      <w:r>
        <w:t xml:space="preserve">. </w:t>
      </w:r>
      <w:bookmarkEnd w:id="212"/>
      <w:r w:rsidR="00BD7026">
        <w:t>Discussion</w:t>
      </w:r>
      <w:bookmarkEnd w:id="213"/>
    </w:p>
    <w:p w14:paraId="2CBEB3D2" w14:textId="43B59AAB" w:rsidR="00BD7026" w:rsidRDefault="00BD7026" w:rsidP="00F507EC">
      <w:pPr>
        <w:pStyle w:val="Heading2"/>
      </w:pPr>
      <w:bookmarkStart w:id="214" w:name="_Toc31701991"/>
      <w:r>
        <w:t>Introduction</w:t>
      </w:r>
      <w:bookmarkEnd w:id="214"/>
    </w:p>
    <w:p w14:paraId="180C26CE" w14:textId="01510EAA" w:rsidR="001C6402" w:rsidRDefault="001E2035" w:rsidP="00F507EC">
      <w:pPr>
        <w:spacing w:after="120" w:line="360" w:lineRule="auto"/>
        <w:rPr>
          <w:sz w:val="24"/>
          <w:szCs w:val="24"/>
        </w:rPr>
      </w:pPr>
      <w:r>
        <w:rPr>
          <w:sz w:val="24"/>
          <w:szCs w:val="24"/>
        </w:rPr>
        <w:t>My analysis has found</w:t>
      </w:r>
      <w:r w:rsidR="008520B1">
        <w:rPr>
          <w:sz w:val="24"/>
          <w:szCs w:val="24"/>
        </w:rPr>
        <w:t xml:space="preserve"> that, across all contextual dimensions studied (different institutional contexts, different branches of science,</w:t>
      </w:r>
      <w:r>
        <w:rPr>
          <w:sz w:val="24"/>
          <w:szCs w:val="24"/>
        </w:rPr>
        <w:t xml:space="preserve"> and</w:t>
      </w:r>
      <w:r w:rsidR="008520B1">
        <w:rPr>
          <w:sz w:val="24"/>
          <w:szCs w:val="24"/>
        </w:rPr>
        <w:t xml:space="preserve"> different </w:t>
      </w:r>
      <w:r>
        <w:rPr>
          <w:sz w:val="24"/>
          <w:szCs w:val="24"/>
        </w:rPr>
        <w:t>disciplinary orientations), research</w:t>
      </w:r>
      <w:r w:rsidR="008F1B94">
        <w:rPr>
          <w:sz w:val="24"/>
          <w:szCs w:val="24"/>
        </w:rPr>
        <w:t>-related academic boundary transactions seem to be tending more towards the reproduction of academic boundaries rather than their weakening</w:t>
      </w:r>
      <w:r w:rsidR="006126B2">
        <w:rPr>
          <w:sz w:val="24"/>
          <w:szCs w:val="24"/>
        </w:rPr>
        <w:t>.</w:t>
      </w:r>
      <w:r w:rsidR="00374C5B">
        <w:rPr>
          <w:sz w:val="24"/>
          <w:szCs w:val="24"/>
        </w:rPr>
        <w:t xml:space="preserve"> There was variation, however. The balance between transacting across boundaries whilst simultaneously maintaining boundaries was achieved differently in different contexts, and some contexts came closer</w:t>
      </w:r>
      <w:r w:rsidR="000D3CFB">
        <w:rPr>
          <w:sz w:val="24"/>
          <w:szCs w:val="24"/>
        </w:rPr>
        <w:t xml:space="preserve"> than others</w:t>
      </w:r>
      <w:r w:rsidR="00374C5B">
        <w:rPr>
          <w:sz w:val="24"/>
          <w:szCs w:val="24"/>
        </w:rPr>
        <w:t xml:space="preserve"> to this balance tipping</w:t>
      </w:r>
      <w:r w:rsidR="00280AA5">
        <w:rPr>
          <w:sz w:val="24"/>
          <w:szCs w:val="24"/>
        </w:rPr>
        <w:t xml:space="preserve"> </w:t>
      </w:r>
      <w:r w:rsidR="00374C5B">
        <w:rPr>
          <w:sz w:val="24"/>
          <w:szCs w:val="24"/>
        </w:rPr>
        <w:t xml:space="preserve">towards the weakening of boundaries. </w:t>
      </w:r>
      <w:r w:rsidR="00F507EC">
        <w:rPr>
          <w:sz w:val="24"/>
          <w:szCs w:val="24"/>
        </w:rPr>
        <w:t xml:space="preserve">This chapter will advance the above findings and analysis by focusing on the main explanatory themes that emerged. Rather than focus </w:t>
      </w:r>
      <w:r w:rsidR="0099206D">
        <w:rPr>
          <w:sz w:val="24"/>
          <w:szCs w:val="24"/>
        </w:rPr>
        <w:t>on explanations that I posited</w:t>
      </w:r>
      <w:r w:rsidR="00F507EC">
        <w:rPr>
          <w:sz w:val="24"/>
          <w:szCs w:val="24"/>
        </w:rPr>
        <w:t xml:space="preserve"> at the level of specific context dimension (departmental status, branch of science, and disciplinary orientation) as I did in the above chapter, I will </w:t>
      </w:r>
      <w:r w:rsidR="0099206D">
        <w:rPr>
          <w:sz w:val="24"/>
          <w:szCs w:val="24"/>
        </w:rPr>
        <w:t>highlight those explanatory themes which have relevance across different contexts</w:t>
      </w:r>
      <w:r w:rsidR="00A97BD2">
        <w:rPr>
          <w:sz w:val="24"/>
          <w:szCs w:val="24"/>
        </w:rPr>
        <w:t>.</w:t>
      </w:r>
      <w:r w:rsidR="001C6402">
        <w:rPr>
          <w:sz w:val="24"/>
          <w:szCs w:val="24"/>
        </w:rPr>
        <w:t xml:space="preserve"> In particular, an</w:t>
      </w:r>
      <w:r w:rsidR="0050331A">
        <w:rPr>
          <w:sz w:val="24"/>
          <w:szCs w:val="24"/>
        </w:rPr>
        <w:t>d</w:t>
      </w:r>
      <w:r w:rsidR="001C6402">
        <w:rPr>
          <w:sz w:val="24"/>
          <w:szCs w:val="24"/>
        </w:rPr>
        <w:t xml:space="preserve"> informed by my </w:t>
      </w:r>
      <w:r w:rsidR="0037247F">
        <w:rPr>
          <w:sz w:val="24"/>
          <w:szCs w:val="24"/>
        </w:rPr>
        <w:t>‘</w:t>
      </w:r>
      <w:r w:rsidR="001C6402">
        <w:rPr>
          <w:sz w:val="24"/>
          <w:szCs w:val="24"/>
        </w:rPr>
        <w:t>critical realist</w:t>
      </w:r>
      <w:r w:rsidR="0037247F">
        <w:rPr>
          <w:sz w:val="24"/>
          <w:szCs w:val="24"/>
        </w:rPr>
        <w:t>’</w:t>
      </w:r>
      <w:r w:rsidR="001C6402">
        <w:rPr>
          <w:sz w:val="24"/>
          <w:szCs w:val="24"/>
        </w:rPr>
        <w:t xml:space="preserve"> philosophical approach to social science (see the ‘Methodology’, Chapter 3), I </w:t>
      </w:r>
      <w:r w:rsidR="002A6821">
        <w:rPr>
          <w:sz w:val="24"/>
          <w:szCs w:val="24"/>
        </w:rPr>
        <w:t>will</w:t>
      </w:r>
      <w:r w:rsidR="001C6402">
        <w:rPr>
          <w:sz w:val="24"/>
          <w:szCs w:val="24"/>
        </w:rPr>
        <w:t xml:space="preserve"> draw out those explanatory themes which constitute underpinning structures and mechanisms whose existence and processes transcend the empirical objects I have studied.</w:t>
      </w:r>
      <w:r w:rsidR="00765060">
        <w:rPr>
          <w:sz w:val="24"/>
          <w:szCs w:val="24"/>
        </w:rPr>
        <w:t xml:space="preserve"> These explanatory themes, I argue, help to explain (i) the overall finding that research-related boundary transactions tend towards </w:t>
      </w:r>
      <w:r w:rsidR="00D56335">
        <w:rPr>
          <w:sz w:val="24"/>
          <w:szCs w:val="24"/>
        </w:rPr>
        <w:t>the reproduction of boundaries, and (ii) observed differences in</w:t>
      </w:r>
      <w:r w:rsidR="00E10F5D">
        <w:rPr>
          <w:sz w:val="24"/>
          <w:szCs w:val="24"/>
        </w:rPr>
        <w:t xml:space="preserve"> </w:t>
      </w:r>
      <w:r w:rsidR="009067A3">
        <w:rPr>
          <w:sz w:val="24"/>
          <w:szCs w:val="24"/>
        </w:rPr>
        <w:t xml:space="preserve">the various contexts of </w:t>
      </w:r>
      <w:r w:rsidR="00E10F5D">
        <w:rPr>
          <w:sz w:val="24"/>
          <w:szCs w:val="24"/>
        </w:rPr>
        <w:t xml:space="preserve">academic research </w:t>
      </w:r>
      <w:r w:rsidR="009067A3">
        <w:rPr>
          <w:sz w:val="24"/>
          <w:szCs w:val="24"/>
        </w:rPr>
        <w:t>studied</w:t>
      </w:r>
      <w:r w:rsidR="00E10F5D">
        <w:rPr>
          <w:sz w:val="24"/>
          <w:szCs w:val="24"/>
        </w:rPr>
        <w:t xml:space="preserve">. The four main </w:t>
      </w:r>
      <w:r w:rsidR="00493CC5">
        <w:rPr>
          <w:sz w:val="24"/>
          <w:szCs w:val="24"/>
        </w:rPr>
        <w:t>explanatory themes</w:t>
      </w:r>
      <w:r w:rsidR="00E10F5D">
        <w:rPr>
          <w:sz w:val="24"/>
          <w:szCs w:val="24"/>
        </w:rPr>
        <w:t xml:space="preserve"> are </w:t>
      </w:r>
      <w:r w:rsidR="00AA09BE">
        <w:rPr>
          <w:sz w:val="24"/>
          <w:szCs w:val="24"/>
        </w:rPr>
        <w:t xml:space="preserve">‘educational function’, ‘academic trajectory’, ‘academic identity’ and ‘power and control over </w:t>
      </w:r>
      <w:r w:rsidR="00AC55A7">
        <w:rPr>
          <w:sz w:val="24"/>
          <w:szCs w:val="24"/>
        </w:rPr>
        <w:t>(academic) science’</w:t>
      </w:r>
      <w:r w:rsidR="00493CC5">
        <w:rPr>
          <w:sz w:val="24"/>
          <w:szCs w:val="24"/>
        </w:rPr>
        <w:t>.</w:t>
      </w:r>
    </w:p>
    <w:p w14:paraId="7E5868B8" w14:textId="3DBC793D" w:rsidR="00F507EC" w:rsidRDefault="006571B3" w:rsidP="00F507EC">
      <w:pPr>
        <w:spacing w:after="120" w:line="360" w:lineRule="auto"/>
        <w:rPr>
          <w:sz w:val="24"/>
          <w:szCs w:val="24"/>
        </w:rPr>
      </w:pPr>
      <w:r>
        <w:rPr>
          <w:sz w:val="24"/>
          <w:szCs w:val="24"/>
        </w:rPr>
        <w:t>The</w:t>
      </w:r>
      <w:r w:rsidR="001C6402">
        <w:rPr>
          <w:sz w:val="24"/>
          <w:szCs w:val="24"/>
        </w:rPr>
        <w:t xml:space="preserve"> first </w:t>
      </w:r>
      <w:r w:rsidR="00A97BD2">
        <w:rPr>
          <w:sz w:val="24"/>
          <w:szCs w:val="24"/>
        </w:rPr>
        <w:t>theme</w:t>
      </w:r>
      <w:r w:rsidR="001C6402">
        <w:rPr>
          <w:sz w:val="24"/>
          <w:szCs w:val="24"/>
        </w:rPr>
        <w:t xml:space="preserve"> is th</w:t>
      </w:r>
      <w:r w:rsidR="00241410">
        <w:rPr>
          <w:sz w:val="24"/>
          <w:szCs w:val="24"/>
        </w:rPr>
        <w:t xml:space="preserve">e </w:t>
      </w:r>
      <w:r w:rsidR="00A97BD2">
        <w:rPr>
          <w:sz w:val="24"/>
          <w:szCs w:val="24"/>
        </w:rPr>
        <w:t>‘</w:t>
      </w:r>
      <w:r w:rsidR="00241410">
        <w:rPr>
          <w:sz w:val="24"/>
          <w:szCs w:val="24"/>
        </w:rPr>
        <w:t>educational function’</w:t>
      </w:r>
      <w:r w:rsidR="00FA1785">
        <w:rPr>
          <w:sz w:val="24"/>
          <w:szCs w:val="24"/>
        </w:rPr>
        <w:t xml:space="preserve"> of universities</w:t>
      </w:r>
      <w:r w:rsidR="00A97BD2">
        <w:rPr>
          <w:sz w:val="24"/>
          <w:szCs w:val="24"/>
        </w:rPr>
        <w:t xml:space="preserve">. </w:t>
      </w:r>
      <w:r w:rsidR="00005DBE">
        <w:rPr>
          <w:sz w:val="24"/>
          <w:szCs w:val="24"/>
        </w:rPr>
        <w:t>T</w:t>
      </w:r>
      <w:r w:rsidR="00163A9B">
        <w:rPr>
          <w:sz w:val="24"/>
          <w:szCs w:val="24"/>
        </w:rPr>
        <w:t xml:space="preserve">he flow-through of students is an essential fact of higher education which transcends </w:t>
      </w:r>
      <w:r w:rsidR="00323B9A">
        <w:rPr>
          <w:sz w:val="24"/>
          <w:szCs w:val="24"/>
        </w:rPr>
        <w:t xml:space="preserve">the specific instances of student mobility and ‘boundary-spanning’ which were relevant to my sampled bodies of research (BoRs). </w:t>
      </w:r>
      <w:r w:rsidR="004073FF">
        <w:rPr>
          <w:sz w:val="24"/>
          <w:szCs w:val="24"/>
        </w:rPr>
        <w:t>The argument then is that this underpinning fact of higher education is an important factor in shaping the long-term transformation of the relationship between the research function of universities and the use of academic research in non-academic contexts, as increasing number</w:t>
      </w:r>
      <w:r w:rsidR="003A2D0F">
        <w:rPr>
          <w:sz w:val="24"/>
          <w:szCs w:val="24"/>
        </w:rPr>
        <w:t>s</w:t>
      </w:r>
      <w:r w:rsidR="004073FF">
        <w:rPr>
          <w:sz w:val="24"/>
          <w:szCs w:val="24"/>
        </w:rPr>
        <w:t xml:space="preserve"> of academically trained graduates </w:t>
      </w:r>
      <w:r w:rsidR="00023BB3">
        <w:rPr>
          <w:sz w:val="24"/>
          <w:szCs w:val="24"/>
        </w:rPr>
        <w:t>populate these non-academic contexts from which they demand and apply academic knowledge. The teaching/training function of universities also had other impacts on the observed research and boundary transactions which I shall note.</w:t>
      </w:r>
    </w:p>
    <w:p w14:paraId="71FD339E" w14:textId="5F083B9F" w:rsidR="00231E2A" w:rsidRDefault="00231E2A" w:rsidP="00231E2A">
      <w:pPr>
        <w:spacing w:after="120" w:line="360" w:lineRule="auto"/>
        <w:rPr>
          <w:sz w:val="24"/>
          <w:szCs w:val="24"/>
        </w:rPr>
      </w:pPr>
      <w:r>
        <w:rPr>
          <w:sz w:val="24"/>
          <w:szCs w:val="24"/>
        </w:rPr>
        <w:t>I refer to the second explanatory theme as ‘academic trajectory’. This explanatory theme rests on the combination of two distinct but interrelated aspects. The first is the ‘academic trajectory’, the university’s key “</w:t>
      </w:r>
      <w:r>
        <w:rPr>
          <w:i/>
          <w:sz w:val="24"/>
          <w:szCs w:val="24"/>
        </w:rPr>
        <w:t>internal</w:t>
      </w:r>
      <w:r>
        <w:rPr>
          <w:sz w:val="24"/>
          <w:szCs w:val="24"/>
        </w:rPr>
        <w:t xml:space="preserve"> phenomenon”, which is the university’s striving to comprise “the totality of the branches of human learning” (Durkheim, 2013, p. 93, original emphasis), leading to the proliferation of new specialisms which co-evolve with organisational structures, predominantly in the form of departments or research units associated with (inter)disciplinary and sub-disciplinary fields (B. R. Clark, 1983</w:t>
      </w:r>
      <w:r w:rsidR="005B3D07">
        <w:rPr>
          <w:sz w:val="24"/>
          <w:szCs w:val="24"/>
        </w:rPr>
        <w:t>;</w:t>
      </w:r>
      <w:r>
        <w:rPr>
          <w:sz w:val="24"/>
          <w:szCs w:val="24"/>
        </w:rPr>
        <w:t xml:space="preserve"> Gumport &amp; Snydman, 2002). The second aspect is the </w:t>
      </w:r>
      <w:r w:rsidR="00620712">
        <w:rPr>
          <w:sz w:val="24"/>
          <w:szCs w:val="24"/>
        </w:rPr>
        <w:t>unavoidability of engaging in boundary transactions,</w:t>
      </w:r>
      <w:r>
        <w:rPr>
          <w:sz w:val="24"/>
          <w:szCs w:val="24"/>
        </w:rPr>
        <w:t xml:space="preserve"> as discussed in the Literature Review (Chapter </w:t>
      </w:r>
      <w:r w:rsidR="00620712">
        <w:rPr>
          <w:sz w:val="24"/>
          <w:szCs w:val="24"/>
        </w:rPr>
        <w:t>2</w:t>
      </w:r>
      <w:r>
        <w:rPr>
          <w:sz w:val="24"/>
          <w:szCs w:val="24"/>
        </w:rPr>
        <w:t xml:space="preserve">). </w:t>
      </w:r>
      <w:r w:rsidR="0069783D">
        <w:rPr>
          <w:sz w:val="24"/>
          <w:szCs w:val="24"/>
        </w:rPr>
        <w:t>I will review this in the relevant section below.</w:t>
      </w:r>
    </w:p>
    <w:p w14:paraId="3E380587" w14:textId="411D05AC" w:rsidR="00BE2BE6" w:rsidRDefault="00231E2A" w:rsidP="00BE2BE6">
      <w:pPr>
        <w:spacing w:after="120" w:line="360" w:lineRule="auto"/>
        <w:rPr>
          <w:sz w:val="24"/>
          <w:szCs w:val="24"/>
        </w:rPr>
      </w:pPr>
      <w:r>
        <w:rPr>
          <w:sz w:val="24"/>
          <w:szCs w:val="24"/>
        </w:rPr>
        <w:t xml:space="preserve">The third theme </w:t>
      </w:r>
      <w:r w:rsidR="00BE2BE6">
        <w:rPr>
          <w:sz w:val="24"/>
          <w:szCs w:val="24"/>
        </w:rPr>
        <w:t>is that of ‘academic identity’. A common theme among several of the academics interviewed was how academic identity – however this was defined – was a resource for overcoming perceived challenges to objectives related to advancing scientific understanding, transacting across academic boundaries, and achieving non-academic ‘impact’. The particular conceptualisation of academic identity which has explanatory and transcendental characteristics is one which must link three distinct categories: the individual academic; the internal dynamic of the university as an institution; and the perception of external actors who see the academic identity as a carrier of credibility and authority (i.e. scientific capital)</w:t>
      </w:r>
      <w:r w:rsidR="00BE2BE6">
        <w:rPr>
          <w:rStyle w:val="FootnoteReference"/>
          <w:sz w:val="24"/>
          <w:szCs w:val="24"/>
        </w:rPr>
        <w:footnoteReference w:id="25"/>
      </w:r>
      <w:r w:rsidR="00BE2BE6">
        <w:rPr>
          <w:sz w:val="24"/>
          <w:szCs w:val="24"/>
        </w:rPr>
        <w:t>.</w:t>
      </w:r>
    </w:p>
    <w:p w14:paraId="3DF4EA26" w14:textId="4C3FC9D4" w:rsidR="003864F1" w:rsidRDefault="003864F1" w:rsidP="00F507EC">
      <w:pPr>
        <w:spacing w:after="120" w:line="360" w:lineRule="auto"/>
        <w:rPr>
          <w:sz w:val="24"/>
          <w:szCs w:val="24"/>
        </w:rPr>
      </w:pPr>
      <w:r>
        <w:rPr>
          <w:sz w:val="24"/>
          <w:szCs w:val="24"/>
        </w:rPr>
        <w:t xml:space="preserve">The final explanatory theme recalls my </w:t>
      </w:r>
      <w:r w:rsidR="00537B15">
        <w:rPr>
          <w:sz w:val="24"/>
          <w:szCs w:val="24"/>
        </w:rPr>
        <w:t>overarching interest in the ‘power and contro</w:t>
      </w:r>
      <w:r w:rsidR="00D02F6E">
        <w:rPr>
          <w:sz w:val="24"/>
          <w:szCs w:val="24"/>
        </w:rPr>
        <w:t xml:space="preserve">l’, here using my earlier analysis to take a broader perspective of forces of power and control over science more generally, albeit with </w:t>
      </w:r>
      <w:r w:rsidR="00537B15">
        <w:rPr>
          <w:sz w:val="24"/>
          <w:szCs w:val="24"/>
        </w:rPr>
        <w:t>a focus on</w:t>
      </w:r>
      <w:r w:rsidR="00D02F6E">
        <w:rPr>
          <w:sz w:val="24"/>
          <w:szCs w:val="24"/>
        </w:rPr>
        <w:t xml:space="preserve"> implications for academic research and</w:t>
      </w:r>
      <w:r w:rsidR="00537B15">
        <w:rPr>
          <w:sz w:val="24"/>
          <w:szCs w:val="24"/>
        </w:rPr>
        <w:t xml:space="preserve"> boundaries. </w:t>
      </w:r>
      <w:r w:rsidR="006278AD">
        <w:rPr>
          <w:sz w:val="24"/>
          <w:szCs w:val="24"/>
        </w:rPr>
        <w:t>This emphasis</w:t>
      </w:r>
      <w:r w:rsidR="00034018">
        <w:rPr>
          <w:sz w:val="24"/>
          <w:szCs w:val="24"/>
        </w:rPr>
        <w:t>es</w:t>
      </w:r>
      <w:r w:rsidR="006278AD">
        <w:rPr>
          <w:sz w:val="24"/>
          <w:szCs w:val="24"/>
        </w:rPr>
        <w:t xml:space="preserve"> </w:t>
      </w:r>
      <w:r w:rsidR="0069217C">
        <w:rPr>
          <w:sz w:val="24"/>
          <w:szCs w:val="24"/>
        </w:rPr>
        <w:t xml:space="preserve">the interacting powers which act upon </w:t>
      </w:r>
      <w:r w:rsidR="00EC17E0">
        <w:rPr>
          <w:sz w:val="24"/>
          <w:szCs w:val="24"/>
        </w:rPr>
        <w:t>academia</w:t>
      </w:r>
      <w:r w:rsidR="005B5E12">
        <w:rPr>
          <w:sz w:val="24"/>
          <w:szCs w:val="24"/>
        </w:rPr>
        <w:t>’s boundary transaction</w:t>
      </w:r>
      <w:r w:rsidR="00D023BE">
        <w:rPr>
          <w:sz w:val="24"/>
          <w:szCs w:val="24"/>
        </w:rPr>
        <w:t>s</w:t>
      </w:r>
      <w:r w:rsidR="0069217C">
        <w:rPr>
          <w:sz w:val="24"/>
          <w:szCs w:val="24"/>
        </w:rPr>
        <w:t xml:space="preserve"> from both within and without. </w:t>
      </w:r>
      <w:r w:rsidR="002C0936">
        <w:rPr>
          <w:sz w:val="24"/>
          <w:szCs w:val="24"/>
        </w:rPr>
        <w:t>Through its broader perspective, this theme</w:t>
      </w:r>
      <w:r w:rsidR="006176BA">
        <w:rPr>
          <w:sz w:val="24"/>
          <w:szCs w:val="24"/>
        </w:rPr>
        <w:t xml:space="preserve"> acts partly to </w:t>
      </w:r>
      <w:r w:rsidR="00D2722F">
        <w:rPr>
          <w:sz w:val="24"/>
          <w:szCs w:val="24"/>
        </w:rPr>
        <w:t>draw together</w:t>
      </w:r>
      <w:r w:rsidR="006176BA">
        <w:rPr>
          <w:sz w:val="24"/>
          <w:szCs w:val="24"/>
        </w:rPr>
        <w:t xml:space="preserve"> key points from other themes. </w:t>
      </w:r>
    </w:p>
    <w:p w14:paraId="0C45D78F" w14:textId="4FA662A1" w:rsidR="00BD7026" w:rsidRDefault="00EC2AEA" w:rsidP="00BD7026">
      <w:pPr>
        <w:pStyle w:val="Heading2"/>
      </w:pPr>
      <w:bookmarkStart w:id="215" w:name="_Toc31701992"/>
      <w:r>
        <w:t>Explanatory</w:t>
      </w:r>
      <w:r w:rsidR="00C14581">
        <w:t xml:space="preserve"> </w:t>
      </w:r>
      <w:r w:rsidR="00BD7026">
        <w:t>themes</w:t>
      </w:r>
      <w:bookmarkEnd w:id="215"/>
      <w:r w:rsidR="00BD7026">
        <w:t xml:space="preserve"> </w:t>
      </w:r>
    </w:p>
    <w:p w14:paraId="3898BC69" w14:textId="0ED78B17" w:rsidR="00BD7026" w:rsidRDefault="00CD3302" w:rsidP="003C079A">
      <w:pPr>
        <w:pStyle w:val="Heading3"/>
      </w:pPr>
      <w:bookmarkStart w:id="216" w:name="_Toc31701993"/>
      <w:r>
        <w:t>Educational</w:t>
      </w:r>
      <w:r w:rsidR="001C27F7">
        <w:t xml:space="preserve"> function</w:t>
      </w:r>
      <w:bookmarkEnd w:id="216"/>
    </w:p>
    <w:p w14:paraId="39E93E4A" w14:textId="0C53491A" w:rsidR="00A52D52" w:rsidRDefault="002F6D8E" w:rsidP="0046206B">
      <w:pPr>
        <w:pStyle w:val="Heading4"/>
      </w:pPr>
      <w:r>
        <w:t>Flow-through of (doctoral) graduates</w:t>
      </w:r>
    </w:p>
    <w:p w14:paraId="37E2EAC7" w14:textId="2533AF9F" w:rsidR="007C4134" w:rsidRDefault="0064254F" w:rsidP="00AD4F00">
      <w:pPr>
        <w:spacing w:after="120" w:line="360" w:lineRule="auto"/>
        <w:rPr>
          <w:sz w:val="24"/>
          <w:szCs w:val="24"/>
        </w:rPr>
      </w:pPr>
      <w:r>
        <w:rPr>
          <w:sz w:val="24"/>
          <w:szCs w:val="24"/>
        </w:rPr>
        <w:t xml:space="preserve">In the Analysis (Chapter </w:t>
      </w:r>
      <w:r w:rsidR="00984890">
        <w:rPr>
          <w:sz w:val="24"/>
          <w:szCs w:val="24"/>
        </w:rPr>
        <w:t>4</w:t>
      </w:r>
      <w:r>
        <w:rPr>
          <w:sz w:val="24"/>
          <w:szCs w:val="24"/>
        </w:rPr>
        <w:t>),</w:t>
      </w:r>
      <w:r w:rsidR="00D82E19">
        <w:rPr>
          <w:sz w:val="24"/>
          <w:szCs w:val="24"/>
        </w:rPr>
        <w:t xml:space="preserve"> the</w:t>
      </w:r>
      <w:r w:rsidR="00873292">
        <w:rPr>
          <w:sz w:val="24"/>
          <w:szCs w:val="24"/>
        </w:rPr>
        <w:t xml:space="preserve"> </w:t>
      </w:r>
      <w:r w:rsidR="00B8437E">
        <w:rPr>
          <w:sz w:val="24"/>
          <w:szCs w:val="24"/>
        </w:rPr>
        <w:t xml:space="preserve">importance of the </w:t>
      </w:r>
      <w:r w:rsidR="00103CC2">
        <w:rPr>
          <w:sz w:val="24"/>
          <w:szCs w:val="24"/>
        </w:rPr>
        <w:t>educational function</w:t>
      </w:r>
      <w:r w:rsidR="00D82E19">
        <w:rPr>
          <w:sz w:val="24"/>
          <w:szCs w:val="24"/>
        </w:rPr>
        <w:t xml:space="preserve"> emerged most</w:t>
      </w:r>
      <w:r w:rsidR="00CA6A45">
        <w:rPr>
          <w:sz w:val="24"/>
          <w:szCs w:val="24"/>
        </w:rPr>
        <w:t xml:space="preserve">ly </w:t>
      </w:r>
      <w:r w:rsidR="00434CA9">
        <w:rPr>
          <w:sz w:val="24"/>
          <w:szCs w:val="24"/>
        </w:rPr>
        <w:t>through the finding that</w:t>
      </w:r>
      <w:r w:rsidR="00D82E19">
        <w:rPr>
          <w:sz w:val="24"/>
          <w:szCs w:val="24"/>
        </w:rPr>
        <w:t xml:space="preserve"> </w:t>
      </w:r>
      <w:r w:rsidR="00CA6A45">
        <w:rPr>
          <w:sz w:val="24"/>
          <w:szCs w:val="24"/>
        </w:rPr>
        <w:t>doctoral graduates</w:t>
      </w:r>
      <w:r w:rsidR="00E72021">
        <w:rPr>
          <w:sz w:val="24"/>
          <w:szCs w:val="24"/>
        </w:rPr>
        <w:t xml:space="preserve"> who move into non-academic, knowledge-intensive workplaces contribute to eased boundary transactions from the university’s perspective.</w:t>
      </w:r>
      <w:r w:rsidR="00373249">
        <w:rPr>
          <w:sz w:val="24"/>
          <w:szCs w:val="24"/>
        </w:rPr>
        <w:t xml:space="preserve"> </w:t>
      </w:r>
      <w:r w:rsidR="000B26A2">
        <w:rPr>
          <w:sz w:val="24"/>
          <w:szCs w:val="24"/>
        </w:rPr>
        <w:t>Universities’ educational function, whereby UK universities</w:t>
      </w:r>
      <w:r w:rsidR="00373249">
        <w:rPr>
          <w:sz w:val="24"/>
          <w:szCs w:val="24"/>
        </w:rPr>
        <w:t xml:space="preserve"> produce significant numbers of doctoral graduates, the majority of whom </w:t>
      </w:r>
      <w:r w:rsidR="00D63565">
        <w:rPr>
          <w:sz w:val="24"/>
          <w:szCs w:val="24"/>
        </w:rPr>
        <w:t>leave academia to work in industry or public sector knowledge-intensive contexts</w:t>
      </w:r>
      <w:r w:rsidR="00581EAE">
        <w:rPr>
          <w:sz w:val="24"/>
          <w:szCs w:val="24"/>
        </w:rPr>
        <w:t xml:space="preserve"> </w:t>
      </w:r>
      <w:r w:rsidR="00581EAE" w:rsidRPr="00920426">
        <w:rPr>
          <w:color w:val="000000"/>
          <w:sz w:val="24"/>
          <w:szCs w:val="24"/>
        </w:rPr>
        <w:fldChar w:fldCharType="begin"/>
      </w:r>
      <w:r w:rsidR="00581EAE" w:rsidRPr="00920426">
        <w:rPr>
          <w:color w:val="000000"/>
          <w:sz w:val="24"/>
          <w:szCs w:val="24"/>
        </w:rPr>
        <w:instrText xml:space="preserve"> ADDIN EN.CITE &lt;EndNote&gt;&lt;Cite&gt;&lt;Author&gt;Royal Society&lt;/Author&gt;&lt;Year&gt;2010&lt;/Year&gt;&lt;IDText&gt;The Scientific Century: securing our future prosperity&lt;/IDText&gt;&lt;DisplayText&gt;(Royal Society, 2010)&lt;/DisplayText&gt;&lt;record&gt;&lt;urls&gt;&lt;related-urls&gt;&lt;url&gt;https://royalsociety.org/~/media/Royal_Society_Content/policy/publications/2010/4294970126.pdf&lt;/url&gt;&lt;/related-urls&gt;&lt;/urls&gt;&lt;isbn&gt;9780854038183&lt;/isbn&gt;&lt;titles&gt;&lt;title&gt;The Scientific Century: securing our future prosperity&lt;/title&gt;&lt;/titles&gt;&lt;urls&gt;&lt;pdf-urls&gt;&lt;url&gt;file:///C:/Users/eliel_000/Documents/Academic/PhD/VP/reports/Royal Society (2010).pdf&lt;/url&gt;&lt;/pdf-urls&gt;&lt;/urls&gt;&lt;contributors&gt;&lt;authors&gt;&lt;author&gt;Royal Society,&lt;/author&gt;&lt;/authors&gt;&lt;/contributors&gt;&lt;added-date format="utc"&gt;1452722424&lt;/added-date&gt;&lt;ref-type name="Report"&gt;27&lt;/ref-type&gt;&lt;dates&gt;&lt;year&gt;2010&lt;/year&gt;&lt;/dates&gt;&lt;rec-number&gt;131&lt;/rec-number&gt;&lt;publisher&gt;Royal Society&lt;/publisher&gt;&lt;last-updated-date format="utc"&gt;1484627367&lt;/last-updated-date&gt;&lt;/record&gt;&lt;/Cite&gt;&lt;/EndNote&gt;</w:instrText>
      </w:r>
      <w:r w:rsidR="00581EAE" w:rsidRPr="00920426">
        <w:rPr>
          <w:color w:val="000000"/>
          <w:sz w:val="24"/>
          <w:szCs w:val="24"/>
        </w:rPr>
        <w:fldChar w:fldCharType="separate"/>
      </w:r>
      <w:r w:rsidR="00581EAE" w:rsidRPr="00920426">
        <w:rPr>
          <w:noProof/>
          <w:color w:val="000000"/>
          <w:sz w:val="24"/>
          <w:szCs w:val="24"/>
        </w:rPr>
        <w:t>(Royal Society, 2010)</w:t>
      </w:r>
      <w:r w:rsidR="00581EAE" w:rsidRPr="00920426">
        <w:rPr>
          <w:color w:val="000000"/>
          <w:sz w:val="24"/>
          <w:szCs w:val="24"/>
        </w:rPr>
        <w:fldChar w:fldCharType="end"/>
      </w:r>
      <w:r w:rsidR="00E670A8">
        <w:rPr>
          <w:sz w:val="24"/>
          <w:szCs w:val="24"/>
        </w:rPr>
        <w:t xml:space="preserve">, </w:t>
      </w:r>
      <w:r w:rsidR="007C4134">
        <w:rPr>
          <w:sz w:val="24"/>
          <w:szCs w:val="24"/>
        </w:rPr>
        <w:t>is</w:t>
      </w:r>
      <w:r w:rsidR="000B26A2">
        <w:rPr>
          <w:sz w:val="24"/>
          <w:szCs w:val="24"/>
        </w:rPr>
        <w:t xml:space="preserve"> a key underpinning reality with significant implications for academic boundary transactions.</w:t>
      </w:r>
      <w:r w:rsidR="00A8167E">
        <w:rPr>
          <w:sz w:val="24"/>
          <w:szCs w:val="24"/>
        </w:rPr>
        <w:t xml:space="preserve"> </w:t>
      </w:r>
    </w:p>
    <w:p w14:paraId="3FAB3FEA" w14:textId="7558A7CA" w:rsidR="002652FF" w:rsidRDefault="007C4134" w:rsidP="002652FF">
      <w:pPr>
        <w:spacing w:after="120" w:line="360" w:lineRule="auto"/>
        <w:rPr>
          <w:sz w:val="24"/>
          <w:szCs w:val="24"/>
        </w:rPr>
      </w:pPr>
      <w:r>
        <w:rPr>
          <w:sz w:val="24"/>
          <w:szCs w:val="24"/>
        </w:rPr>
        <w:t>Although now in non-academic contexts, these graduates bring with them their significant academic knowledge, skills and “socialisation” into “esoteric”</w:t>
      </w:r>
      <w:r>
        <w:t xml:space="preserve"> </w:t>
      </w:r>
      <w:r>
        <w:rPr>
          <w:sz w:val="24"/>
          <w:szCs w:val="24"/>
        </w:rPr>
        <w:fldChar w:fldCharType="begin"/>
      </w:r>
      <w:r>
        <w:rPr>
          <w:sz w:val="24"/>
          <w:szCs w:val="24"/>
        </w:rPr>
        <w:instrText xml:space="preserve"> ADDIN EN.CITE &lt;EndNote&gt;&lt;Cite&gt;&lt;Author&gt;Bernstein&lt;/Author&gt;&lt;Year&gt;2000&lt;/Year&gt;&lt;IDText&gt;Pedagogy, symbolic control, and identity: Theory, research, critique&lt;/IDText&gt;&lt;Pages&gt;11`, 29&lt;/Pages&gt;&lt;DisplayText&gt;(Bernstein, 2000, pp. 11, 29)&lt;/DisplayText&gt;&lt;record&gt;&lt;isbn&gt;084769576X&lt;/isbn&gt;&lt;titles&gt;&lt;title&gt;Pedagogy,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format="utc"&gt;1452725855&lt;/added-date&gt;&lt;pub-location&gt;Oxford&lt;/pub-location&gt;&lt;ref-type name="Book"&gt;6&lt;/ref-type&gt;&lt;dates&gt;&lt;year&gt;2000&lt;/year&gt;&lt;/dates&gt;&lt;rec-number&gt;185&lt;/rec-number&gt;&lt;publisher&gt;Rowman &amp;amp; Littlefield&lt;/publisher&gt;&lt;last-updated-date format="utc"&gt;1477781208&lt;/last-updated-date&gt;&lt;/record&gt;&lt;/Cite&gt;&lt;/EndNote&gt;</w:instrText>
      </w:r>
      <w:r>
        <w:rPr>
          <w:sz w:val="24"/>
          <w:szCs w:val="24"/>
        </w:rPr>
        <w:fldChar w:fldCharType="separate"/>
      </w:r>
      <w:r>
        <w:rPr>
          <w:noProof/>
          <w:sz w:val="24"/>
          <w:szCs w:val="24"/>
        </w:rPr>
        <w:t>(Bernstein, 2000, pp. 11, 29)</w:t>
      </w:r>
      <w:r>
        <w:rPr>
          <w:sz w:val="24"/>
          <w:szCs w:val="24"/>
        </w:rPr>
        <w:fldChar w:fldCharType="end"/>
      </w:r>
      <w:r>
        <w:rPr>
          <w:sz w:val="24"/>
          <w:szCs w:val="24"/>
        </w:rPr>
        <w:t xml:space="preserve"> knowledge domains</w:t>
      </w:r>
      <w:r w:rsidR="00DC4935">
        <w:rPr>
          <w:sz w:val="24"/>
          <w:szCs w:val="24"/>
        </w:rPr>
        <w:t xml:space="preserve"> with which they have </w:t>
      </w:r>
      <w:r w:rsidR="0029293A">
        <w:rPr>
          <w:sz w:val="24"/>
          <w:szCs w:val="24"/>
        </w:rPr>
        <w:t xml:space="preserve">the capacity and incentive to demand, </w:t>
      </w:r>
      <w:r w:rsidR="00AD4F00">
        <w:rPr>
          <w:sz w:val="24"/>
          <w:szCs w:val="24"/>
        </w:rPr>
        <w:t>“</w:t>
      </w:r>
      <w:r w:rsidR="0029293A">
        <w:rPr>
          <w:sz w:val="24"/>
          <w:szCs w:val="24"/>
        </w:rPr>
        <w:t>absorb</w:t>
      </w:r>
      <w:r w:rsidR="00AD4F00">
        <w:rPr>
          <w:sz w:val="24"/>
          <w:szCs w:val="24"/>
        </w:rPr>
        <w:t>”</w:t>
      </w:r>
      <w:r w:rsidR="0029293A">
        <w:rPr>
          <w:sz w:val="24"/>
          <w:szCs w:val="24"/>
        </w:rPr>
        <w:t>, apply and occasionally even collaborate on new academic science</w:t>
      </w:r>
      <w:r w:rsidR="00AD4F00">
        <w:rPr>
          <w:sz w:val="24"/>
          <w:szCs w:val="24"/>
        </w:rPr>
        <w:t xml:space="preserve"> </w:t>
      </w:r>
      <w:r w:rsidR="00AD4F00" w:rsidRPr="00DB38A2">
        <w:rPr>
          <w:sz w:val="24"/>
          <w:szCs w:val="24"/>
        </w:rPr>
        <w:fldChar w:fldCharType="begin"/>
      </w:r>
      <w:r w:rsidR="00AD4F00" w:rsidRPr="00DB38A2">
        <w:rPr>
          <w:sz w:val="24"/>
          <w:szCs w:val="24"/>
        </w:rPr>
        <w:instrText xml:space="preserve"> ADDIN EN.CITE &lt;EndNote&gt;&lt;Cite&gt;&lt;Author&gt;Bishop&lt;/Author&gt;&lt;Year&gt;2011&lt;/Year&gt;&lt;IDText&gt;Gaining from interactions with universities: Multiple methods for nurturing absorptive capacity&lt;/IDText&gt;&lt;Pages&gt;31&lt;/Pages&gt;&lt;DisplayText&gt;(Bishop, D&amp;apos;Este, &amp;amp; Neely, 2011, p. 31)&lt;/DisplayText&gt;&lt;record&gt;&lt;dates&gt;&lt;pub-dates&gt;&lt;date&gt;Feb&lt;/date&gt;&lt;/pub-dates&gt;&lt;year&gt;2011&lt;/year&gt;&lt;/dates&gt;&lt;urls&gt;&lt;related-urls&gt;&lt;url&gt;&amp;lt;Go to ISI&amp;gt;://WOS:000286910500004&lt;/url&gt;&lt;/related-urls&gt;&lt;/urls&gt;&lt;isbn&gt;0048-7333&lt;/isbn&gt;&lt;titles&gt;&lt;title&gt;Gaining from interactions with universities: Multiple methods for nurturing absorptive capacity&lt;/title&gt;&lt;secondary-title&gt;Research Policy&lt;/secondary-title&gt;&lt;/titles&gt;&lt;pages&gt;30-40&lt;/pages&gt;&lt;number&gt;1&lt;/number&gt;&lt;contributors&gt;&lt;authors&gt;&lt;author&gt;Bishop, Kate&lt;/author&gt;&lt;author&gt;D&amp;apos;Este, Pablo&lt;/author&gt;&lt;author&gt;Neely, Andy&lt;/author&gt;&lt;/authors&gt;&lt;/contributors&gt;&lt;added-date format="utc"&gt;1469230284&lt;/added-date&gt;&lt;ref-type name="Journal Article"&gt;17&lt;/ref-type&gt;&lt;rec-number&gt;726&lt;/rec-number&gt;&lt;last-updated-date format="utc"&gt;1469230334&lt;/last-updated-date&gt;&lt;accession-num&gt;WOS:000286910500004&lt;/accession-num&gt;&lt;electronic-resource-num&gt;10.1016/j.respol.2010.09.009&lt;/electronic-resource-num&gt;&lt;volume&gt;40&lt;/volume&gt;&lt;/record&gt;&lt;/Cite&gt;&lt;/EndNote&gt;</w:instrText>
      </w:r>
      <w:r w:rsidR="00AD4F00" w:rsidRPr="00DB38A2">
        <w:rPr>
          <w:sz w:val="24"/>
          <w:szCs w:val="24"/>
        </w:rPr>
        <w:fldChar w:fldCharType="separate"/>
      </w:r>
      <w:r w:rsidR="00AD4F00" w:rsidRPr="00DB38A2">
        <w:rPr>
          <w:noProof/>
          <w:sz w:val="24"/>
          <w:szCs w:val="24"/>
        </w:rPr>
        <w:t>(Bishop, D'Este, &amp; Neely, 2011, p. 31)</w:t>
      </w:r>
      <w:r w:rsidR="00AD4F00" w:rsidRPr="00DB38A2">
        <w:rPr>
          <w:sz w:val="24"/>
          <w:szCs w:val="24"/>
        </w:rPr>
        <w:fldChar w:fldCharType="end"/>
      </w:r>
      <w:r w:rsidR="0029293A">
        <w:rPr>
          <w:sz w:val="24"/>
          <w:szCs w:val="24"/>
        </w:rPr>
        <w:t xml:space="preserve">. </w:t>
      </w:r>
      <w:r w:rsidR="00DC4935">
        <w:rPr>
          <w:sz w:val="24"/>
          <w:szCs w:val="24"/>
        </w:rPr>
        <w:t xml:space="preserve">In effect, this creates a situation whereby boundary transactions may </w:t>
      </w:r>
      <w:r w:rsidR="00FB25F5">
        <w:rPr>
          <w:sz w:val="24"/>
          <w:szCs w:val="24"/>
        </w:rPr>
        <w:t xml:space="preserve">not </w:t>
      </w:r>
      <w:r w:rsidR="0034073A">
        <w:rPr>
          <w:sz w:val="24"/>
          <w:szCs w:val="24"/>
        </w:rPr>
        <w:t xml:space="preserve">be experienced </w:t>
      </w:r>
      <w:r w:rsidR="00FB25F5">
        <w:rPr>
          <w:sz w:val="24"/>
          <w:szCs w:val="24"/>
        </w:rPr>
        <w:t>so much like transactions as simply a collaboration with an academic colleague.</w:t>
      </w:r>
      <w:r w:rsidR="00137B74">
        <w:rPr>
          <w:sz w:val="24"/>
          <w:szCs w:val="24"/>
        </w:rPr>
        <w:t xml:space="preserve"> </w:t>
      </w:r>
      <w:r w:rsidR="00D7243D">
        <w:rPr>
          <w:sz w:val="24"/>
          <w:szCs w:val="24"/>
        </w:rPr>
        <w:t xml:space="preserve">Something of academia enters the non-academic, in a sense </w:t>
      </w:r>
      <w:r w:rsidR="003A3E3E">
        <w:rPr>
          <w:sz w:val="24"/>
          <w:szCs w:val="24"/>
        </w:rPr>
        <w:t>extending the reach of academic boundaries</w:t>
      </w:r>
      <w:r w:rsidR="002652FF">
        <w:rPr>
          <w:sz w:val="24"/>
          <w:szCs w:val="24"/>
        </w:rPr>
        <w:t>.</w:t>
      </w:r>
      <w:r w:rsidR="00632988">
        <w:rPr>
          <w:sz w:val="24"/>
          <w:szCs w:val="24"/>
        </w:rPr>
        <w:t xml:space="preserve"> This interpretation chimes with other research into ‘boundary-spanning’ students and graduates, which finds that STEMM students see “industrial experience as a tool to achieve … traditional academic goals” (Mendoza, 2007, p. 84). </w:t>
      </w:r>
      <w:r w:rsidR="002652FF">
        <w:rPr>
          <w:sz w:val="24"/>
          <w:szCs w:val="24"/>
        </w:rPr>
        <w:t>The extension does not necessarily impinge on existing academic boundaries</w:t>
      </w:r>
      <w:r w:rsidR="00137B74">
        <w:rPr>
          <w:sz w:val="24"/>
          <w:szCs w:val="24"/>
        </w:rPr>
        <w:t xml:space="preserve"> and values, therefore</w:t>
      </w:r>
      <w:r w:rsidR="002652FF">
        <w:rPr>
          <w:sz w:val="24"/>
          <w:szCs w:val="24"/>
        </w:rPr>
        <w:t>. Rather, it creates a new space, a kind of ‘free trade zone’, where ‘low-cost</w:t>
      </w:r>
      <w:r w:rsidR="00A45C93">
        <w:rPr>
          <w:sz w:val="24"/>
          <w:szCs w:val="24"/>
        </w:rPr>
        <w:t>’ boundary</w:t>
      </w:r>
      <w:r w:rsidR="002652FF">
        <w:rPr>
          <w:sz w:val="24"/>
          <w:szCs w:val="24"/>
        </w:rPr>
        <w:t xml:space="preserve"> transactions can take place between </w:t>
      </w:r>
      <w:r w:rsidR="00A022A5">
        <w:rPr>
          <w:sz w:val="24"/>
          <w:szCs w:val="24"/>
        </w:rPr>
        <w:t>similarly minded</w:t>
      </w:r>
      <w:r w:rsidR="002652FF">
        <w:rPr>
          <w:sz w:val="24"/>
          <w:szCs w:val="24"/>
        </w:rPr>
        <w:t xml:space="preserve"> individuals, both of whom can simultaneously contribute to one another’s institutional missions without significantly threatening the distinctive identity </w:t>
      </w:r>
      <w:r w:rsidR="00A45C93">
        <w:rPr>
          <w:sz w:val="24"/>
          <w:szCs w:val="24"/>
        </w:rPr>
        <w:t>or</w:t>
      </w:r>
      <w:r w:rsidR="002652FF">
        <w:rPr>
          <w:sz w:val="24"/>
          <w:szCs w:val="24"/>
        </w:rPr>
        <w:t xml:space="preserve"> core boundaries of either.</w:t>
      </w:r>
    </w:p>
    <w:p w14:paraId="0F37456C" w14:textId="5334DBEF" w:rsidR="006A28AA" w:rsidRPr="007D42ED" w:rsidRDefault="00FA1A28" w:rsidP="006A28AA">
      <w:pPr>
        <w:spacing w:after="120" w:line="360" w:lineRule="auto"/>
        <w:rPr>
          <w:sz w:val="24"/>
          <w:szCs w:val="24"/>
        </w:rPr>
      </w:pPr>
      <w:r>
        <w:rPr>
          <w:sz w:val="24"/>
          <w:szCs w:val="24"/>
        </w:rPr>
        <w:t xml:space="preserve">In the Analysis (Chapter </w:t>
      </w:r>
      <w:r w:rsidR="00984890">
        <w:rPr>
          <w:sz w:val="24"/>
          <w:szCs w:val="24"/>
        </w:rPr>
        <w:t>4</w:t>
      </w:r>
      <w:r>
        <w:rPr>
          <w:sz w:val="24"/>
          <w:szCs w:val="24"/>
        </w:rPr>
        <w:t xml:space="preserve">), this point was initially raised in explanation of why Formal scientists </w:t>
      </w:r>
      <w:r w:rsidR="001737D0">
        <w:rPr>
          <w:sz w:val="24"/>
          <w:szCs w:val="24"/>
        </w:rPr>
        <w:t xml:space="preserve">had </w:t>
      </w:r>
      <w:r w:rsidR="00D573E0">
        <w:rPr>
          <w:sz w:val="24"/>
          <w:szCs w:val="24"/>
        </w:rPr>
        <w:t xml:space="preserve">fewer ‘costs’ and challenges associated with boundary transactions than was experienced by Natural scientists and, in particular, Life scientists; Formal scientists’ external collaborators were almost exclusively doctoral graduates. </w:t>
      </w:r>
      <w:r w:rsidR="003D1B33">
        <w:rPr>
          <w:sz w:val="24"/>
          <w:szCs w:val="24"/>
        </w:rPr>
        <w:t xml:space="preserve">But </w:t>
      </w:r>
      <w:r w:rsidR="00AD1E9B">
        <w:rPr>
          <w:sz w:val="24"/>
          <w:szCs w:val="24"/>
        </w:rPr>
        <w:t>as well as contributing to the explanation of</w:t>
      </w:r>
      <w:r w:rsidR="003D1B33">
        <w:rPr>
          <w:sz w:val="24"/>
          <w:szCs w:val="24"/>
        </w:rPr>
        <w:t xml:space="preserve"> observed variations, it also </w:t>
      </w:r>
      <w:r w:rsidR="00AD1E9B">
        <w:rPr>
          <w:sz w:val="24"/>
          <w:szCs w:val="24"/>
        </w:rPr>
        <w:t>contributes to the explanation of the general finding that boundary transactions associated with the sampled research tended more towards the reproduction of academic boundaries than its weakening.</w:t>
      </w:r>
      <w:r w:rsidR="00E65A2A">
        <w:rPr>
          <w:sz w:val="24"/>
          <w:szCs w:val="24"/>
        </w:rPr>
        <w:t xml:space="preserve"> Most bodies of research (BoRs) </w:t>
      </w:r>
      <w:r w:rsidR="003A6831">
        <w:rPr>
          <w:sz w:val="24"/>
          <w:szCs w:val="24"/>
        </w:rPr>
        <w:t>involved external collaborations primarily</w:t>
      </w:r>
      <w:r w:rsidR="00E65A2A">
        <w:rPr>
          <w:sz w:val="24"/>
          <w:szCs w:val="24"/>
        </w:rPr>
        <w:t xml:space="preserve"> with individuals who held doctoral degrees, </w:t>
      </w:r>
      <w:r w:rsidR="00660D2A">
        <w:rPr>
          <w:sz w:val="24"/>
          <w:szCs w:val="24"/>
        </w:rPr>
        <w:t>and in t</w:t>
      </w:r>
      <w:r w:rsidR="00E65A2A">
        <w:rPr>
          <w:sz w:val="24"/>
          <w:szCs w:val="24"/>
        </w:rPr>
        <w:t>wo-thirds of BoR</w:t>
      </w:r>
      <w:r w:rsidR="00660D2A">
        <w:rPr>
          <w:sz w:val="24"/>
          <w:szCs w:val="24"/>
        </w:rPr>
        <w:t xml:space="preserve">s, external collaborations </w:t>
      </w:r>
      <w:r w:rsidR="00914B6C" w:rsidRPr="00660D2A">
        <w:rPr>
          <w:i/>
          <w:sz w:val="24"/>
          <w:szCs w:val="24"/>
        </w:rPr>
        <w:t>exclusively</w:t>
      </w:r>
      <w:r w:rsidR="00660D2A">
        <w:rPr>
          <w:i/>
          <w:sz w:val="24"/>
          <w:szCs w:val="24"/>
        </w:rPr>
        <w:t xml:space="preserve"> </w:t>
      </w:r>
      <w:r w:rsidR="00660D2A">
        <w:rPr>
          <w:sz w:val="24"/>
          <w:szCs w:val="24"/>
        </w:rPr>
        <w:t>involved</w:t>
      </w:r>
      <w:r w:rsidR="00914B6C">
        <w:rPr>
          <w:sz w:val="24"/>
          <w:szCs w:val="24"/>
        </w:rPr>
        <w:t xml:space="preserve"> </w:t>
      </w:r>
      <w:r w:rsidR="00660D2A">
        <w:rPr>
          <w:sz w:val="24"/>
          <w:szCs w:val="24"/>
        </w:rPr>
        <w:t>individuals who held doctoral degrees</w:t>
      </w:r>
      <w:r w:rsidR="00FD2E0D">
        <w:rPr>
          <w:sz w:val="24"/>
          <w:szCs w:val="24"/>
        </w:rPr>
        <w:t xml:space="preserve">. </w:t>
      </w:r>
      <w:r w:rsidR="00096FFD">
        <w:rPr>
          <w:sz w:val="24"/>
          <w:szCs w:val="24"/>
        </w:rPr>
        <w:t xml:space="preserve">The educational reality of a highly scientific non-academic workforce with whom academics collaborate was therefore a major influence on the boundary transaction experiences of my sampled BoRs and the academics involved. </w:t>
      </w:r>
    </w:p>
    <w:p w14:paraId="25DB1DAF" w14:textId="294B2D56" w:rsidR="004C7EA0" w:rsidRDefault="00C17933" w:rsidP="00C17933">
      <w:pPr>
        <w:pStyle w:val="Heading4"/>
      </w:pPr>
      <w:r>
        <w:t>The teaching/training imperative</w:t>
      </w:r>
    </w:p>
    <w:p w14:paraId="6E87F46A" w14:textId="01080303" w:rsidR="00826E71" w:rsidRDefault="00C17933" w:rsidP="004C7EA0">
      <w:pPr>
        <w:pStyle w:val="Standard"/>
        <w:widowControl w:val="0"/>
        <w:spacing w:after="120" w:line="360" w:lineRule="auto"/>
        <w:rPr>
          <w:rFonts w:ascii="Times New Roman" w:hAnsi="Times New Roman"/>
          <w:iCs/>
          <w:sz w:val="24"/>
          <w:szCs w:val="24"/>
        </w:rPr>
      </w:pPr>
      <w:r>
        <w:rPr>
          <w:rFonts w:ascii="Times New Roman" w:hAnsi="Times New Roman"/>
          <w:iCs/>
          <w:sz w:val="24"/>
          <w:szCs w:val="24"/>
        </w:rPr>
        <w:t xml:space="preserve">This was not the only way in which students/graduates </w:t>
      </w:r>
      <w:r w:rsidR="005144E7">
        <w:rPr>
          <w:rFonts w:ascii="Times New Roman" w:hAnsi="Times New Roman"/>
          <w:iCs/>
          <w:sz w:val="24"/>
          <w:szCs w:val="24"/>
        </w:rPr>
        <w:t>shaped the observed research-related boundary transactions.</w:t>
      </w:r>
      <w:r w:rsidR="001627A1">
        <w:rPr>
          <w:rFonts w:ascii="Times New Roman" w:hAnsi="Times New Roman"/>
          <w:iCs/>
          <w:sz w:val="24"/>
          <w:szCs w:val="24"/>
        </w:rPr>
        <w:t xml:space="preserve"> There were other </w:t>
      </w:r>
      <w:r w:rsidR="00826E71">
        <w:rPr>
          <w:rFonts w:ascii="Times New Roman" w:hAnsi="Times New Roman"/>
          <w:iCs/>
          <w:sz w:val="24"/>
          <w:szCs w:val="24"/>
        </w:rPr>
        <w:t>ways</w:t>
      </w:r>
      <w:r w:rsidR="008C12D9">
        <w:rPr>
          <w:rFonts w:ascii="Times New Roman" w:hAnsi="Times New Roman"/>
          <w:iCs/>
          <w:sz w:val="24"/>
          <w:szCs w:val="24"/>
        </w:rPr>
        <w:t>, both direct and indirect,</w:t>
      </w:r>
      <w:r w:rsidR="00826E71">
        <w:rPr>
          <w:rFonts w:ascii="Times New Roman" w:hAnsi="Times New Roman"/>
          <w:iCs/>
          <w:sz w:val="24"/>
          <w:szCs w:val="24"/>
        </w:rPr>
        <w:t xml:space="preserve"> in which the teaching/training imperative of universities shaped the sampled research and research-related boundary transactions. </w:t>
      </w:r>
    </w:p>
    <w:p w14:paraId="5C5AECF2" w14:textId="0F04497D" w:rsidR="00683402" w:rsidRDefault="00683402" w:rsidP="004C7EA0">
      <w:pPr>
        <w:pStyle w:val="Standard"/>
        <w:widowControl w:val="0"/>
        <w:spacing w:after="120" w:line="360" w:lineRule="auto"/>
        <w:rPr>
          <w:rFonts w:ascii="Times New Roman" w:hAnsi="Times New Roman"/>
          <w:iCs/>
          <w:sz w:val="24"/>
          <w:szCs w:val="24"/>
        </w:rPr>
      </w:pPr>
      <w:r>
        <w:rPr>
          <w:rFonts w:ascii="Times New Roman" w:hAnsi="Times New Roman"/>
          <w:iCs/>
          <w:sz w:val="24"/>
          <w:szCs w:val="24"/>
        </w:rPr>
        <w:t xml:space="preserve">For example, in </w:t>
      </w:r>
      <w:r w:rsidR="009E636E">
        <w:rPr>
          <w:rFonts w:ascii="Times New Roman" w:hAnsi="Times New Roman"/>
          <w:iCs/>
          <w:sz w:val="24"/>
          <w:szCs w:val="24"/>
        </w:rPr>
        <w:t xml:space="preserve">two of the BoRs sampled, doctoral students’ research </w:t>
      </w:r>
      <w:r w:rsidR="00927976">
        <w:rPr>
          <w:rFonts w:ascii="Times New Roman" w:hAnsi="Times New Roman"/>
          <w:iCs/>
          <w:sz w:val="24"/>
          <w:szCs w:val="24"/>
        </w:rPr>
        <w:t>made a key contribution to</w:t>
      </w:r>
      <w:r w:rsidR="009E636E">
        <w:rPr>
          <w:rFonts w:ascii="Times New Roman" w:hAnsi="Times New Roman"/>
          <w:iCs/>
          <w:sz w:val="24"/>
          <w:szCs w:val="24"/>
        </w:rPr>
        <w:t xml:space="preserve"> the impact and related boundary transactions.</w:t>
      </w:r>
      <w:r w:rsidR="00D700E1">
        <w:rPr>
          <w:rFonts w:ascii="Times New Roman" w:hAnsi="Times New Roman"/>
          <w:iCs/>
          <w:sz w:val="24"/>
          <w:szCs w:val="24"/>
        </w:rPr>
        <w:t xml:space="preserve"> In both cases, these students went onto work in non-academic c</w:t>
      </w:r>
      <w:r w:rsidR="00FC1DE2">
        <w:rPr>
          <w:rFonts w:ascii="Times New Roman" w:hAnsi="Times New Roman"/>
          <w:iCs/>
          <w:sz w:val="24"/>
          <w:szCs w:val="24"/>
        </w:rPr>
        <w:t xml:space="preserve">ontexts where they directly applied their academic research and maintained relationships with their academic institutions. </w:t>
      </w:r>
      <w:r>
        <w:rPr>
          <w:rFonts w:ascii="Times New Roman" w:hAnsi="Times New Roman"/>
          <w:iCs/>
          <w:sz w:val="24"/>
          <w:szCs w:val="24"/>
        </w:rPr>
        <w:t>The potential for students to add to the research power and reputation of a senior scientist was in fact often found to be a major draw to academia, my interviews revealed. Four of my ten interviewees who had once worked in non-academic sectors explicitly said that access to doctoral students was one of the reasons they chose to return to academi</w:t>
      </w:r>
      <w:r w:rsidR="00BB2DFA">
        <w:rPr>
          <w:rFonts w:ascii="Times New Roman" w:hAnsi="Times New Roman"/>
          <w:iCs/>
          <w:sz w:val="24"/>
          <w:szCs w:val="24"/>
        </w:rPr>
        <w:t>a, while several other interviewees also emphasised the value of access to students</w:t>
      </w:r>
      <w:r>
        <w:rPr>
          <w:rFonts w:ascii="Times New Roman" w:hAnsi="Times New Roman"/>
          <w:iCs/>
          <w:sz w:val="24"/>
          <w:szCs w:val="24"/>
        </w:rPr>
        <w:t xml:space="preserve">. </w:t>
      </w:r>
    </w:p>
    <w:p w14:paraId="11A651AB" w14:textId="6E7E6E69" w:rsidR="00D77EF7" w:rsidRDefault="00D77EF7" w:rsidP="004C7EA0">
      <w:pPr>
        <w:pStyle w:val="Standard"/>
        <w:widowControl w:val="0"/>
        <w:spacing w:after="120" w:line="360" w:lineRule="auto"/>
        <w:rPr>
          <w:rFonts w:ascii="Times New Roman" w:hAnsi="Times New Roman"/>
          <w:iCs/>
          <w:sz w:val="24"/>
          <w:szCs w:val="24"/>
        </w:rPr>
      </w:pPr>
      <w:r>
        <w:rPr>
          <w:rFonts w:ascii="Times New Roman" w:hAnsi="Times New Roman"/>
          <w:iCs/>
          <w:sz w:val="24"/>
          <w:szCs w:val="24"/>
        </w:rPr>
        <w:t xml:space="preserve">Moreover, academics’ responsibility to promote the employability of their students often prompted academics to seek boundary-transacting activities that could coincide with their education. For example, a doctoral student who was recruited to contribute to outreach activities associated with scientific communication related to the university’s astronomy research has developed his career as a science communicator since graduation. </w:t>
      </w:r>
      <w:r w:rsidR="00D75453">
        <w:rPr>
          <w:rFonts w:ascii="Times New Roman" w:hAnsi="Times New Roman"/>
          <w:iCs/>
          <w:sz w:val="24"/>
          <w:szCs w:val="24"/>
        </w:rPr>
        <w:t xml:space="preserve">There were also at least two cases where a significant formal partnership between an academic and non-academic institution was grounded just as much on the student-graduate links from university to the external organisation as it was on the research partnership.  </w:t>
      </w:r>
    </w:p>
    <w:p w14:paraId="345BCB9E" w14:textId="137FF1C8" w:rsidR="00B16CE5" w:rsidRDefault="000F0856" w:rsidP="004C7EA0">
      <w:pPr>
        <w:pStyle w:val="Standard"/>
        <w:widowControl w:val="0"/>
        <w:spacing w:after="120" w:line="360" w:lineRule="auto"/>
        <w:rPr>
          <w:rFonts w:ascii="Times New Roman" w:hAnsi="Times New Roman"/>
          <w:iCs/>
          <w:sz w:val="24"/>
          <w:szCs w:val="24"/>
        </w:rPr>
      </w:pPr>
      <w:r>
        <w:rPr>
          <w:rFonts w:ascii="Times New Roman" w:hAnsi="Times New Roman"/>
          <w:iCs/>
          <w:sz w:val="24"/>
          <w:szCs w:val="24"/>
        </w:rPr>
        <w:t>All this</w:t>
      </w:r>
      <w:r w:rsidR="004C7EA0" w:rsidRPr="00891D2A">
        <w:rPr>
          <w:rFonts w:ascii="Times New Roman" w:hAnsi="Times New Roman"/>
          <w:iCs/>
          <w:sz w:val="24"/>
          <w:szCs w:val="24"/>
        </w:rPr>
        <w:t xml:space="preserve"> chimes with the history of the </w:t>
      </w:r>
      <w:r w:rsidR="00D470EA">
        <w:rPr>
          <w:rFonts w:ascii="Times New Roman" w:hAnsi="Times New Roman"/>
          <w:iCs/>
          <w:sz w:val="24"/>
          <w:szCs w:val="24"/>
        </w:rPr>
        <w:t>institutional coupling</w:t>
      </w:r>
      <w:r w:rsidR="004C7EA0" w:rsidRPr="00891D2A">
        <w:rPr>
          <w:rFonts w:ascii="Times New Roman" w:hAnsi="Times New Roman"/>
          <w:iCs/>
          <w:sz w:val="24"/>
          <w:szCs w:val="24"/>
        </w:rPr>
        <w:t xml:space="preserve"> of education and research within universities. The </w:t>
      </w:r>
      <w:r w:rsidR="00BF7FB7">
        <w:rPr>
          <w:rFonts w:ascii="Times New Roman" w:hAnsi="Times New Roman"/>
          <w:iCs/>
          <w:sz w:val="24"/>
          <w:szCs w:val="24"/>
        </w:rPr>
        <w:t>key factor</w:t>
      </w:r>
      <w:r w:rsidR="004C7EA0" w:rsidRPr="00891D2A">
        <w:rPr>
          <w:rFonts w:ascii="Times New Roman" w:hAnsi="Times New Roman"/>
          <w:iCs/>
          <w:sz w:val="24"/>
          <w:szCs w:val="24"/>
        </w:rPr>
        <w:t xml:space="preserve"> was not that research-active staff showed themselves to be effective teachers, but rather that research and scholarly productivity of academics was found to benefit hugely from the intellectual and cognitive specialisation demanded by teaching within a disciplinary framework, and </w:t>
      </w:r>
      <w:r w:rsidR="008C5DDB">
        <w:rPr>
          <w:rFonts w:ascii="Times New Roman" w:hAnsi="Times New Roman"/>
          <w:iCs/>
          <w:sz w:val="24"/>
          <w:szCs w:val="24"/>
        </w:rPr>
        <w:t>from</w:t>
      </w:r>
      <w:r w:rsidR="004C7EA0" w:rsidRPr="00891D2A">
        <w:rPr>
          <w:rFonts w:ascii="Times New Roman" w:hAnsi="Times New Roman"/>
          <w:iCs/>
          <w:sz w:val="24"/>
          <w:szCs w:val="24"/>
        </w:rPr>
        <w:t xml:space="preserve"> involvement of students in the research process as part of their studies</w:t>
      </w:r>
      <w:r w:rsidR="0043269F">
        <w:rPr>
          <w:rFonts w:ascii="Times New Roman" w:hAnsi="Times New Roman"/>
          <w:iCs/>
          <w:sz w:val="24"/>
          <w:szCs w:val="24"/>
        </w:rPr>
        <w:t>. This can be seen in</w:t>
      </w:r>
      <w:r w:rsidR="00DD0FE2">
        <w:rPr>
          <w:rFonts w:ascii="Times New Roman" w:hAnsi="Times New Roman"/>
          <w:iCs/>
          <w:sz w:val="24"/>
          <w:szCs w:val="24"/>
        </w:rPr>
        <w:t xml:space="preserve"> </w:t>
      </w:r>
      <w:r w:rsidR="006F7A7B">
        <w:rPr>
          <w:rFonts w:ascii="Times New Roman" w:hAnsi="Times New Roman"/>
          <w:iCs/>
          <w:sz w:val="24"/>
          <w:szCs w:val="24"/>
        </w:rPr>
        <w:t xml:space="preserve">historical accounts </w:t>
      </w:r>
      <w:r w:rsidR="0043269F">
        <w:rPr>
          <w:rFonts w:ascii="Times New Roman" w:hAnsi="Times New Roman"/>
          <w:iCs/>
          <w:sz w:val="24"/>
          <w:szCs w:val="24"/>
        </w:rPr>
        <w:t xml:space="preserve">showing </w:t>
      </w:r>
      <w:r w:rsidR="006F7A7B">
        <w:rPr>
          <w:rFonts w:ascii="Times New Roman" w:hAnsi="Times New Roman"/>
          <w:iCs/>
          <w:sz w:val="24"/>
          <w:szCs w:val="24"/>
        </w:rPr>
        <w:t>that a drive towards</w:t>
      </w:r>
      <w:r w:rsidR="004D6D89">
        <w:rPr>
          <w:rFonts w:ascii="Times New Roman" w:hAnsi="Times New Roman"/>
          <w:iCs/>
          <w:sz w:val="24"/>
          <w:szCs w:val="24"/>
        </w:rPr>
        <w:t xml:space="preserve"> </w:t>
      </w:r>
      <w:r w:rsidR="00021DE6">
        <w:rPr>
          <w:rFonts w:ascii="Times New Roman" w:hAnsi="Times New Roman"/>
          <w:iCs/>
          <w:sz w:val="24"/>
          <w:szCs w:val="24"/>
        </w:rPr>
        <w:t>the</w:t>
      </w:r>
      <w:r w:rsidR="006F7A7B">
        <w:rPr>
          <w:rFonts w:ascii="Times New Roman" w:hAnsi="Times New Roman"/>
          <w:iCs/>
          <w:sz w:val="24"/>
          <w:szCs w:val="24"/>
        </w:rPr>
        <w:t xml:space="preserve"> specialisation</w:t>
      </w:r>
      <w:r w:rsidR="00021DE6">
        <w:rPr>
          <w:rFonts w:ascii="Times New Roman" w:hAnsi="Times New Roman"/>
          <w:iCs/>
          <w:sz w:val="24"/>
          <w:szCs w:val="24"/>
        </w:rPr>
        <w:t xml:space="preserve"> of academic staff</w:t>
      </w:r>
      <w:r w:rsidR="006F7A7B">
        <w:rPr>
          <w:rFonts w:ascii="Times New Roman" w:hAnsi="Times New Roman"/>
          <w:iCs/>
          <w:sz w:val="24"/>
          <w:szCs w:val="24"/>
        </w:rPr>
        <w:t xml:space="preserve"> received a boost when </w:t>
      </w:r>
      <w:r w:rsidR="00C13D16">
        <w:rPr>
          <w:rFonts w:ascii="Times New Roman" w:hAnsi="Times New Roman"/>
          <w:iCs/>
          <w:sz w:val="24"/>
          <w:szCs w:val="24"/>
        </w:rPr>
        <w:t>Scottish u</w:t>
      </w:r>
      <w:r w:rsidR="00C13D16" w:rsidRPr="00C13D16">
        <w:rPr>
          <w:rFonts w:ascii="Times New Roman" w:hAnsi="Times New Roman"/>
          <w:iCs/>
          <w:sz w:val="24"/>
          <w:szCs w:val="24"/>
        </w:rPr>
        <w:t xml:space="preserve">niversities </w:t>
      </w:r>
      <w:r w:rsidR="00C13D16" w:rsidRPr="00C13D16">
        <w:rPr>
          <w:rFonts w:ascii="Times New Roman" w:hAnsi="Times New Roman"/>
          <w:sz w:val="24"/>
          <w:szCs w:val="24"/>
        </w:rPr>
        <w:t xml:space="preserve">experimented with the cost-saving device “of using professors expert in a single subject as lecturers to large classes, a system ... which became general by the eighteenth [century]” </w:t>
      </w:r>
      <w:r w:rsidR="00C13D16" w:rsidRPr="00C13D16">
        <w:rPr>
          <w:rFonts w:ascii="Times New Roman" w:hAnsi="Times New Roman"/>
          <w:sz w:val="24"/>
          <w:szCs w:val="24"/>
        </w:rPr>
        <w:fldChar w:fldCharType="begin"/>
      </w:r>
      <w:r w:rsidR="00C13D16" w:rsidRPr="00C13D16">
        <w:rPr>
          <w:rFonts w:ascii="Times New Roman" w:hAnsi="Times New Roman"/>
          <w:sz w:val="24"/>
          <w:szCs w:val="24"/>
        </w:rPr>
        <w:instrText xml:space="preserve"> ADDIN EN.CITE &lt;EndNote&gt;&lt;Cite&gt;&lt;Author&gt;Perkin&lt;/Author&gt;&lt;Year&gt;1987&lt;/Year&gt;&lt;IDText&gt;The Academic Profession in the United Kingdom&lt;/IDText&gt;&lt;Pages&gt;16&lt;/Pages&gt;&lt;DisplayText&gt;(Perkin, 1987, p. 16)&lt;/DisplayText&gt;&lt;record&gt;&lt;isbn&gt;0520059409&lt;/isbn&gt;&lt;titles&gt;&lt;title&gt;The Academic Profession in the United Kingdom&lt;/title&gt;&lt;secondary-title&gt;The  Academic Profession : National, Disciplinary, and Institutional Settings&lt;/secondary-title&gt;&lt;/titles&gt;&lt;contributors&gt;&lt;authors&gt;&lt;author&gt;Perkin, Harold&lt;/author&gt;&lt;/authors&gt;&lt;/contributors&gt;&lt;added-date format="utc"&gt;1528274886&lt;/added-date&gt;&lt;pub-location&gt;London&lt;/pub-location&gt;&lt;ref-type name="Book Section"&gt;5&lt;/ref-type&gt;&lt;dates&gt;&lt;year&gt;1987&lt;/year&gt;&lt;/dates&gt;&lt;rec-number&gt;7552&lt;/rec-number&gt;&lt;publisher&gt;University of California Press&lt;/publisher&gt;&lt;last-updated-date format="utc"&gt;1528275198&lt;/last-updated-date&gt;&lt;contributors&gt;&lt;secondary-authors&gt;&lt;author&gt;Clark, Burton R&lt;/author&gt;&lt;/secondary-authors&gt;&lt;/contributors&gt;&lt;/record&gt;&lt;/Cite&gt;&lt;/EndNote&gt;</w:instrText>
      </w:r>
      <w:r w:rsidR="00C13D16" w:rsidRPr="00C13D16">
        <w:rPr>
          <w:rFonts w:ascii="Times New Roman" w:hAnsi="Times New Roman"/>
          <w:sz w:val="24"/>
          <w:szCs w:val="24"/>
        </w:rPr>
        <w:fldChar w:fldCharType="separate"/>
      </w:r>
      <w:r w:rsidR="00C13D16" w:rsidRPr="00C13D16">
        <w:rPr>
          <w:rFonts w:ascii="Times New Roman" w:hAnsi="Times New Roman"/>
          <w:noProof/>
          <w:sz w:val="24"/>
          <w:szCs w:val="24"/>
        </w:rPr>
        <w:t>(Perkin, 1987, p. 16)</w:t>
      </w:r>
      <w:r w:rsidR="00C13D16" w:rsidRPr="00C13D16">
        <w:rPr>
          <w:rFonts w:ascii="Times New Roman" w:hAnsi="Times New Roman"/>
          <w:sz w:val="24"/>
          <w:szCs w:val="24"/>
        </w:rPr>
        <w:fldChar w:fldCharType="end"/>
      </w:r>
      <w:r w:rsidR="00C13D16">
        <w:rPr>
          <w:rFonts w:ascii="Times New Roman" w:hAnsi="Times New Roman"/>
          <w:sz w:val="24"/>
          <w:szCs w:val="24"/>
        </w:rPr>
        <w:t xml:space="preserve">, and </w:t>
      </w:r>
      <w:r w:rsidR="000F0C5B">
        <w:rPr>
          <w:rFonts w:ascii="Times New Roman" w:hAnsi="Times New Roman"/>
          <w:sz w:val="24"/>
          <w:szCs w:val="24"/>
        </w:rPr>
        <w:t>another boost</w:t>
      </w:r>
      <w:r w:rsidR="00C13D16">
        <w:rPr>
          <w:rFonts w:ascii="Times New Roman" w:hAnsi="Times New Roman"/>
          <w:sz w:val="24"/>
          <w:szCs w:val="24"/>
        </w:rPr>
        <w:t xml:space="preserve"> in the nineteenth century</w:t>
      </w:r>
      <w:r w:rsidR="00B90814">
        <w:rPr>
          <w:rFonts w:ascii="Times New Roman" w:hAnsi="Times New Roman"/>
          <w:sz w:val="24"/>
          <w:szCs w:val="24"/>
        </w:rPr>
        <w:t xml:space="preserve"> when </w:t>
      </w:r>
      <w:r w:rsidR="00E73078">
        <w:rPr>
          <w:rFonts w:ascii="Times New Roman" w:hAnsi="Times New Roman"/>
          <w:sz w:val="24"/>
          <w:szCs w:val="24"/>
        </w:rPr>
        <w:t>academic scientists in Germany found that a laboratory-based education led by only one specialist academic could prepare multiple students for careers in teaching, research (academic a</w:t>
      </w:r>
      <w:r w:rsidR="005A7B35">
        <w:rPr>
          <w:rFonts w:ascii="Times New Roman" w:hAnsi="Times New Roman"/>
          <w:sz w:val="24"/>
          <w:szCs w:val="24"/>
        </w:rPr>
        <w:t>n</w:t>
      </w:r>
      <w:r w:rsidR="00E73078">
        <w:rPr>
          <w:rFonts w:ascii="Times New Roman" w:hAnsi="Times New Roman"/>
          <w:sz w:val="24"/>
          <w:szCs w:val="24"/>
        </w:rPr>
        <w:t>d industrial), and other professions (i.e. pharmacists), whilst simultaneously providing a massive boost to the academic’s own research</w:t>
      </w:r>
      <w:r w:rsidR="004C7EA0" w:rsidRPr="00891D2A">
        <w:rPr>
          <w:rFonts w:ascii="Times New Roman" w:hAnsi="Times New Roman"/>
          <w:iCs/>
          <w:sz w:val="24"/>
          <w:szCs w:val="24"/>
        </w:rPr>
        <w:t xml:space="preserve"> </w:t>
      </w:r>
      <w:r w:rsidR="004C7EA0" w:rsidRPr="00891D2A">
        <w:rPr>
          <w:rFonts w:ascii="Times New Roman" w:hAnsi="Times New Roman"/>
          <w:iCs/>
          <w:sz w:val="24"/>
          <w:szCs w:val="24"/>
        </w:rPr>
        <w:fldChar w:fldCharType="begin">
          <w:fldData xml:space="preserve">PEVuZE5vdGU+PENpdGU+PEF1dGhvcj5CZW4tRGF2aWQ8L0F1dGhvcj48WWVhcj4xOTYyPC9ZZWFy
PjxJRFRleHQ+VW5pdmVyc2l0aWVzIGFuZCBBY2FkZW1pYyBTeXN0ZW1zIGluIE1vZGVybiBTb2Np
ZXRpZXM8L0lEVGV4dD48RGlzcGxheVRleHQ+KEJlbi1EYXZpZCwgMTk3MSwgMTk3NzsgQmVuLURh
dmlkICZhbXA7IFpsb2N6b3dlciwgMTk2MjsgRWxpYXMsIDE5ODIsIDE5OTQ7IFBlcmtpbiwgMTk4
NDsgU2Nod2FydHptYW4sIDE5ODQpPC9EaXNwbGF5VGV4dD48cmVjb3JkPjxrZXl3b3Jkcz48a2V5
d29yZD5BY2FkZW1pYy9BY2FkZW1pY3MvQWNhZGVteS9BY2FkZW1pYTwva2V5d29yZD48a2V5d29y
ZD5GcmFuY2UvRnJlbmNoPC9rZXl3b3JkPjxrZXl3b3JkPkdlcm1hbi9HZXJtYW55L0dlcm1hbnM8
L2tleXdvcmQ+PGtleXdvcmQ+R3JlYXQgQnJpdGFpbiAoU2VlIEFsc28gQnJpdGFpbiwgRW5nbGFu
ZCwgVUspPC9rZXl3b3JkPjxrZXl3b3JkPk1vZGVybi9Nb2Rlcm5pdHkvTW9kZXJuaXNtLyBNb2Rl
cm5pc3QvIE1vZGVybmlzdHMvIE1vZGVybml6aW5nPC9rZXl3b3JkPjxrZXl3b3JkPlNvY2lldHkv
U29jaWV0aWVzPC9rZXl3b3JkPjxrZXl3b3JkPlN5c3RlbS9TeXN0ZW1zPC9rZXl3b3JkPjxrZXl3
b3JkPlVuaW9uIG9mIFNvdmlldCBTb2NpYWxpc3QgUmVwdWJsaWNzL1VTU1IgKFNlZSBBbHNvIFJ1
c3NpYSwgU292aWV0KTwva2V5d29yZD48a2V5d29yZD5Vbml0ZWQgU3RhdGVzL1VzPC9rZXl3b3Jk
PjxrZXl3b3JkPlVuaXZlcnNpdHkvVW5pdmVyc2l0aWVzPC9rZXl3b3JkPjxrZXl3b3JkPlNvY2lv
bG9neSBvZiBFZHVjYXRpb248L2tleXdvcmQ+PGtleXdvcmQ+U29jaW9sb2d5IG9mIEVkdWNhdGlv
bjwva2V5d29yZD48a2V5d29yZD5BcnRpY2xlPC9rZXl3b3JkPjxrZXl3b3JkPkFjYWRlbWljIDog
U3lzdGVtcyBJbiBNb2Rlcm4gU29jaWV0aWVzLDwva2V5d29yZD48a2V5d29yZD5GcmFuY2UgOiBV
bml2ZXJzaXR5IFN5c3RlbSBJbiw8L2tleXdvcmQ+PGtleXdvcmQ+R2VybWFuIDogVW5pdmVyc2l0
eSBTeXN0ZW0gSW4sPC9rZXl3b3JkPjxrZXl3b3JkPkdyZWF0IEJyaXRhaW4gOiBVbml2ZXJzaXR5
IFN5c3RlbSBJbiw8L2tleXdvcmQ+PGtleXdvcmQ+TW9kZXJuIDogU29jaWV0aWVzLCBVbml2ZXJz
aXRpZXMgJmFtcDsgQWNhZGVtaWMgU3lzdGVtcyBJbiw8L2tleXdvcmQ+PGtleXdvcmQ+U29jaWV0
eSA6IE1vZGVybiwgVW5pdmVyc2l0aWVzICZhbXA7IEFjYWRlbWljIFN5c3RlbXMgSW4sPC9rZXl3
b3JkPjxrZXl3b3JkPlN5c3RlbSA6IFVuaXZlcnNpdHksIEluIEdlcm1hbnksIEdyZWF0IEJyaXRh
aW4sIFVzLCBGcmFuY2UgJmFtcDsgVVNTUiw8L2tleXdvcmQ+PGtleXdvcmQ+VW5pb24gT2YgU292
aWV0IFNvY2lhbGlzdCBSZXB1YmxpY3MgOiBVbml2ZXJzaXR5IFN5c3RlbSBJbiw8L2tleXdvcmQ+
PGtleXdvcmQ+VW5pdGVkIFN0YXRlcyA6IFVuaXZlcnNpdHkgU3lzdGVtIEluLDwva2V5d29yZD48
a2V5d29yZD5Vbml2ZXJzaXR5IDogU3lzdGVtcyBJbiBHZXJtYW55LCBHcmVhdCBCcml0YWluLCBV
cywgRnJhbmNlICZhbXA7IFVTU1IsPC9rZXl3b3JkPjwva2V5d29yZHM+PGlzYm4+MDAwMy05NzU2
PC9pc2JuPjx0aXRsZXM+PHRpdGxlPlVuaXZlcnNpdGllcyBhbmQgQWNhZGVtaWMgU3lzdGVtcyBp
biBNb2Rlcm4gU29jaWV0aWVzPC90aXRsZT48c2Vjb25kYXJ5LXRpdGxlPkFyY2hpdmVzIG9mIEV1
cm9wZWFuIFNvY2lvbG9neTwvc2Vjb25kYXJ5LXRpdGxlPjwvdGl0bGVzPjxwYWdlcz40NS04NDwv
cGFnZXM+PG51bWJlcj4xPC9udW1iZXI+PGNvbnRyaWJ1dG9ycz48YXV0aG9ycz48YXV0aG9yPkJl
bi1EYXZpZCwgSm9zZXBoPC9hdXRob3I+PGF1dGhvcj5abG9jem93ZXIsIEF3cmFoYW08L2F1dGhv
cj48L2F1dGhvcnM+PC9jb250cmlidXRvcnM+PGFkZGVkLWRhdGUgZm9ybWF0PSJ1dGMiPjE1Mjgw
NTk3NDk8L2FkZGVkLWRhdGU+PHJlZi10eXBlIG5hbWU9IkpvdXJuYWwgQXJ0aWNsZSI+MTc8L3Jl
Zi10eXBlPjxkYXRlcz48eWVhcj4xOTYyPC95ZWFyPjwvZGF0ZXM+PHJlYy1udW1iZXI+NzU1MDwv
cmVjLW51bWJlcj48bGFzdC11cGRhdGVkLWRhdGUgZm9ybWF0PSJ1dGMiPjE1MjgwNjAxOTQ8L2xh
c3QtdXBkYXRlZC1kYXRlPjxlbGVjdHJvbmljLXJlc291cmNlLW51bT4xMC4xMDE3L1MwMDAzOTc1
NjAwMDAwNTI3PC9lbGVjdHJvbmljLXJlc291cmNlLW51bT48dm9sdW1lPjM8L3ZvbHVtZT48L3Jl
Y29yZD48L0NpdGU+PENpdGU+PEF1dGhvcj5CZW4tRGF2aWQ8L0F1dGhvcj48WWVhcj4xOTcxPC9Z
ZWFyPjxJRFRleHQ+VGhlIHNjaWVudGlzdCZhcG9zO3Mgcm9sZSBpbiBzb2NpZXR5OiBhIGNvbXBh
cmF0aXZlIHN0dWR5PC9JRFRleHQ+PHJlY29yZD48a2V5d29yZHM+PGtleXdvcmQ+U2NpZW50aXN0
czwva2V5d29yZD48a2V5d29yZD5TY2llbnRpc3RzPC9rZXl3b3JkPjxrZXl3b3JkPlNjaWVuY2Ug
YW5kIGNpdmlsaXphdGlvbjwva2V5d29yZD48a2V5d29yZD5TY2llbmNlIGFuZCBjaXZpbGl6YXRp
b248L2tleXdvcmQ+PGtleXdvcmQ+Q2l2aWxpemF0aW9uIGFuZCBzY2llbmNlPC9rZXl3b3JkPjxr
ZXl3b3JkPkhpc3RvcnkgYW5kIHNjaWVuY2U8L2tleXdvcmQ+PGtleXdvcmQ+U2NpZW5jZSBhbmQg
aGlzdG9yeTwva2V5d29yZD48a2V5d29yZD5TY2llbmNlIGFuZCBzb2NpZXR5PC9rZXl3b3JkPjxr
ZXl3b3JkPlByb2dyZXNzPC9rZXl3b3JkPjxrZXl3b3JkPlByb2Zlc3Npb25zPC9rZXl3b3JkPjxr
ZXl3b3JkPlNvY2lldHkgUm9sZSBvZiBzY2llbnRpc3RzPC9rZXl3b3JkPjwva2V5d29yZHM+PHRp
dGxlcz48dGl0bGU+VGhlIHNjaWVudGlzdCZhcG9zO3Mgcm9sZSBpbiBzb2NpZXR5OiBhIGNvbXBh
cmF0aXZlIHN0dWR5PC90aXRsZT48L3RpdGxlcz48Y29udHJpYnV0b3JzPjxhdXRob3JzPjxhdXRo
b3I+QmVuLURhdmlkLCBKb3NlcGg8L2F1dGhvcj48L2F1dGhvcnM+PC9jb250cmlidXRvcnM+PGFk
ZGVkLWRhdGUgZm9ybWF0PSJ1dGMiPjE1MjM2NDI3NzU8L2FkZGVkLWRhdGU+PHB1Yi1sb2NhdGlv
bj5FbmdsZXdvb2QgQ2xpZmZzPC9wdWItbG9jYXRpb24+PHJlZi10eXBlIG5hbWU9IkJvb2siPjY8
L3JlZi10eXBlPjxkYXRlcz48eWVhcj4xOTcxPC95ZWFyPjwvZGF0ZXM+PHJlYy1udW1iZXI+NzQ4
MjwvcmVjLW51bWJlcj48cHVibGlzaGVyPlByZW50aWNlLUhhbGw8L3B1Ymxpc2hlcj48bGFzdC11
cGRhdGVkLWRhdGUgZm9ybWF0PSJ1dGMiPjE1MjM2NDM1ODk8L2xhc3QtdXBkYXRlZC1kYXRlPjwv
cmVjb3JkPjwvQ2l0ZT48Q2l0ZT48QXV0aG9yPkJlbi1EYXZpZDwvQXV0aG9yPjxZZWFyPjE5Nzc8
L1llYXI+PElEVGV4dD5DZW50cmVzIG9mIExlYXJuaW5nOiBCcml0YWluLCBGcmFuY2UsIEdlcm1h
bnksIFVuaXRlZCBTdGF0ZXM8L0lEVGV4dD48cmVjb3JkPjx0aXRsZXM+PHRpdGxlPkNlbnRyZXMg
b2YgTGVhcm5pbmc6IEJyaXRhaW4sIEZyYW5jZSwgR2VybWFueSwgVW5pdGVkIFN0YXRlczwvdGl0
bGU+PC90aXRsZXM+PGNvbnRyaWJ1dG9ycz48YXV0aG9ycz48YXV0aG9yPkJlbi1EYXZpZCwgSm9z
ZXBoPC9hdXRob3I+PC9hdXRob3JzPjwvY29udHJpYnV0b3JzPjxhZGRlZC1kYXRlIGZvcm1hdD0i
dXRjIj4xNTIzNjQ5OTgzPC9hZGRlZC1kYXRlPjxwdWItbG9jYXRpb24+TmV3IFlvcms8L3B1Yi1s
b2NhdGlvbj48cmVmLXR5cGUgbmFtZT0iQm9vayI+NjwvcmVmLXR5cGU+PGRhdGVzPjx5ZWFyPjE5
Nzc8L3llYXI+PC9kYXRlcz48cmVjLW51bWJlcj43NDg0PC9yZWMtbnVtYmVyPjxwdWJsaXNoZXI+
TWNHcmF3IEhpbGw8L3B1Ymxpc2hlcj48bGFzdC11cGRhdGVkLWRhdGUgZm9ybWF0PSJ1dGMiPjE1
MjM2NTAyOTg8L2xhc3QtdXBkYXRlZC1kYXRlPjwvcmVjb3JkPjwvQ2l0ZT48Q2l0ZT48QXV0aG9y
PlNjaHdhcnR6bWFuPC9BdXRob3I+PFllYXI+MTk4NDwvWWVhcj48SURUZXh0PlRoZSBGb2N1cyBv
biBTY2llbnRpZmljIEFjdGl2aXR5PC9JRFRleHQ+PHJlY29yZD48a2V5d29yZHM+PGtleXdvcmQ+
RWR1Y2F0aW9uLCBIaWdoZXIgLS0gQ29uZ3Jlc3Nlczwva2V5d29yZD48a2V5d29yZD5IaWdoZXIg
ZWR1Y2F0aW9uPC9rZXl3b3JkPjwva2V5d29yZHM+PHRpdGxlcz48dGl0bGU+VGhlIEZvY3VzIG9u
IFNjaWVudGlmaWMgQWN0aXZpdHk8L3RpdGxlPjxzZWNvbmRhcnktdGl0bGU+UGVyc3BlY3RpdmVz
IG9uIGhpZ2hlciBlZHVjYXRpb246IGVpZ2h0IGRpc2NpcGxpbmFyeSBhbmQgY29tcGFyYXRpdmUg
dmlld3M8L3NlY29uZGFyeS10aXRsZT48L3RpdGxlcz48Y29udHJpYnV0b3JzPjxhdXRob3JzPjxh
dXRob3I+U2Nod2FydHptYW4sIFNpbW9uPC9hdXRob3I+PC9hdXRob3JzPjwvY29udHJpYnV0b3Jz
PjxhZGRlZC1kYXRlIGZvcm1hdD0idXRjIj4xNTI3OTg0ODEyPC9hZGRlZC1kYXRlPjxwdWItbG9j
YXRpb24+TG9uZG9uPC9wdWItbG9jYXRpb24+PHJlZi10eXBlIG5hbWU9IkJvb2sgU2VjdGlvbiI+
NTwvcmVmLXR5cGU+PGRhdGVzPjx5ZWFyPjE5ODQ8L3llYXI+PC9kYXRlcz48cmVjLW51bWJlcj43
NTQ0PC9yZWMtbnVtYmVyPjxwdWJsaXNoZXI+VW5pdmVyc2l0eSBvZiBDYWxpZm9ybmlhIFByZXNz
PC9wdWJsaXNoZXI+PGxhc3QtdXBkYXRlZC1kYXRlIGZvcm1hdD0idXRjIj4xNTI3OTg1MzkyPC9s
YXN0LXVwZGF0ZWQtZGF0ZT48Y29udHJpYnV0b3JzPjxzZWNvbmRhcnktYXV0aG9ycz48YXV0aG9y
PkNsYXJrLCBCdXJ0b24gUi48L2F1dGhvcj48L3NlY29uZGFyeS1hdXRob3JzPjwvY29udHJpYnV0
b3JzPjwvcmVjb3JkPjwvQ2l0ZT48Q2l0ZT48QXV0aG9yPkVsaWFzPC9BdXRob3I+PFllYXI+MTk4
MjwvWWVhcj48SURUZXh0PlNjaWVudGlmaWMgRXN0YWJsaXNobWVudHM8L0lEVGV4dD48cmVjb3Jk
Pjx1cmxzPjxyZWxhdGVkLXVybHM+PHVybD5odHRwczovL2Jvb2tzLmdvb2dsZS5jby51ay9ib29r
cz9pZD1yQ3J6TmpCcmZrMEM8L3VybD48L3JlbGF0ZWQtdXJscz48L3VybHM+PGlzYm4+OTc4OTAy
NzcxMzIzMDwvaXNibj48dGl0bGVzPjx0aXRsZT5TY2llbnRpZmljIEVzdGFibGlzaG1lbnRzPC90
aXRsZT48c2Vjb25kYXJ5LXRpdGxlPlNjaWVudGlmaWMgRXN0YWJsaXNobWVudHMgYW5kIEhpZXJh
cmNoaWVzPC9zZWNvbmRhcnktdGl0bGU+PC90aXRsZXM+PGNvbnRyaWJ1dG9ycz48YXV0aG9ycz48
YXV0aG9yPkVsaWFzLCBOb3JiZXJ0PC9hdXRob3I+PC9hdXRob3JzPjwvY29udHJpYnV0b3JzPjxh
ZGRlZC1kYXRlIGZvcm1hdD0idXRjIj4xNTI3ODkzNDg0PC9hZGRlZC1kYXRlPjxwdWItbG9jYXRp
b24+TG9uZG9uPC9wdWItbG9jYXRpb24+PHJlZi10eXBlIG5hbWU9IkJvb2sgU2VjdGlvbiI+NTwv
cmVmLXR5cGU+PGRhdGVzPjx5ZWFyPjE5ODI8L3llYXI+PC9kYXRlcz48cmVjLW51bWJlcj43NTM5
PC9yZWMtbnVtYmVyPjxwdWJsaXNoZXI+U3ByaW5nZXI8L3B1Ymxpc2hlcj48bGFzdC11cGRhdGVk
LWRhdGUgZm9ybWF0PSJ1dGMiPjE1Mjc4OTM1OTM8L2xhc3QtdXBkYXRlZC1kYXRlPjxjb250cmli
dXRvcnM+PHNlY29uZGFyeS1hdXRob3JzPjxhdXRob3I+RWxpYXMsIE5vcmJlcnQ8L2F1dGhvcj48
YXV0aG9yPk1hcnRpbnMsIEguPC9hdXRob3I+PGF1dGhvcj5XaGl0bGV5LCBSaWNoYXJkPC9hdXRo
b3I+PC9zZWNvbmRhcnktYXV0aG9ycz48L2NvbnRyaWJ1dG9ycz48L3JlY29yZD48L0NpdGU+PENp
dGU+PEF1dGhvcj5FbGlhczwvQXV0aG9yPjxZZWFyPjE5OTQ8L1llYXI+PElEVGV4dD5UaGUgRXN0
YWJsaXNoZWQgYW5kIHRoZSBPdXRzaWRlcnM6IEEgU29jaW9sb2dpY2FsIEVucXVpcnkgaW50byBD
b21tdW5pdHkgUHJvYmxlbXM8L0lEVGV4dD48cmVjb3JkPjxrZXl3b3Jkcz48a2V5d29yZD5Tb2Np
YWwgY2xhc3NlcyAtLSBFbmdsYW5kIC0tIE1pZGxhbmRzPC9rZXl3b3JkPjxrZXl3b3JkPlNvY2lh
bCBzdHJ1Y3R1cmUgLS0gRW5nbGFuZCAtLSBNaWRsYW5kczwva2V5d29yZD48a2V5d29yZD5BbGll
bmF0aW9uIChTb2NpYWwgcHN5Y2hvbG9neSkgLS0gRW5nbGFuZCAtLSBNaWRsYW5kczwva2V5d29y
ZD48a2V5d29yZD5Tb2NpYWwgaW50ZXJhY3Rpb24gLS0gRW5nbGFuZCAtLSBNaWRsYW5kczwva2V5
d29yZD48a2V5d29yZD5DbGFzcyBkaXN0aW5jdGlvbjwva2V5d29yZD48a2V5d29yZD5DbGFzc2Vz
LCBTb2NpYWw8L2tleXdvcmQ+PGtleXdvcmQ+UmFuazwva2V5d29yZD48a2V5d29yZD5DYXN0ZTwv
a2V5d29yZD48a2V5d29yZD5Fc3RhdGVzIChTb2NpYWwgb3JkZXJzKTwva2V5d29yZD48a2V5d29y
ZD5Tb2NpYWwgc3RhdHVzPC9rZXl3b3JkPjxrZXl3b3JkPkNsYXNzIGNvbnNjaW91c25lc3M8L2tl
eXdvcmQ+PGtleXdvcmQ+Q2xhc3Npc208L2tleXdvcmQ+PGtleXdvcmQ+U29jaWFsIHN0cmF0aWZp
Y2F0aW9uPC9rZXl3b3JkPjxrZXl3b3JkPkh1bWFuIGludGVyYWN0aW9uPC9rZXl3b3JkPjxrZXl3
b3JkPkludGVyYWN0aW9uLCBTb2NpYWw8L2tleXdvcmQ+PGtleXdvcmQ+U3ltYm9saWMgaW50ZXJh
Y3Rpb248L2tleXdvcmQ+PGtleXdvcmQ+RXhjaGFuZ2UgdGhlb3J5IChTb2Npb2xvZ3kpPC9rZXl3
b3JkPjxrZXl3b3JkPlBzeWNob2xvZ3k8L2tleXdvcmQ+PGtleXdvcmQ+U29jaWFsIHBzeWNob2xv
Z3k8L2tleXdvcmQ+PGtleXdvcmQ+QWxpZW5hdGlvbiwgU29jaWFsPC9rZXl3b3JkPjxrZXl3b3Jk
PkRpc2FmZmVjdGlvbiAoU29jaWFsIHBzeWNob2xvZ3kpPC9rZXl3b3JkPjxrZXl3b3JkPkVzdHJh
bmdlbWVudCAoU29jaWFsIHBzeWNob2xvZ3kpPC9rZXl3b3JkPjxrZXl3b3JkPlJlYmVscyAoU29j
aWFsIHBzeWNob2xvZ3kpPC9rZXl3b3JkPjxrZXl3b3JkPlNvY2lhbCBhbGllbmF0aW9uPC9rZXl3
b3JkPjxrZXl3b3JkPlNvY2lhbCBwc3ljaG9sb2d5PC9rZXl3b3JkPjxrZXl3b3JkPlNvY2lhbCBp
c29sYXRpb248L2tleXdvcmQ+PGtleXdvcmQ+T3JnYW5pemF0aW9uLCBTb2NpYWw8L2tleXdvcmQ+
PGtleXdvcmQ+U29jaWFsIG9yZ2FuaXphdGlvbjwva2V5d29yZD48a2V5d29yZD5BbnRocm9wb2xv
Z3k8L2tleXdvcmQ+PGtleXdvcmQ+U29jaW9sb2d5PC9rZXl3b3JkPjxrZXl3b3JkPlNvY2lhbCBp
bnN0aXR1dGlvbnM8L2tleXdvcmQ+PC9rZXl3b3Jkcz48dGl0bGVzPjx0aXRsZT5UaGUgRXN0YWJs
aXNoZWQgYW5kIHRoZSBPdXRzaWRlcnM6IEEgU29jaW9sb2dpY2FsIEVucXVpcnkgaW50byBDb21t
dW5pdHkgUHJvYmxlbXM8L3RpdGxlPjwvdGl0bGVzPjxjb250cmlidXRvcnM+PGF1dGhvcnM+PGF1
dGhvcj5FbGlhcywgTm9yYmVydDwvYXV0aG9yPjwvYXV0aG9ycz48L2NvbnRyaWJ1dG9ycz48ZWRp
dGlvbj4ybmQgZWQuPC9lZGl0aW9uPjxhZGRlZC1kYXRlIGZvcm1hdD0idXRjIj4xNTI3OTM4NTU0
PC9hZGRlZC1kYXRlPjxwdWItbG9jYXRpb24+TG9uZG9uPC9wdWItbG9jYXRpb24+PHJlZi10eXBl
IG5hbWU9IkJvb2siPjY8L3JlZi10eXBlPjxkYXRlcz48eWVhcj4xOTk0PC95ZWFyPjwvZGF0ZXM+
PHJlYy1udW1iZXI+NzU0MDwvcmVjLW51bWJlcj48cHVibGlzaGVyPlNBR0U8L3B1Ymxpc2hlcj48
bGFzdC11cGRhdGVkLWRhdGUgZm9ybWF0PSJ1dGMiPjE1Mjc5NDc3NjE8L2xhc3QtdXBkYXRlZC1k
YXRlPjxjb250cmlidXRvcnM+PHNlY29uZGFyeS1hdXRob3JzPjxhdXRob3I+U2NvdHNvbiwgSm9o
biBMLjwvYXV0aG9yPjxhdXRob3I+U2NvdHNvbiwgSi4gTC48L2F1dGhvcj48L3NlY29uZGFyeS1h
dXRob3JzPjwvY29udHJpYnV0b3JzPjwvcmVjb3JkPjwvQ2l0ZT48Q2l0ZT48QXV0aG9yPlBlcmtp
bjwvQXV0aG9yPjxZZWFyPjE5ODQ8L1llYXI+PElEVGV4dD5UaGUgSGlzdG9yaWNhbCBQZXJzcGVj
dGl2ZTwvSURUZXh0PjxyZWNvcmQ+PGtleXdvcmRzPjxrZXl3b3JkPkVkdWNhdGlvbiwgSGlnaGVy
IC0tIENvbmdyZXNzZXM8L2tleXdvcmQ+PGtleXdvcmQ+SGlnaGVyIGVkdWNhdGlvbjwva2V5d29y
ZD48L2tleXdvcmRzPjx0aXRsZXM+PHRpdGxlPlRoZSBIaXN0b3JpY2FsIFBlcnNwZWN0aXZlPC90
aXRsZT48c2Vjb25kYXJ5LXRpdGxlPlBlcnNwZWN0aXZlcyBvbiBoaWdoZXIgZWR1Y2F0aW9uOiBl
aWdodCBkaXNjaXBsaW5hcnkgYW5kIGNvbXBhcmF0aXZlIHZpZXdzPC9zZWNvbmRhcnktdGl0bGU+
PC90aXRsZXM+PGNvbnRyaWJ1dG9ycz48YXV0aG9ycz48YXV0aG9yPlBlcmtpbiwgSGFyb2xkPC9h
dXRob3I+PC9hdXRob3JzPjwvY29udHJpYnV0b3JzPjxhZGRlZC1kYXRlIGZvcm1hdD0idXRjIj4x
NTI3OTg0OTMzPC9hZGRlZC1kYXRlPjxwdWItbG9jYXRpb24+TG9uZG9uPC9wdWItbG9jYXRpb24+
PHJlZi10eXBlIG5hbWU9IkJvb2sgU2VjdGlvbiI+NTwvcmVmLXR5cGU+PGRhdGVzPjx5ZWFyPjE5
ODQ8L3llYXI+PC9kYXRlcz48cmVjLW51bWJlcj43NTQ1PC9yZWMtbnVtYmVyPjxwdWJsaXNoZXI+
VW5pdmVyc2l0eSBvZiBDYWxpZm9ybmlhIFByZXNzPC9wdWJsaXNoZXI+PGxhc3QtdXBkYXRlZC1k
YXRlIGZvcm1hdD0idXRjIj4xNTI4MDY3MjE0PC9sYXN0LXVwZGF0ZWQtZGF0ZT48Y29udHJpYnV0
b3JzPjxzZWNvbmRhcnktYXV0aG9ycz48YXV0aG9yPkNsYXJrLCBCdXJ0b24gUi48L2F1dGhvcj48
L3NlY29uZGFyeS1hdXRob3JzPjwvY29udHJpYnV0b3JzPjwvcmVjb3JkPjwvQ2l0ZT48L0VuZE5v
dGU+AG==
</w:fldData>
        </w:fldChar>
      </w:r>
      <w:r w:rsidR="008D40C0">
        <w:rPr>
          <w:rFonts w:ascii="Times New Roman" w:hAnsi="Times New Roman"/>
          <w:iCs/>
          <w:sz w:val="24"/>
          <w:szCs w:val="24"/>
        </w:rPr>
        <w:instrText xml:space="preserve"> ADDIN EN.CITE </w:instrText>
      </w:r>
      <w:r w:rsidR="008D40C0">
        <w:rPr>
          <w:rFonts w:ascii="Times New Roman" w:hAnsi="Times New Roman"/>
          <w:iCs/>
          <w:sz w:val="24"/>
          <w:szCs w:val="24"/>
        </w:rPr>
        <w:fldChar w:fldCharType="begin">
          <w:fldData xml:space="preserve">PEVuZE5vdGU+PENpdGU+PEF1dGhvcj5CZW4tRGF2aWQ8L0F1dGhvcj48WWVhcj4xOTYyPC9ZZWFy
PjxJRFRleHQ+VW5pdmVyc2l0aWVzIGFuZCBBY2FkZW1pYyBTeXN0ZW1zIGluIE1vZGVybiBTb2Np
ZXRpZXM8L0lEVGV4dD48RGlzcGxheVRleHQ+KEJlbi1EYXZpZCwgMTk3MSwgMTk3NzsgQmVuLURh
dmlkICZhbXA7IFpsb2N6b3dlciwgMTk2MjsgRWxpYXMsIDE5ODIsIDE5OTQ7IFBlcmtpbiwgMTk4
NDsgU2Nod2FydHptYW4sIDE5ODQpPC9EaXNwbGF5VGV4dD48cmVjb3JkPjxrZXl3b3Jkcz48a2V5
d29yZD5BY2FkZW1pYy9BY2FkZW1pY3MvQWNhZGVteS9BY2FkZW1pYTwva2V5d29yZD48a2V5d29y
ZD5GcmFuY2UvRnJlbmNoPC9rZXl3b3JkPjxrZXl3b3JkPkdlcm1hbi9HZXJtYW55L0dlcm1hbnM8
L2tleXdvcmQ+PGtleXdvcmQ+R3JlYXQgQnJpdGFpbiAoU2VlIEFsc28gQnJpdGFpbiwgRW5nbGFu
ZCwgVUspPC9rZXl3b3JkPjxrZXl3b3JkPk1vZGVybi9Nb2Rlcm5pdHkvTW9kZXJuaXNtLyBNb2Rl
cm5pc3QvIE1vZGVybmlzdHMvIE1vZGVybml6aW5nPC9rZXl3b3JkPjxrZXl3b3JkPlNvY2lldHkv
U29jaWV0aWVzPC9rZXl3b3JkPjxrZXl3b3JkPlN5c3RlbS9TeXN0ZW1zPC9rZXl3b3JkPjxrZXl3
b3JkPlVuaW9uIG9mIFNvdmlldCBTb2NpYWxpc3QgUmVwdWJsaWNzL1VTU1IgKFNlZSBBbHNvIFJ1
c3NpYSwgU292aWV0KTwva2V5d29yZD48a2V5d29yZD5Vbml0ZWQgU3RhdGVzL1VzPC9rZXl3b3Jk
PjxrZXl3b3JkPlVuaXZlcnNpdHkvVW5pdmVyc2l0aWVzPC9rZXl3b3JkPjxrZXl3b3JkPlNvY2lv
bG9neSBvZiBFZHVjYXRpb248L2tleXdvcmQ+PGtleXdvcmQ+U29jaW9sb2d5IG9mIEVkdWNhdGlv
bjwva2V5d29yZD48a2V5d29yZD5BcnRpY2xlPC9rZXl3b3JkPjxrZXl3b3JkPkFjYWRlbWljIDog
U3lzdGVtcyBJbiBNb2Rlcm4gU29jaWV0aWVzLDwva2V5d29yZD48a2V5d29yZD5GcmFuY2UgOiBV
bml2ZXJzaXR5IFN5c3RlbSBJbiw8L2tleXdvcmQ+PGtleXdvcmQ+R2VybWFuIDogVW5pdmVyc2l0
eSBTeXN0ZW0gSW4sPC9rZXl3b3JkPjxrZXl3b3JkPkdyZWF0IEJyaXRhaW4gOiBVbml2ZXJzaXR5
IFN5c3RlbSBJbiw8L2tleXdvcmQ+PGtleXdvcmQ+TW9kZXJuIDogU29jaWV0aWVzLCBVbml2ZXJz
aXRpZXMgJmFtcDsgQWNhZGVtaWMgU3lzdGVtcyBJbiw8L2tleXdvcmQ+PGtleXdvcmQ+U29jaWV0
eSA6IE1vZGVybiwgVW5pdmVyc2l0aWVzICZhbXA7IEFjYWRlbWljIFN5c3RlbXMgSW4sPC9rZXl3
b3JkPjxrZXl3b3JkPlN5c3RlbSA6IFVuaXZlcnNpdHksIEluIEdlcm1hbnksIEdyZWF0IEJyaXRh
aW4sIFVzLCBGcmFuY2UgJmFtcDsgVVNTUiw8L2tleXdvcmQ+PGtleXdvcmQ+VW5pb24gT2YgU292
aWV0IFNvY2lhbGlzdCBSZXB1YmxpY3MgOiBVbml2ZXJzaXR5IFN5c3RlbSBJbiw8L2tleXdvcmQ+
PGtleXdvcmQ+VW5pdGVkIFN0YXRlcyA6IFVuaXZlcnNpdHkgU3lzdGVtIEluLDwva2V5d29yZD48
a2V5d29yZD5Vbml2ZXJzaXR5IDogU3lzdGVtcyBJbiBHZXJtYW55LCBHcmVhdCBCcml0YWluLCBV
cywgRnJhbmNlICZhbXA7IFVTU1IsPC9rZXl3b3JkPjwva2V5d29yZHM+PGlzYm4+MDAwMy05NzU2
PC9pc2JuPjx0aXRsZXM+PHRpdGxlPlVuaXZlcnNpdGllcyBhbmQgQWNhZGVtaWMgU3lzdGVtcyBp
biBNb2Rlcm4gU29jaWV0aWVzPC90aXRsZT48c2Vjb25kYXJ5LXRpdGxlPkFyY2hpdmVzIG9mIEV1
cm9wZWFuIFNvY2lvbG9neTwvc2Vjb25kYXJ5LXRpdGxlPjwvdGl0bGVzPjxwYWdlcz40NS04NDwv
cGFnZXM+PG51bWJlcj4xPC9udW1iZXI+PGNvbnRyaWJ1dG9ycz48YXV0aG9ycz48YXV0aG9yPkJl
bi1EYXZpZCwgSm9zZXBoPC9hdXRob3I+PGF1dGhvcj5abG9jem93ZXIsIEF3cmFoYW08L2F1dGhv
cj48L2F1dGhvcnM+PC9jb250cmlidXRvcnM+PGFkZGVkLWRhdGUgZm9ybWF0PSJ1dGMiPjE1Mjgw
NTk3NDk8L2FkZGVkLWRhdGU+PHJlZi10eXBlIG5hbWU9IkpvdXJuYWwgQXJ0aWNsZSI+MTc8L3Jl
Zi10eXBlPjxkYXRlcz48eWVhcj4xOTYyPC95ZWFyPjwvZGF0ZXM+PHJlYy1udW1iZXI+NzU1MDwv
cmVjLW51bWJlcj48bGFzdC11cGRhdGVkLWRhdGUgZm9ybWF0PSJ1dGMiPjE1MjgwNjAxOTQ8L2xh
c3QtdXBkYXRlZC1kYXRlPjxlbGVjdHJvbmljLXJlc291cmNlLW51bT4xMC4xMDE3L1MwMDAzOTc1
NjAwMDAwNTI3PC9lbGVjdHJvbmljLXJlc291cmNlLW51bT48dm9sdW1lPjM8L3ZvbHVtZT48L3Jl
Y29yZD48L0NpdGU+PENpdGU+PEF1dGhvcj5CZW4tRGF2aWQ8L0F1dGhvcj48WWVhcj4xOTcxPC9Z
ZWFyPjxJRFRleHQ+VGhlIHNjaWVudGlzdCZhcG9zO3Mgcm9sZSBpbiBzb2NpZXR5OiBhIGNvbXBh
cmF0aXZlIHN0dWR5PC9JRFRleHQ+PHJlY29yZD48a2V5d29yZHM+PGtleXdvcmQ+U2NpZW50aXN0
czwva2V5d29yZD48a2V5d29yZD5TY2llbnRpc3RzPC9rZXl3b3JkPjxrZXl3b3JkPlNjaWVuY2Ug
YW5kIGNpdmlsaXphdGlvbjwva2V5d29yZD48a2V5d29yZD5TY2llbmNlIGFuZCBjaXZpbGl6YXRp
b248L2tleXdvcmQ+PGtleXdvcmQ+Q2l2aWxpemF0aW9uIGFuZCBzY2llbmNlPC9rZXl3b3JkPjxr
ZXl3b3JkPkhpc3RvcnkgYW5kIHNjaWVuY2U8L2tleXdvcmQ+PGtleXdvcmQ+U2NpZW5jZSBhbmQg
aGlzdG9yeTwva2V5d29yZD48a2V5d29yZD5TY2llbmNlIGFuZCBzb2NpZXR5PC9rZXl3b3JkPjxr
ZXl3b3JkPlByb2dyZXNzPC9rZXl3b3JkPjxrZXl3b3JkPlByb2Zlc3Npb25zPC9rZXl3b3JkPjxr
ZXl3b3JkPlNvY2lldHkgUm9sZSBvZiBzY2llbnRpc3RzPC9rZXl3b3JkPjwva2V5d29yZHM+PHRp
dGxlcz48dGl0bGU+VGhlIHNjaWVudGlzdCZhcG9zO3Mgcm9sZSBpbiBzb2NpZXR5OiBhIGNvbXBh
cmF0aXZlIHN0dWR5PC90aXRsZT48L3RpdGxlcz48Y29udHJpYnV0b3JzPjxhdXRob3JzPjxhdXRo
b3I+QmVuLURhdmlkLCBKb3NlcGg8L2F1dGhvcj48L2F1dGhvcnM+PC9jb250cmlidXRvcnM+PGFk
ZGVkLWRhdGUgZm9ybWF0PSJ1dGMiPjE1MjM2NDI3NzU8L2FkZGVkLWRhdGU+PHB1Yi1sb2NhdGlv
bj5FbmdsZXdvb2QgQ2xpZmZzPC9wdWItbG9jYXRpb24+PHJlZi10eXBlIG5hbWU9IkJvb2siPjY8
L3JlZi10eXBlPjxkYXRlcz48eWVhcj4xOTcxPC95ZWFyPjwvZGF0ZXM+PHJlYy1udW1iZXI+NzQ4
MjwvcmVjLW51bWJlcj48cHVibGlzaGVyPlByZW50aWNlLUhhbGw8L3B1Ymxpc2hlcj48bGFzdC11
cGRhdGVkLWRhdGUgZm9ybWF0PSJ1dGMiPjE1MjM2NDM1ODk8L2xhc3QtdXBkYXRlZC1kYXRlPjwv
cmVjb3JkPjwvQ2l0ZT48Q2l0ZT48QXV0aG9yPkJlbi1EYXZpZDwvQXV0aG9yPjxZZWFyPjE5Nzc8
L1llYXI+PElEVGV4dD5DZW50cmVzIG9mIExlYXJuaW5nOiBCcml0YWluLCBGcmFuY2UsIEdlcm1h
bnksIFVuaXRlZCBTdGF0ZXM8L0lEVGV4dD48cmVjb3JkPjx0aXRsZXM+PHRpdGxlPkNlbnRyZXMg
b2YgTGVhcm5pbmc6IEJyaXRhaW4sIEZyYW5jZSwgR2VybWFueSwgVW5pdGVkIFN0YXRlczwvdGl0
bGU+PC90aXRsZXM+PGNvbnRyaWJ1dG9ycz48YXV0aG9ycz48YXV0aG9yPkJlbi1EYXZpZCwgSm9z
ZXBoPC9hdXRob3I+PC9hdXRob3JzPjwvY29udHJpYnV0b3JzPjxhZGRlZC1kYXRlIGZvcm1hdD0i
dXRjIj4xNTIzNjQ5OTgzPC9hZGRlZC1kYXRlPjxwdWItbG9jYXRpb24+TmV3IFlvcms8L3B1Yi1s
b2NhdGlvbj48cmVmLXR5cGUgbmFtZT0iQm9vayI+NjwvcmVmLXR5cGU+PGRhdGVzPjx5ZWFyPjE5
Nzc8L3llYXI+PC9kYXRlcz48cmVjLW51bWJlcj43NDg0PC9yZWMtbnVtYmVyPjxwdWJsaXNoZXI+
TWNHcmF3IEhpbGw8L3B1Ymxpc2hlcj48bGFzdC11cGRhdGVkLWRhdGUgZm9ybWF0PSJ1dGMiPjE1
MjM2NTAyOTg8L2xhc3QtdXBkYXRlZC1kYXRlPjwvcmVjb3JkPjwvQ2l0ZT48Q2l0ZT48QXV0aG9y
PlNjaHdhcnR6bWFuPC9BdXRob3I+PFllYXI+MTk4NDwvWWVhcj48SURUZXh0PlRoZSBGb2N1cyBv
biBTY2llbnRpZmljIEFjdGl2aXR5PC9JRFRleHQ+PHJlY29yZD48a2V5d29yZHM+PGtleXdvcmQ+
RWR1Y2F0aW9uLCBIaWdoZXIgLS0gQ29uZ3Jlc3Nlczwva2V5d29yZD48a2V5d29yZD5IaWdoZXIg
ZWR1Y2F0aW9uPC9rZXl3b3JkPjwva2V5d29yZHM+PHRpdGxlcz48dGl0bGU+VGhlIEZvY3VzIG9u
IFNjaWVudGlmaWMgQWN0aXZpdHk8L3RpdGxlPjxzZWNvbmRhcnktdGl0bGU+UGVyc3BlY3RpdmVz
IG9uIGhpZ2hlciBlZHVjYXRpb246IGVpZ2h0IGRpc2NpcGxpbmFyeSBhbmQgY29tcGFyYXRpdmUg
dmlld3M8L3NlY29uZGFyeS10aXRsZT48L3RpdGxlcz48Y29udHJpYnV0b3JzPjxhdXRob3JzPjxh
dXRob3I+U2Nod2FydHptYW4sIFNpbW9uPC9hdXRob3I+PC9hdXRob3JzPjwvY29udHJpYnV0b3Jz
PjxhZGRlZC1kYXRlIGZvcm1hdD0idXRjIj4xNTI3OTg0ODEyPC9hZGRlZC1kYXRlPjxwdWItbG9j
YXRpb24+TG9uZG9uPC9wdWItbG9jYXRpb24+PHJlZi10eXBlIG5hbWU9IkJvb2sgU2VjdGlvbiI+
NTwvcmVmLXR5cGU+PGRhdGVzPjx5ZWFyPjE5ODQ8L3llYXI+PC9kYXRlcz48cmVjLW51bWJlcj43
NTQ0PC9yZWMtbnVtYmVyPjxwdWJsaXNoZXI+VW5pdmVyc2l0eSBvZiBDYWxpZm9ybmlhIFByZXNz
PC9wdWJsaXNoZXI+PGxhc3QtdXBkYXRlZC1kYXRlIGZvcm1hdD0idXRjIj4xNTI3OTg1MzkyPC9s
YXN0LXVwZGF0ZWQtZGF0ZT48Y29udHJpYnV0b3JzPjxzZWNvbmRhcnktYXV0aG9ycz48YXV0aG9y
PkNsYXJrLCBCdXJ0b24gUi48L2F1dGhvcj48L3NlY29uZGFyeS1hdXRob3JzPjwvY29udHJpYnV0
b3JzPjwvcmVjb3JkPjwvQ2l0ZT48Q2l0ZT48QXV0aG9yPkVsaWFzPC9BdXRob3I+PFllYXI+MTk4
MjwvWWVhcj48SURUZXh0PlNjaWVudGlmaWMgRXN0YWJsaXNobWVudHM8L0lEVGV4dD48cmVjb3Jk
Pjx1cmxzPjxyZWxhdGVkLXVybHM+PHVybD5odHRwczovL2Jvb2tzLmdvb2dsZS5jby51ay9ib29r
cz9pZD1yQ3J6TmpCcmZrMEM8L3VybD48L3JlbGF0ZWQtdXJscz48L3VybHM+PGlzYm4+OTc4OTAy
NzcxMzIzMDwvaXNibj48dGl0bGVzPjx0aXRsZT5TY2llbnRpZmljIEVzdGFibGlzaG1lbnRzPC90
aXRsZT48c2Vjb25kYXJ5LXRpdGxlPlNjaWVudGlmaWMgRXN0YWJsaXNobWVudHMgYW5kIEhpZXJh
cmNoaWVzPC9zZWNvbmRhcnktdGl0bGU+PC90aXRsZXM+PGNvbnRyaWJ1dG9ycz48YXV0aG9ycz48
YXV0aG9yPkVsaWFzLCBOb3JiZXJ0PC9hdXRob3I+PC9hdXRob3JzPjwvY29udHJpYnV0b3JzPjxh
ZGRlZC1kYXRlIGZvcm1hdD0idXRjIj4xNTI3ODkzNDg0PC9hZGRlZC1kYXRlPjxwdWItbG9jYXRp
b24+TG9uZG9uPC9wdWItbG9jYXRpb24+PHJlZi10eXBlIG5hbWU9IkJvb2sgU2VjdGlvbiI+NTwv
cmVmLXR5cGU+PGRhdGVzPjx5ZWFyPjE5ODI8L3llYXI+PC9kYXRlcz48cmVjLW51bWJlcj43NTM5
PC9yZWMtbnVtYmVyPjxwdWJsaXNoZXI+U3ByaW5nZXI8L3B1Ymxpc2hlcj48bGFzdC11cGRhdGVk
LWRhdGUgZm9ybWF0PSJ1dGMiPjE1Mjc4OTM1OTM8L2xhc3QtdXBkYXRlZC1kYXRlPjxjb250cmli
dXRvcnM+PHNlY29uZGFyeS1hdXRob3JzPjxhdXRob3I+RWxpYXMsIE5vcmJlcnQ8L2F1dGhvcj48
YXV0aG9yPk1hcnRpbnMsIEguPC9hdXRob3I+PGF1dGhvcj5XaGl0bGV5LCBSaWNoYXJkPC9hdXRo
b3I+PC9zZWNvbmRhcnktYXV0aG9ycz48L2NvbnRyaWJ1dG9ycz48L3JlY29yZD48L0NpdGU+PENp
dGU+PEF1dGhvcj5FbGlhczwvQXV0aG9yPjxZZWFyPjE5OTQ8L1llYXI+PElEVGV4dD5UaGUgRXN0
YWJsaXNoZWQgYW5kIHRoZSBPdXRzaWRlcnM6IEEgU29jaW9sb2dpY2FsIEVucXVpcnkgaW50byBD
b21tdW5pdHkgUHJvYmxlbXM8L0lEVGV4dD48cmVjb3JkPjxrZXl3b3Jkcz48a2V5d29yZD5Tb2Np
YWwgY2xhc3NlcyAtLSBFbmdsYW5kIC0tIE1pZGxhbmRzPC9rZXl3b3JkPjxrZXl3b3JkPlNvY2lh
bCBzdHJ1Y3R1cmUgLS0gRW5nbGFuZCAtLSBNaWRsYW5kczwva2V5d29yZD48a2V5d29yZD5BbGll
bmF0aW9uIChTb2NpYWwgcHN5Y2hvbG9neSkgLS0gRW5nbGFuZCAtLSBNaWRsYW5kczwva2V5d29y
ZD48a2V5d29yZD5Tb2NpYWwgaW50ZXJhY3Rpb24gLS0gRW5nbGFuZCAtLSBNaWRsYW5kczwva2V5
d29yZD48a2V5d29yZD5DbGFzcyBkaXN0aW5jdGlvbjwva2V5d29yZD48a2V5d29yZD5DbGFzc2Vz
LCBTb2NpYWw8L2tleXdvcmQ+PGtleXdvcmQ+UmFuazwva2V5d29yZD48a2V5d29yZD5DYXN0ZTwv
a2V5d29yZD48a2V5d29yZD5Fc3RhdGVzIChTb2NpYWwgb3JkZXJzKTwva2V5d29yZD48a2V5d29y
ZD5Tb2NpYWwgc3RhdHVzPC9rZXl3b3JkPjxrZXl3b3JkPkNsYXNzIGNvbnNjaW91c25lc3M8L2tl
eXdvcmQ+PGtleXdvcmQ+Q2xhc3Npc208L2tleXdvcmQ+PGtleXdvcmQ+U29jaWFsIHN0cmF0aWZp
Y2F0aW9uPC9rZXl3b3JkPjxrZXl3b3JkPkh1bWFuIGludGVyYWN0aW9uPC9rZXl3b3JkPjxrZXl3
b3JkPkludGVyYWN0aW9uLCBTb2NpYWw8L2tleXdvcmQ+PGtleXdvcmQ+U3ltYm9saWMgaW50ZXJh
Y3Rpb248L2tleXdvcmQ+PGtleXdvcmQ+RXhjaGFuZ2UgdGhlb3J5IChTb2Npb2xvZ3kpPC9rZXl3
b3JkPjxrZXl3b3JkPlBzeWNob2xvZ3k8L2tleXdvcmQ+PGtleXdvcmQ+U29jaWFsIHBzeWNob2xv
Z3k8L2tleXdvcmQ+PGtleXdvcmQ+QWxpZW5hdGlvbiwgU29jaWFsPC9rZXl3b3JkPjxrZXl3b3Jk
PkRpc2FmZmVjdGlvbiAoU29jaWFsIHBzeWNob2xvZ3kpPC9rZXl3b3JkPjxrZXl3b3JkPkVzdHJh
bmdlbWVudCAoU29jaWFsIHBzeWNob2xvZ3kpPC9rZXl3b3JkPjxrZXl3b3JkPlJlYmVscyAoU29j
aWFsIHBzeWNob2xvZ3kpPC9rZXl3b3JkPjxrZXl3b3JkPlNvY2lhbCBhbGllbmF0aW9uPC9rZXl3
b3JkPjxrZXl3b3JkPlNvY2lhbCBwc3ljaG9sb2d5PC9rZXl3b3JkPjxrZXl3b3JkPlNvY2lhbCBp
c29sYXRpb248L2tleXdvcmQ+PGtleXdvcmQ+T3JnYW5pemF0aW9uLCBTb2NpYWw8L2tleXdvcmQ+
PGtleXdvcmQ+U29jaWFsIG9yZ2FuaXphdGlvbjwva2V5d29yZD48a2V5d29yZD5BbnRocm9wb2xv
Z3k8L2tleXdvcmQ+PGtleXdvcmQ+U29jaW9sb2d5PC9rZXl3b3JkPjxrZXl3b3JkPlNvY2lhbCBp
bnN0aXR1dGlvbnM8L2tleXdvcmQ+PC9rZXl3b3Jkcz48dGl0bGVzPjx0aXRsZT5UaGUgRXN0YWJs
aXNoZWQgYW5kIHRoZSBPdXRzaWRlcnM6IEEgU29jaW9sb2dpY2FsIEVucXVpcnkgaW50byBDb21t
dW5pdHkgUHJvYmxlbXM8L3RpdGxlPjwvdGl0bGVzPjxjb250cmlidXRvcnM+PGF1dGhvcnM+PGF1
dGhvcj5FbGlhcywgTm9yYmVydDwvYXV0aG9yPjwvYXV0aG9ycz48L2NvbnRyaWJ1dG9ycz48ZWRp
dGlvbj4ybmQgZWQuPC9lZGl0aW9uPjxhZGRlZC1kYXRlIGZvcm1hdD0idXRjIj4xNTI3OTM4NTU0
PC9hZGRlZC1kYXRlPjxwdWItbG9jYXRpb24+TG9uZG9uPC9wdWItbG9jYXRpb24+PHJlZi10eXBl
IG5hbWU9IkJvb2siPjY8L3JlZi10eXBlPjxkYXRlcz48eWVhcj4xOTk0PC95ZWFyPjwvZGF0ZXM+
PHJlYy1udW1iZXI+NzU0MDwvcmVjLW51bWJlcj48cHVibGlzaGVyPlNBR0U8L3B1Ymxpc2hlcj48
bGFzdC11cGRhdGVkLWRhdGUgZm9ybWF0PSJ1dGMiPjE1Mjc5NDc3NjE8L2xhc3QtdXBkYXRlZC1k
YXRlPjxjb250cmlidXRvcnM+PHNlY29uZGFyeS1hdXRob3JzPjxhdXRob3I+U2NvdHNvbiwgSm9o
biBMLjwvYXV0aG9yPjxhdXRob3I+U2NvdHNvbiwgSi4gTC48L2F1dGhvcj48L3NlY29uZGFyeS1h
dXRob3JzPjwvY29udHJpYnV0b3JzPjwvcmVjb3JkPjwvQ2l0ZT48Q2l0ZT48QXV0aG9yPlBlcmtp
bjwvQXV0aG9yPjxZZWFyPjE5ODQ8L1llYXI+PElEVGV4dD5UaGUgSGlzdG9yaWNhbCBQZXJzcGVj
dGl2ZTwvSURUZXh0PjxyZWNvcmQ+PGtleXdvcmRzPjxrZXl3b3JkPkVkdWNhdGlvbiwgSGlnaGVy
IC0tIENvbmdyZXNzZXM8L2tleXdvcmQ+PGtleXdvcmQ+SGlnaGVyIGVkdWNhdGlvbjwva2V5d29y
ZD48L2tleXdvcmRzPjx0aXRsZXM+PHRpdGxlPlRoZSBIaXN0b3JpY2FsIFBlcnNwZWN0aXZlPC90
aXRsZT48c2Vjb25kYXJ5LXRpdGxlPlBlcnNwZWN0aXZlcyBvbiBoaWdoZXIgZWR1Y2F0aW9uOiBl
aWdodCBkaXNjaXBsaW5hcnkgYW5kIGNvbXBhcmF0aXZlIHZpZXdzPC9zZWNvbmRhcnktdGl0bGU+
PC90aXRsZXM+PGNvbnRyaWJ1dG9ycz48YXV0aG9ycz48YXV0aG9yPlBlcmtpbiwgSGFyb2xkPC9h
dXRob3I+PC9hdXRob3JzPjwvY29udHJpYnV0b3JzPjxhZGRlZC1kYXRlIGZvcm1hdD0idXRjIj4x
NTI3OTg0OTMzPC9hZGRlZC1kYXRlPjxwdWItbG9jYXRpb24+TG9uZG9uPC9wdWItbG9jYXRpb24+
PHJlZi10eXBlIG5hbWU9IkJvb2sgU2VjdGlvbiI+NTwvcmVmLXR5cGU+PGRhdGVzPjx5ZWFyPjE5
ODQ8L3llYXI+PC9kYXRlcz48cmVjLW51bWJlcj43NTQ1PC9yZWMtbnVtYmVyPjxwdWJsaXNoZXI+
VW5pdmVyc2l0eSBvZiBDYWxpZm9ybmlhIFByZXNzPC9wdWJsaXNoZXI+PGxhc3QtdXBkYXRlZC1k
YXRlIGZvcm1hdD0idXRjIj4xNTI4MDY3MjE0PC9sYXN0LXVwZGF0ZWQtZGF0ZT48Y29udHJpYnV0
b3JzPjxzZWNvbmRhcnktYXV0aG9ycz48YXV0aG9yPkNsYXJrLCBCdXJ0b24gUi48L2F1dGhvcj48
L3NlY29uZGFyeS1hdXRob3JzPjwvY29udHJpYnV0b3JzPjwvcmVjb3JkPjwvQ2l0ZT48L0VuZE5v
dGU+AG==
</w:fldData>
        </w:fldChar>
      </w:r>
      <w:r w:rsidR="008D40C0">
        <w:rPr>
          <w:rFonts w:ascii="Times New Roman" w:hAnsi="Times New Roman"/>
          <w:iCs/>
          <w:sz w:val="24"/>
          <w:szCs w:val="24"/>
        </w:rPr>
        <w:instrText xml:space="preserve"> ADDIN EN.CITE.DATA </w:instrText>
      </w:r>
      <w:r w:rsidR="008D40C0">
        <w:rPr>
          <w:rFonts w:ascii="Times New Roman" w:hAnsi="Times New Roman"/>
          <w:iCs/>
          <w:sz w:val="24"/>
          <w:szCs w:val="24"/>
        </w:rPr>
      </w:r>
      <w:r w:rsidR="008D40C0">
        <w:rPr>
          <w:rFonts w:ascii="Times New Roman" w:hAnsi="Times New Roman"/>
          <w:iCs/>
          <w:sz w:val="24"/>
          <w:szCs w:val="24"/>
        </w:rPr>
        <w:fldChar w:fldCharType="end"/>
      </w:r>
      <w:r w:rsidR="004C7EA0" w:rsidRPr="00891D2A">
        <w:rPr>
          <w:rFonts w:ascii="Times New Roman" w:hAnsi="Times New Roman"/>
          <w:iCs/>
          <w:sz w:val="24"/>
          <w:szCs w:val="24"/>
        </w:rPr>
      </w:r>
      <w:r w:rsidR="004C7EA0" w:rsidRPr="00891D2A">
        <w:rPr>
          <w:rFonts w:ascii="Times New Roman" w:hAnsi="Times New Roman"/>
          <w:iCs/>
          <w:sz w:val="24"/>
          <w:szCs w:val="24"/>
        </w:rPr>
        <w:fldChar w:fldCharType="separate"/>
      </w:r>
      <w:r w:rsidR="008D40C0">
        <w:rPr>
          <w:rFonts w:ascii="Times New Roman" w:hAnsi="Times New Roman"/>
          <w:iCs/>
          <w:noProof/>
          <w:sz w:val="24"/>
          <w:szCs w:val="24"/>
        </w:rPr>
        <w:t>(Ben-David, 1971, 1977; Ben-David &amp; Zloczower, 1962; Elias, 1982, 1994; Perkin, 1984; Schwartzman, 1984)</w:t>
      </w:r>
      <w:r w:rsidR="004C7EA0" w:rsidRPr="00891D2A">
        <w:rPr>
          <w:rFonts w:ascii="Times New Roman" w:hAnsi="Times New Roman"/>
          <w:iCs/>
          <w:sz w:val="24"/>
          <w:szCs w:val="24"/>
        </w:rPr>
        <w:fldChar w:fldCharType="end"/>
      </w:r>
      <w:r w:rsidR="004C7EA0" w:rsidRPr="00891D2A">
        <w:rPr>
          <w:rFonts w:ascii="Times New Roman" w:hAnsi="Times New Roman"/>
          <w:iCs/>
          <w:sz w:val="24"/>
          <w:szCs w:val="24"/>
        </w:rPr>
        <w:t xml:space="preserve">. </w:t>
      </w:r>
      <w:r w:rsidR="002C661D">
        <w:rPr>
          <w:rFonts w:ascii="Times New Roman" w:hAnsi="Times New Roman"/>
          <w:iCs/>
          <w:sz w:val="24"/>
          <w:szCs w:val="24"/>
        </w:rPr>
        <w:t xml:space="preserve">The </w:t>
      </w:r>
      <w:r w:rsidR="002D57F5">
        <w:rPr>
          <w:rFonts w:ascii="Times New Roman" w:hAnsi="Times New Roman"/>
          <w:iCs/>
          <w:sz w:val="24"/>
          <w:szCs w:val="24"/>
        </w:rPr>
        <w:t xml:space="preserve">pertinent point for my purposes </w:t>
      </w:r>
      <w:r w:rsidR="002C661D">
        <w:rPr>
          <w:rFonts w:ascii="Times New Roman" w:hAnsi="Times New Roman"/>
          <w:iCs/>
          <w:sz w:val="24"/>
          <w:szCs w:val="24"/>
        </w:rPr>
        <w:t xml:space="preserve">is not just that students </w:t>
      </w:r>
      <w:r w:rsidR="0030735B">
        <w:rPr>
          <w:rFonts w:ascii="Times New Roman" w:hAnsi="Times New Roman"/>
          <w:iCs/>
          <w:sz w:val="24"/>
          <w:szCs w:val="24"/>
        </w:rPr>
        <w:t xml:space="preserve">contributed somehow to the research or impact. Rather, the more </w:t>
      </w:r>
      <w:r w:rsidR="00072E08">
        <w:rPr>
          <w:rFonts w:ascii="Times New Roman" w:hAnsi="Times New Roman"/>
          <w:iCs/>
          <w:sz w:val="24"/>
          <w:szCs w:val="24"/>
        </w:rPr>
        <w:t xml:space="preserve">pertinent </w:t>
      </w:r>
      <w:r w:rsidR="0030735B">
        <w:rPr>
          <w:rFonts w:ascii="Times New Roman" w:hAnsi="Times New Roman"/>
          <w:iCs/>
          <w:sz w:val="24"/>
          <w:szCs w:val="24"/>
        </w:rPr>
        <w:t>point is that</w:t>
      </w:r>
      <w:r w:rsidR="00FD3181">
        <w:rPr>
          <w:rFonts w:ascii="Times New Roman" w:hAnsi="Times New Roman"/>
          <w:iCs/>
          <w:sz w:val="24"/>
          <w:szCs w:val="24"/>
        </w:rPr>
        <w:t xml:space="preserve"> universities can contribute to their core function of teaching/training by finding ways for students to participate in</w:t>
      </w:r>
      <w:r w:rsidR="004218A6">
        <w:rPr>
          <w:rFonts w:ascii="Times New Roman" w:hAnsi="Times New Roman"/>
          <w:iCs/>
          <w:sz w:val="24"/>
          <w:szCs w:val="24"/>
        </w:rPr>
        <w:t xml:space="preserve"> research-related</w:t>
      </w:r>
      <w:r w:rsidR="00FD3181">
        <w:rPr>
          <w:rFonts w:ascii="Times New Roman" w:hAnsi="Times New Roman"/>
          <w:iCs/>
          <w:sz w:val="24"/>
          <w:szCs w:val="24"/>
        </w:rPr>
        <w:t xml:space="preserve"> boundary transactions. To the extent that they contribute to this teaching/training function, universities’ r</w:t>
      </w:r>
      <w:r w:rsidR="00DB4DDB">
        <w:rPr>
          <w:rFonts w:ascii="Times New Roman" w:hAnsi="Times New Roman"/>
          <w:iCs/>
          <w:sz w:val="24"/>
          <w:szCs w:val="24"/>
        </w:rPr>
        <w:t>esearch-related boundary transactions can contribute to the ongoing legitimising of</w:t>
      </w:r>
      <w:r w:rsidR="00BF4D3A">
        <w:rPr>
          <w:rFonts w:ascii="Times New Roman" w:hAnsi="Times New Roman"/>
          <w:iCs/>
          <w:sz w:val="24"/>
          <w:szCs w:val="24"/>
        </w:rPr>
        <w:t xml:space="preserve"> </w:t>
      </w:r>
      <w:r w:rsidR="00AD5E43">
        <w:rPr>
          <w:rFonts w:ascii="Times New Roman" w:hAnsi="Times New Roman"/>
          <w:iCs/>
          <w:sz w:val="24"/>
          <w:szCs w:val="24"/>
        </w:rPr>
        <w:t xml:space="preserve">its position as </w:t>
      </w:r>
      <w:r w:rsidR="004372A8">
        <w:rPr>
          <w:rFonts w:ascii="Times New Roman" w:hAnsi="Times New Roman"/>
          <w:iCs/>
          <w:sz w:val="24"/>
          <w:szCs w:val="24"/>
        </w:rPr>
        <w:t>society’s key knowledge institution.</w:t>
      </w:r>
      <w:r w:rsidR="00FD3181">
        <w:rPr>
          <w:rFonts w:ascii="Times New Roman" w:hAnsi="Times New Roman"/>
          <w:iCs/>
          <w:sz w:val="24"/>
          <w:szCs w:val="24"/>
        </w:rPr>
        <w:t xml:space="preserve"> </w:t>
      </w:r>
      <w:r w:rsidR="00E41E92">
        <w:rPr>
          <w:rFonts w:ascii="Times New Roman" w:hAnsi="Times New Roman"/>
          <w:iCs/>
          <w:sz w:val="24"/>
          <w:szCs w:val="24"/>
        </w:rPr>
        <w:t>This</w:t>
      </w:r>
      <w:r w:rsidR="00B16CE5">
        <w:rPr>
          <w:rFonts w:ascii="Times New Roman" w:hAnsi="Times New Roman"/>
          <w:iCs/>
          <w:sz w:val="24"/>
          <w:szCs w:val="24"/>
        </w:rPr>
        <w:t xml:space="preserve"> in no way detracts from the concern that students may be vulnerable to exploitation</w:t>
      </w:r>
      <w:r w:rsidR="005B2217">
        <w:rPr>
          <w:rFonts w:ascii="Times New Roman" w:hAnsi="Times New Roman"/>
          <w:iCs/>
          <w:sz w:val="24"/>
          <w:szCs w:val="24"/>
        </w:rPr>
        <w:t>, as has been observed elsewhere</w:t>
      </w:r>
      <w:r w:rsidR="00B16CE5">
        <w:rPr>
          <w:rFonts w:ascii="Times New Roman" w:hAnsi="Times New Roman"/>
          <w:iCs/>
          <w:sz w:val="24"/>
          <w:szCs w:val="24"/>
        </w:rPr>
        <w:t xml:space="preserve"> </w:t>
      </w:r>
      <w:r w:rsidR="002A50EA">
        <w:rPr>
          <w:rFonts w:ascii="Times New Roman" w:hAnsi="Times New Roman"/>
          <w:iCs/>
          <w:sz w:val="24"/>
          <w:szCs w:val="24"/>
        </w:rPr>
        <w:t xml:space="preserve">(Slaughter et al., 2004). </w:t>
      </w:r>
      <w:r w:rsidR="0035443D">
        <w:rPr>
          <w:rFonts w:ascii="Times New Roman" w:hAnsi="Times New Roman"/>
          <w:iCs/>
          <w:sz w:val="24"/>
          <w:szCs w:val="24"/>
        </w:rPr>
        <w:t>The point is simply that one</w:t>
      </w:r>
      <w:r w:rsidR="0035443D">
        <w:rPr>
          <w:rFonts w:ascii="Times New Roman" w:hAnsi="Times New Roman"/>
          <w:i/>
          <w:iCs/>
          <w:sz w:val="24"/>
          <w:szCs w:val="24"/>
        </w:rPr>
        <w:t xml:space="preserve"> </w:t>
      </w:r>
      <w:r w:rsidR="0035443D">
        <w:rPr>
          <w:rFonts w:ascii="Times New Roman" w:hAnsi="Times New Roman"/>
          <w:iCs/>
          <w:sz w:val="24"/>
          <w:szCs w:val="24"/>
        </w:rPr>
        <w:t xml:space="preserve">of the ways in which research-related boundary transactions can serve to reinforce and reproduce academia’s core boundaries is by using these transactions as opportunities to support their students’ education and development. </w:t>
      </w:r>
    </w:p>
    <w:p w14:paraId="7028F1FA" w14:textId="574EF3F1" w:rsidR="00BE2BE6" w:rsidRDefault="005D1F03" w:rsidP="00BE2BE6">
      <w:pPr>
        <w:pStyle w:val="Heading3"/>
      </w:pPr>
      <w:bookmarkStart w:id="217" w:name="_Toc31701994"/>
      <w:r>
        <w:t>The a</w:t>
      </w:r>
      <w:r w:rsidR="00BE2BE6">
        <w:t>cademic trajectory</w:t>
      </w:r>
      <w:bookmarkEnd w:id="217"/>
    </w:p>
    <w:p w14:paraId="3DD1E27D" w14:textId="115F05F1" w:rsidR="00650C38" w:rsidRDefault="00D55178" w:rsidP="00D55178">
      <w:pPr>
        <w:autoSpaceDE w:val="0"/>
        <w:autoSpaceDN w:val="0"/>
        <w:adjustRightInd w:val="0"/>
        <w:spacing w:after="120" w:line="360" w:lineRule="auto"/>
        <w:rPr>
          <w:sz w:val="24"/>
          <w:szCs w:val="24"/>
          <w:lang w:eastAsia="zh-TW"/>
        </w:rPr>
      </w:pPr>
      <w:r>
        <w:rPr>
          <w:sz w:val="24"/>
          <w:szCs w:val="24"/>
          <w:lang w:eastAsia="zh-TW"/>
        </w:rPr>
        <w:t xml:space="preserve">This explanatory theme </w:t>
      </w:r>
      <w:r w:rsidR="006A6C82">
        <w:rPr>
          <w:sz w:val="24"/>
          <w:szCs w:val="24"/>
          <w:lang w:eastAsia="zh-TW"/>
        </w:rPr>
        <w:t>was first highlighted in the</w:t>
      </w:r>
      <w:r>
        <w:rPr>
          <w:sz w:val="24"/>
          <w:szCs w:val="24"/>
          <w:lang w:eastAsia="zh-TW"/>
        </w:rPr>
        <w:t xml:space="preserve"> explanatory analysis presented in Chapter </w:t>
      </w:r>
      <w:r w:rsidR="00984890">
        <w:rPr>
          <w:sz w:val="24"/>
          <w:szCs w:val="24"/>
          <w:lang w:eastAsia="zh-TW"/>
        </w:rPr>
        <w:t>4</w:t>
      </w:r>
      <w:r>
        <w:rPr>
          <w:sz w:val="24"/>
          <w:szCs w:val="24"/>
          <w:lang w:eastAsia="zh-TW"/>
        </w:rPr>
        <w:t xml:space="preserve"> </w:t>
      </w:r>
      <w:r w:rsidR="006A6C82">
        <w:rPr>
          <w:sz w:val="24"/>
          <w:szCs w:val="24"/>
          <w:lang w:eastAsia="zh-TW"/>
        </w:rPr>
        <w:t>in relation to the</w:t>
      </w:r>
      <w:r>
        <w:rPr>
          <w:sz w:val="24"/>
          <w:szCs w:val="24"/>
          <w:lang w:eastAsia="zh-TW"/>
        </w:rPr>
        <w:t xml:space="preserve"> research </w:t>
      </w:r>
      <w:r w:rsidR="006A6C82">
        <w:rPr>
          <w:sz w:val="24"/>
          <w:szCs w:val="24"/>
          <w:lang w:eastAsia="zh-TW"/>
        </w:rPr>
        <w:t xml:space="preserve">sampled </w:t>
      </w:r>
      <w:r>
        <w:rPr>
          <w:sz w:val="24"/>
          <w:szCs w:val="24"/>
          <w:lang w:eastAsia="zh-TW"/>
        </w:rPr>
        <w:t xml:space="preserve">from disciplines categorised as Basic/Applied. </w:t>
      </w:r>
      <w:r w:rsidR="00650C38">
        <w:rPr>
          <w:sz w:val="24"/>
          <w:szCs w:val="24"/>
          <w:lang w:eastAsia="zh-TW"/>
        </w:rPr>
        <w:t>I argued that these illustrate</w:t>
      </w:r>
      <w:r w:rsidR="00650C38">
        <w:rPr>
          <w:sz w:val="24"/>
          <w:szCs w:val="24"/>
        </w:rPr>
        <w:t xml:space="preserve"> academia’s internal drive to continually bring ever more </w:t>
      </w:r>
      <w:r w:rsidR="00A022A5">
        <w:rPr>
          <w:sz w:val="24"/>
          <w:szCs w:val="24"/>
        </w:rPr>
        <w:t>finely classified</w:t>
      </w:r>
      <w:r w:rsidR="00650C38">
        <w:rPr>
          <w:sz w:val="24"/>
          <w:szCs w:val="24"/>
        </w:rPr>
        <w:t xml:space="preserve"> aspects of the world into the domain of academic knowledge.</w:t>
      </w:r>
      <w:r w:rsidR="0002513D" w:rsidRPr="0002513D">
        <w:rPr>
          <w:sz w:val="24"/>
          <w:szCs w:val="24"/>
          <w:lang w:eastAsia="zh-TW"/>
        </w:rPr>
        <w:t xml:space="preserve"> </w:t>
      </w:r>
      <w:r w:rsidR="0002513D">
        <w:rPr>
          <w:sz w:val="24"/>
          <w:szCs w:val="24"/>
          <w:lang w:eastAsia="zh-TW"/>
        </w:rPr>
        <w:t xml:space="preserve">However, here I argue that this trajectory is at play more generally, not only in use-inspired basic research and not only in my sample. </w:t>
      </w:r>
      <w:r w:rsidR="00320017">
        <w:rPr>
          <w:sz w:val="24"/>
          <w:szCs w:val="24"/>
          <w:lang w:eastAsia="zh-TW"/>
        </w:rPr>
        <w:t>A</w:t>
      </w:r>
      <w:r w:rsidR="00332315">
        <w:rPr>
          <w:sz w:val="24"/>
          <w:szCs w:val="24"/>
          <w:lang w:eastAsia="zh-TW"/>
        </w:rPr>
        <w:t xml:space="preserve"> historical perspective helps to appreciate </w:t>
      </w:r>
      <w:r w:rsidR="008D4622">
        <w:rPr>
          <w:sz w:val="24"/>
          <w:szCs w:val="24"/>
          <w:lang w:eastAsia="zh-TW"/>
        </w:rPr>
        <w:t>this more general relevance.</w:t>
      </w:r>
    </w:p>
    <w:p w14:paraId="412B240E" w14:textId="77777777" w:rsidR="00320017" w:rsidRDefault="00BE2BE6" w:rsidP="00675ABF">
      <w:pPr>
        <w:spacing w:after="120" w:line="360" w:lineRule="auto"/>
        <w:rPr>
          <w:sz w:val="24"/>
          <w:szCs w:val="24"/>
        </w:rPr>
      </w:pPr>
      <w:r w:rsidRPr="003E565E">
        <w:rPr>
          <w:sz w:val="24"/>
          <w:szCs w:val="24"/>
        </w:rPr>
        <w:t xml:space="preserve">As sites dedicated </w:t>
      </w:r>
      <w:r w:rsidR="005878E7">
        <w:rPr>
          <w:sz w:val="24"/>
          <w:szCs w:val="24"/>
        </w:rPr>
        <w:t>in various ways to the</w:t>
      </w:r>
      <w:r w:rsidRPr="003E565E">
        <w:rPr>
          <w:sz w:val="24"/>
          <w:szCs w:val="24"/>
        </w:rPr>
        <w:t xml:space="preserve"> “pursuit of knowledge” (B. R. Clark, 1983, p. 12), universities have</w:t>
      </w:r>
      <w:r w:rsidR="00FB5034">
        <w:rPr>
          <w:sz w:val="24"/>
          <w:szCs w:val="24"/>
        </w:rPr>
        <w:t xml:space="preserve"> always experienced pressure from non-academic social actors and institutions to address their knowledge needs. For example, </w:t>
      </w:r>
      <w:r w:rsidR="00020504">
        <w:rPr>
          <w:sz w:val="24"/>
          <w:szCs w:val="24"/>
        </w:rPr>
        <w:t xml:space="preserve">despite arguably attaining greater levels of autonomy than other institutes of learning in other times and places up to that point, medieval European universities were closely tied to and influenced by the demands of </w:t>
      </w:r>
      <w:r w:rsidR="00FA524A">
        <w:rPr>
          <w:sz w:val="24"/>
          <w:szCs w:val="24"/>
        </w:rPr>
        <w:t>c</w:t>
      </w:r>
      <w:r w:rsidR="00020504">
        <w:rPr>
          <w:sz w:val="24"/>
          <w:szCs w:val="24"/>
        </w:rPr>
        <w:t>hurch and state, and the main activities</w:t>
      </w:r>
      <w:r w:rsidR="00020504" w:rsidRPr="003E565E">
        <w:rPr>
          <w:sz w:val="24"/>
          <w:szCs w:val="24"/>
        </w:rPr>
        <w:t xml:space="preserve"> of universities were</w:t>
      </w:r>
      <w:r w:rsidR="00020504">
        <w:rPr>
          <w:sz w:val="24"/>
          <w:szCs w:val="24"/>
        </w:rPr>
        <w:t xml:space="preserve"> oriented towards the</w:t>
      </w:r>
      <w:r w:rsidR="00020504" w:rsidRPr="003E565E">
        <w:rPr>
          <w:sz w:val="24"/>
          <w:szCs w:val="24"/>
        </w:rPr>
        <w:t xml:space="preserve"> production of professionals entering the service of these institutions and the interpretation and re-interpretation of knowledge pertaining to them</w:t>
      </w:r>
      <w:r w:rsidR="00020504">
        <w:rPr>
          <w:sz w:val="24"/>
          <w:szCs w:val="24"/>
        </w:rPr>
        <w:t xml:space="preserve"> </w:t>
      </w:r>
      <w:r w:rsidR="00020504" w:rsidRPr="003E565E">
        <w:rPr>
          <w:sz w:val="24"/>
          <w:szCs w:val="24"/>
        </w:rPr>
        <w:fldChar w:fldCharType="begin">
          <w:fldData xml:space="preserve">PEVuZE5vdGU+PENpdGU+PEF1dGhvcj5QZXJraW48L0F1dGhvcj48WWVhcj4xOTg0PC9ZZWFyPjxJ
RFRleHQ+VGhlIEhpc3RvcmljYWwgUGVyc3BlY3RpdmU8L0lEVGV4dD48RGlzcGxheVRleHQ+KEJl
bi1EYXZpZCwgMTk3MTsgRHVya2hlaW0sIDIwMTM7IFBlcmtpbiwgMTk4NCk8L0Rpc3BsYXlUZXh0
PjxyZWNvcmQ+PGtleXdvcmRzPjxrZXl3b3JkPkVkdWNhdGlvbiwgSGlnaGVyIC0tIENvbmdyZXNz
ZXM8L2tleXdvcmQ+PGtleXdvcmQ+SGlnaGVyIGVkdWNhdGlvbjwva2V5d29yZD48L2tleXdvcmRz
Pjx0aXRsZXM+PHRpdGxlPlRoZSBIaXN0b3JpY2FsIFBlcnNwZWN0aXZlPC90aXRsZT48c2Vjb25k
YXJ5LXRpdGxlPlBlcnNwZWN0aXZlcyBvbiBoaWdoZXIgZWR1Y2F0aW9uOiBlaWdodCBkaXNjaXBs
aW5hcnkgYW5kIGNvbXBhcmF0aXZlIHZpZXdzPC9zZWNvbmRhcnktdGl0bGU+PC90aXRsZXM+PGNv
bnRyaWJ1dG9ycz48YXV0aG9ycz48YXV0aG9yPlBlcmtpbiwgSGFyb2xkPC9hdXRob3I+PC9hdXRo
b3JzPjwvY29udHJpYnV0b3JzPjxhZGRlZC1kYXRlIGZvcm1hdD0idXRjIj4xNTI3OTcwNTMzPC9h
ZGRlZC1kYXRlPjxwdWItbG9jYXRpb24+TG9uZG9uPC9wdWItbG9jYXRpb24+PHJlZi10eXBlIG5h
bWU9IkJvb2sgU2VjdGlvbiI+NTwvcmVmLXR5cGU+PGRhdGVzPjx5ZWFyPjE5ODQ8L3llYXI+PC9k
YXRlcz48cmVjLW51bWJlcj43NTQ1PC9yZWMtbnVtYmVyPjxwdWJsaXNoZXI+VW5pdmVyc2l0eSBv
ZiBDYWxpZm9ybmlhIFByZXNzPC9wdWJsaXNoZXI+PGxhc3QtdXBkYXRlZC1kYXRlIGZvcm1hdD0i
dXRjIj4xNTI4MDUyODE0PC9sYXN0LXVwZGF0ZWQtZGF0ZT48Y29udHJpYnV0b3JzPjxzZWNvbmRh
cnktYXV0aG9ycz48YXV0aG9yPkNsYXJrLCBCdXJ0b24gUi48L2F1dGhvcj48L3NlY29uZGFyeS1h
dXRob3JzPjwvY29udHJpYnV0b3JzPjwvcmVjb3JkPjwvQ2l0ZT48Q2l0ZT48QXV0aG9yPkJlbi1E
YXZpZDwvQXV0aG9yPjxZZWFyPjE5NzE8L1llYXI+PElEVGV4dD5UaGUgc2NpZW50aXN0JmFwb3M7
cyByb2xlIGluIHNvY2lldHk6IGEgY29tcGFyYXRpdmUgc3R1ZHk8L0lEVGV4dD48cmVjb3JkPjxr
ZXl3b3Jkcz48a2V5d29yZD5TY2llbnRpc3RzPC9rZXl3b3JkPjxrZXl3b3JkPlNjaWVudGlzdHM8
L2tleXdvcmQ+PGtleXdvcmQ+U2NpZW5jZSBhbmQgY2l2aWxpemF0aW9uPC9rZXl3b3JkPjxrZXl3
b3JkPlNjaWVuY2UgYW5kIGNpdmlsaXphdGlvbjwva2V5d29yZD48a2V5d29yZD5DaXZpbGl6YXRp
b24gYW5kIHNjaWVuY2U8L2tleXdvcmQ+PGtleXdvcmQ+SGlzdG9yeSBhbmQgc2NpZW5jZTwva2V5
d29yZD48a2V5d29yZD5TY2llbmNlIGFuZCBoaXN0b3J5PC9rZXl3b3JkPjxrZXl3b3JkPlNjaWVu
Y2UgYW5kIHNvY2lldHk8L2tleXdvcmQ+PGtleXdvcmQ+UHJvZ3Jlc3M8L2tleXdvcmQ+PGtleXdv
cmQ+UHJvZmVzc2lvbnM8L2tleXdvcmQ+PGtleXdvcmQ+U29jaWV0eSBSb2xlIG9mIHNjaWVudGlz
dHM8L2tleXdvcmQ+PC9rZXl3b3Jkcz48dGl0bGVzPjx0aXRsZT5UaGUgc2NpZW50aXN0JmFwb3M7
cyByb2xlIGluIHNvY2lldHk6IGEgY29tcGFyYXRpdmUgc3R1ZHk8L3RpdGxlPjwvdGl0bGVzPjxj
b250cmlidXRvcnM+PGF1dGhvcnM+PGF1dGhvcj5CZW4tRGF2aWQsIEpvc2VwaDwvYXV0aG9yPjwv
YXV0aG9ycz48L2NvbnRyaWJ1dG9ycz48YWRkZWQtZGF0ZSBmb3JtYXQ9InV0YyI+MTUyMzYyODM3
NTwvYWRkZWQtZGF0ZT48cHViLWxvY2F0aW9uPkVuZ2xld29vZCBDbGlmZnM8L3B1Yi1sb2NhdGlv
bj48cmVmLXR5cGUgbmFtZT0iQm9vayI+NjwvcmVmLXR5cGU+PGRhdGVzPjx5ZWFyPjE5NzE8L3ll
YXI+PC9kYXRlcz48cmVjLW51bWJlcj43NDgyPC9yZWMtbnVtYmVyPjxwdWJsaXNoZXI+UHJlbnRp
Y2UtSGFsbDwvcHVibGlzaGVyPjxsYXN0LXVwZGF0ZWQtZGF0ZSBmb3JtYXQ9InV0YyI+MTUyMzYy
OTE4OTwvbGFzdC11cGRhdGVkLWRhdGU+PC9yZWNvcmQ+PC9DaXRlPjxDaXRlPjxBdXRob3I+RHVy
a2hlaW08L0F1dGhvcj48WWVhcj4yMDEzPC9ZZWFyPjxJRFRleHQ+VGhlIEV2b2x1dGlvbiBvZiBF
ZHVjYXRpb25hbCBUaG91Z2h0OiBMZWN0dXJlcyBvbiB0aGUgZm9ybWF0aW9uIGFuZCBkZXZlbG9w
bWVudCBvZiBzZWNvbmRhcnkgZWR1Y2F0aW9uIGluIEZyYW5jZTwvSURUZXh0PjxyZWNvcmQ+PGtl
eXdvcmRzPjxrZXl3b3JkPkVsZWN0cm9uaWMgYm9va3M8L2tleXdvcmQ+PC9rZXl3b3Jkcz48dGl0
bGVzPjx0aXRsZT5UaGUgRXZvbHV0aW9uIG9mIEVkdWNhdGlvbmFsIFRob3VnaHQ6IExlY3R1cmVz
IG9uIHRoZSBmb3JtYXRpb24gYW5kIGRldmVsb3BtZW50IG9mIHNlY29uZGFyeSBlZHVjYXRpb24g
aW4gRnJhbmNlPC90aXRsZT48L3RpdGxlcz48Y29udHJpYnV0b3JzPjxhdXRob3JzPjxhdXRob3I+
RHVya2hlaW0sIMOJbWlsZTwvYXV0aG9yPjwvYXV0aG9ycz48L2NvbnRyaWJ1dG9ycz48YWRkZWQt
ZGF0ZSBmb3JtYXQ9InV0YyI+MTU0OTI3NDkxNzwvYWRkZWQtZGF0ZT48cHViLWxvY2F0aW9uPk94
b248L3B1Yi1sb2NhdGlvbj48cmVmLXR5cGUgbmFtZT0iQm9vayI+NjwvcmVmLXR5cGU+PGRhdGVz
Pjx5ZWFyPjIwMTM8L3llYXI+PC9kYXRlcz48cmVjLW51bWJlcj43NzIxPC9yZWMtbnVtYmVyPjxw
dWJsaXNoZXI+Um91dGxlZGdlPC9wdWJsaXNoZXI+PGxhc3QtdXBkYXRlZC1kYXRlIGZvcm1hdD0i
dXRjIj4xNTQ5MjgyNTUwPC9sYXN0LXVwZGF0ZWQtZGF0ZT48L3JlY29yZD48L0NpdGU+PC9FbmRO
b3RlPn==
</w:fldData>
        </w:fldChar>
      </w:r>
      <w:r w:rsidR="00020504" w:rsidRPr="003E565E">
        <w:rPr>
          <w:sz w:val="24"/>
          <w:szCs w:val="24"/>
        </w:rPr>
        <w:instrText xml:space="preserve"> ADDIN EN.CITE </w:instrText>
      </w:r>
      <w:r w:rsidR="00020504" w:rsidRPr="003E565E">
        <w:rPr>
          <w:sz w:val="24"/>
          <w:szCs w:val="24"/>
        </w:rPr>
        <w:fldChar w:fldCharType="begin">
          <w:fldData xml:space="preserve">PEVuZE5vdGU+PENpdGU+PEF1dGhvcj5QZXJraW48L0F1dGhvcj48WWVhcj4xOTg0PC9ZZWFyPjxJ
RFRleHQ+VGhlIEhpc3RvcmljYWwgUGVyc3BlY3RpdmU8L0lEVGV4dD48RGlzcGxheVRleHQ+KEJl
bi1EYXZpZCwgMTk3MTsgRHVya2hlaW0sIDIwMTM7IFBlcmtpbiwgMTk4NCk8L0Rpc3BsYXlUZXh0
PjxyZWNvcmQ+PGtleXdvcmRzPjxrZXl3b3JkPkVkdWNhdGlvbiwgSGlnaGVyIC0tIENvbmdyZXNz
ZXM8L2tleXdvcmQ+PGtleXdvcmQ+SGlnaGVyIGVkdWNhdGlvbjwva2V5d29yZD48L2tleXdvcmRz
Pjx0aXRsZXM+PHRpdGxlPlRoZSBIaXN0b3JpY2FsIFBlcnNwZWN0aXZlPC90aXRsZT48c2Vjb25k
YXJ5LXRpdGxlPlBlcnNwZWN0aXZlcyBvbiBoaWdoZXIgZWR1Y2F0aW9uOiBlaWdodCBkaXNjaXBs
aW5hcnkgYW5kIGNvbXBhcmF0aXZlIHZpZXdzPC9zZWNvbmRhcnktdGl0bGU+PC90aXRsZXM+PGNv
bnRyaWJ1dG9ycz48YXV0aG9ycz48YXV0aG9yPlBlcmtpbiwgSGFyb2xkPC9hdXRob3I+PC9hdXRo
b3JzPjwvY29udHJpYnV0b3JzPjxhZGRlZC1kYXRlIGZvcm1hdD0idXRjIj4xNTI3OTcwNTMzPC9h
ZGRlZC1kYXRlPjxwdWItbG9jYXRpb24+TG9uZG9uPC9wdWItbG9jYXRpb24+PHJlZi10eXBlIG5h
bWU9IkJvb2sgU2VjdGlvbiI+NTwvcmVmLXR5cGU+PGRhdGVzPjx5ZWFyPjE5ODQ8L3llYXI+PC9k
YXRlcz48cmVjLW51bWJlcj43NTQ1PC9yZWMtbnVtYmVyPjxwdWJsaXNoZXI+VW5pdmVyc2l0eSBv
ZiBDYWxpZm9ybmlhIFByZXNzPC9wdWJsaXNoZXI+PGxhc3QtdXBkYXRlZC1kYXRlIGZvcm1hdD0i
dXRjIj4xNTI4MDUyODE0PC9sYXN0LXVwZGF0ZWQtZGF0ZT48Y29udHJpYnV0b3JzPjxzZWNvbmRh
cnktYXV0aG9ycz48YXV0aG9yPkNsYXJrLCBCdXJ0b24gUi48L2F1dGhvcj48L3NlY29uZGFyeS1h
dXRob3JzPjwvY29udHJpYnV0b3JzPjwvcmVjb3JkPjwvQ2l0ZT48Q2l0ZT48QXV0aG9yPkJlbi1E
YXZpZDwvQXV0aG9yPjxZZWFyPjE5NzE8L1llYXI+PElEVGV4dD5UaGUgc2NpZW50aXN0JmFwb3M7
cyByb2xlIGluIHNvY2lldHk6IGEgY29tcGFyYXRpdmUgc3R1ZHk8L0lEVGV4dD48cmVjb3JkPjxr
ZXl3b3Jkcz48a2V5d29yZD5TY2llbnRpc3RzPC9rZXl3b3JkPjxrZXl3b3JkPlNjaWVudGlzdHM8
L2tleXdvcmQ+PGtleXdvcmQ+U2NpZW5jZSBhbmQgY2l2aWxpemF0aW9uPC9rZXl3b3JkPjxrZXl3
b3JkPlNjaWVuY2UgYW5kIGNpdmlsaXphdGlvbjwva2V5d29yZD48a2V5d29yZD5DaXZpbGl6YXRp
b24gYW5kIHNjaWVuY2U8L2tleXdvcmQ+PGtleXdvcmQ+SGlzdG9yeSBhbmQgc2NpZW5jZTwva2V5
d29yZD48a2V5d29yZD5TY2llbmNlIGFuZCBoaXN0b3J5PC9rZXl3b3JkPjxrZXl3b3JkPlNjaWVu
Y2UgYW5kIHNvY2lldHk8L2tleXdvcmQ+PGtleXdvcmQ+UHJvZ3Jlc3M8L2tleXdvcmQ+PGtleXdv
cmQ+UHJvZmVzc2lvbnM8L2tleXdvcmQ+PGtleXdvcmQ+U29jaWV0eSBSb2xlIG9mIHNjaWVudGlz
dHM8L2tleXdvcmQ+PC9rZXl3b3Jkcz48dGl0bGVzPjx0aXRsZT5UaGUgc2NpZW50aXN0JmFwb3M7
cyByb2xlIGluIHNvY2lldHk6IGEgY29tcGFyYXRpdmUgc3R1ZHk8L3RpdGxlPjwvdGl0bGVzPjxj
b250cmlidXRvcnM+PGF1dGhvcnM+PGF1dGhvcj5CZW4tRGF2aWQsIEpvc2VwaDwvYXV0aG9yPjwv
YXV0aG9ycz48L2NvbnRyaWJ1dG9ycz48YWRkZWQtZGF0ZSBmb3JtYXQ9InV0YyI+MTUyMzYyODM3
NTwvYWRkZWQtZGF0ZT48cHViLWxvY2F0aW9uPkVuZ2xld29vZCBDbGlmZnM8L3B1Yi1sb2NhdGlv
bj48cmVmLXR5cGUgbmFtZT0iQm9vayI+NjwvcmVmLXR5cGU+PGRhdGVzPjx5ZWFyPjE5NzE8L3ll
YXI+PC9kYXRlcz48cmVjLW51bWJlcj43NDgyPC9yZWMtbnVtYmVyPjxwdWJsaXNoZXI+UHJlbnRp
Y2UtSGFsbDwvcHVibGlzaGVyPjxsYXN0LXVwZGF0ZWQtZGF0ZSBmb3JtYXQ9InV0YyI+MTUyMzYy
OTE4OTwvbGFzdC11cGRhdGVkLWRhdGU+PC9yZWNvcmQ+PC9DaXRlPjxDaXRlPjxBdXRob3I+RHVy
a2hlaW08L0F1dGhvcj48WWVhcj4yMDEzPC9ZZWFyPjxJRFRleHQ+VGhlIEV2b2x1dGlvbiBvZiBF
ZHVjYXRpb25hbCBUaG91Z2h0OiBMZWN0dXJlcyBvbiB0aGUgZm9ybWF0aW9uIGFuZCBkZXZlbG9w
bWVudCBvZiBzZWNvbmRhcnkgZWR1Y2F0aW9uIGluIEZyYW5jZTwvSURUZXh0PjxyZWNvcmQ+PGtl
eXdvcmRzPjxrZXl3b3JkPkVsZWN0cm9uaWMgYm9va3M8L2tleXdvcmQ+PC9rZXl3b3Jkcz48dGl0
bGVzPjx0aXRsZT5UaGUgRXZvbHV0aW9uIG9mIEVkdWNhdGlvbmFsIFRob3VnaHQ6IExlY3R1cmVz
IG9uIHRoZSBmb3JtYXRpb24gYW5kIGRldmVsb3BtZW50IG9mIHNlY29uZGFyeSBlZHVjYXRpb24g
aW4gRnJhbmNlPC90aXRsZT48L3RpdGxlcz48Y29udHJpYnV0b3JzPjxhdXRob3JzPjxhdXRob3I+
RHVya2hlaW0sIMOJbWlsZTwvYXV0aG9yPjwvYXV0aG9ycz48L2NvbnRyaWJ1dG9ycz48YWRkZWQt
ZGF0ZSBmb3JtYXQ9InV0YyI+MTU0OTI3NDkxNzwvYWRkZWQtZGF0ZT48cHViLWxvY2F0aW9uPk94
b248L3B1Yi1sb2NhdGlvbj48cmVmLXR5cGUgbmFtZT0iQm9vayI+NjwvcmVmLXR5cGU+PGRhdGVz
Pjx5ZWFyPjIwMTM8L3llYXI+PC9kYXRlcz48cmVjLW51bWJlcj43NzIxPC9yZWMtbnVtYmVyPjxw
dWJsaXNoZXI+Um91dGxlZGdlPC9wdWJsaXNoZXI+PGxhc3QtdXBkYXRlZC1kYXRlIGZvcm1hdD0i
dXRjIj4xNTQ5MjgyNTUwPC9sYXN0LXVwZGF0ZWQtZGF0ZT48L3JlY29yZD48L0NpdGU+PC9FbmRO
b3RlPn==
</w:fldData>
        </w:fldChar>
      </w:r>
      <w:r w:rsidR="00020504" w:rsidRPr="003E565E">
        <w:rPr>
          <w:sz w:val="24"/>
          <w:szCs w:val="24"/>
        </w:rPr>
        <w:instrText xml:space="preserve"> ADDIN EN.CITE.DATA </w:instrText>
      </w:r>
      <w:r w:rsidR="00020504" w:rsidRPr="003E565E">
        <w:rPr>
          <w:sz w:val="24"/>
          <w:szCs w:val="24"/>
        </w:rPr>
      </w:r>
      <w:r w:rsidR="00020504" w:rsidRPr="003E565E">
        <w:rPr>
          <w:sz w:val="24"/>
          <w:szCs w:val="24"/>
        </w:rPr>
        <w:fldChar w:fldCharType="end"/>
      </w:r>
      <w:r w:rsidR="00020504" w:rsidRPr="003E565E">
        <w:rPr>
          <w:sz w:val="24"/>
          <w:szCs w:val="24"/>
        </w:rPr>
      </w:r>
      <w:r w:rsidR="00020504" w:rsidRPr="003E565E">
        <w:rPr>
          <w:sz w:val="24"/>
          <w:szCs w:val="24"/>
        </w:rPr>
        <w:fldChar w:fldCharType="separate"/>
      </w:r>
      <w:r w:rsidR="00020504" w:rsidRPr="003E565E">
        <w:rPr>
          <w:noProof/>
          <w:sz w:val="24"/>
          <w:szCs w:val="24"/>
        </w:rPr>
        <w:t>(Ben-David, 1971; Durkheim, 2013; Perkin, 1984)</w:t>
      </w:r>
      <w:r w:rsidR="00020504" w:rsidRPr="003E565E">
        <w:rPr>
          <w:sz w:val="24"/>
          <w:szCs w:val="24"/>
        </w:rPr>
        <w:fldChar w:fldCharType="end"/>
      </w:r>
      <w:r w:rsidR="00B3562B">
        <w:rPr>
          <w:sz w:val="24"/>
          <w:szCs w:val="24"/>
        </w:rPr>
        <w:t xml:space="preserve">. </w:t>
      </w:r>
      <w:r w:rsidR="005F6FEF">
        <w:rPr>
          <w:sz w:val="24"/>
          <w:szCs w:val="24"/>
        </w:rPr>
        <w:t>Crucially</w:t>
      </w:r>
      <w:r w:rsidR="006F4C0E">
        <w:rPr>
          <w:sz w:val="24"/>
          <w:szCs w:val="24"/>
        </w:rPr>
        <w:t xml:space="preserve"> though</w:t>
      </w:r>
      <w:r w:rsidR="005F6FEF">
        <w:rPr>
          <w:sz w:val="24"/>
          <w:szCs w:val="24"/>
        </w:rPr>
        <w:t xml:space="preserve">, </w:t>
      </w:r>
      <w:r w:rsidR="006F4C0E">
        <w:rPr>
          <w:sz w:val="24"/>
          <w:szCs w:val="24"/>
        </w:rPr>
        <w:t xml:space="preserve">even at this time </w:t>
      </w:r>
      <w:r w:rsidRPr="003E565E">
        <w:rPr>
          <w:sz w:val="24"/>
          <w:szCs w:val="24"/>
        </w:rPr>
        <w:t>universities</w:t>
      </w:r>
      <w:r w:rsidR="00A72385">
        <w:rPr>
          <w:sz w:val="24"/>
          <w:szCs w:val="24"/>
        </w:rPr>
        <w:t xml:space="preserve">’ main contributions to society were underpinned </w:t>
      </w:r>
      <w:r w:rsidRPr="003E565E">
        <w:rPr>
          <w:sz w:val="24"/>
          <w:szCs w:val="24"/>
        </w:rPr>
        <w:t>precisely by erecting some form of boundary and creating some level of insulation</w:t>
      </w:r>
      <w:r w:rsidR="00A72385">
        <w:rPr>
          <w:sz w:val="24"/>
          <w:szCs w:val="24"/>
        </w:rPr>
        <w:t xml:space="preserve"> from society</w:t>
      </w:r>
      <w:r w:rsidRPr="003E565E">
        <w:rPr>
          <w:sz w:val="24"/>
          <w:szCs w:val="24"/>
        </w:rPr>
        <w:t xml:space="preserve">, allowing for </w:t>
      </w:r>
      <w:r w:rsidR="005C741F">
        <w:rPr>
          <w:sz w:val="24"/>
          <w:szCs w:val="24"/>
        </w:rPr>
        <w:t>relatively independent, critical and</w:t>
      </w:r>
      <w:r w:rsidRPr="003E565E">
        <w:rPr>
          <w:sz w:val="24"/>
          <w:szCs w:val="24"/>
        </w:rPr>
        <w:t xml:space="preserve"> internally-driven scholarship</w:t>
      </w:r>
      <w:r w:rsidR="00A42466">
        <w:rPr>
          <w:sz w:val="24"/>
          <w:szCs w:val="24"/>
        </w:rPr>
        <w:t xml:space="preserve"> (again, </w:t>
      </w:r>
      <w:r w:rsidR="002D04FD">
        <w:rPr>
          <w:sz w:val="24"/>
          <w:szCs w:val="24"/>
        </w:rPr>
        <w:t>largely</w:t>
      </w:r>
      <w:r w:rsidR="00A42466">
        <w:rPr>
          <w:sz w:val="24"/>
          <w:szCs w:val="24"/>
        </w:rPr>
        <w:t xml:space="preserve"> underpinned by the </w:t>
      </w:r>
      <w:r w:rsidR="00A42466">
        <w:rPr>
          <w:i/>
          <w:sz w:val="24"/>
          <w:szCs w:val="24"/>
        </w:rPr>
        <w:t>educational function</w:t>
      </w:r>
      <w:r w:rsidR="00A42466">
        <w:rPr>
          <w:sz w:val="24"/>
          <w:szCs w:val="24"/>
        </w:rPr>
        <w:t>, that is, the demands of fee-paying students)</w:t>
      </w:r>
      <w:r w:rsidRPr="003E565E">
        <w:rPr>
          <w:sz w:val="24"/>
          <w:szCs w:val="24"/>
        </w:rPr>
        <w:t xml:space="preserve">. </w:t>
      </w:r>
      <w:r w:rsidR="00424AC5">
        <w:rPr>
          <w:sz w:val="24"/>
          <w:szCs w:val="24"/>
        </w:rPr>
        <w:t>Outputs of c</w:t>
      </w:r>
      <w:r w:rsidR="00810DA2">
        <w:rPr>
          <w:sz w:val="24"/>
          <w:szCs w:val="24"/>
        </w:rPr>
        <w:t xml:space="preserve">ritical knowledge, scholarship and students therefore can be conceptualised as early ‘boundary transactions’ </w:t>
      </w:r>
      <w:r w:rsidR="005F5053">
        <w:rPr>
          <w:sz w:val="24"/>
          <w:szCs w:val="24"/>
        </w:rPr>
        <w:t xml:space="preserve">through which universities simultaneously established their distinctive institutional identities </w:t>
      </w:r>
      <w:r w:rsidR="005F5053" w:rsidRPr="00E70387">
        <w:rPr>
          <w:i/>
          <w:sz w:val="24"/>
          <w:szCs w:val="24"/>
        </w:rPr>
        <w:t>and</w:t>
      </w:r>
      <w:r w:rsidR="005F5053">
        <w:rPr>
          <w:sz w:val="24"/>
          <w:szCs w:val="24"/>
        </w:rPr>
        <w:t xml:space="preserve"> their valuable social roles</w:t>
      </w:r>
      <w:r w:rsidR="00D0500E">
        <w:rPr>
          <w:sz w:val="24"/>
          <w:szCs w:val="24"/>
        </w:rPr>
        <w:t xml:space="preserve"> and contributions, which depended in part upon this relative autonomy and</w:t>
      </w:r>
      <w:r w:rsidR="007111CF">
        <w:rPr>
          <w:sz w:val="24"/>
          <w:szCs w:val="24"/>
        </w:rPr>
        <w:t xml:space="preserve"> boundedness</w:t>
      </w:r>
      <w:r w:rsidR="005F5053">
        <w:rPr>
          <w:sz w:val="24"/>
          <w:szCs w:val="24"/>
        </w:rPr>
        <w:t>.</w:t>
      </w:r>
      <w:r w:rsidR="00675ABF">
        <w:rPr>
          <w:sz w:val="24"/>
          <w:szCs w:val="24"/>
        </w:rPr>
        <w:t xml:space="preserve"> </w:t>
      </w:r>
      <w:r w:rsidR="0093603C">
        <w:rPr>
          <w:sz w:val="24"/>
          <w:szCs w:val="24"/>
        </w:rPr>
        <w:t>Boundary transactions can similarly be observed in the early modern period, as</w:t>
      </w:r>
      <w:r w:rsidRPr="003E565E">
        <w:rPr>
          <w:sz w:val="24"/>
          <w:szCs w:val="24"/>
        </w:rPr>
        <w:t xml:space="preserve"> academic ‘science’, then referred to as ‘natural philosophy’, gradually came to take a more central place in universities and societies. Between the fifteenth and seventeenth centuries there arose, for the first time, notable societal demand for the insights derived from </w:t>
      </w:r>
      <w:r w:rsidR="0093603C">
        <w:rPr>
          <w:sz w:val="24"/>
          <w:szCs w:val="24"/>
        </w:rPr>
        <w:t>empirical academic scientific</w:t>
      </w:r>
      <w:r w:rsidRPr="003E565E">
        <w:rPr>
          <w:sz w:val="24"/>
          <w:szCs w:val="24"/>
        </w:rPr>
        <w:t xml:space="preserve"> scholarship </w:t>
      </w:r>
      <w:r w:rsidRPr="003E565E">
        <w:rPr>
          <w:sz w:val="24"/>
          <w:szCs w:val="24"/>
        </w:rPr>
        <w:fldChar w:fldCharType="begin"/>
      </w:r>
      <w:r w:rsidRPr="003E565E">
        <w:rPr>
          <w:sz w:val="24"/>
          <w:szCs w:val="24"/>
        </w:rPr>
        <w:instrText xml:space="preserve"> ADDIN EN.CITE &lt;EndNote&gt;&lt;Cite&gt;&lt;Author&gt;Clark&lt;/Author&gt;&lt;Year&gt;1984&lt;/Year&gt;&lt;IDText&gt;Perspectives on higher education: eight disciplinary and comparative views&lt;/IDText&gt;&lt;DisplayText&gt;(B. R. Clark, 1984)&lt;/DisplayText&gt;&lt;record&gt;&lt;keywords&gt;&lt;keyword&gt;Education, Higher -- Congresses&lt;/keyword&gt;&lt;keyword&gt;Higher education&lt;/keyword&gt;&lt;/keywords&gt;&lt;titles&gt;&lt;title&gt;Perspectives on higher education: eight disciplinary and comparative views&lt;/title&gt;&lt;/titles&gt;&lt;contributors&gt;&lt;authors&gt;&lt;author&gt;Clark, Burton R.&lt;/author&gt;&lt;/authors&gt;&lt;/contributors&gt;&lt;added-date format="utc"&gt;1528383724&lt;/added-date&gt;&lt;pub-location&gt;London&lt;/pub-location&gt;&lt;ref-type name="Book"&gt;6&lt;/ref-type&gt;&lt;dates&gt;&lt;year&gt;1984&lt;/year&gt;&lt;/dates&gt;&lt;rec-number&gt;7553&lt;/rec-number&gt;&lt;publisher&gt;University of California Press&lt;/publisher&gt;&lt;last-updated-date format="utc"&gt;1528383825&lt;/last-updated-date&gt;&lt;/record&gt;&lt;/Cite&gt;&lt;/EndNote&gt;</w:instrText>
      </w:r>
      <w:r w:rsidRPr="003E565E">
        <w:rPr>
          <w:sz w:val="24"/>
          <w:szCs w:val="24"/>
        </w:rPr>
        <w:fldChar w:fldCharType="separate"/>
      </w:r>
      <w:r w:rsidRPr="003E565E">
        <w:rPr>
          <w:noProof/>
          <w:sz w:val="24"/>
          <w:szCs w:val="24"/>
        </w:rPr>
        <w:t>(B. R. Clark, 1984)</w:t>
      </w:r>
      <w:r w:rsidRPr="003E565E">
        <w:rPr>
          <w:sz w:val="24"/>
          <w:szCs w:val="24"/>
        </w:rPr>
        <w:fldChar w:fldCharType="end"/>
      </w:r>
      <w:r w:rsidR="0093603C">
        <w:rPr>
          <w:sz w:val="24"/>
          <w:szCs w:val="24"/>
        </w:rPr>
        <w:t xml:space="preserve">, first from </w:t>
      </w:r>
      <w:r w:rsidRPr="003E565E">
        <w:rPr>
          <w:sz w:val="24"/>
          <w:szCs w:val="24"/>
        </w:rPr>
        <w:t xml:space="preserve">the artists, architects and engineers of Italy, then, even more extensively, amongst the </w:t>
      </w:r>
      <w:r w:rsidR="0093603C">
        <w:rPr>
          <w:sz w:val="24"/>
          <w:szCs w:val="24"/>
        </w:rPr>
        <w:t xml:space="preserve">emergent </w:t>
      </w:r>
      <w:r w:rsidRPr="003E565E">
        <w:rPr>
          <w:sz w:val="24"/>
          <w:szCs w:val="24"/>
        </w:rPr>
        <w:t xml:space="preserve">middle class of navigators, merchants and artisans in Northern Europe </w:t>
      </w:r>
      <w:r w:rsidRPr="003E565E">
        <w:rPr>
          <w:sz w:val="24"/>
          <w:szCs w:val="24"/>
        </w:rPr>
        <w:fldChar w:fldCharType="begin"/>
      </w:r>
      <w:r w:rsidRPr="003E565E">
        <w:rPr>
          <w:sz w:val="24"/>
          <w:szCs w:val="24"/>
        </w:rPr>
        <w:instrText xml:space="preserve"> ADDIN EN.CITE &lt;EndNote&gt;&lt;Cite&gt;&lt;Author&gt;Ben-David&lt;/Author&gt;&lt;Year&gt;1971&lt;/Year&gt;&lt;IDText&gt;The scientist&amp;apos;s role in society: a comparative study&lt;/IDText&gt;&lt;Pages&gt;69`, 170&lt;/Pages&gt;&lt;DisplayText&gt;(Ben-David, 1971, pp. 69, 170)&lt;/DisplayText&gt;&lt;record&gt;&lt;keywords&gt;&lt;keyword&gt;Scientists&lt;/keyword&gt;&lt;keyword&gt;Scientists&lt;/keyword&gt;&lt;keyword&gt;Science and civilization&lt;/keyword&gt;&lt;keyword&gt;Science and civilization&lt;/keyword&gt;&lt;keyword&gt;Civilization and science&lt;/keyword&gt;&lt;keyword&gt;History and science&lt;/keyword&gt;&lt;keyword&gt;Science and history&lt;/keyword&gt;&lt;keyword&gt;Science and society&lt;/keyword&gt;&lt;keyword&gt;Progress&lt;/keyword&gt;&lt;keyword&gt;Professions&lt;/keyword&gt;&lt;keyword&gt;Society Role of scientists&lt;/keyword&gt;&lt;/keywords&gt;&lt;titles&gt;&lt;title&gt;The scientist&amp;apos;s role in society: a comparative study&lt;/title&gt;&lt;/titles&gt;&lt;contributors&gt;&lt;authors&gt;&lt;author&gt;Ben-David, Joseph&lt;/author&gt;&lt;/authors&gt;&lt;/contributors&gt;&lt;added-date format="utc"&gt;1523628375&lt;/added-date&gt;&lt;pub-location&gt;Englewood Cliffs&lt;/pub-location&gt;&lt;ref-type name="Book"&gt;6&lt;/ref-type&gt;&lt;dates&gt;&lt;year&gt;1971&lt;/year&gt;&lt;/dates&gt;&lt;rec-number&gt;7482&lt;/rec-number&gt;&lt;publisher&gt;Prentice-Hall&lt;/publisher&gt;&lt;last-updated-date format="utc"&gt;1523629189&lt;/last-updated-date&gt;&lt;/record&gt;&lt;/Cite&gt;&lt;/EndNote&gt;</w:instrText>
      </w:r>
      <w:r w:rsidRPr="003E565E">
        <w:rPr>
          <w:sz w:val="24"/>
          <w:szCs w:val="24"/>
        </w:rPr>
        <w:fldChar w:fldCharType="separate"/>
      </w:r>
      <w:r w:rsidRPr="003E565E">
        <w:rPr>
          <w:noProof/>
          <w:sz w:val="24"/>
          <w:szCs w:val="24"/>
        </w:rPr>
        <w:t>(Ben-David, 1971, pp. 69, 170)</w:t>
      </w:r>
      <w:r w:rsidRPr="003E565E">
        <w:rPr>
          <w:sz w:val="24"/>
          <w:szCs w:val="24"/>
        </w:rPr>
        <w:fldChar w:fldCharType="end"/>
      </w:r>
      <w:r w:rsidRPr="003E565E">
        <w:rPr>
          <w:sz w:val="24"/>
          <w:szCs w:val="24"/>
        </w:rPr>
        <w:t>.</w:t>
      </w:r>
      <w:r w:rsidR="00836C17">
        <w:rPr>
          <w:sz w:val="24"/>
          <w:szCs w:val="24"/>
        </w:rPr>
        <w:t xml:space="preserve"> </w:t>
      </w:r>
    </w:p>
    <w:p w14:paraId="4D922495" w14:textId="34786F26" w:rsidR="005C5081" w:rsidRDefault="000447DB" w:rsidP="00675ABF">
      <w:pPr>
        <w:spacing w:after="120" w:line="360" w:lineRule="auto"/>
        <w:rPr>
          <w:sz w:val="24"/>
          <w:szCs w:val="24"/>
        </w:rPr>
      </w:pPr>
      <w:r>
        <w:rPr>
          <w:iCs/>
          <w:sz w:val="24"/>
          <w:szCs w:val="24"/>
        </w:rPr>
        <w:t xml:space="preserve">Given this history, the </w:t>
      </w:r>
      <w:r w:rsidR="00CC7825">
        <w:rPr>
          <w:iCs/>
          <w:sz w:val="24"/>
          <w:szCs w:val="24"/>
        </w:rPr>
        <w:t xml:space="preserve">notion of a ‘Mode 0’ system of knowledge production </w:t>
      </w:r>
      <w:r w:rsidR="00CC7825">
        <w:rPr>
          <w:iCs/>
          <w:sz w:val="24"/>
          <w:szCs w:val="24"/>
        </w:rPr>
        <w:fldChar w:fldCharType="begin"/>
      </w:r>
      <w:r w:rsidR="00CC7825">
        <w:rPr>
          <w:iCs/>
          <w:sz w:val="24"/>
          <w:szCs w:val="24"/>
        </w:rPr>
        <w:instrText xml:space="preserve"> ADDIN EN.CITE &lt;EndNote&gt;&lt;Cite&gt;&lt;Author&gt;Bresnen&lt;/Author&gt;&lt;Year&gt;2013&lt;/Year&gt;&lt;IDText&gt;Journals à la mode? Twenty years of living alongside Mode 2 and the new production of knowledge&lt;/IDText&gt;&lt;DisplayText&gt;(Bresnen &amp;amp; Burrell, 2013)&lt;/DisplayText&gt;&lt;record&gt;&lt;keywords&gt;&lt;keyword&gt;Knowledge Production&lt;/keyword&gt;&lt;keyword&gt;Mode 2&lt;/keyword&gt;&lt;keyword&gt;Patronage&lt;/keyword&gt;&lt;keyword&gt;Power&lt;/keyword&gt;&lt;keyword&gt;Rigour-Relevance&lt;/keyword&gt;&lt;keyword&gt;Sociology &amp;amp; Social History&lt;/keyword&gt;&lt;keyword&gt;Business&lt;/keyword&gt;&lt;/keywords&gt;&lt;isbn&gt;1350-5084&lt;/isbn&gt;&lt;titles&gt;&lt;title&gt;Journals à la mode? Twenty years of living alongside Mode 2 and the new production of knowledge&lt;/title&gt;&lt;secondary-title&gt;Organization&lt;/secondary-title&gt;&lt;/titles&gt;&lt;pages&gt;25-37&lt;/pages&gt;&lt;number&gt;1&lt;/number&gt;&lt;contributors&gt;&lt;authors&gt;&lt;author&gt;Bresnen, Mike&lt;/author&gt;&lt;author&gt;Burrell, Gibson&lt;/author&gt;&lt;/authors&gt;&lt;/contributors&gt;&lt;added-date format="utc"&gt;1557049896&lt;/added-date&gt;&lt;pub-location&gt;London, England&lt;/pub-location&gt;&lt;ref-type name="Journal Article"&gt;17&lt;/ref-type&gt;&lt;dates&gt;&lt;year&gt;2013&lt;/year&gt;&lt;/dates&gt;&lt;rec-number&gt;7775&lt;/rec-number&gt;&lt;last-updated-date format="utc"&gt;1557049896&lt;/last-updated-date&gt;&lt;contributors&gt;&lt;secondary-authors&gt;&lt;author&gt;Parker, Martin&lt;/author&gt;&lt;author&gt;Thomas, Robyn&lt;/author&gt;&lt;/secondary-authors&gt;&lt;/contributors&gt;&lt;electronic-resource-num&gt;10.1177/1350508412460992&lt;/electronic-resource-num&gt;&lt;volume&gt;20&lt;/volume&gt;&lt;/record&gt;&lt;/Cite&gt;&lt;/EndNote&gt;</w:instrText>
      </w:r>
      <w:r w:rsidR="00CC7825">
        <w:rPr>
          <w:iCs/>
          <w:sz w:val="24"/>
          <w:szCs w:val="24"/>
        </w:rPr>
        <w:fldChar w:fldCharType="separate"/>
      </w:r>
      <w:r w:rsidR="00CC7825">
        <w:rPr>
          <w:iCs/>
          <w:noProof/>
          <w:sz w:val="24"/>
          <w:szCs w:val="24"/>
        </w:rPr>
        <w:t>(Bresnen &amp; Burrell, 2013)</w:t>
      </w:r>
      <w:r w:rsidR="00CC7825">
        <w:rPr>
          <w:iCs/>
          <w:sz w:val="24"/>
          <w:szCs w:val="24"/>
        </w:rPr>
        <w:fldChar w:fldCharType="end"/>
      </w:r>
      <w:r w:rsidR="00CC7825">
        <w:rPr>
          <w:iCs/>
          <w:sz w:val="24"/>
          <w:szCs w:val="24"/>
        </w:rPr>
        <w:t xml:space="preserve"> has been put forward as a description of the </w:t>
      </w:r>
      <w:r w:rsidR="00320017">
        <w:rPr>
          <w:iCs/>
          <w:sz w:val="24"/>
          <w:szCs w:val="24"/>
        </w:rPr>
        <w:t>system</w:t>
      </w:r>
      <w:r>
        <w:rPr>
          <w:iCs/>
          <w:sz w:val="24"/>
          <w:szCs w:val="24"/>
        </w:rPr>
        <w:t xml:space="preserve"> which precede</w:t>
      </w:r>
      <w:r w:rsidR="00320017">
        <w:rPr>
          <w:iCs/>
          <w:sz w:val="24"/>
          <w:szCs w:val="24"/>
        </w:rPr>
        <w:t>d</w:t>
      </w:r>
      <w:r>
        <w:rPr>
          <w:iCs/>
          <w:sz w:val="24"/>
          <w:szCs w:val="24"/>
        </w:rPr>
        <w:t xml:space="preserve"> ‘mode 1’ and ‘mode 2’, grounded on ac</w:t>
      </w:r>
      <w:r w:rsidR="00CC7825">
        <w:rPr>
          <w:iCs/>
          <w:sz w:val="24"/>
          <w:szCs w:val="24"/>
        </w:rPr>
        <w:t>adem</w:t>
      </w:r>
      <w:r>
        <w:rPr>
          <w:iCs/>
          <w:sz w:val="24"/>
          <w:szCs w:val="24"/>
        </w:rPr>
        <w:t>ia’s</w:t>
      </w:r>
      <w:r w:rsidR="00CC7825">
        <w:rPr>
          <w:iCs/>
          <w:sz w:val="24"/>
          <w:szCs w:val="24"/>
        </w:rPr>
        <w:t xml:space="preserve"> responsiveness to external knowledge demands. </w:t>
      </w:r>
      <w:r w:rsidR="00291276">
        <w:rPr>
          <w:iCs/>
          <w:sz w:val="24"/>
          <w:szCs w:val="24"/>
        </w:rPr>
        <w:t>The ‘Mode 0’ thesis</w:t>
      </w:r>
      <w:r w:rsidR="00CC7825">
        <w:rPr>
          <w:iCs/>
          <w:sz w:val="24"/>
          <w:szCs w:val="24"/>
        </w:rPr>
        <w:t xml:space="preserve"> emphasises that</w:t>
      </w:r>
      <w:r w:rsidR="00FD6B6C">
        <w:rPr>
          <w:iCs/>
          <w:sz w:val="24"/>
          <w:szCs w:val="24"/>
        </w:rPr>
        <w:t xml:space="preserve"> scientific</w:t>
      </w:r>
      <w:r w:rsidR="00CC7825">
        <w:rPr>
          <w:iCs/>
          <w:sz w:val="24"/>
          <w:szCs w:val="24"/>
        </w:rPr>
        <w:t xml:space="preserve"> disciplines developed through forms of patronage whereby the insulated space for conducting empirical research and constructing bounded disciplinary categories and identities co-evolved with, and relied upon, the willingness of socially powerful actors to sponsor such work. </w:t>
      </w:r>
      <w:r w:rsidR="005C5081">
        <w:rPr>
          <w:iCs/>
          <w:sz w:val="24"/>
          <w:szCs w:val="24"/>
        </w:rPr>
        <w:t xml:space="preserve">This </w:t>
      </w:r>
      <w:r w:rsidR="00122DB1">
        <w:rPr>
          <w:iCs/>
          <w:sz w:val="24"/>
          <w:szCs w:val="24"/>
        </w:rPr>
        <w:t xml:space="preserve">chimes with </w:t>
      </w:r>
      <w:r w:rsidR="003539A3">
        <w:rPr>
          <w:iCs/>
          <w:sz w:val="24"/>
          <w:szCs w:val="24"/>
        </w:rPr>
        <w:t xml:space="preserve">some of </w:t>
      </w:r>
      <w:r w:rsidR="00BB4CAE">
        <w:rPr>
          <w:iCs/>
          <w:sz w:val="24"/>
          <w:szCs w:val="24"/>
        </w:rPr>
        <w:t xml:space="preserve">the </w:t>
      </w:r>
      <w:r w:rsidR="00122DB1">
        <w:rPr>
          <w:iCs/>
          <w:sz w:val="24"/>
          <w:szCs w:val="24"/>
        </w:rPr>
        <w:t xml:space="preserve">empirical findings </w:t>
      </w:r>
      <w:r w:rsidR="00BB4CAE">
        <w:rPr>
          <w:iCs/>
          <w:sz w:val="24"/>
          <w:szCs w:val="24"/>
        </w:rPr>
        <w:t xml:space="preserve">of my own research and others </w:t>
      </w:r>
      <w:r w:rsidR="00122DB1">
        <w:rPr>
          <w:iCs/>
          <w:sz w:val="24"/>
          <w:szCs w:val="24"/>
        </w:rPr>
        <w:t>that w</w:t>
      </w:r>
      <w:r w:rsidR="00BE2BE6" w:rsidRPr="003E565E">
        <w:rPr>
          <w:iCs/>
          <w:sz w:val="24"/>
          <w:szCs w:val="24"/>
        </w:rPr>
        <w:t xml:space="preserve">here </w:t>
      </w:r>
      <w:r w:rsidR="00122DB1">
        <w:rPr>
          <w:iCs/>
          <w:sz w:val="24"/>
          <w:szCs w:val="24"/>
        </w:rPr>
        <w:t>the</w:t>
      </w:r>
      <w:r w:rsidR="00B43D0F">
        <w:rPr>
          <w:iCs/>
          <w:sz w:val="24"/>
          <w:szCs w:val="24"/>
        </w:rPr>
        <w:t>re is promise of a</w:t>
      </w:r>
      <w:r w:rsidR="00122DB1">
        <w:rPr>
          <w:iCs/>
          <w:sz w:val="24"/>
          <w:szCs w:val="24"/>
        </w:rPr>
        <w:t xml:space="preserve"> long-term</w:t>
      </w:r>
      <w:r w:rsidR="00A85330">
        <w:rPr>
          <w:iCs/>
          <w:sz w:val="24"/>
          <w:szCs w:val="24"/>
        </w:rPr>
        <w:t>, mutually beneficial</w:t>
      </w:r>
      <w:r w:rsidR="00122DB1">
        <w:rPr>
          <w:iCs/>
          <w:sz w:val="24"/>
          <w:szCs w:val="24"/>
        </w:rPr>
        <w:t xml:space="preserve"> relationship</w:t>
      </w:r>
      <w:r w:rsidR="00BE2BE6" w:rsidRPr="003E565E">
        <w:rPr>
          <w:iCs/>
          <w:sz w:val="24"/>
          <w:szCs w:val="24"/>
        </w:rPr>
        <w:t xml:space="preserve">, university-industry collaboration can be compatible with and even contribute to “academic freedom” (Slaughter et al., 2004, p. 146) to the extent that it provides the resources and forms of capital which are important to the conduct </w:t>
      </w:r>
      <w:r w:rsidR="00601EFD">
        <w:rPr>
          <w:iCs/>
          <w:sz w:val="24"/>
          <w:szCs w:val="24"/>
        </w:rPr>
        <w:t xml:space="preserve">of </w:t>
      </w:r>
      <w:r w:rsidR="00BE2BE6" w:rsidRPr="003E565E">
        <w:rPr>
          <w:iCs/>
          <w:sz w:val="24"/>
          <w:szCs w:val="24"/>
        </w:rPr>
        <w:t>good quality science that might otherwise have not been possible.</w:t>
      </w:r>
      <w:r w:rsidR="00E17F51">
        <w:rPr>
          <w:iCs/>
          <w:sz w:val="24"/>
          <w:szCs w:val="24"/>
        </w:rPr>
        <w:t xml:space="preserve"> </w:t>
      </w:r>
      <w:r w:rsidR="005C5081">
        <w:rPr>
          <w:iCs/>
          <w:sz w:val="24"/>
          <w:szCs w:val="24"/>
        </w:rPr>
        <w:t xml:space="preserve">By contrast, these perspectives seem to counter </w:t>
      </w:r>
      <w:r w:rsidR="00BE2BE6">
        <w:rPr>
          <w:sz w:val="24"/>
          <w:szCs w:val="24"/>
          <w:lang w:eastAsia="zh-TW"/>
        </w:rPr>
        <w:t xml:space="preserve">Bernstein’s (2000) analysis, </w:t>
      </w:r>
      <w:r w:rsidR="005C5081">
        <w:rPr>
          <w:sz w:val="24"/>
          <w:szCs w:val="24"/>
          <w:lang w:eastAsia="zh-TW"/>
        </w:rPr>
        <w:t>for whom this would</w:t>
      </w:r>
      <w:r w:rsidR="00BE2BE6">
        <w:rPr>
          <w:sz w:val="24"/>
          <w:szCs w:val="24"/>
          <w:lang w:eastAsia="zh-TW"/>
        </w:rPr>
        <w:t xml:space="preserve"> represent a ‘weakening’ of </w:t>
      </w:r>
      <w:r w:rsidR="005C5081">
        <w:rPr>
          <w:sz w:val="24"/>
          <w:szCs w:val="24"/>
          <w:lang w:eastAsia="zh-TW"/>
        </w:rPr>
        <w:t>academia’s boundedness</w:t>
      </w:r>
      <w:r w:rsidR="00BE2BE6">
        <w:rPr>
          <w:sz w:val="24"/>
          <w:szCs w:val="24"/>
          <w:lang w:eastAsia="zh-TW"/>
        </w:rPr>
        <w:t xml:space="preserve">. </w:t>
      </w:r>
    </w:p>
    <w:p w14:paraId="60B237C2" w14:textId="64CED27E" w:rsidR="00A276EA" w:rsidRDefault="00DA4369" w:rsidP="005C5081">
      <w:pPr>
        <w:autoSpaceDE w:val="0"/>
        <w:autoSpaceDN w:val="0"/>
        <w:adjustRightInd w:val="0"/>
        <w:spacing w:after="120" w:line="360" w:lineRule="auto"/>
        <w:rPr>
          <w:sz w:val="24"/>
          <w:szCs w:val="24"/>
          <w:lang w:eastAsia="zh-TW"/>
        </w:rPr>
      </w:pPr>
      <w:r>
        <w:rPr>
          <w:sz w:val="24"/>
          <w:szCs w:val="24"/>
          <w:lang w:eastAsia="zh-TW"/>
        </w:rPr>
        <w:t xml:space="preserve">As regards this explanatory theme, the point is not to ‘beg the question’ as to whether this analysis should be interpreted as an indication of stability or change, strength or weakness of academic boundaries. Rather, the lesson to extract is that </w:t>
      </w:r>
      <w:r w:rsidR="009F4614">
        <w:rPr>
          <w:sz w:val="24"/>
          <w:szCs w:val="24"/>
          <w:lang w:eastAsia="zh-TW"/>
        </w:rPr>
        <w:t>there</w:t>
      </w:r>
      <w:r w:rsidR="009C5D22">
        <w:rPr>
          <w:sz w:val="24"/>
          <w:szCs w:val="24"/>
          <w:lang w:eastAsia="zh-TW"/>
        </w:rPr>
        <w:t xml:space="preserve"> ar</w:t>
      </w:r>
      <w:r w:rsidR="00F42D30">
        <w:rPr>
          <w:sz w:val="24"/>
          <w:szCs w:val="24"/>
          <w:lang w:eastAsia="zh-TW"/>
        </w:rPr>
        <w:t>e</w:t>
      </w:r>
      <w:r w:rsidR="009F4614">
        <w:rPr>
          <w:sz w:val="24"/>
          <w:szCs w:val="24"/>
          <w:lang w:eastAsia="zh-TW"/>
        </w:rPr>
        <w:t xml:space="preserve"> underpinning trajectories which seem to have contributed to the relative persistence and resilience of academic boundaries. </w:t>
      </w:r>
      <w:r w:rsidR="00F42D30">
        <w:rPr>
          <w:sz w:val="24"/>
          <w:szCs w:val="24"/>
          <w:lang w:eastAsia="zh-TW"/>
        </w:rPr>
        <w:t>These can best be thought of as a pair of trajectories in combination</w:t>
      </w:r>
      <w:r w:rsidR="00F538D8">
        <w:rPr>
          <w:sz w:val="24"/>
          <w:szCs w:val="24"/>
          <w:lang w:eastAsia="zh-TW"/>
        </w:rPr>
        <w:t xml:space="preserve">. </w:t>
      </w:r>
      <w:r w:rsidR="00C37461">
        <w:rPr>
          <w:sz w:val="24"/>
          <w:szCs w:val="24"/>
          <w:lang w:eastAsia="zh-TW"/>
        </w:rPr>
        <w:t xml:space="preserve">First is the trajectory originally highlighted by Durkheim (2013) whereby “the university strove and was expected to strive … [towards comprising] a plurality or even the totality of the branches of human learning” (p. 93). </w:t>
      </w:r>
      <w:r w:rsidR="00D866E1">
        <w:rPr>
          <w:sz w:val="24"/>
          <w:szCs w:val="24"/>
          <w:lang w:eastAsia="zh-TW"/>
        </w:rPr>
        <w:t xml:space="preserve">For Durkheim (2013), this trajectory of the university has significance “[o]ver and above the external factors which brought it </w:t>
      </w:r>
      <w:r w:rsidR="00DF7703">
        <w:rPr>
          <w:sz w:val="24"/>
          <w:szCs w:val="24"/>
          <w:lang w:eastAsia="zh-TW"/>
        </w:rPr>
        <w:t xml:space="preserve">[the university] </w:t>
      </w:r>
      <w:r w:rsidR="00D866E1">
        <w:rPr>
          <w:sz w:val="24"/>
          <w:szCs w:val="24"/>
          <w:lang w:eastAsia="zh-TW"/>
        </w:rPr>
        <w:t>into existence” (p. 93)</w:t>
      </w:r>
      <w:r w:rsidR="00F6587E">
        <w:rPr>
          <w:sz w:val="24"/>
          <w:szCs w:val="24"/>
          <w:lang w:eastAsia="zh-TW"/>
        </w:rPr>
        <w:t xml:space="preserve">. </w:t>
      </w:r>
      <w:r w:rsidR="00A33F1D">
        <w:rPr>
          <w:sz w:val="24"/>
          <w:szCs w:val="24"/>
          <w:lang w:eastAsia="zh-TW"/>
        </w:rPr>
        <w:t xml:space="preserve">The second trajectory is that of academia’s ties to other, mainly knowledge-intensive sectors with which its main boundary transactions occur. </w:t>
      </w:r>
    </w:p>
    <w:p w14:paraId="17634551" w14:textId="3E4CED09" w:rsidR="008C571F" w:rsidRDefault="00F928C1" w:rsidP="00D238ED">
      <w:pPr>
        <w:autoSpaceDE w:val="0"/>
        <w:autoSpaceDN w:val="0"/>
        <w:adjustRightInd w:val="0"/>
        <w:spacing w:after="120" w:line="360" w:lineRule="auto"/>
        <w:rPr>
          <w:sz w:val="24"/>
          <w:szCs w:val="24"/>
          <w:lang w:eastAsia="zh-TW"/>
        </w:rPr>
      </w:pPr>
      <w:r>
        <w:rPr>
          <w:sz w:val="24"/>
          <w:szCs w:val="24"/>
          <w:lang w:eastAsia="zh-TW"/>
        </w:rPr>
        <w:t>Building on the idea of ‘transactions’, o</w:t>
      </w:r>
      <w:r w:rsidRPr="006E5E36">
        <w:rPr>
          <w:sz w:val="24"/>
          <w:szCs w:val="24"/>
        </w:rPr>
        <w:t xml:space="preserve">rganisational sociologists </w:t>
      </w:r>
      <w:r>
        <w:rPr>
          <w:sz w:val="24"/>
          <w:szCs w:val="24"/>
        </w:rPr>
        <w:t>have developed the idea that academia</w:t>
      </w:r>
      <w:r w:rsidRPr="006E5E36">
        <w:rPr>
          <w:sz w:val="24"/>
          <w:szCs w:val="24"/>
        </w:rPr>
        <w:t xml:space="preserve"> “</w:t>
      </w:r>
      <w:r w:rsidRPr="006E5E36">
        <w:rPr>
          <w:i/>
          <w:sz w:val="24"/>
          <w:szCs w:val="24"/>
        </w:rPr>
        <w:t xml:space="preserve">transcodes </w:t>
      </w:r>
      <w:r w:rsidRPr="006E5E36">
        <w:rPr>
          <w:sz w:val="24"/>
          <w:szCs w:val="24"/>
        </w:rPr>
        <w:t>external issues and influences into topics of its own”</w:t>
      </w:r>
      <w:r>
        <w:rPr>
          <w:sz w:val="24"/>
          <w:szCs w:val="24"/>
        </w:rPr>
        <w:t xml:space="preserve"> </w:t>
      </w:r>
      <w:r>
        <w:rPr>
          <w:sz w:val="24"/>
          <w:szCs w:val="24"/>
        </w:rPr>
        <w:fldChar w:fldCharType="begin"/>
      </w:r>
      <w:r>
        <w:rPr>
          <w:sz w:val="24"/>
          <w:szCs w:val="24"/>
        </w:rPr>
        <w:instrText xml:space="preserve"> ADDIN EN.CITE &lt;EndNote&gt;&lt;Cite&gt;&lt;Author&gt;Kantasalmi&lt;/Author&gt;&lt;Year&gt;2018&lt;/Year&gt;&lt;IDText&gt;Discipline-making and Organizational Permeability of the University: Discussing the Notion of Organizational Field&lt;/IDText&gt;&lt;Suffix&gt;`, original emphasis&lt;/Suffix&gt;&lt;Pages&gt;340&lt;/Pages&gt;&lt;DisplayText&gt;(Kantasalmi &amp;amp; Tuunainen, 2018, p. 340, original emphasis)&lt;/DisplayText&gt;&lt;record&gt;&lt;keywords&gt;&lt;keyword&gt;Higher Education&lt;/keyword&gt;&lt;keyword&gt;Academic Disciplines&lt;/keyword&gt;&lt;keyword&gt;Social Systems&lt;/keyword&gt;&lt;keyword&gt;Universities&lt;/keyword&gt;&lt;keyword&gt;Higher Education&lt;/keyword&gt;&lt;keyword&gt;Theoretical Problems&lt;/keyword&gt;&lt;keyword&gt;Organization Theory&lt;/keyword&gt;&lt;keyword&gt;Professionalism&lt;/keyword&gt;&lt;keyword&gt;Organizational Structure&lt;/keyword&gt;&lt;keyword&gt;Discipline&lt;/keyword&gt;&lt;keyword&gt;Social Problems&lt;/keyword&gt;&lt;keyword&gt;Scientific Research&lt;/keyword&gt;&lt;keyword&gt;Organization Theory&lt;/keyword&gt;&lt;keyword&gt;Educational Systems&lt;/keyword&gt;&lt;keyword&gt;Economic Development&lt;/keyword&gt;&lt;keyword&gt;Systems Theory&lt;/keyword&gt;&lt;keyword&gt;System Theory&lt;/keyword&gt;&lt;keyword&gt;Science Policy&lt;/keyword&gt;&lt;keyword&gt;Discipline&lt;/keyword&gt;&lt;keyword&gt;Organization&lt;/keyword&gt;&lt;keyword&gt;University&lt;/keyword&gt;&lt;keyword&gt;Systems Theory&lt;/keyword&gt;&lt;keyword&gt;Bourdieu&lt;/keyword&gt;&lt;keyword&gt;Neoinstitutionalism&lt;/keyword&gt;&lt;/keywords&gt;&lt;isbn&gt;0733-558X&lt;/isbn&gt;&lt;titles&gt;&lt;title&gt;Discipline-making and Organizational Permeability of the University: Discussing the Notion of Organizational Field&lt;/title&gt;&lt;secondary-title&gt;Research in the Sociology of Organizations&lt;/secondary-title&gt;&lt;/titles&gt;&lt;pages&gt;331-359&lt;/pages&gt;&lt;contributors&gt;&lt;authors&gt;&lt;author&gt;Kantasalmi, Kari&lt;/author&gt;&lt;author&gt;Tuunainen, Juha&lt;/author&gt;&lt;/authors&gt;&lt;/contributors&gt;&lt;added-date format="utc"&gt;1560213503&lt;/added-date&gt;&lt;pub-location&gt;Bingley&lt;/pub-location&gt;&lt;ref-type name="Journal Article"&gt;17&lt;/ref-type&gt;&lt;dates&gt;&lt;year&gt;2018&lt;/year&gt;&lt;/dates&gt;&lt;rec-number&gt;7802&lt;/rec-number&gt;&lt;last-updated-date format="utc"&gt;1560213503&lt;/last-updated-date&gt;&lt;electronic-resource-num&gt;10.1108/S0733-558X20180000057013&lt;/electronic-resource-num&gt;&lt;volume&gt;57&lt;/volume&gt;&lt;/record&gt;&lt;/Cite&gt;&lt;/EndNote&gt;</w:instrText>
      </w:r>
      <w:r>
        <w:rPr>
          <w:sz w:val="24"/>
          <w:szCs w:val="24"/>
        </w:rPr>
        <w:fldChar w:fldCharType="separate"/>
      </w:r>
      <w:r>
        <w:rPr>
          <w:noProof/>
          <w:sz w:val="24"/>
          <w:szCs w:val="24"/>
        </w:rPr>
        <w:t>(Kantasalmi &amp; Tuunainen, 2018, p. 340, original emphasis)</w:t>
      </w:r>
      <w:r>
        <w:rPr>
          <w:sz w:val="24"/>
          <w:szCs w:val="24"/>
        </w:rPr>
        <w:fldChar w:fldCharType="end"/>
      </w:r>
      <w:r>
        <w:rPr>
          <w:sz w:val="24"/>
          <w:szCs w:val="24"/>
        </w:rPr>
        <w:t xml:space="preserve">. </w:t>
      </w:r>
      <w:r w:rsidR="00D238ED">
        <w:rPr>
          <w:sz w:val="24"/>
          <w:szCs w:val="24"/>
        </w:rPr>
        <w:t xml:space="preserve">This well describes my analysis of use-inspired basic </w:t>
      </w:r>
      <w:r w:rsidR="00AD22EB">
        <w:rPr>
          <w:sz w:val="24"/>
          <w:szCs w:val="24"/>
        </w:rPr>
        <w:t>fields of research</w:t>
      </w:r>
      <w:r w:rsidR="00D238ED">
        <w:rPr>
          <w:sz w:val="24"/>
          <w:szCs w:val="24"/>
        </w:rPr>
        <w:t>. Th</w:t>
      </w:r>
      <w:r w:rsidR="00391E73">
        <w:rPr>
          <w:sz w:val="24"/>
          <w:szCs w:val="24"/>
        </w:rPr>
        <w:t xml:space="preserve">e tendency towards </w:t>
      </w:r>
      <w:r w:rsidR="00F80BD1">
        <w:rPr>
          <w:sz w:val="24"/>
          <w:szCs w:val="24"/>
        </w:rPr>
        <w:t xml:space="preserve">use-inspired basic </w:t>
      </w:r>
      <w:r w:rsidR="00391E73">
        <w:rPr>
          <w:sz w:val="24"/>
          <w:szCs w:val="24"/>
        </w:rPr>
        <w:t>research</w:t>
      </w:r>
      <w:r w:rsidR="00D238ED">
        <w:rPr>
          <w:sz w:val="24"/>
          <w:szCs w:val="24"/>
        </w:rPr>
        <w:t xml:space="preserve"> reflect</w:t>
      </w:r>
      <w:r w:rsidR="00391E73">
        <w:rPr>
          <w:sz w:val="24"/>
          <w:szCs w:val="24"/>
        </w:rPr>
        <w:t>s</w:t>
      </w:r>
      <w:r w:rsidR="00D238ED">
        <w:rPr>
          <w:sz w:val="24"/>
          <w:szCs w:val="24"/>
        </w:rPr>
        <w:t xml:space="preserve"> academia’s</w:t>
      </w:r>
      <w:r w:rsidR="00DE55B7">
        <w:rPr>
          <w:sz w:val="24"/>
          <w:szCs w:val="24"/>
          <w:lang w:eastAsia="zh-TW"/>
        </w:rPr>
        <w:t xml:space="preserve"> </w:t>
      </w:r>
      <w:r w:rsidR="00620712">
        <w:rPr>
          <w:sz w:val="24"/>
          <w:szCs w:val="24"/>
          <w:lang w:eastAsia="zh-TW"/>
        </w:rPr>
        <w:t xml:space="preserve">focus on </w:t>
      </w:r>
      <w:r w:rsidR="00DE55B7">
        <w:rPr>
          <w:sz w:val="24"/>
          <w:szCs w:val="24"/>
          <w:lang w:eastAsia="zh-TW"/>
        </w:rPr>
        <w:t>ever</w:t>
      </w:r>
      <w:r w:rsidR="009D1214">
        <w:rPr>
          <w:sz w:val="24"/>
          <w:szCs w:val="24"/>
          <w:lang w:eastAsia="zh-TW"/>
        </w:rPr>
        <w:t xml:space="preserve"> </w:t>
      </w:r>
      <w:r w:rsidR="00DE55B7">
        <w:rPr>
          <w:sz w:val="24"/>
          <w:szCs w:val="24"/>
          <w:lang w:eastAsia="zh-TW"/>
        </w:rPr>
        <w:t xml:space="preserve">more </w:t>
      </w:r>
      <w:r w:rsidR="00391E73">
        <w:rPr>
          <w:sz w:val="24"/>
          <w:szCs w:val="24"/>
          <w:lang w:eastAsia="zh-TW"/>
        </w:rPr>
        <w:t>finely-classified</w:t>
      </w:r>
      <w:r w:rsidR="00DE55B7">
        <w:rPr>
          <w:sz w:val="24"/>
          <w:szCs w:val="24"/>
          <w:lang w:eastAsia="zh-TW"/>
        </w:rPr>
        <w:t xml:space="preserve"> natural phenomena</w:t>
      </w:r>
      <w:r w:rsidR="00F80BD1">
        <w:rPr>
          <w:sz w:val="24"/>
          <w:szCs w:val="24"/>
          <w:lang w:eastAsia="zh-TW"/>
        </w:rPr>
        <w:t xml:space="preserve"> – </w:t>
      </w:r>
      <w:r w:rsidR="00F80BD1">
        <w:rPr>
          <w:i/>
          <w:sz w:val="24"/>
          <w:szCs w:val="24"/>
          <w:lang w:eastAsia="zh-TW"/>
        </w:rPr>
        <w:t>the academic trajectory</w:t>
      </w:r>
      <w:r w:rsidR="00F80BD1">
        <w:rPr>
          <w:sz w:val="24"/>
          <w:szCs w:val="24"/>
          <w:lang w:eastAsia="zh-TW"/>
        </w:rPr>
        <w:t>. B</w:t>
      </w:r>
      <w:r w:rsidR="0086037E">
        <w:rPr>
          <w:sz w:val="24"/>
          <w:szCs w:val="24"/>
          <w:lang w:eastAsia="zh-TW"/>
        </w:rPr>
        <w:t xml:space="preserve">ut </w:t>
      </w:r>
      <w:r w:rsidR="00F80BD1">
        <w:rPr>
          <w:sz w:val="24"/>
          <w:szCs w:val="24"/>
          <w:lang w:eastAsia="zh-TW"/>
        </w:rPr>
        <w:t xml:space="preserve">it also embodies universities’ commitment to </w:t>
      </w:r>
      <w:r w:rsidR="00A022A5">
        <w:rPr>
          <w:sz w:val="24"/>
          <w:szCs w:val="24"/>
          <w:lang w:eastAsia="zh-TW"/>
        </w:rPr>
        <w:t>socially valued</w:t>
      </w:r>
      <w:r w:rsidR="00F80BD1">
        <w:rPr>
          <w:sz w:val="24"/>
          <w:szCs w:val="24"/>
          <w:lang w:eastAsia="zh-TW"/>
        </w:rPr>
        <w:t xml:space="preserve"> </w:t>
      </w:r>
      <w:r w:rsidR="0086037E">
        <w:rPr>
          <w:sz w:val="24"/>
          <w:szCs w:val="24"/>
          <w:lang w:eastAsia="zh-TW"/>
        </w:rPr>
        <w:t>boundary transactions</w:t>
      </w:r>
      <w:r w:rsidR="00F80BD1">
        <w:rPr>
          <w:sz w:val="24"/>
          <w:szCs w:val="24"/>
          <w:lang w:eastAsia="zh-TW"/>
        </w:rPr>
        <w:t xml:space="preserve">. Through use-inspired basic research, </w:t>
      </w:r>
      <w:r w:rsidR="0086037E">
        <w:rPr>
          <w:sz w:val="24"/>
          <w:szCs w:val="24"/>
          <w:lang w:eastAsia="zh-TW"/>
        </w:rPr>
        <w:t xml:space="preserve">real-world issues </w:t>
      </w:r>
      <w:r w:rsidR="004A5B4A">
        <w:rPr>
          <w:sz w:val="24"/>
          <w:szCs w:val="24"/>
          <w:lang w:eastAsia="zh-TW"/>
        </w:rPr>
        <w:t xml:space="preserve">are </w:t>
      </w:r>
      <w:r w:rsidR="0086037E">
        <w:rPr>
          <w:sz w:val="24"/>
          <w:szCs w:val="24"/>
          <w:lang w:eastAsia="zh-TW"/>
        </w:rPr>
        <w:t>turned into objects of academic knowledge and authority.</w:t>
      </w:r>
      <w:r w:rsidR="00D238ED">
        <w:rPr>
          <w:sz w:val="24"/>
          <w:szCs w:val="24"/>
          <w:lang w:eastAsia="zh-TW"/>
        </w:rPr>
        <w:t xml:space="preserve"> As noted</w:t>
      </w:r>
      <w:r w:rsidR="00755F08">
        <w:rPr>
          <w:sz w:val="24"/>
          <w:szCs w:val="24"/>
          <w:lang w:eastAsia="zh-TW"/>
        </w:rPr>
        <w:t xml:space="preserve"> elsewhere</w:t>
      </w:r>
      <w:r w:rsidR="00D238ED">
        <w:rPr>
          <w:sz w:val="24"/>
          <w:szCs w:val="24"/>
          <w:lang w:eastAsia="zh-TW"/>
        </w:rPr>
        <w:t>, this mostly emerges in research from disciplines which I categorised as</w:t>
      </w:r>
      <w:r w:rsidR="00256E61">
        <w:rPr>
          <w:sz w:val="24"/>
          <w:szCs w:val="24"/>
          <w:lang w:eastAsia="zh-TW"/>
        </w:rPr>
        <w:t xml:space="preserve"> Basic/Applied. This category referred to REF2014 Units of A</w:t>
      </w:r>
      <w:r w:rsidR="00076092">
        <w:rPr>
          <w:sz w:val="24"/>
          <w:szCs w:val="24"/>
          <w:lang w:eastAsia="zh-TW"/>
        </w:rPr>
        <w:t>s</w:t>
      </w:r>
      <w:r w:rsidR="00A21B4C">
        <w:rPr>
          <w:sz w:val="24"/>
          <w:szCs w:val="24"/>
          <w:lang w:eastAsia="zh-TW"/>
        </w:rPr>
        <w:t>s</w:t>
      </w:r>
      <w:r w:rsidR="00076092">
        <w:rPr>
          <w:sz w:val="24"/>
          <w:szCs w:val="24"/>
          <w:lang w:eastAsia="zh-TW"/>
        </w:rPr>
        <w:t>essment</w:t>
      </w:r>
      <w:r w:rsidR="00A21B4C">
        <w:rPr>
          <w:sz w:val="24"/>
          <w:szCs w:val="24"/>
          <w:lang w:eastAsia="zh-TW"/>
        </w:rPr>
        <w:t xml:space="preserve"> (UoA)</w:t>
      </w:r>
      <w:r w:rsidR="00256E61">
        <w:rPr>
          <w:sz w:val="24"/>
          <w:szCs w:val="24"/>
          <w:lang w:eastAsia="zh-TW"/>
        </w:rPr>
        <w:t xml:space="preserve"> which comprised disciplines or disciplinary groupings which are necessarily grounded in both applied and basic orientations. For example, UoA4 includes ‘Psychology, Psychiatry and Neuroscience’ and UoA7 includes ‘Earth Systems and Environmental Sciences’. Both of these disciplinary groupings I judged to have necessarily both applied and basic aspect</w:t>
      </w:r>
      <w:r w:rsidR="00727CB7">
        <w:rPr>
          <w:sz w:val="24"/>
          <w:szCs w:val="24"/>
          <w:lang w:eastAsia="zh-TW"/>
        </w:rPr>
        <w:t xml:space="preserve">s and therefore aligning closely with the notion of ‘use-inspired basic research’ </w:t>
      </w:r>
      <w:r w:rsidR="00F4305E">
        <w:rPr>
          <w:sz w:val="24"/>
          <w:szCs w:val="24"/>
          <w:lang w:eastAsia="zh-TW"/>
        </w:rPr>
        <w:t>(</w:t>
      </w:r>
      <w:r w:rsidR="00727CB7">
        <w:rPr>
          <w:sz w:val="24"/>
          <w:szCs w:val="24"/>
          <w:lang w:eastAsia="zh-TW"/>
        </w:rPr>
        <w:t xml:space="preserve">Stokes, 1997). </w:t>
      </w:r>
      <w:r w:rsidR="00424A85">
        <w:rPr>
          <w:sz w:val="24"/>
          <w:szCs w:val="24"/>
          <w:lang w:eastAsia="zh-TW"/>
        </w:rPr>
        <w:t>But</w:t>
      </w:r>
      <w:r w:rsidR="002F64B4">
        <w:rPr>
          <w:sz w:val="24"/>
          <w:szCs w:val="24"/>
          <w:lang w:eastAsia="zh-TW"/>
        </w:rPr>
        <w:t xml:space="preserve">, in line with evidence of an increase </w:t>
      </w:r>
      <w:r w:rsidR="00F4305E">
        <w:rPr>
          <w:sz w:val="24"/>
          <w:szCs w:val="24"/>
          <w:lang w:eastAsia="zh-TW"/>
        </w:rPr>
        <w:t>in</w:t>
      </w:r>
      <w:r w:rsidR="00A003EB">
        <w:rPr>
          <w:sz w:val="24"/>
          <w:szCs w:val="24"/>
          <w:lang w:eastAsia="zh-TW"/>
        </w:rPr>
        <w:t xml:space="preserve"> academic</w:t>
      </w:r>
      <w:r w:rsidR="00F4305E">
        <w:rPr>
          <w:sz w:val="24"/>
          <w:szCs w:val="24"/>
          <w:lang w:eastAsia="zh-TW"/>
        </w:rPr>
        <w:t xml:space="preserve"> use-inspired basic research (Hughes et al., 2016), </w:t>
      </w:r>
      <w:r w:rsidR="002F64B4">
        <w:rPr>
          <w:sz w:val="24"/>
          <w:szCs w:val="24"/>
          <w:lang w:eastAsia="zh-TW"/>
        </w:rPr>
        <w:t xml:space="preserve">much of the </w:t>
      </w:r>
      <w:r w:rsidR="00A003EB">
        <w:rPr>
          <w:sz w:val="24"/>
          <w:szCs w:val="24"/>
          <w:lang w:eastAsia="zh-TW"/>
        </w:rPr>
        <w:t xml:space="preserve">sampled </w:t>
      </w:r>
      <w:r w:rsidR="002F64B4">
        <w:rPr>
          <w:sz w:val="24"/>
          <w:szCs w:val="24"/>
          <w:lang w:eastAsia="zh-TW"/>
        </w:rPr>
        <w:t xml:space="preserve">research </w:t>
      </w:r>
      <w:r w:rsidR="00A003EB">
        <w:rPr>
          <w:sz w:val="24"/>
          <w:szCs w:val="24"/>
          <w:lang w:eastAsia="zh-TW"/>
        </w:rPr>
        <w:t xml:space="preserve">more generally exhibited similar characteristics. </w:t>
      </w:r>
      <w:r w:rsidR="00A003EB" w:rsidRPr="002B0256">
        <w:rPr>
          <w:sz w:val="24"/>
          <w:szCs w:val="24"/>
          <w:lang w:eastAsia="zh-TW"/>
        </w:rPr>
        <w:t xml:space="preserve">For example, </w:t>
      </w:r>
      <w:r w:rsidR="007B6247">
        <w:rPr>
          <w:sz w:val="24"/>
          <w:szCs w:val="24"/>
          <w:lang w:eastAsia="zh-TW"/>
        </w:rPr>
        <w:t xml:space="preserve">some of the </w:t>
      </w:r>
      <w:r w:rsidR="00A003EB" w:rsidRPr="002B0256">
        <w:rPr>
          <w:sz w:val="24"/>
          <w:szCs w:val="24"/>
          <w:lang w:eastAsia="zh-TW"/>
        </w:rPr>
        <w:t xml:space="preserve">research sampled from </w:t>
      </w:r>
      <w:r w:rsidR="00A003EB">
        <w:rPr>
          <w:sz w:val="24"/>
          <w:szCs w:val="24"/>
          <w:lang w:eastAsia="zh-TW"/>
        </w:rPr>
        <w:t>the Basic disciplines of Bi</w:t>
      </w:r>
      <w:r w:rsidR="00A003EB" w:rsidRPr="002B0256">
        <w:rPr>
          <w:sz w:val="24"/>
          <w:szCs w:val="24"/>
          <w:lang w:eastAsia="zh-TW"/>
        </w:rPr>
        <w:t>ology</w:t>
      </w:r>
      <w:r w:rsidR="00A003EB">
        <w:rPr>
          <w:sz w:val="24"/>
          <w:szCs w:val="24"/>
          <w:lang w:eastAsia="zh-TW"/>
        </w:rPr>
        <w:t xml:space="preserve"> (UoA5), Chemistry (UoA8</w:t>
      </w:r>
      <w:r w:rsidR="00A003EB" w:rsidRPr="002B0256">
        <w:rPr>
          <w:sz w:val="24"/>
          <w:szCs w:val="24"/>
          <w:lang w:eastAsia="zh-TW"/>
        </w:rPr>
        <w:t>) and Mathematical Sciences</w:t>
      </w:r>
      <w:r w:rsidR="00A003EB">
        <w:rPr>
          <w:sz w:val="24"/>
          <w:szCs w:val="24"/>
          <w:lang w:eastAsia="zh-TW"/>
        </w:rPr>
        <w:t xml:space="preserve"> (UoA10</w:t>
      </w:r>
      <w:r w:rsidR="00A003EB" w:rsidRPr="002B0256">
        <w:rPr>
          <w:sz w:val="24"/>
          <w:szCs w:val="24"/>
          <w:lang w:eastAsia="zh-TW"/>
        </w:rPr>
        <w:t xml:space="preserve">) </w:t>
      </w:r>
      <w:r w:rsidR="007B6247">
        <w:rPr>
          <w:sz w:val="24"/>
          <w:szCs w:val="24"/>
          <w:lang w:eastAsia="zh-TW"/>
        </w:rPr>
        <w:t>was</w:t>
      </w:r>
      <w:r w:rsidR="00A003EB" w:rsidRPr="002B0256">
        <w:rPr>
          <w:sz w:val="24"/>
          <w:szCs w:val="24"/>
          <w:lang w:eastAsia="zh-TW"/>
        </w:rPr>
        <w:t xml:space="preserve"> grounded in use-oriented subfields </w:t>
      </w:r>
      <w:r w:rsidR="007B6247">
        <w:rPr>
          <w:sz w:val="24"/>
          <w:szCs w:val="24"/>
          <w:lang w:eastAsia="zh-TW"/>
        </w:rPr>
        <w:t>including</w:t>
      </w:r>
      <w:r w:rsidR="00A003EB" w:rsidRPr="002B0256">
        <w:rPr>
          <w:sz w:val="24"/>
          <w:szCs w:val="24"/>
          <w:lang w:eastAsia="zh-TW"/>
        </w:rPr>
        <w:t xml:space="preserve"> marine mammalogy, medicinal chemistry</w:t>
      </w:r>
      <w:r w:rsidR="001D15EC">
        <w:rPr>
          <w:sz w:val="24"/>
          <w:szCs w:val="24"/>
          <w:lang w:eastAsia="zh-TW"/>
        </w:rPr>
        <w:t>/pharmacology</w:t>
      </w:r>
      <w:r w:rsidR="00C87806">
        <w:rPr>
          <w:sz w:val="24"/>
          <w:szCs w:val="24"/>
          <w:lang w:eastAsia="zh-TW"/>
        </w:rPr>
        <w:t>,</w:t>
      </w:r>
      <w:r w:rsidR="00A003EB" w:rsidRPr="002B0256">
        <w:rPr>
          <w:sz w:val="24"/>
          <w:szCs w:val="24"/>
          <w:lang w:eastAsia="zh-TW"/>
        </w:rPr>
        <w:t xml:space="preserve"> and </w:t>
      </w:r>
      <w:r w:rsidR="00A003EB">
        <w:rPr>
          <w:sz w:val="24"/>
          <w:szCs w:val="24"/>
          <w:lang w:eastAsia="zh-TW"/>
        </w:rPr>
        <w:t xml:space="preserve">environmental statistics, respectively. </w:t>
      </w:r>
    </w:p>
    <w:p w14:paraId="3BA60092" w14:textId="0717CA63" w:rsidR="00CD4365" w:rsidRDefault="008C571F" w:rsidP="00D238ED">
      <w:pPr>
        <w:autoSpaceDE w:val="0"/>
        <w:autoSpaceDN w:val="0"/>
        <w:adjustRightInd w:val="0"/>
        <w:spacing w:after="120" w:line="360" w:lineRule="auto"/>
        <w:rPr>
          <w:sz w:val="24"/>
          <w:szCs w:val="24"/>
          <w:lang w:eastAsia="zh-TW"/>
        </w:rPr>
      </w:pPr>
      <w:r>
        <w:rPr>
          <w:sz w:val="24"/>
          <w:szCs w:val="24"/>
          <w:lang w:eastAsia="zh-TW"/>
        </w:rPr>
        <w:t>As a general finding then, an important part of the explanation of how academia achieves the</w:t>
      </w:r>
      <w:r w:rsidR="002F64B4">
        <w:rPr>
          <w:sz w:val="24"/>
          <w:szCs w:val="24"/>
          <w:lang w:eastAsia="zh-TW"/>
        </w:rPr>
        <w:t xml:space="preserve"> </w:t>
      </w:r>
      <w:r>
        <w:rPr>
          <w:sz w:val="24"/>
          <w:szCs w:val="24"/>
          <w:lang w:eastAsia="zh-TW"/>
        </w:rPr>
        <w:t>‘</w:t>
      </w:r>
      <w:r w:rsidR="002F64B4">
        <w:rPr>
          <w:sz w:val="24"/>
          <w:szCs w:val="24"/>
          <w:lang w:eastAsia="zh-TW"/>
        </w:rPr>
        <w:t xml:space="preserve">balancing </w:t>
      </w:r>
      <w:r>
        <w:rPr>
          <w:sz w:val="24"/>
          <w:szCs w:val="24"/>
          <w:lang w:eastAsia="zh-TW"/>
        </w:rPr>
        <w:t>act’ whereby</w:t>
      </w:r>
      <w:r w:rsidR="002F64B4">
        <w:rPr>
          <w:sz w:val="24"/>
          <w:szCs w:val="24"/>
          <w:lang w:eastAsia="zh-TW"/>
        </w:rPr>
        <w:t xml:space="preserve"> boundary transactions </w:t>
      </w:r>
      <w:r>
        <w:rPr>
          <w:sz w:val="24"/>
          <w:szCs w:val="24"/>
          <w:lang w:eastAsia="zh-TW"/>
        </w:rPr>
        <w:t xml:space="preserve">operate to simultaneously cross and </w:t>
      </w:r>
      <w:r w:rsidR="002F64B4">
        <w:rPr>
          <w:sz w:val="24"/>
          <w:szCs w:val="24"/>
          <w:lang w:eastAsia="zh-TW"/>
        </w:rPr>
        <w:t>r</w:t>
      </w:r>
      <w:r w:rsidR="00EF28C7">
        <w:rPr>
          <w:sz w:val="24"/>
          <w:szCs w:val="24"/>
          <w:lang w:eastAsia="zh-TW"/>
        </w:rPr>
        <w:t>eproduce academic boundaries</w:t>
      </w:r>
      <w:r w:rsidR="00A003EB">
        <w:rPr>
          <w:sz w:val="24"/>
          <w:szCs w:val="24"/>
          <w:lang w:eastAsia="zh-TW"/>
        </w:rPr>
        <w:t xml:space="preserve"> </w:t>
      </w:r>
      <w:r w:rsidR="00713402">
        <w:rPr>
          <w:sz w:val="24"/>
          <w:szCs w:val="24"/>
          <w:lang w:eastAsia="zh-TW"/>
        </w:rPr>
        <w:t>is the academic</w:t>
      </w:r>
      <w:r w:rsidR="002F64B4">
        <w:rPr>
          <w:sz w:val="24"/>
          <w:szCs w:val="24"/>
          <w:lang w:eastAsia="zh-TW"/>
        </w:rPr>
        <w:t xml:space="preserve"> </w:t>
      </w:r>
      <w:r w:rsidR="00713402">
        <w:rPr>
          <w:sz w:val="24"/>
          <w:szCs w:val="24"/>
          <w:lang w:eastAsia="zh-TW"/>
        </w:rPr>
        <w:t>trajectory described here</w:t>
      </w:r>
      <w:r w:rsidR="00125FF9">
        <w:rPr>
          <w:sz w:val="24"/>
          <w:szCs w:val="24"/>
          <w:lang w:eastAsia="zh-TW"/>
        </w:rPr>
        <w:t>. T</w:t>
      </w:r>
      <w:r w:rsidR="00713402">
        <w:rPr>
          <w:sz w:val="24"/>
          <w:szCs w:val="24"/>
          <w:lang w:eastAsia="zh-TW"/>
        </w:rPr>
        <w:t>he drive to incorporate ever</w:t>
      </w:r>
      <w:r w:rsidR="00541273">
        <w:rPr>
          <w:sz w:val="24"/>
          <w:szCs w:val="24"/>
          <w:lang w:eastAsia="zh-TW"/>
        </w:rPr>
        <w:t xml:space="preserve"> </w:t>
      </w:r>
      <w:r w:rsidR="00713402">
        <w:rPr>
          <w:sz w:val="24"/>
          <w:szCs w:val="24"/>
          <w:lang w:eastAsia="zh-TW"/>
        </w:rPr>
        <w:t xml:space="preserve">more </w:t>
      </w:r>
      <w:r w:rsidR="00A022A5">
        <w:rPr>
          <w:sz w:val="24"/>
          <w:szCs w:val="24"/>
          <w:lang w:eastAsia="zh-TW"/>
        </w:rPr>
        <w:t>finely classified</w:t>
      </w:r>
      <w:r w:rsidR="00713402">
        <w:rPr>
          <w:sz w:val="24"/>
          <w:szCs w:val="24"/>
          <w:lang w:eastAsia="zh-TW"/>
        </w:rPr>
        <w:t xml:space="preserve"> phenomena into scientific sub-disciplines is a distinctive and arguably quintessential </w:t>
      </w:r>
      <w:r w:rsidR="00277CF9">
        <w:rPr>
          <w:sz w:val="24"/>
          <w:szCs w:val="24"/>
          <w:lang w:eastAsia="zh-TW"/>
        </w:rPr>
        <w:t>feature of academia</w:t>
      </w:r>
      <w:r w:rsidR="00125FF9">
        <w:rPr>
          <w:sz w:val="24"/>
          <w:szCs w:val="24"/>
          <w:lang w:eastAsia="zh-TW"/>
        </w:rPr>
        <w:t xml:space="preserve">. That the phenomena brought into academic purview are guided in part by the present needs of society means that this internal academic drive also becomes an effective boundary transaction mechanism. </w:t>
      </w:r>
    </w:p>
    <w:p w14:paraId="541DFCC7" w14:textId="66C597EC" w:rsidR="00BD7026" w:rsidRDefault="00627059" w:rsidP="001200FE">
      <w:pPr>
        <w:pStyle w:val="Heading3"/>
      </w:pPr>
      <w:bookmarkStart w:id="218" w:name="_Toc31701995"/>
      <w:r>
        <w:t>Academic identity</w:t>
      </w:r>
      <w:bookmarkEnd w:id="218"/>
    </w:p>
    <w:p w14:paraId="53EF98CA" w14:textId="6910E05C" w:rsidR="00080188" w:rsidRDefault="007B6655" w:rsidP="005F2CD3">
      <w:pPr>
        <w:spacing w:before="120" w:after="120" w:line="360" w:lineRule="auto"/>
        <w:rPr>
          <w:iCs/>
          <w:sz w:val="24"/>
          <w:szCs w:val="24"/>
        </w:rPr>
      </w:pPr>
      <w:r>
        <w:rPr>
          <w:sz w:val="24"/>
          <w:szCs w:val="24"/>
        </w:rPr>
        <w:t>‘</w:t>
      </w:r>
      <w:r w:rsidR="00AB0017">
        <w:rPr>
          <w:sz w:val="24"/>
          <w:szCs w:val="24"/>
        </w:rPr>
        <w:t>A</w:t>
      </w:r>
      <w:r>
        <w:rPr>
          <w:sz w:val="24"/>
          <w:szCs w:val="24"/>
        </w:rPr>
        <w:t xml:space="preserve">cademic identity’, although not </w:t>
      </w:r>
      <w:r w:rsidR="001B0FC5">
        <w:rPr>
          <w:sz w:val="24"/>
          <w:szCs w:val="24"/>
        </w:rPr>
        <w:t>the focus of my study,</w:t>
      </w:r>
      <w:r>
        <w:rPr>
          <w:sz w:val="24"/>
          <w:szCs w:val="24"/>
        </w:rPr>
        <w:t xml:space="preserve"> ended up being </w:t>
      </w:r>
      <w:r w:rsidR="000E7DFE">
        <w:rPr>
          <w:sz w:val="24"/>
          <w:szCs w:val="24"/>
        </w:rPr>
        <w:t xml:space="preserve">a valuable </w:t>
      </w:r>
      <w:r>
        <w:rPr>
          <w:sz w:val="24"/>
          <w:szCs w:val="24"/>
        </w:rPr>
        <w:t>concept to help understanding and interpreting</w:t>
      </w:r>
      <w:r w:rsidR="00F02EA4">
        <w:rPr>
          <w:sz w:val="24"/>
          <w:szCs w:val="24"/>
        </w:rPr>
        <w:t xml:space="preserve"> certain</w:t>
      </w:r>
      <w:r>
        <w:rPr>
          <w:sz w:val="24"/>
          <w:szCs w:val="24"/>
        </w:rPr>
        <w:t xml:space="preserve"> findings.</w:t>
      </w:r>
      <w:r w:rsidR="00685221">
        <w:rPr>
          <w:sz w:val="24"/>
          <w:szCs w:val="24"/>
        </w:rPr>
        <w:t xml:space="preserve"> </w:t>
      </w:r>
      <w:r w:rsidR="005F2CD3">
        <w:rPr>
          <w:sz w:val="24"/>
          <w:szCs w:val="24"/>
        </w:rPr>
        <w:t xml:space="preserve">For </w:t>
      </w:r>
      <w:r w:rsidR="00080188">
        <w:rPr>
          <w:sz w:val="24"/>
          <w:szCs w:val="24"/>
        </w:rPr>
        <w:t>one</w:t>
      </w:r>
      <w:r w:rsidR="005F2CD3">
        <w:rPr>
          <w:sz w:val="24"/>
          <w:szCs w:val="24"/>
        </w:rPr>
        <w:t>, t</w:t>
      </w:r>
      <w:r w:rsidR="005F2CD3">
        <w:rPr>
          <w:iCs/>
          <w:sz w:val="24"/>
          <w:szCs w:val="24"/>
        </w:rPr>
        <w:t>he notion of ‘academic identity’ helps to interpret the way in which many of my participants talked about what they felt they ought to do as academics, particularly when discussing ambitio</w:t>
      </w:r>
      <w:r w:rsidR="00534C58">
        <w:rPr>
          <w:iCs/>
          <w:sz w:val="24"/>
          <w:szCs w:val="24"/>
        </w:rPr>
        <w:t xml:space="preserve">ns </w:t>
      </w:r>
      <w:r w:rsidR="005F2CD3">
        <w:rPr>
          <w:iCs/>
          <w:sz w:val="24"/>
          <w:szCs w:val="24"/>
        </w:rPr>
        <w:t>which require surmounting barriers and challenges.</w:t>
      </w:r>
      <w:r w:rsidR="00080188">
        <w:rPr>
          <w:iCs/>
          <w:sz w:val="24"/>
          <w:szCs w:val="24"/>
        </w:rPr>
        <w:t xml:space="preserve"> This self-conception of what their role as an academic was provided a motivational resource for these researchers. For example, several felt that it was the role of academics to try and change the world through their research, i.e., generate impact (despite mostly being at least somewhat critical of this term)</w:t>
      </w:r>
      <w:r w:rsidR="00610356">
        <w:rPr>
          <w:iCs/>
          <w:sz w:val="24"/>
          <w:szCs w:val="24"/>
        </w:rPr>
        <w:t>, albeit that they often also</w:t>
      </w:r>
      <w:r w:rsidR="00080188">
        <w:rPr>
          <w:iCs/>
          <w:sz w:val="24"/>
          <w:szCs w:val="24"/>
        </w:rPr>
        <w:t xml:space="preserve"> spoke of how institutional culture and the wider scientific environment w</w:t>
      </w:r>
      <w:r w:rsidR="002408CB">
        <w:rPr>
          <w:iCs/>
          <w:sz w:val="24"/>
          <w:szCs w:val="24"/>
        </w:rPr>
        <w:t>ere</w:t>
      </w:r>
      <w:r w:rsidR="00080188">
        <w:rPr>
          <w:iCs/>
          <w:sz w:val="24"/>
          <w:szCs w:val="24"/>
        </w:rPr>
        <w:t xml:space="preserve"> not set up to maximise the benefits of science.</w:t>
      </w:r>
      <w:r w:rsidR="00946E76">
        <w:rPr>
          <w:iCs/>
          <w:sz w:val="24"/>
          <w:szCs w:val="24"/>
        </w:rPr>
        <w:t xml:space="preserve"> </w:t>
      </w:r>
      <w:r w:rsidR="00080188">
        <w:rPr>
          <w:iCs/>
          <w:sz w:val="24"/>
          <w:szCs w:val="24"/>
        </w:rPr>
        <w:t>Winning large grants and producing academic journal articles w</w:t>
      </w:r>
      <w:r w:rsidR="002408CB">
        <w:rPr>
          <w:iCs/>
          <w:sz w:val="24"/>
          <w:szCs w:val="24"/>
        </w:rPr>
        <w:t>ere</w:t>
      </w:r>
      <w:r w:rsidR="00080188">
        <w:rPr>
          <w:iCs/>
          <w:sz w:val="24"/>
          <w:szCs w:val="24"/>
        </w:rPr>
        <w:t xml:space="preserve"> perceived as </w:t>
      </w:r>
      <w:r w:rsidR="00A83202">
        <w:rPr>
          <w:iCs/>
          <w:sz w:val="24"/>
          <w:szCs w:val="24"/>
        </w:rPr>
        <w:t xml:space="preserve">being more valued by universities, even </w:t>
      </w:r>
      <w:r w:rsidR="00A022A5">
        <w:rPr>
          <w:iCs/>
          <w:sz w:val="24"/>
          <w:szCs w:val="24"/>
        </w:rPr>
        <w:t>though this</w:t>
      </w:r>
      <w:r w:rsidR="00A83202">
        <w:rPr>
          <w:iCs/>
          <w:sz w:val="24"/>
          <w:szCs w:val="24"/>
        </w:rPr>
        <w:t xml:space="preserve"> does</w:t>
      </w:r>
      <w:r w:rsidR="00080188">
        <w:rPr>
          <w:iCs/>
          <w:sz w:val="24"/>
          <w:szCs w:val="24"/>
        </w:rPr>
        <w:t xml:space="preserve"> not necessarily align with generating impact, which </w:t>
      </w:r>
      <w:r w:rsidR="00A83202">
        <w:rPr>
          <w:iCs/>
          <w:sz w:val="24"/>
          <w:szCs w:val="24"/>
        </w:rPr>
        <w:t xml:space="preserve">requires </w:t>
      </w:r>
      <w:r w:rsidR="00080188">
        <w:rPr>
          <w:iCs/>
          <w:sz w:val="24"/>
          <w:szCs w:val="24"/>
        </w:rPr>
        <w:t>effort to be focused elsewhere.</w:t>
      </w:r>
      <w:r w:rsidR="00F93451">
        <w:rPr>
          <w:iCs/>
          <w:sz w:val="24"/>
          <w:szCs w:val="24"/>
        </w:rPr>
        <w:t xml:space="preserve"> Two</w:t>
      </w:r>
      <w:r w:rsidR="00BB34BC">
        <w:rPr>
          <w:iCs/>
          <w:sz w:val="24"/>
          <w:szCs w:val="24"/>
        </w:rPr>
        <w:t xml:space="preserve"> interview respondents</w:t>
      </w:r>
      <w:r w:rsidR="00F93451">
        <w:rPr>
          <w:iCs/>
          <w:sz w:val="24"/>
          <w:szCs w:val="24"/>
        </w:rPr>
        <w:t xml:space="preserve"> were specifically critical of research councils, who, they argued, often favour research grant proposals that would be extremely rigorous and comprehensive scientifically, but very uncertain in terms of whether the findings will be of any</w:t>
      </w:r>
      <w:r w:rsidR="002804F4">
        <w:rPr>
          <w:iCs/>
          <w:sz w:val="24"/>
          <w:szCs w:val="24"/>
        </w:rPr>
        <w:t xml:space="preserve"> social or economic</w:t>
      </w:r>
      <w:r w:rsidR="00F93451">
        <w:rPr>
          <w:iCs/>
          <w:sz w:val="24"/>
          <w:szCs w:val="24"/>
        </w:rPr>
        <w:t xml:space="preserve"> relevance. </w:t>
      </w:r>
      <w:r w:rsidR="00610356">
        <w:rPr>
          <w:iCs/>
          <w:sz w:val="24"/>
          <w:szCs w:val="24"/>
        </w:rPr>
        <w:t xml:space="preserve">But, like some of Watermeyer’s </w:t>
      </w:r>
      <w:r w:rsidR="00610356">
        <w:rPr>
          <w:iCs/>
          <w:sz w:val="24"/>
          <w:szCs w:val="24"/>
        </w:rPr>
        <w:fldChar w:fldCharType="begin"/>
      </w:r>
      <w:r w:rsidR="00610356">
        <w:rPr>
          <w:iCs/>
          <w:sz w:val="24"/>
          <w:szCs w:val="24"/>
        </w:rPr>
        <w:instrText xml:space="preserve"> ADDIN EN.CITE &lt;EndNote&gt;&lt;Cite ExcludeAuth="1"&gt;&lt;Author&gt;Watermeyer&lt;/Author&gt;&lt;Year&gt;2016&lt;/Year&gt;&lt;IDText&gt;Public intellectuals vs. new public management: the defeat of public engagement in higher education&lt;/IDText&gt;&lt;DisplayText&gt;(2016b)&lt;/DisplayText&gt;&lt;record&gt;&lt;keywords&gt;&lt;keyword&gt;Article&lt;/keyword&gt;&lt;keyword&gt;Academic Engagement&lt;/keyword&gt;&lt;keyword&gt;Academic Management&lt;/keyword&gt;&lt;keyword&gt;Educational Policy&lt;/keyword&gt;&lt;keyword&gt;Academic Work And Identity&lt;/keyword&gt;&lt;keyword&gt;Community Engagement&lt;/keyword&gt;&lt;/keywords&gt;&lt;isbn&gt;0307-5079&lt;/isbn&gt;&lt;titles&gt;&lt;title&gt;Public intellectuals vs. new public management: the defeat of public engagement in higher education&lt;/title&gt;&lt;secondary-title&gt;Studies in Higher Education&lt;/secondary-title&gt;&lt;/titles&gt;&lt;pages&gt;2271-2285&lt;/pages&gt;&lt;number&gt;12&lt;/number&gt;&lt;contributors&gt;&lt;authors&gt;&lt;author&gt;Watermeyer, Richard&lt;/author&gt;&lt;/authors&gt;&lt;/contributors&gt;&lt;added-date format="utc"&gt;1559769613&lt;/added-date&gt;&lt;ref-type name="Journal Article"&gt;17&lt;/ref-type&gt;&lt;dates&gt;&lt;year&gt;2016&lt;/year&gt;&lt;/dates&gt;&lt;rec-number&gt;7800&lt;/rec-number&gt;&lt;publisher&gt;Routledge&lt;/publisher&gt;&lt;last-updated-date format="utc"&gt;1559769613&lt;/last-updated-date&gt;&lt;electronic-resource-num&gt;10.1080/03075079.2015.1034261&lt;/electronic-resource-num&gt;&lt;volume&gt;41&lt;/volume&gt;&lt;/record&gt;&lt;/Cite&gt;&lt;/EndNote&gt;</w:instrText>
      </w:r>
      <w:r w:rsidR="00610356">
        <w:rPr>
          <w:iCs/>
          <w:sz w:val="24"/>
          <w:szCs w:val="24"/>
        </w:rPr>
        <w:fldChar w:fldCharType="separate"/>
      </w:r>
      <w:r w:rsidR="00610356">
        <w:rPr>
          <w:iCs/>
          <w:noProof/>
          <w:sz w:val="24"/>
          <w:szCs w:val="24"/>
        </w:rPr>
        <w:t>(2016b)</w:t>
      </w:r>
      <w:r w:rsidR="00610356">
        <w:rPr>
          <w:iCs/>
          <w:sz w:val="24"/>
          <w:szCs w:val="24"/>
        </w:rPr>
        <w:fldChar w:fldCharType="end"/>
      </w:r>
      <w:r w:rsidR="00610356">
        <w:rPr>
          <w:iCs/>
          <w:sz w:val="24"/>
          <w:szCs w:val="24"/>
        </w:rPr>
        <w:t xml:space="preserve"> participants, m</w:t>
      </w:r>
      <w:r w:rsidR="00F93451">
        <w:rPr>
          <w:iCs/>
          <w:sz w:val="24"/>
          <w:szCs w:val="24"/>
        </w:rPr>
        <w:t xml:space="preserve">y respondents’ </w:t>
      </w:r>
      <w:r w:rsidR="00F93451">
        <w:rPr>
          <w:sz w:val="24"/>
          <w:szCs w:val="24"/>
        </w:rPr>
        <w:t xml:space="preserve">sense of an academic identity was a source of motivation to reach out to users and conduct research of relevance to them. </w:t>
      </w:r>
    </w:p>
    <w:p w14:paraId="18DA55BA" w14:textId="288ED609" w:rsidR="00C7405E" w:rsidRPr="00DA4AC8" w:rsidRDefault="00CA34DA" w:rsidP="00C7405E">
      <w:pPr>
        <w:spacing w:before="120" w:after="120" w:line="360" w:lineRule="auto"/>
        <w:rPr>
          <w:sz w:val="24"/>
          <w:szCs w:val="24"/>
        </w:rPr>
      </w:pPr>
      <w:r>
        <w:rPr>
          <w:iCs/>
          <w:sz w:val="24"/>
          <w:szCs w:val="24"/>
        </w:rPr>
        <w:t xml:space="preserve">And such use-focused outreach opened up another space </w:t>
      </w:r>
      <w:r w:rsidR="00AF3320">
        <w:rPr>
          <w:iCs/>
          <w:sz w:val="24"/>
          <w:szCs w:val="24"/>
        </w:rPr>
        <w:t>in which’</w:t>
      </w:r>
      <w:r>
        <w:rPr>
          <w:iCs/>
          <w:sz w:val="24"/>
          <w:szCs w:val="24"/>
        </w:rPr>
        <w:t xml:space="preserve"> academic identity</w:t>
      </w:r>
      <w:r w:rsidR="00AF3320">
        <w:rPr>
          <w:iCs/>
          <w:sz w:val="24"/>
          <w:szCs w:val="24"/>
        </w:rPr>
        <w:t>’ emerged as important</w:t>
      </w:r>
      <w:r>
        <w:rPr>
          <w:iCs/>
          <w:sz w:val="24"/>
          <w:szCs w:val="24"/>
        </w:rPr>
        <w:t xml:space="preserve">, that is, the perceived credibility that non-academics associated with the ‘academic identity’. This became most apparent and relevant when academics crossed boundaries into </w:t>
      </w:r>
      <w:r w:rsidR="00A53CEF">
        <w:rPr>
          <w:sz w:val="24"/>
          <w:szCs w:val="24"/>
        </w:rPr>
        <w:t xml:space="preserve">contested and challenging </w:t>
      </w:r>
      <w:r>
        <w:rPr>
          <w:sz w:val="24"/>
          <w:szCs w:val="24"/>
        </w:rPr>
        <w:t xml:space="preserve">non-academic </w:t>
      </w:r>
      <w:r w:rsidR="00A53CEF">
        <w:rPr>
          <w:sz w:val="24"/>
          <w:szCs w:val="24"/>
        </w:rPr>
        <w:t>settings</w:t>
      </w:r>
      <w:r>
        <w:rPr>
          <w:sz w:val="24"/>
          <w:szCs w:val="24"/>
        </w:rPr>
        <w:t xml:space="preserve">. Although academics in my sample acknowledged the challenges of entering such spaces, my analysis revealed that these challenges were often alleviated by </w:t>
      </w:r>
      <w:r w:rsidR="00E33671">
        <w:rPr>
          <w:sz w:val="24"/>
          <w:szCs w:val="24"/>
        </w:rPr>
        <w:t xml:space="preserve">the ‘scientific capital’ </w:t>
      </w:r>
      <w:r w:rsidR="00B07438">
        <w:rPr>
          <w:sz w:val="24"/>
          <w:szCs w:val="24"/>
        </w:rPr>
        <w:t xml:space="preserve">and ‘credibility’ </w:t>
      </w:r>
      <w:r w:rsidR="00E33671">
        <w:rPr>
          <w:sz w:val="24"/>
          <w:szCs w:val="24"/>
        </w:rPr>
        <w:t xml:space="preserve">associated with an academic identity </w:t>
      </w:r>
      <w:r>
        <w:rPr>
          <w:sz w:val="24"/>
          <w:szCs w:val="24"/>
        </w:rPr>
        <w:t>in terms of how these academics were</w:t>
      </w:r>
      <w:r w:rsidR="00E33671">
        <w:rPr>
          <w:sz w:val="24"/>
          <w:szCs w:val="24"/>
        </w:rPr>
        <w:t xml:space="preserve"> perceived as </w:t>
      </w:r>
      <w:r>
        <w:rPr>
          <w:sz w:val="24"/>
          <w:szCs w:val="24"/>
        </w:rPr>
        <w:t>having a</w:t>
      </w:r>
      <w:r w:rsidR="00E33671">
        <w:rPr>
          <w:sz w:val="24"/>
          <w:szCs w:val="24"/>
        </w:rPr>
        <w:t xml:space="preserve"> legitimate and authoritative voice on an issue. </w:t>
      </w:r>
      <w:r w:rsidR="00C7405E" w:rsidRPr="00DA4AC8">
        <w:rPr>
          <w:sz w:val="24"/>
          <w:szCs w:val="24"/>
        </w:rPr>
        <w:t xml:space="preserve">Indeed, others have emphasised that more important than specific findings from an individual project in gaining the trust of users and stakeholders is the “credibility of an ongoing body of research that registered with users” </w:t>
      </w:r>
      <w:r w:rsidR="00C7405E" w:rsidRPr="00DA4AC8">
        <w:rPr>
          <w:sz w:val="24"/>
          <w:szCs w:val="24"/>
        </w:rPr>
        <w:fldChar w:fldCharType="begin"/>
      </w:r>
      <w:r w:rsidR="00DC7CE7">
        <w:rPr>
          <w:sz w:val="24"/>
          <w:szCs w:val="24"/>
        </w:rPr>
        <w:instrText xml:space="preserve"> ADDIN EN.CITE &lt;EndNote&gt;&lt;Cite&gt;&lt;Author&gt;Meagher&lt;/Author&gt;&lt;Year&gt;2008&lt;/Year&gt;&lt;IDText&gt;Flows of knowledge, expertise and influence: A method for assessing policy and practice impacts from social science research&lt;/IDText&gt;&lt;Pages&gt;170&lt;/Pages&gt;&lt;DisplayText&gt;(Meagher, Lyall, &amp;amp; Nutley, 2008, p. 170)&lt;/DisplayText&gt;&lt;record&gt;&lt;urls&gt;&lt;related-urls&gt;&lt;url&gt;https://www.scopus.com/inward/record.uri?eid=2-s2.0-54249167589&amp;amp;partnerID=40&amp;amp;md5=6ada6f2371681d5a7d9a99f403821736&lt;/url&gt;&lt;/related-urls&gt;&lt;/urls&gt;&lt;work-type&gt;Article&lt;/work-type&gt;&lt;titles&gt;&lt;title&gt;Flows of knowledge, expertise and influence: A method for assessing policy and practice impacts from social science research&lt;/title&gt;&lt;secondary-title&gt;Research Evaluation&lt;/secondary-title&gt;&lt;/titles&gt;&lt;pages&gt;163-173&lt;/pages&gt;&lt;number&gt;3&lt;/number&gt;&lt;contributors&gt;&lt;authors&gt;&lt;author&gt;Meagher, L.&lt;/author&gt;&lt;author&gt;Lyall, C.&lt;/author&gt;&lt;author&gt;Nutley, S.&lt;/author&gt;&lt;/authors&gt;&lt;/contributors&gt;&lt;added-date format="utc"&gt;1473719239&lt;/added-date&gt;&lt;ref-type name="Journal Article"&gt;17&lt;/ref-type&gt;&lt;dates&gt;&lt;year&gt;2008&lt;/year&gt;&lt;/dates&gt;&lt;rec-number&gt;3701&lt;/rec-number&gt;&lt;last-updated-date format="utc"&gt;1490126332&lt;/last-updated-date&gt;&lt;electronic-resource-num&gt;10.3152/095820208X331720&lt;/electronic-resource-num&gt;&lt;volume&gt;17&lt;/volume&gt;&lt;remote-database-name&gt;Scopus&lt;/remote-database-name&gt;&lt;/record&gt;&lt;/Cite&gt;&lt;/EndNote&gt;</w:instrText>
      </w:r>
      <w:r w:rsidR="00C7405E" w:rsidRPr="00DA4AC8">
        <w:rPr>
          <w:sz w:val="24"/>
          <w:szCs w:val="24"/>
        </w:rPr>
        <w:fldChar w:fldCharType="separate"/>
      </w:r>
      <w:r w:rsidR="00DC7CE7">
        <w:rPr>
          <w:noProof/>
          <w:sz w:val="24"/>
          <w:szCs w:val="24"/>
        </w:rPr>
        <w:t>(Meagher, Lyall, &amp; Nutley, 2008, p. 170)</w:t>
      </w:r>
      <w:r w:rsidR="00C7405E" w:rsidRPr="00DA4AC8">
        <w:rPr>
          <w:sz w:val="24"/>
          <w:szCs w:val="24"/>
        </w:rPr>
        <w:fldChar w:fldCharType="end"/>
      </w:r>
      <w:r w:rsidR="00C7405E" w:rsidRPr="00DA4AC8">
        <w:rPr>
          <w:sz w:val="24"/>
          <w:szCs w:val="24"/>
        </w:rPr>
        <w:t xml:space="preserve">. Users, “therefore, are increasingly relying on trusted, credible, reputable sources with whom they have built relationships” </w:t>
      </w:r>
      <w:r w:rsidR="00C7405E" w:rsidRPr="00DA4AC8">
        <w:rPr>
          <w:sz w:val="24"/>
          <w:szCs w:val="24"/>
        </w:rPr>
        <w:fldChar w:fldCharType="begin"/>
      </w:r>
      <w:r w:rsidR="00C7405E" w:rsidRPr="00DA4AC8">
        <w:rPr>
          <w:sz w:val="24"/>
          <w:szCs w:val="24"/>
        </w:rPr>
        <w:instrText xml:space="preserve"> ADDIN EN.CITE &lt;EndNote&gt;&lt;Cite&gt;&lt;Author&gt;Bansal&lt;/Author&gt;&lt;Year&gt;2012&lt;/Year&gt;&lt;IDText&gt;Bridging the research-practice gap&lt;/IDText&gt;&lt;Pages&gt;87&lt;/Pages&gt;&lt;DisplayText&gt;(Bansal, Bertels, Ewart, MacConnachie, &amp;amp; O&amp;apos;Brien, 2012, p. 87)&lt;/DisplayText&gt;&lt;record&gt;&lt;urls&gt;&lt;related-urls&gt;&lt;url&gt;https://www.scopus.com/inward/record.uri?eid=2-s2.0-84859075861&amp;amp;doi=10.5465%2famp.2011.0140&amp;amp;partnerID=40&amp;amp;md5=4666431c4d7333c4e37ff926be8352bb&lt;/url&gt;&lt;/related-urls&gt;&lt;/urls&gt;&lt;work-type&gt;Conference Paper&lt;/work-type&gt;&lt;titles&gt;&lt;title&gt;Bridging the research-practice gap&lt;/title&gt;&lt;secondary-title&gt;Academy of Management Perspectives&lt;/secondary-title&gt;&lt;/titles&gt;&lt;pages&gt;73-92&lt;/pages&gt;&lt;number&gt;1&lt;/number&gt;&lt;contributors&gt;&lt;authors&gt;&lt;author&gt;Bansal, P.&lt;/author&gt;&lt;author&gt;Bertels, S.&lt;/author&gt;&lt;author&gt;Ewart, T.&lt;/author&gt;&lt;author&gt;MacConnachie, P.&lt;/author&gt;&lt;author&gt;O&amp;apos;Brien, J.&lt;/author&gt;&lt;/authors&gt;&lt;/contributors&gt;&lt;added-date format="utc"&gt;1493355530&lt;/added-date&gt;&lt;ref-type name="Journal Article"&gt;17&lt;/ref-type&gt;&lt;auth-address&gt;Richard Ivey School of Business, University of Western Ontario, Canada&amp;#xD;Network for Business Sustainability, Richard Ivey School of Business, University of Western Ontario, Canada&amp;#xD;Beedie School of Business, Simon Fraser University, Canada&amp;#xD;Suncor Energy Inc., Calgary, AB, Canada&amp;#xD;Aubrey Dan Program in Management and Organization Studies, University of Western Ontario, Canada&lt;/auth-address&gt;&lt;dates&gt;&lt;year&gt;2012&lt;/year&gt;&lt;/dates&gt;&lt;rec-number&gt;6944&lt;/rec-number&gt;&lt;last-updated-date format="utc"&gt;1493355530&lt;/last-updated-date&gt;&lt;electronic-resource-num&gt;10.5465/amp.2011.0140&lt;/electronic-resource-num&gt;&lt;volume&gt;26&lt;/volume&gt;&lt;remote-database-name&gt;Scopus&lt;/remote-database-name&gt;&lt;/record&gt;&lt;/Cite&gt;&lt;/EndNote&gt;</w:instrText>
      </w:r>
      <w:r w:rsidR="00C7405E" w:rsidRPr="00DA4AC8">
        <w:rPr>
          <w:sz w:val="24"/>
          <w:szCs w:val="24"/>
        </w:rPr>
        <w:fldChar w:fldCharType="separate"/>
      </w:r>
      <w:r w:rsidR="00C7405E" w:rsidRPr="00DA4AC8">
        <w:rPr>
          <w:noProof/>
          <w:sz w:val="24"/>
          <w:szCs w:val="24"/>
        </w:rPr>
        <w:t>(Bansal, Bertels, Ewart, MacConnachie, &amp; O'Brien, 2012, p. 87)</w:t>
      </w:r>
      <w:r w:rsidR="00C7405E" w:rsidRPr="00DA4AC8">
        <w:rPr>
          <w:sz w:val="24"/>
          <w:szCs w:val="24"/>
        </w:rPr>
        <w:fldChar w:fldCharType="end"/>
      </w:r>
      <w:r w:rsidR="00C7405E" w:rsidRPr="00DA4AC8">
        <w:rPr>
          <w:sz w:val="24"/>
          <w:szCs w:val="24"/>
        </w:rPr>
        <w:t xml:space="preserve">. </w:t>
      </w:r>
    </w:p>
    <w:p w14:paraId="075A0D8D" w14:textId="16E9274D" w:rsidR="000A6113" w:rsidRDefault="00C7405E" w:rsidP="00C7405E">
      <w:pPr>
        <w:spacing w:after="120" w:line="360" w:lineRule="auto"/>
        <w:rPr>
          <w:sz w:val="24"/>
          <w:szCs w:val="24"/>
        </w:rPr>
      </w:pPr>
      <w:r w:rsidRPr="00DA4AC8">
        <w:rPr>
          <w:sz w:val="24"/>
          <w:szCs w:val="24"/>
        </w:rPr>
        <w:t xml:space="preserve">Academic boundary-crossing and boundary management therefore involves transforming “scientific credibility” into “social capital” </w:t>
      </w:r>
      <w:r w:rsidRPr="00DA4AC8">
        <w:rPr>
          <w:sz w:val="24"/>
          <w:szCs w:val="24"/>
        </w:rPr>
        <w:fldChar w:fldCharType="begin">
          <w:fldData xml:space="preserve">PEVuZE5vdGU+PENpdGU+PEF1dGhvcj5NY05pZTwvQXV0aG9yPjxZZWFyPjIwMDc8L1llYXI+PElE
VGV4dD5SZWNvbmNpbGluZyB0aGUgc3VwcGx5IG9mIHNjaWVudGlmaWMgaW5mb3JtYXRpb24gd2l0
aCB1c2VyIGRlbWFuZHM6IGFuIGFuYWx5c2lzIG9mIHRoZSBwcm9ibGVtIGFuZCByZXZpZXcgb2Yg
dGhlIGxpdGVyYXR1cmU8L0lEVGV4dD48UGFnZXM+MjBgLCAyNDwvUGFnZXM+PERpc3BsYXlUZXh0
PihNY05pZSwgMjAwNywgcHAuIDIwLCAyNDsgc2VlIGFsc28gUG9ub21hcmlvdiAmYW1wOyBCb2Fy
ZG1hbiwgMjAxMCwgcC4gNjE3KTwvRGlzcGxheVRleHQ+PHJlY29yZD48a2V5d29yZHM+PGtleXdv
cmQ+RGVjaXNpb24tbWFraW5nPC9rZXl3b3JkPjxrZXl3b3JkPlBvbGljeS1yZWxldmFudCByZXNl
YXJjaDwva2V5d29yZD48a2V5d29yZD5TY2llbmNlIHBvbGljeTwva2V5d29yZD48a2V5d29yZD5V
c2VmdWwgaW5mb3JtYXRpb248L2tleXdvcmQ+PGtleXdvcmQ+Qm91bmRhcnkgb3JnYW5pemF0aW9u
czwva2V5d29yZD48L2tleXdvcmRzPjxpc2JuPjE0NjItOTAxMTwvaXNibj48dGl0bGVzPjx0aXRs
ZT5SZWNvbmNpbGluZyB0aGUgc3VwcGx5IG9mIHNjaWVudGlmaWMgaW5mb3JtYXRpb24gd2l0aCB1
c2VyIGRlbWFuZHM6IGFuIGFuYWx5c2lzIG9mIHRoZSBwcm9ibGVtIGFuZCByZXZpZXcgb2YgdGhl
IGxpdGVyYXR1cmU8L3RpdGxlPjxzZWNvbmRhcnktdGl0bGU+RW52aXJvbm1lbnRhbCBTY2llbmNl
IGFuZCBQb2xpY3k8L3NlY29uZGFyeS10aXRsZT48L3RpdGxlcz48cGFnZXM+MTctMzg8L3BhZ2Vz
PjxudW1iZXI+MTwvbnVtYmVyPjxjb250cmlidXRvcnM+PGF1dGhvcnM+PGF1dGhvcj5NY05pZSwg
RS4gQy48L2F1dGhvcj48L2F1dGhvcnM+PC9jb250cmlidXRvcnM+PGFkZGVkLWRhdGUgZm9ybWF0
PSJ1dGMiPjE0OTA3MjEzNDA8L2FkZGVkLWRhdGU+PHJlZi10eXBlIG5hbWU9IkpvdXJuYWwgQXJ0
aWNsZSI+MTc8L3JlZi10eXBlPjxkYXRlcz48eWVhcj4yMDA3PC95ZWFyPjwvZGF0ZXM+PHJlYy1u
dW1iZXI+NjY4MjwvcmVjLW51bWJlcj48bGFzdC11cGRhdGVkLWRhdGUgZm9ybWF0PSJ1dGMiPjE1
MzI0NTI1MTk8L2xhc3QtdXBkYXRlZC1kYXRlPjxlbGVjdHJvbmljLXJlc291cmNlLW51bT4xMC4x
MDE2L2ouZW52c2NpLjIwMDYuMTAuMDA0PC9lbGVjdHJvbmljLXJlc291cmNlLW51bT48dm9sdW1l
PjEwPC92b2x1bWU+PC9yZWNvcmQ+PC9DaXRlPjxDaXRlPjxBdXRob3I+UG9ub21hcmlvdjwvQXV0
aG9yPjxZZWFyPjIwMTA8L1llYXI+PElEVGV4dD5JbmZsdWVuY2luZyBzY2llbnRpc3RzJmFwb3M7
IGNvbGxhYm9yYXRpb24gYW5kIHByb2R1Y3Rpdml0eSBwYXR0ZXJucyB0aHJvdWdoIG5ldyBpbnN0
aXR1dGlvbnM6IFVuaXZlcnNpdHkgcmVzZWFyY2ggY2VudGVycyBhbmQgc2NpZW50aWZpYyBhbmQg
dGVjaG5pY2FsIGh1bWFuIGNhcGl0YWw8L0lEVGV4dD48UHJlZml4PnNlZSBhbHNvIDwvUHJlZml4
PjxQYWdlcz42MTc8L1BhZ2VzPjxyZWNvcmQ+PHVybHM+PHJlbGF0ZWQtdXJscz48dXJsPmh0dHBz
Oi8vd3d3LnNjb3B1cy5jb20vaW53YXJkL3JlY29yZC51cmk/ZWlkPTItczIuMC03Nzk1MTIwNzcy
MCZhbXA7cGFydG5lcklEPTQwJmFtcDttZDU9Y2IxMDk0M2I5NjNhMTgxNmI3ZTRhMzZlNmRjYzNk
MDU8L3VybD48L3JlbGF0ZWQtdXJscz48L3VybHM+PHdvcmstdHlwZT5BcnRpY2xlPC93b3JrLXR5
cGU+PHRpdGxlcz48dGl0bGU+SW5mbHVlbmNpbmcgc2NpZW50aXN0cyZhcG9zOyBjb2xsYWJvcmF0
aW9uIGFuZCBwcm9kdWN0aXZpdHkgcGF0dGVybnMgdGhyb3VnaCBuZXcgaW5zdGl0dXRpb25zOiBV
bml2ZXJzaXR5IHJlc2VhcmNoIGNlbnRlcnMgYW5kIHNjaWVudGlmaWMgYW5kIHRlY2huaWNhbCBo
dW1hbiBjYXBpdGFsPC90aXRsZT48c2Vjb25kYXJ5LXRpdGxlPlJlc2VhcmNoIFBvbGljeTwvc2Vj
b25kYXJ5LXRpdGxlPjwvdGl0bGVzPjxwYWdlcz42MTMtNjI0PC9wYWdlcz48bnVtYmVyPjU8L251
bWJlcj48Y29udHJpYnV0b3JzPjxhdXRob3JzPjxhdXRob3I+UG9ub21hcmlvdiwgQi48L2F1dGhv
cj48YXV0aG9yPkJvYXJkbWFuLCBDLjwvYXV0aG9yPjwvYXV0aG9ycz48L2NvbnRyaWJ1dG9ycz48
YWRkZWQtZGF0ZSBmb3JtYXQ9InV0YyI+MTQ3MzczMzE2ODwvYWRkZWQtZGF0ZT48cmVmLXR5cGUg
bmFtZT0iSm91cm5hbCBBcnRpY2xlIj4xNzwvcmVmLXR5cGU+PGRhdGVzPjx5ZWFyPjIwMTA8L3ll
YXI+PC9kYXRlcz48cmVjLW51bWJlcj41NDMzPC9yZWMtbnVtYmVyPjxsYXN0LXVwZGF0ZWQtZGF0
ZSBmb3JtYXQ9InV0YyI+MTU1OTA3NzY1NDwvbGFzdC11cGRhdGVkLWRhdGU+PGVsZWN0cm9uaWMt
cmVzb3VyY2UtbnVtPjEwLjEwMTYvai5yZXNwb2wuMjAxMC4wMi4wMTM8L2VsZWN0cm9uaWMtcmVz
b3VyY2UtbnVtPjx2b2x1bWU+Mzk8L3ZvbHVtZT48cmVtb3RlLWRhdGFiYXNlLW5hbWU+U2NvcHVz
PC9yZW1vdGUtZGF0YWJhc2UtbmFtZT48L3JlY29yZD48L0NpdGU+PC9FbmROb3RlPn==
</w:fldData>
        </w:fldChar>
      </w:r>
      <w:r w:rsidR="001B00F6">
        <w:rPr>
          <w:sz w:val="24"/>
          <w:szCs w:val="24"/>
        </w:rPr>
        <w:instrText xml:space="preserve"> ADDIN EN.CITE </w:instrText>
      </w:r>
      <w:r w:rsidR="001B00F6">
        <w:rPr>
          <w:sz w:val="24"/>
          <w:szCs w:val="24"/>
        </w:rPr>
        <w:fldChar w:fldCharType="begin">
          <w:fldData xml:space="preserve">PEVuZE5vdGU+PENpdGU+PEF1dGhvcj5NY05pZTwvQXV0aG9yPjxZZWFyPjIwMDc8L1llYXI+PElE
VGV4dD5SZWNvbmNpbGluZyB0aGUgc3VwcGx5IG9mIHNjaWVudGlmaWMgaW5mb3JtYXRpb24gd2l0
aCB1c2VyIGRlbWFuZHM6IGFuIGFuYWx5c2lzIG9mIHRoZSBwcm9ibGVtIGFuZCByZXZpZXcgb2Yg
dGhlIGxpdGVyYXR1cmU8L0lEVGV4dD48UGFnZXM+MjBgLCAyNDwvUGFnZXM+PERpc3BsYXlUZXh0
PihNY05pZSwgMjAwNywgcHAuIDIwLCAyNDsgc2VlIGFsc28gUG9ub21hcmlvdiAmYW1wOyBCb2Fy
ZG1hbiwgMjAxMCwgcC4gNjE3KTwvRGlzcGxheVRleHQ+PHJlY29yZD48a2V5d29yZHM+PGtleXdv
cmQ+RGVjaXNpb24tbWFraW5nPC9rZXl3b3JkPjxrZXl3b3JkPlBvbGljeS1yZWxldmFudCByZXNl
YXJjaDwva2V5d29yZD48a2V5d29yZD5TY2llbmNlIHBvbGljeTwva2V5d29yZD48a2V5d29yZD5V
c2VmdWwgaW5mb3JtYXRpb248L2tleXdvcmQ+PGtleXdvcmQ+Qm91bmRhcnkgb3JnYW5pemF0aW9u
czwva2V5d29yZD48L2tleXdvcmRzPjxpc2JuPjE0NjItOTAxMTwvaXNibj48dGl0bGVzPjx0aXRs
ZT5SZWNvbmNpbGluZyB0aGUgc3VwcGx5IG9mIHNjaWVudGlmaWMgaW5mb3JtYXRpb24gd2l0aCB1
c2VyIGRlbWFuZHM6IGFuIGFuYWx5c2lzIG9mIHRoZSBwcm9ibGVtIGFuZCByZXZpZXcgb2YgdGhl
IGxpdGVyYXR1cmU8L3RpdGxlPjxzZWNvbmRhcnktdGl0bGU+RW52aXJvbm1lbnRhbCBTY2llbmNl
IGFuZCBQb2xpY3k8L3NlY29uZGFyeS10aXRsZT48L3RpdGxlcz48cGFnZXM+MTctMzg8L3BhZ2Vz
PjxudW1iZXI+MTwvbnVtYmVyPjxjb250cmlidXRvcnM+PGF1dGhvcnM+PGF1dGhvcj5NY05pZSwg
RS4gQy48L2F1dGhvcj48L2F1dGhvcnM+PC9jb250cmlidXRvcnM+PGFkZGVkLWRhdGUgZm9ybWF0
PSJ1dGMiPjE0OTA3MjEzNDA8L2FkZGVkLWRhdGU+PHJlZi10eXBlIG5hbWU9IkpvdXJuYWwgQXJ0
aWNsZSI+MTc8L3JlZi10eXBlPjxkYXRlcz48eWVhcj4yMDA3PC95ZWFyPjwvZGF0ZXM+PHJlYy1u
dW1iZXI+NjY4MjwvcmVjLW51bWJlcj48bGFzdC11cGRhdGVkLWRhdGUgZm9ybWF0PSJ1dGMiPjE1
MzI0NTI1MTk8L2xhc3QtdXBkYXRlZC1kYXRlPjxlbGVjdHJvbmljLXJlc291cmNlLW51bT4xMC4x
MDE2L2ouZW52c2NpLjIwMDYuMTAuMDA0PC9lbGVjdHJvbmljLXJlc291cmNlLW51bT48dm9sdW1l
PjEwPC92b2x1bWU+PC9yZWNvcmQ+PC9DaXRlPjxDaXRlPjxBdXRob3I+UG9ub21hcmlvdjwvQXV0
aG9yPjxZZWFyPjIwMTA8L1llYXI+PElEVGV4dD5JbmZsdWVuY2luZyBzY2llbnRpc3RzJmFwb3M7
IGNvbGxhYm9yYXRpb24gYW5kIHByb2R1Y3Rpdml0eSBwYXR0ZXJucyB0aHJvdWdoIG5ldyBpbnN0
aXR1dGlvbnM6IFVuaXZlcnNpdHkgcmVzZWFyY2ggY2VudGVycyBhbmQgc2NpZW50aWZpYyBhbmQg
dGVjaG5pY2FsIGh1bWFuIGNhcGl0YWw8L0lEVGV4dD48UHJlZml4PnNlZSBhbHNvIDwvUHJlZml4
PjxQYWdlcz42MTc8L1BhZ2VzPjxyZWNvcmQ+PHVybHM+PHJlbGF0ZWQtdXJscz48dXJsPmh0dHBz
Oi8vd3d3LnNjb3B1cy5jb20vaW53YXJkL3JlY29yZC51cmk/ZWlkPTItczIuMC03Nzk1MTIwNzcy
MCZhbXA7cGFydG5lcklEPTQwJmFtcDttZDU9Y2IxMDk0M2I5NjNhMTgxNmI3ZTRhMzZlNmRjYzNk
MDU8L3VybD48L3JlbGF0ZWQtdXJscz48L3VybHM+PHdvcmstdHlwZT5BcnRpY2xlPC93b3JrLXR5
cGU+PHRpdGxlcz48dGl0bGU+SW5mbHVlbmNpbmcgc2NpZW50aXN0cyZhcG9zOyBjb2xsYWJvcmF0
aW9uIGFuZCBwcm9kdWN0aXZpdHkgcGF0dGVybnMgdGhyb3VnaCBuZXcgaW5zdGl0dXRpb25zOiBV
bml2ZXJzaXR5IHJlc2VhcmNoIGNlbnRlcnMgYW5kIHNjaWVudGlmaWMgYW5kIHRlY2huaWNhbCBo
dW1hbiBjYXBpdGFsPC90aXRsZT48c2Vjb25kYXJ5LXRpdGxlPlJlc2VhcmNoIFBvbGljeTwvc2Vj
b25kYXJ5LXRpdGxlPjwvdGl0bGVzPjxwYWdlcz42MTMtNjI0PC9wYWdlcz48bnVtYmVyPjU8L251
bWJlcj48Y29udHJpYnV0b3JzPjxhdXRob3JzPjxhdXRob3I+UG9ub21hcmlvdiwgQi48L2F1dGhv
cj48YXV0aG9yPkJvYXJkbWFuLCBDLjwvYXV0aG9yPjwvYXV0aG9ycz48L2NvbnRyaWJ1dG9ycz48
YWRkZWQtZGF0ZSBmb3JtYXQ9InV0YyI+MTQ3MzczMzE2ODwvYWRkZWQtZGF0ZT48cmVmLXR5cGUg
bmFtZT0iSm91cm5hbCBBcnRpY2xlIj4xNzwvcmVmLXR5cGU+PGRhdGVzPjx5ZWFyPjIwMTA8L3ll
YXI+PC9kYXRlcz48cmVjLW51bWJlcj41NDMzPC9yZWMtbnVtYmVyPjxsYXN0LXVwZGF0ZWQtZGF0
ZSBmb3JtYXQ9InV0YyI+MTU1OTA3NzY1NDwvbGFzdC11cGRhdGVkLWRhdGU+PGVsZWN0cm9uaWMt
cmVzb3VyY2UtbnVtPjEwLjEwMTYvai5yZXNwb2wuMjAxMC4wMi4wMTM8L2VsZWN0cm9uaWMtcmVz
b3VyY2UtbnVtPjx2b2x1bWU+Mzk8L3ZvbHVtZT48cmVtb3RlLWRhdGFiYXNlLW5hbWU+U2NvcHVz
PC9yZW1vdGUtZGF0YWJhc2UtbmFtZT48L3JlY29yZD48L0NpdGU+PC9FbmROb3RlPn==
</w:fldData>
        </w:fldChar>
      </w:r>
      <w:r w:rsidR="001B00F6">
        <w:rPr>
          <w:sz w:val="24"/>
          <w:szCs w:val="24"/>
        </w:rPr>
        <w:instrText xml:space="preserve"> ADDIN EN.CITE.DATA </w:instrText>
      </w:r>
      <w:r w:rsidR="001B00F6">
        <w:rPr>
          <w:sz w:val="24"/>
          <w:szCs w:val="24"/>
        </w:rPr>
      </w:r>
      <w:r w:rsidR="001B00F6">
        <w:rPr>
          <w:sz w:val="24"/>
          <w:szCs w:val="24"/>
        </w:rPr>
        <w:fldChar w:fldCharType="end"/>
      </w:r>
      <w:r w:rsidRPr="00DA4AC8">
        <w:rPr>
          <w:sz w:val="24"/>
          <w:szCs w:val="24"/>
        </w:rPr>
      </w:r>
      <w:r w:rsidRPr="00DA4AC8">
        <w:rPr>
          <w:sz w:val="24"/>
          <w:szCs w:val="24"/>
        </w:rPr>
        <w:fldChar w:fldCharType="separate"/>
      </w:r>
      <w:r w:rsidR="001B00F6">
        <w:rPr>
          <w:noProof/>
          <w:sz w:val="24"/>
          <w:szCs w:val="24"/>
        </w:rPr>
        <w:t>(McNie, 2007, pp. 20, 24; see also Ponomariov &amp; Boardman, 2010, p. 617)</w:t>
      </w:r>
      <w:r w:rsidRPr="00DA4AC8">
        <w:rPr>
          <w:sz w:val="24"/>
          <w:szCs w:val="24"/>
        </w:rPr>
        <w:fldChar w:fldCharType="end"/>
      </w:r>
      <w:r w:rsidRPr="00DA4AC8">
        <w:rPr>
          <w:sz w:val="24"/>
          <w:szCs w:val="24"/>
        </w:rPr>
        <w:t xml:space="preserve"> – what Cordner</w:t>
      </w:r>
      <w:r w:rsidR="00641CF2">
        <w:rPr>
          <w:sz w:val="24"/>
          <w:szCs w:val="24"/>
        </w:rPr>
        <w:t xml:space="preserve"> </w:t>
      </w:r>
      <w:r w:rsidR="001B00F6">
        <w:rPr>
          <w:sz w:val="24"/>
          <w:szCs w:val="24"/>
        </w:rPr>
        <w:fldChar w:fldCharType="begin"/>
      </w:r>
      <w:r w:rsidR="001B00F6">
        <w:rPr>
          <w:sz w:val="24"/>
          <w:szCs w:val="24"/>
        </w:rPr>
        <w:instrText xml:space="preserve"> ADDIN EN.CITE &lt;EndNote&gt;&lt;Cite ExcludeAuth="1"&gt;&lt;Author&gt;Cordner&lt;/Author&gt;&lt;Year&gt;2015&lt;/Year&gt;&lt;IDText&gt;Strategic Science Translation and Environmental Controversies&lt;/IDText&gt;&lt;DisplayText&gt;(2015)&lt;/DisplayText&gt;&lt;record&gt;&lt;keywords&gt;&lt;keyword&gt;Politics&lt;/keyword&gt;&lt;keyword&gt;Power&lt;/keyword&gt;&lt;keyword&gt;Governance&lt;/keyword&gt;&lt;keyword&gt;Environmental Practices&lt;/keyword&gt;&lt;keyword&gt;Scientization&lt;/keyword&gt;&lt;keyword&gt;Chemicals Policy&lt;/keyword&gt;&lt;keyword&gt;Sciences (General)&lt;/keyword&gt;&lt;/keywords&gt;&lt;isbn&gt;0162-2439&lt;/isbn&gt;&lt;titles&gt;&lt;title&gt;Strategic Science Translation and Environmental Controversies&lt;/title&gt;&lt;secondary-title&gt;Science, Technology, &amp;amp; Human Values&lt;/secondary-title&gt;&lt;/titles&gt;&lt;pages&gt;915-938&lt;/pages&gt;&lt;number&gt;6&lt;/number&gt;&lt;contributors&gt;&lt;authors&gt;&lt;author&gt;Cordner, Alissa&lt;/author&gt;&lt;/authors&gt;&lt;/contributors&gt;&lt;added-date format="utc"&gt;1559725586&lt;/added-date&gt;&lt;pub-location&gt;Los Angeles, CA&lt;/pub-location&gt;&lt;ref-type name="Journal Article"&gt;17&lt;/ref-type&gt;&lt;dates&gt;&lt;year&gt;2015&lt;/year&gt;&lt;/dates&gt;&lt;rec-number&gt;7799&lt;/rec-number&gt;&lt;last-updated-date format="utc"&gt;1559725586&lt;/last-updated-date&gt;&lt;electronic-resource-num&gt;10.1177/0162243915584164&lt;/electronic-resource-num&gt;&lt;volume&gt;40&lt;/volume&gt;&lt;/record&gt;&lt;/Cite&gt;&lt;/EndNote&gt;</w:instrText>
      </w:r>
      <w:r w:rsidR="001B00F6">
        <w:rPr>
          <w:sz w:val="24"/>
          <w:szCs w:val="24"/>
        </w:rPr>
        <w:fldChar w:fldCharType="separate"/>
      </w:r>
      <w:r w:rsidR="001B00F6">
        <w:rPr>
          <w:noProof/>
          <w:sz w:val="24"/>
          <w:szCs w:val="24"/>
        </w:rPr>
        <w:t>(2015)</w:t>
      </w:r>
      <w:r w:rsidR="001B00F6">
        <w:rPr>
          <w:sz w:val="24"/>
          <w:szCs w:val="24"/>
        </w:rPr>
        <w:fldChar w:fldCharType="end"/>
      </w:r>
      <w:r w:rsidR="001B00F6">
        <w:rPr>
          <w:sz w:val="24"/>
          <w:szCs w:val="24"/>
        </w:rPr>
        <w:t xml:space="preserve"> </w:t>
      </w:r>
      <w:r w:rsidRPr="00DA4AC8">
        <w:rPr>
          <w:sz w:val="24"/>
          <w:szCs w:val="24"/>
        </w:rPr>
        <w:t>calls “strategic science translation” (p. 916). This is about mobilising scientific capital to establish trust and credibility. What was interesting in many of the cases I studied was how this mobilisation seemed to be relatively unproblematic. This is not to say there were not challenges, but there was little evidence of the scientific capital and credibility of the researchers being significantly challenged by the non-academics they engaged with, even when the implications of their science were not entirely aligned with their interests. This finding agrees with Henkel’s (2004) argument that the notion of an ‘academic</w:t>
      </w:r>
      <w:r>
        <w:rPr>
          <w:sz w:val="24"/>
          <w:szCs w:val="24"/>
        </w:rPr>
        <w:t xml:space="preserve"> identity’ emerges as a powerful one governing not only the behaviours of academics, but also the way that academics are perceived by others when they “cross” </w:t>
      </w:r>
      <w:r>
        <w:rPr>
          <w:sz w:val="24"/>
          <w:szCs w:val="24"/>
          <w:lang w:eastAsia="zh-TW"/>
        </w:rPr>
        <w:t>(p. 179)</w:t>
      </w:r>
      <w:r>
        <w:rPr>
          <w:sz w:val="24"/>
          <w:szCs w:val="24"/>
        </w:rPr>
        <w:t xml:space="preserve"> academic boundaries into contested non-academic spaces</w:t>
      </w:r>
      <w:r w:rsidR="00845AC4">
        <w:rPr>
          <w:sz w:val="24"/>
          <w:szCs w:val="24"/>
        </w:rPr>
        <w:t>, perhaps</w:t>
      </w:r>
      <w:r w:rsidR="00CC2840">
        <w:rPr>
          <w:sz w:val="24"/>
          <w:szCs w:val="24"/>
        </w:rPr>
        <w:t xml:space="preserve"> partly</w:t>
      </w:r>
      <w:r w:rsidR="00845AC4">
        <w:rPr>
          <w:sz w:val="24"/>
          <w:szCs w:val="24"/>
        </w:rPr>
        <w:t xml:space="preserve"> because users feel that </w:t>
      </w:r>
      <w:r>
        <w:rPr>
          <w:sz w:val="24"/>
          <w:szCs w:val="24"/>
        </w:rPr>
        <w:t>links to academia</w:t>
      </w:r>
      <w:r w:rsidR="00845AC4">
        <w:rPr>
          <w:sz w:val="24"/>
          <w:szCs w:val="24"/>
        </w:rPr>
        <w:t xml:space="preserve"> can be a boost for th</w:t>
      </w:r>
      <w:r>
        <w:rPr>
          <w:sz w:val="24"/>
          <w:szCs w:val="24"/>
        </w:rPr>
        <w:t>eir own professional credibility (Hoffman, 2011).</w:t>
      </w:r>
    </w:p>
    <w:p w14:paraId="32AC6865" w14:textId="591CCBEA" w:rsidR="009870A0" w:rsidRDefault="00501338" w:rsidP="00AB46C0">
      <w:pPr>
        <w:pStyle w:val="Standard"/>
        <w:widowControl w:val="0"/>
        <w:spacing w:after="120" w:line="360" w:lineRule="auto"/>
        <w:rPr>
          <w:rFonts w:ascii="Times New Roman" w:hAnsi="Times New Roman"/>
          <w:iCs/>
          <w:sz w:val="24"/>
          <w:szCs w:val="24"/>
        </w:rPr>
      </w:pPr>
      <w:r w:rsidRPr="000A6113">
        <w:rPr>
          <w:rFonts w:ascii="Times New Roman" w:hAnsi="Times New Roman"/>
          <w:sz w:val="24"/>
          <w:szCs w:val="24"/>
        </w:rPr>
        <w:t>There is an interesting question about ‘academic identity’</w:t>
      </w:r>
      <w:r w:rsidR="00AB207B">
        <w:rPr>
          <w:rFonts w:ascii="Times New Roman" w:hAnsi="Times New Roman"/>
          <w:sz w:val="24"/>
          <w:szCs w:val="24"/>
        </w:rPr>
        <w:t xml:space="preserve"> in relation to disciplines</w:t>
      </w:r>
      <w:r w:rsidRPr="000A6113">
        <w:rPr>
          <w:rFonts w:ascii="Times New Roman" w:hAnsi="Times New Roman"/>
          <w:sz w:val="24"/>
          <w:szCs w:val="24"/>
        </w:rPr>
        <w:t xml:space="preserve">. </w:t>
      </w:r>
      <w:r w:rsidR="00315DA9" w:rsidRPr="000A6113">
        <w:rPr>
          <w:rFonts w:ascii="Times New Roman" w:hAnsi="Times New Roman"/>
          <w:sz w:val="24"/>
          <w:szCs w:val="24"/>
        </w:rPr>
        <w:t>Generally</w:t>
      </w:r>
      <w:r w:rsidR="00C05DEC">
        <w:rPr>
          <w:rFonts w:ascii="Times New Roman" w:hAnsi="Times New Roman"/>
          <w:sz w:val="24"/>
          <w:szCs w:val="24"/>
        </w:rPr>
        <w:t>,</w:t>
      </w:r>
      <w:r w:rsidR="00315DA9" w:rsidRPr="000A6113">
        <w:rPr>
          <w:rFonts w:ascii="Times New Roman" w:hAnsi="Times New Roman"/>
          <w:sz w:val="24"/>
          <w:szCs w:val="24"/>
        </w:rPr>
        <w:t xml:space="preserve"> the issues of academic identity as discussed above emerged more</w:t>
      </w:r>
      <w:r w:rsidR="000A6113">
        <w:rPr>
          <w:rFonts w:ascii="Times New Roman" w:hAnsi="Times New Roman"/>
          <w:sz w:val="24"/>
          <w:szCs w:val="24"/>
        </w:rPr>
        <w:t xml:space="preserve"> frequently amongst Life scientists – </w:t>
      </w:r>
      <w:r w:rsidR="000A6113" w:rsidRPr="000A6113">
        <w:rPr>
          <w:rFonts w:ascii="Times New Roman" w:hAnsi="Times New Roman"/>
          <w:sz w:val="24"/>
          <w:szCs w:val="24"/>
        </w:rPr>
        <w:t xml:space="preserve">in Chapter </w:t>
      </w:r>
      <w:r w:rsidR="00984890">
        <w:rPr>
          <w:rFonts w:ascii="Times New Roman" w:hAnsi="Times New Roman"/>
          <w:sz w:val="24"/>
          <w:szCs w:val="24"/>
        </w:rPr>
        <w:t>4</w:t>
      </w:r>
      <w:r w:rsidR="000A6113" w:rsidRPr="000A6113">
        <w:rPr>
          <w:rFonts w:ascii="Times New Roman" w:hAnsi="Times New Roman"/>
          <w:sz w:val="24"/>
          <w:szCs w:val="24"/>
        </w:rPr>
        <w:t xml:space="preserve">, illustrative case 2 (BoR5, ‘Sea Mammal Research &amp; Impact’) and, to a lesser extent, illustrative case 3 (BoR4.2, ‘Informing MDMA Policy’), are both cases in </w:t>
      </w:r>
      <w:r w:rsidR="0051440F">
        <w:rPr>
          <w:rFonts w:ascii="Times New Roman" w:hAnsi="Times New Roman"/>
          <w:sz w:val="24"/>
          <w:szCs w:val="24"/>
        </w:rPr>
        <w:t>point – but</w:t>
      </w:r>
      <w:r w:rsidR="000A6113">
        <w:rPr>
          <w:rFonts w:ascii="Times New Roman" w:hAnsi="Times New Roman"/>
          <w:sz w:val="24"/>
          <w:szCs w:val="24"/>
        </w:rPr>
        <w:t xml:space="preserve"> could be found across the whole spectrum of sciences</w:t>
      </w:r>
      <w:r w:rsidR="00226F1B">
        <w:rPr>
          <w:rFonts w:ascii="Times New Roman" w:hAnsi="Times New Roman"/>
          <w:sz w:val="24"/>
          <w:szCs w:val="24"/>
        </w:rPr>
        <w:t xml:space="preserve">. </w:t>
      </w:r>
      <w:r w:rsidR="00BF2DA4">
        <w:rPr>
          <w:rFonts w:ascii="Times New Roman" w:hAnsi="Times New Roman"/>
          <w:iCs/>
          <w:sz w:val="24"/>
          <w:szCs w:val="24"/>
        </w:rPr>
        <w:t>Some recent evidence and lines of argumentation highlight that</w:t>
      </w:r>
      <w:r w:rsidR="00854803">
        <w:rPr>
          <w:rFonts w:ascii="Times New Roman" w:hAnsi="Times New Roman"/>
          <w:iCs/>
          <w:sz w:val="24"/>
          <w:szCs w:val="24"/>
        </w:rPr>
        <w:t xml:space="preserve"> disciplines are becoming relatively less </w:t>
      </w:r>
      <w:r w:rsidR="00226F1B">
        <w:rPr>
          <w:rFonts w:ascii="Times New Roman" w:hAnsi="Times New Roman"/>
          <w:iCs/>
          <w:sz w:val="24"/>
          <w:szCs w:val="24"/>
        </w:rPr>
        <w:t xml:space="preserve">dominant as the main factor </w:t>
      </w:r>
      <w:r w:rsidR="00854803">
        <w:rPr>
          <w:rFonts w:ascii="Times New Roman" w:hAnsi="Times New Roman"/>
          <w:iCs/>
          <w:sz w:val="24"/>
          <w:szCs w:val="24"/>
        </w:rPr>
        <w:t>shaping academia</w:t>
      </w:r>
      <w:r w:rsidR="00226F1B">
        <w:rPr>
          <w:rFonts w:ascii="Times New Roman" w:hAnsi="Times New Roman"/>
          <w:iCs/>
          <w:sz w:val="24"/>
          <w:szCs w:val="24"/>
        </w:rPr>
        <w:t>, and that more weight should be attached to t</w:t>
      </w:r>
      <w:r w:rsidR="00E735D5">
        <w:rPr>
          <w:rFonts w:ascii="Times New Roman" w:hAnsi="Times New Roman"/>
          <w:iCs/>
          <w:sz w:val="24"/>
          <w:szCs w:val="24"/>
        </w:rPr>
        <w:t xml:space="preserve">he </w:t>
      </w:r>
      <w:r w:rsidR="00854803">
        <w:rPr>
          <w:rFonts w:ascii="Times New Roman" w:hAnsi="Times New Roman"/>
          <w:iCs/>
          <w:sz w:val="24"/>
          <w:szCs w:val="24"/>
        </w:rPr>
        <w:t>culture</w:t>
      </w:r>
      <w:r w:rsidR="00226F1B">
        <w:rPr>
          <w:rFonts w:ascii="Times New Roman" w:hAnsi="Times New Roman"/>
          <w:iCs/>
          <w:sz w:val="24"/>
          <w:szCs w:val="24"/>
        </w:rPr>
        <w:t xml:space="preserve">, </w:t>
      </w:r>
      <w:r w:rsidR="00854803">
        <w:rPr>
          <w:rFonts w:ascii="Times New Roman" w:hAnsi="Times New Roman"/>
          <w:iCs/>
          <w:sz w:val="24"/>
          <w:szCs w:val="24"/>
        </w:rPr>
        <w:t xml:space="preserve">mission </w:t>
      </w:r>
      <w:r w:rsidR="00226F1B">
        <w:rPr>
          <w:rFonts w:ascii="Times New Roman" w:hAnsi="Times New Roman"/>
          <w:iCs/>
          <w:sz w:val="24"/>
          <w:szCs w:val="24"/>
        </w:rPr>
        <w:t xml:space="preserve">and expectations </w:t>
      </w:r>
      <w:r w:rsidR="00854803">
        <w:rPr>
          <w:rFonts w:ascii="Times New Roman" w:hAnsi="Times New Roman"/>
          <w:iCs/>
          <w:sz w:val="24"/>
          <w:szCs w:val="24"/>
        </w:rPr>
        <w:t>of the particular university to which an academic belongs (Shields &amp; Watermeyer, 2018; Trowler, 2014)</w:t>
      </w:r>
      <w:r w:rsidR="00E735D5">
        <w:rPr>
          <w:rFonts w:ascii="Times New Roman" w:hAnsi="Times New Roman"/>
          <w:iCs/>
          <w:sz w:val="24"/>
          <w:szCs w:val="24"/>
        </w:rPr>
        <w:t xml:space="preserve">. </w:t>
      </w:r>
      <w:r w:rsidR="00854803">
        <w:rPr>
          <w:rFonts w:ascii="Times New Roman" w:hAnsi="Times New Roman"/>
          <w:iCs/>
          <w:sz w:val="24"/>
          <w:szCs w:val="24"/>
        </w:rPr>
        <w:t xml:space="preserve">Trowler </w:t>
      </w:r>
      <w:r w:rsidR="00854803">
        <w:rPr>
          <w:rFonts w:ascii="Times New Roman" w:hAnsi="Times New Roman"/>
          <w:iCs/>
          <w:sz w:val="24"/>
          <w:szCs w:val="24"/>
        </w:rPr>
        <w:fldChar w:fldCharType="begin"/>
      </w:r>
      <w:r w:rsidR="00854803">
        <w:rPr>
          <w:rFonts w:ascii="Times New Roman" w:hAnsi="Times New Roman"/>
          <w:iCs/>
          <w:sz w:val="24"/>
          <w:szCs w:val="24"/>
        </w:rPr>
        <w:instrText xml:space="preserve"> ADDIN EN.CITE &lt;EndNote&gt;&lt;Cite ExcludeAuth="1"&gt;&lt;Author&gt;Trowler&lt;/Author&gt;&lt;Year&gt;2014&lt;/Year&gt;&lt;IDText&gt;Depicting and Researching Disciplines: Strong and Moderate Essentialist Approaches&lt;/IDText&gt;&lt;DisplayText&gt;(2014)&lt;/DisplayText&gt;&lt;record&gt;&lt;keywords&gt;&lt;keyword&gt;Educational Research&lt;/keyword&gt;&lt;keyword&gt;Intellectual Disciplines&lt;/keyword&gt;&lt;keyword&gt;Concept Formation&lt;/keyword&gt;&lt;keyword&gt;Research Design&lt;/keyword&gt;&lt;keyword&gt;Research Methodology&lt;/keyword&gt;&lt;keyword&gt;Models&lt;/keyword&gt;&lt;keyword&gt;Robustness (Statistics)&lt;/keyword&gt;&lt;keyword&gt;Higher Education&lt;/keyword&gt;&lt;keyword&gt;Educational Practices&lt;/keyword&gt;&lt;keyword&gt;Educational Theories&lt;/keyword&gt;&lt;keyword&gt;Social Science Research&lt;/keyword&gt;&lt;keyword&gt;Interdisciplinary Approach&lt;/keyword&gt;&lt;keyword&gt;Holistic Approach&lt;/keyword&gt;&lt;keyword&gt;Higher Education&lt;/keyword&gt;&lt;keyword&gt;Postsecondary Education&lt;/keyword&gt;&lt;/keywords&gt;&lt;isbn&gt;0307-5079&lt;/isbn&gt;&lt;titles&gt;&lt;title&gt;Depicting and Researching Disciplines: Strong and Moderate Essentialist Approaches&lt;/title&gt;&lt;secondary-title&gt;Studies in Higher Education&lt;/secondary-title&gt;&lt;/titles&gt;&lt;pages&gt;1720-1731&lt;/pages&gt;&lt;number&gt;10&lt;/number&gt;&lt;contributors&gt;&lt;authors&gt;&lt;author&gt;Trowler, Paul&lt;/author&gt;&lt;/authors&gt;&lt;/contributors&gt;&lt;added-date format="utc"&gt;1556998641&lt;/added-date&gt;&lt;ref-type name="Journal Article"&gt;17&lt;/ref-type&gt;&lt;dates&gt;&lt;year&gt;2014&lt;/year&gt;&lt;/dates&gt;&lt;rec-number&gt;7773&lt;/rec-number&gt;&lt;last-updated-date format="utc"&gt;1556998641&lt;/last-updated-date&gt;&lt;electronic-resource-num&gt;10.1080/03075079.2013.801431&lt;/electronic-resource-num&gt;&lt;volume&gt;39&lt;/volume&gt;&lt;/record&gt;&lt;/Cite&gt;&lt;/EndNote&gt;</w:instrText>
      </w:r>
      <w:r w:rsidR="00854803">
        <w:rPr>
          <w:rFonts w:ascii="Times New Roman" w:hAnsi="Times New Roman"/>
          <w:iCs/>
          <w:sz w:val="24"/>
          <w:szCs w:val="24"/>
        </w:rPr>
        <w:fldChar w:fldCharType="separate"/>
      </w:r>
      <w:r w:rsidR="00854803">
        <w:rPr>
          <w:rFonts w:ascii="Times New Roman" w:hAnsi="Times New Roman"/>
          <w:iCs/>
          <w:noProof/>
          <w:sz w:val="24"/>
          <w:szCs w:val="24"/>
        </w:rPr>
        <w:t>(2014)</w:t>
      </w:r>
      <w:r w:rsidR="00854803">
        <w:rPr>
          <w:rFonts w:ascii="Times New Roman" w:hAnsi="Times New Roman"/>
          <w:iCs/>
          <w:sz w:val="24"/>
          <w:szCs w:val="24"/>
        </w:rPr>
        <w:fldChar w:fldCharType="end"/>
      </w:r>
      <w:r w:rsidR="00854803">
        <w:rPr>
          <w:rFonts w:ascii="Times New Roman" w:hAnsi="Times New Roman"/>
          <w:iCs/>
          <w:sz w:val="24"/>
          <w:szCs w:val="24"/>
        </w:rPr>
        <w:t xml:space="preserve"> has </w:t>
      </w:r>
      <w:r w:rsidR="001E5386">
        <w:rPr>
          <w:rFonts w:ascii="Times New Roman" w:hAnsi="Times New Roman"/>
          <w:iCs/>
          <w:sz w:val="24"/>
          <w:szCs w:val="24"/>
        </w:rPr>
        <w:t>also</w:t>
      </w:r>
      <w:r w:rsidR="005D4C06">
        <w:rPr>
          <w:rFonts w:ascii="Times New Roman" w:hAnsi="Times New Roman"/>
          <w:iCs/>
          <w:sz w:val="24"/>
          <w:szCs w:val="24"/>
        </w:rPr>
        <w:t xml:space="preserve"> m</w:t>
      </w:r>
      <w:r w:rsidR="00854803">
        <w:rPr>
          <w:rFonts w:ascii="Times New Roman" w:hAnsi="Times New Roman"/>
          <w:iCs/>
          <w:sz w:val="24"/>
          <w:szCs w:val="24"/>
        </w:rPr>
        <w:t>ove</w:t>
      </w:r>
      <w:r w:rsidR="005D4C06">
        <w:rPr>
          <w:rFonts w:ascii="Times New Roman" w:hAnsi="Times New Roman"/>
          <w:iCs/>
          <w:sz w:val="24"/>
          <w:szCs w:val="24"/>
        </w:rPr>
        <w:t>d</w:t>
      </w:r>
      <w:r w:rsidR="00854803">
        <w:rPr>
          <w:rFonts w:ascii="Times New Roman" w:hAnsi="Times New Roman"/>
          <w:iCs/>
          <w:sz w:val="24"/>
          <w:szCs w:val="24"/>
        </w:rPr>
        <w:t xml:space="preserve"> away from a characterisation of disciplines as fixed “tribes” (p. 1722), belonging to which dictates all aspects of academic life. Informed by a more “nuanced” and “[c]ritical realist” approach, </w:t>
      </w:r>
      <w:r w:rsidR="008916E3">
        <w:rPr>
          <w:rFonts w:ascii="Times New Roman" w:hAnsi="Times New Roman"/>
          <w:iCs/>
          <w:sz w:val="24"/>
          <w:szCs w:val="24"/>
        </w:rPr>
        <w:t xml:space="preserve">Trowler (2014) </w:t>
      </w:r>
      <w:r w:rsidR="00854803">
        <w:rPr>
          <w:rFonts w:ascii="Times New Roman" w:hAnsi="Times New Roman"/>
          <w:iCs/>
          <w:sz w:val="24"/>
          <w:szCs w:val="24"/>
        </w:rPr>
        <w:t xml:space="preserve">depicts academic disciplines as only partially and contingently causal, as relatively bounded but also relatively fluid “reservoirs of knowledge resources which, in dynamic combination with other structural phenomena, can condition behavioural practices, sets of discourses, ways of thinking, procedures, emotional responses and motivations” (pp. 1726, 1728, 1729). </w:t>
      </w:r>
      <w:r w:rsidR="00255D5C">
        <w:rPr>
          <w:rFonts w:ascii="Times New Roman" w:hAnsi="Times New Roman"/>
          <w:iCs/>
          <w:sz w:val="24"/>
          <w:szCs w:val="24"/>
        </w:rPr>
        <w:t>Therefore, drawing on</w:t>
      </w:r>
      <w:r w:rsidR="0018461B">
        <w:rPr>
          <w:rFonts w:ascii="Times New Roman" w:hAnsi="Times New Roman"/>
          <w:iCs/>
          <w:sz w:val="24"/>
          <w:szCs w:val="24"/>
        </w:rPr>
        <w:t xml:space="preserve"> the work of</w:t>
      </w:r>
      <w:r w:rsidR="00255D5C">
        <w:rPr>
          <w:rFonts w:ascii="Times New Roman" w:hAnsi="Times New Roman"/>
          <w:iCs/>
          <w:sz w:val="24"/>
          <w:szCs w:val="24"/>
        </w:rPr>
        <w:t xml:space="preserve"> Bernstein,</w:t>
      </w:r>
      <w:r w:rsidR="00854803">
        <w:rPr>
          <w:rFonts w:ascii="Times New Roman" w:hAnsi="Times New Roman"/>
          <w:iCs/>
          <w:sz w:val="24"/>
          <w:szCs w:val="24"/>
        </w:rPr>
        <w:t xml:space="preserve"> Trowler (2014) argues that, in addition to “Bernstein’s ‘discipline as research’ and ‘discipline as curriculum’, we can add other sites of practice within universities such as </w:t>
      </w:r>
      <w:r w:rsidR="001C2481">
        <w:rPr>
          <w:rFonts w:ascii="Times New Roman" w:hAnsi="Times New Roman"/>
          <w:iCs/>
          <w:sz w:val="24"/>
          <w:szCs w:val="24"/>
        </w:rPr>
        <w:t>...</w:t>
      </w:r>
      <w:r w:rsidR="00854803">
        <w:rPr>
          <w:rFonts w:ascii="Times New Roman" w:hAnsi="Times New Roman"/>
          <w:iCs/>
          <w:sz w:val="24"/>
          <w:szCs w:val="24"/>
        </w:rPr>
        <w:t xml:space="preserve"> income generation” (p. 1274), and, I might add, impact-generation</w:t>
      </w:r>
      <w:r w:rsidR="00602EF9">
        <w:rPr>
          <w:rFonts w:ascii="Times New Roman" w:hAnsi="Times New Roman"/>
          <w:iCs/>
          <w:sz w:val="24"/>
          <w:szCs w:val="24"/>
        </w:rPr>
        <w:t xml:space="preserve"> and boundary-crossing</w:t>
      </w:r>
      <w:r w:rsidR="00854803">
        <w:rPr>
          <w:rFonts w:ascii="Times New Roman" w:hAnsi="Times New Roman"/>
          <w:iCs/>
          <w:sz w:val="24"/>
          <w:szCs w:val="24"/>
        </w:rPr>
        <w:t xml:space="preserve">. </w:t>
      </w:r>
    </w:p>
    <w:p w14:paraId="6F1F7641" w14:textId="15F47930" w:rsidR="00366921" w:rsidRDefault="00646DE7" w:rsidP="00AB46C0">
      <w:pPr>
        <w:pStyle w:val="Standard"/>
        <w:widowControl w:val="0"/>
        <w:spacing w:after="120" w:line="360" w:lineRule="auto"/>
        <w:rPr>
          <w:rFonts w:ascii="Times New Roman" w:hAnsi="Times New Roman"/>
          <w:sz w:val="24"/>
          <w:szCs w:val="24"/>
        </w:rPr>
      </w:pPr>
      <w:r>
        <w:rPr>
          <w:rFonts w:ascii="Times New Roman" w:hAnsi="Times New Roman"/>
          <w:iCs/>
          <w:sz w:val="24"/>
          <w:szCs w:val="24"/>
        </w:rPr>
        <w:t>Th</w:t>
      </w:r>
      <w:r w:rsidR="00C17949">
        <w:rPr>
          <w:rFonts w:ascii="Times New Roman" w:hAnsi="Times New Roman"/>
          <w:iCs/>
          <w:sz w:val="24"/>
          <w:szCs w:val="24"/>
        </w:rPr>
        <w:t>ese</w:t>
      </w:r>
      <w:r>
        <w:rPr>
          <w:rFonts w:ascii="Times New Roman" w:hAnsi="Times New Roman"/>
          <w:iCs/>
          <w:sz w:val="24"/>
          <w:szCs w:val="24"/>
        </w:rPr>
        <w:t xml:space="preserve"> more nuanced discussion</w:t>
      </w:r>
      <w:r w:rsidR="00C17949">
        <w:rPr>
          <w:rFonts w:ascii="Times New Roman" w:hAnsi="Times New Roman"/>
          <w:iCs/>
          <w:sz w:val="24"/>
          <w:szCs w:val="24"/>
        </w:rPr>
        <w:t>s</w:t>
      </w:r>
      <w:r>
        <w:rPr>
          <w:rFonts w:ascii="Times New Roman" w:hAnsi="Times New Roman"/>
          <w:iCs/>
          <w:sz w:val="24"/>
          <w:szCs w:val="24"/>
        </w:rPr>
        <w:t xml:space="preserve"> of how disciplinarity may come to the fore in shaping academics’ experiences and sense of their place and identity sits well with my own analysis. </w:t>
      </w:r>
      <w:r w:rsidR="00436FF8">
        <w:rPr>
          <w:rFonts w:ascii="Times New Roman" w:hAnsi="Times New Roman"/>
          <w:iCs/>
          <w:sz w:val="24"/>
          <w:szCs w:val="24"/>
        </w:rPr>
        <w:t>My f</w:t>
      </w:r>
      <w:r>
        <w:rPr>
          <w:rFonts w:ascii="Times New Roman" w:hAnsi="Times New Roman"/>
          <w:iCs/>
          <w:sz w:val="24"/>
          <w:szCs w:val="24"/>
        </w:rPr>
        <w:t>indings (see, for ex</w:t>
      </w:r>
      <w:r w:rsidRPr="00E735D5">
        <w:rPr>
          <w:rFonts w:ascii="Times New Roman" w:hAnsi="Times New Roman"/>
          <w:iCs/>
          <w:sz w:val="24"/>
          <w:szCs w:val="24"/>
        </w:rPr>
        <w:t xml:space="preserve">ample, </w:t>
      </w:r>
      <w:r w:rsidRPr="00E735D5">
        <w:rPr>
          <w:rFonts w:ascii="Times New Roman" w:hAnsi="Times New Roman"/>
          <w:iCs/>
          <w:sz w:val="24"/>
          <w:szCs w:val="24"/>
        </w:rPr>
        <w:fldChar w:fldCharType="begin"/>
      </w:r>
      <w:r w:rsidRPr="00E735D5">
        <w:rPr>
          <w:rFonts w:ascii="Times New Roman" w:hAnsi="Times New Roman"/>
          <w:iCs/>
          <w:sz w:val="24"/>
          <w:szCs w:val="24"/>
        </w:rPr>
        <w:instrText xml:space="preserve"> REF _Ref8937176 \h  \* MERGEFORMAT </w:instrText>
      </w:r>
      <w:r w:rsidRPr="00E735D5">
        <w:rPr>
          <w:rFonts w:ascii="Times New Roman" w:hAnsi="Times New Roman"/>
          <w:iCs/>
          <w:sz w:val="24"/>
          <w:szCs w:val="24"/>
        </w:rPr>
      </w:r>
      <w:r w:rsidRPr="00E735D5">
        <w:rPr>
          <w:rFonts w:ascii="Times New Roman" w:hAnsi="Times New Roman"/>
          <w:iCs/>
          <w:sz w:val="24"/>
          <w:szCs w:val="24"/>
        </w:rPr>
        <w:fldChar w:fldCharType="separate"/>
      </w:r>
      <w:r w:rsidR="0011424E" w:rsidRPr="0011424E">
        <w:rPr>
          <w:rFonts w:ascii="Times New Roman" w:hAnsi="Times New Roman"/>
          <w:sz w:val="24"/>
          <w:szCs w:val="24"/>
        </w:rPr>
        <w:t xml:space="preserve">Table </w:t>
      </w:r>
      <w:r w:rsidR="0011424E" w:rsidRPr="0011424E">
        <w:rPr>
          <w:rFonts w:ascii="Times New Roman" w:hAnsi="Times New Roman"/>
          <w:noProof/>
          <w:sz w:val="24"/>
          <w:szCs w:val="24"/>
        </w:rPr>
        <w:t>37</w:t>
      </w:r>
      <w:r w:rsidRPr="00E735D5">
        <w:rPr>
          <w:rFonts w:ascii="Times New Roman" w:hAnsi="Times New Roman"/>
          <w:iCs/>
          <w:sz w:val="24"/>
          <w:szCs w:val="24"/>
        </w:rPr>
        <w:fldChar w:fldCharType="end"/>
      </w:r>
      <w:r w:rsidR="00F96B04">
        <w:rPr>
          <w:rFonts w:ascii="Times New Roman" w:hAnsi="Times New Roman"/>
          <w:iCs/>
          <w:sz w:val="24"/>
          <w:szCs w:val="24"/>
        </w:rPr>
        <w:t xml:space="preserve">, p. </w:t>
      </w:r>
      <w:r w:rsidR="003C2302">
        <w:rPr>
          <w:rFonts w:ascii="Times New Roman" w:hAnsi="Times New Roman"/>
          <w:iCs/>
          <w:sz w:val="24"/>
          <w:szCs w:val="24"/>
        </w:rPr>
        <w:fldChar w:fldCharType="begin"/>
      </w:r>
      <w:r w:rsidR="003C2302">
        <w:rPr>
          <w:rFonts w:ascii="Times New Roman" w:hAnsi="Times New Roman"/>
          <w:iCs/>
          <w:sz w:val="24"/>
          <w:szCs w:val="24"/>
        </w:rPr>
        <w:instrText xml:space="preserve"> PAGEREF _Ref9077180 \h </w:instrText>
      </w:r>
      <w:r w:rsidR="003C2302">
        <w:rPr>
          <w:rFonts w:ascii="Times New Roman" w:hAnsi="Times New Roman"/>
          <w:iCs/>
          <w:sz w:val="24"/>
          <w:szCs w:val="24"/>
        </w:rPr>
      </w:r>
      <w:r w:rsidR="003C2302">
        <w:rPr>
          <w:rFonts w:ascii="Times New Roman" w:hAnsi="Times New Roman"/>
          <w:iCs/>
          <w:sz w:val="24"/>
          <w:szCs w:val="24"/>
        </w:rPr>
        <w:fldChar w:fldCharType="separate"/>
      </w:r>
      <w:r w:rsidR="0011424E">
        <w:rPr>
          <w:rFonts w:ascii="Times New Roman" w:hAnsi="Times New Roman"/>
          <w:iCs/>
          <w:noProof/>
          <w:sz w:val="24"/>
          <w:szCs w:val="24"/>
        </w:rPr>
        <w:t>136</w:t>
      </w:r>
      <w:r w:rsidR="003C2302">
        <w:rPr>
          <w:rFonts w:ascii="Times New Roman" w:hAnsi="Times New Roman"/>
          <w:iCs/>
          <w:sz w:val="24"/>
          <w:szCs w:val="24"/>
        </w:rPr>
        <w:fldChar w:fldCharType="end"/>
      </w:r>
      <w:r w:rsidRPr="00E735D5">
        <w:rPr>
          <w:rFonts w:ascii="Times New Roman" w:hAnsi="Times New Roman"/>
          <w:iCs/>
          <w:sz w:val="24"/>
          <w:szCs w:val="24"/>
        </w:rPr>
        <w:t>)</w:t>
      </w:r>
      <w:r>
        <w:rPr>
          <w:rFonts w:ascii="Times New Roman" w:hAnsi="Times New Roman"/>
          <w:iCs/>
          <w:sz w:val="24"/>
          <w:szCs w:val="24"/>
        </w:rPr>
        <w:t xml:space="preserve"> agree that </w:t>
      </w:r>
      <w:r w:rsidR="00234886">
        <w:rPr>
          <w:rFonts w:ascii="Times New Roman" w:hAnsi="Times New Roman"/>
          <w:iCs/>
          <w:sz w:val="24"/>
          <w:szCs w:val="24"/>
        </w:rPr>
        <w:t>institutional context</w:t>
      </w:r>
      <w:r>
        <w:rPr>
          <w:rFonts w:ascii="Times New Roman" w:hAnsi="Times New Roman"/>
          <w:iCs/>
          <w:sz w:val="24"/>
          <w:szCs w:val="24"/>
        </w:rPr>
        <w:t xml:space="preserve"> may be more important than branch of science in terms of shaping</w:t>
      </w:r>
      <w:r w:rsidR="00436FF8">
        <w:rPr>
          <w:rFonts w:ascii="Times New Roman" w:hAnsi="Times New Roman"/>
          <w:iCs/>
          <w:sz w:val="24"/>
          <w:szCs w:val="24"/>
        </w:rPr>
        <w:t xml:space="preserve"> academic</w:t>
      </w:r>
      <w:r>
        <w:rPr>
          <w:rFonts w:ascii="Times New Roman" w:hAnsi="Times New Roman"/>
          <w:iCs/>
          <w:sz w:val="24"/>
          <w:szCs w:val="24"/>
        </w:rPr>
        <w:t xml:space="preserve"> boundary transactions and the levels of power and control over academic research</w:t>
      </w:r>
      <w:r w:rsidR="00436FF8">
        <w:rPr>
          <w:rFonts w:ascii="Times New Roman" w:hAnsi="Times New Roman"/>
          <w:iCs/>
          <w:sz w:val="24"/>
          <w:szCs w:val="24"/>
        </w:rPr>
        <w:t>, but that the research orientation</w:t>
      </w:r>
      <w:r w:rsidR="00D51321">
        <w:rPr>
          <w:rFonts w:ascii="Times New Roman" w:hAnsi="Times New Roman"/>
          <w:iCs/>
          <w:sz w:val="24"/>
          <w:szCs w:val="24"/>
        </w:rPr>
        <w:t xml:space="preserve"> (i.e. towards </w:t>
      </w:r>
      <w:r w:rsidR="00D51321">
        <w:rPr>
          <w:rFonts w:ascii="Times New Roman" w:hAnsi="Times New Roman"/>
          <w:i/>
          <w:sz w:val="24"/>
          <w:szCs w:val="24"/>
        </w:rPr>
        <w:t xml:space="preserve">use/applied research </w:t>
      </w:r>
      <w:r w:rsidR="00D51321">
        <w:rPr>
          <w:rFonts w:ascii="Times New Roman" w:hAnsi="Times New Roman"/>
          <w:iCs/>
          <w:sz w:val="24"/>
          <w:szCs w:val="24"/>
        </w:rPr>
        <w:t xml:space="preserve">or </w:t>
      </w:r>
      <w:r w:rsidR="00D51321">
        <w:rPr>
          <w:rFonts w:ascii="Times New Roman" w:hAnsi="Times New Roman"/>
          <w:i/>
          <w:sz w:val="24"/>
          <w:szCs w:val="24"/>
        </w:rPr>
        <w:t>understanding/basic research</w:t>
      </w:r>
      <w:r w:rsidR="00D51321">
        <w:rPr>
          <w:rFonts w:ascii="Times New Roman" w:hAnsi="Times New Roman"/>
          <w:iCs/>
          <w:sz w:val="24"/>
          <w:szCs w:val="24"/>
        </w:rPr>
        <w:t>)</w:t>
      </w:r>
      <w:r w:rsidR="003C5A18">
        <w:rPr>
          <w:rFonts w:ascii="Times New Roman" w:hAnsi="Times New Roman"/>
          <w:iCs/>
          <w:sz w:val="24"/>
          <w:szCs w:val="24"/>
        </w:rPr>
        <w:t xml:space="preserve"> </w:t>
      </w:r>
      <w:r w:rsidR="00436FF8">
        <w:rPr>
          <w:rFonts w:ascii="Times New Roman" w:hAnsi="Times New Roman"/>
          <w:iCs/>
          <w:sz w:val="24"/>
          <w:szCs w:val="24"/>
        </w:rPr>
        <w:t xml:space="preserve">is </w:t>
      </w:r>
      <w:r w:rsidR="00234886">
        <w:rPr>
          <w:rFonts w:ascii="Times New Roman" w:hAnsi="Times New Roman"/>
          <w:iCs/>
          <w:sz w:val="24"/>
          <w:szCs w:val="24"/>
        </w:rPr>
        <w:t>perhaps as important.</w:t>
      </w:r>
      <w:r w:rsidR="003C5A18">
        <w:rPr>
          <w:rFonts w:ascii="Times New Roman" w:hAnsi="Times New Roman"/>
          <w:iCs/>
          <w:sz w:val="24"/>
          <w:szCs w:val="24"/>
        </w:rPr>
        <w:t xml:space="preserve"> Indeed, the two main</w:t>
      </w:r>
      <w:r w:rsidR="0084766F">
        <w:rPr>
          <w:rFonts w:ascii="Times New Roman" w:hAnsi="Times New Roman"/>
          <w:iCs/>
          <w:sz w:val="24"/>
          <w:szCs w:val="24"/>
        </w:rPr>
        <w:t xml:space="preserve"> categorical</w:t>
      </w:r>
      <w:r w:rsidR="003C5A18">
        <w:rPr>
          <w:rFonts w:ascii="Times New Roman" w:hAnsi="Times New Roman"/>
          <w:iCs/>
          <w:sz w:val="24"/>
          <w:szCs w:val="24"/>
        </w:rPr>
        <w:t xml:space="preserve"> dividing lines </w:t>
      </w:r>
      <w:r w:rsidR="0084766F">
        <w:rPr>
          <w:rFonts w:ascii="Times New Roman" w:hAnsi="Times New Roman"/>
          <w:iCs/>
          <w:sz w:val="24"/>
          <w:szCs w:val="24"/>
        </w:rPr>
        <w:t xml:space="preserve">which my analysis revealed were </w:t>
      </w:r>
      <w:r w:rsidR="003C5A18">
        <w:rPr>
          <w:rFonts w:ascii="Times New Roman" w:hAnsi="Times New Roman"/>
          <w:iCs/>
          <w:sz w:val="24"/>
          <w:szCs w:val="24"/>
        </w:rPr>
        <w:t xml:space="preserve">between ‘elite’ and ‘non-elite’ </w:t>
      </w:r>
      <w:r w:rsidR="00A82C83">
        <w:rPr>
          <w:rFonts w:ascii="Times New Roman" w:hAnsi="Times New Roman"/>
          <w:iCs/>
          <w:sz w:val="24"/>
          <w:szCs w:val="24"/>
        </w:rPr>
        <w:t xml:space="preserve">(that is, the ‘more’ and ‘less’ prestigious categories) </w:t>
      </w:r>
      <w:r w:rsidR="003C5A18">
        <w:rPr>
          <w:rFonts w:ascii="Times New Roman" w:hAnsi="Times New Roman"/>
          <w:iCs/>
          <w:sz w:val="24"/>
          <w:szCs w:val="24"/>
        </w:rPr>
        <w:t>departmental contexts and between ‘applied’ and ‘basic’ research, with the latter including ‘use-inspired basic’ (which I categorised as Basic/Applied).</w:t>
      </w:r>
      <w:r w:rsidR="00234886">
        <w:rPr>
          <w:rFonts w:ascii="Times New Roman" w:hAnsi="Times New Roman"/>
          <w:iCs/>
          <w:sz w:val="24"/>
          <w:szCs w:val="24"/>
        </w:rPr>
        <w:t xml:space="preserve"> </w:t>
      </w:r>
      <w:r w:rsidR="00AB46C0">
        <w:rPr>
          <w:rFonts w:ascii="Times New Roman" w:hAnsi="Times New Roman"/>
          <w:iCs/>
          <w:sz w:val="24"/>
          <w:szCs w:val="24"/>
        </w:rPr>
        <w:t>Nuance is also required here</w:t>
      </w:r>
      <w:r w:rsidR="0076326F">
        <w:rPr>
          <w:rFonts w:ascii="Times New Roman" w:hAnsi="Times New Roman"/>
          <w:iCs/>
          <w:sz w:val="24"/>
          <w:szCs w:val="24"/>
        </w:rPr>
        <w:t>, however</w:t>
      </w:r>
      <w:r w:rsidR="00E8290E">
        <w:rPr>
          <w:rFonts w:ascii="Times New Roman" w:hAnsi="Times New Roman"/>
          <w:iCs/>
          <w:sz w:val="24"/>
          <w:szCs w:val="24"/>
        </w:rPr>
        <w:t>, particularly in interpreting the apparent divide between applied and basic research</w:t>
      </w:r>
      <w:r w:rsidR="0076326F">
        <w:rPr>
          <w:rFonts w:ascii="Times New Roman" w:hAnsi="Times New Roman"/>
          <w:iCs/>
          <w:sz w:val="24"/>
          <w:szCs w:val="24"/>
        </w:rPr>
        <w:t>. I</w:t>
      </w:r>
      <w:r w:rsidR="00B353D1">
        <w:rPr>
          <w:rFonts w:ascii="Times New Roman" w:hAnsi="Times New Roman"/>
          <w:sz w:val="24"/>
          <w:szCs w:val="24"/>
        </w:rPr>
        <w:t xml:space="preserve">t would be an </w:t>
      </w:r>
      <w:r w:rsidR="00366921" w:rsidRPr="00AB46C0">
        <w:rPr>
          <w:rFonts w:ascii="Times New Roman" w:hAnsi="Times New Roman"/>
          <w:sz w:val="24"/>
          <w:szCs w:val="24"/>
        </w:rPr>
        <w:t xml:space="preserve">“analytical mistake” </w:t>
      </w:r>
      <w:r w:rsidR="00B353D1">
        <w:rPr>
          <w:rFonts w:ascii="Times New Roman" w:hAnsi="Times New Roman"/>
          <w:sz w:val="24"/>
          <w:szCs w:val="24"/>
        </w:rPr>
        <w:t>to equate</w:t>
      </w:r>
      <w:r w:rsidR="00AB46C0">
        <w:rPr>
          <w:rFonts w:ascii="Times New Roman" w:hAnsi="Times New Roman"/>
          <w:sz w:val="24"/>
          <w:szCs w:val="24"/>
        </w:rPr>
        <w:t xml:space="preserve"> </w:t>
      </w:r>
      <w:r w:rsidR="00366921" w:rsidRPr="00AB46C0">
        <w:rPr>
          <w:rFonts w:ascii="Times New Roman" w:hAnsi="Times New Roman"/>
          <w:sz w:val="24"/>
          <w:szCs w:val="24"/>
        </w:rPr>
        <w:t xml:space="preserve">applied academic research </w:t>
      </w:r>
      <w:r w:rsidR="00AB46C0">
        <w:rPr>
          <w:rFonts w:ascii="Times New Roman" w:hAnsi="Times New Roman"/>
          <w:sz w:val="24"/>
          <w:szCs w:val="24"/>
        </w:rPr>
        <w:t>with</w:t>
      </w:r>
      <w:r w:rsidR="00366921" w:rsidRPr="00AB46C0">
        <w:rPr>
          <w:rFonts w:ascii="Times New Roman" w:hAnsi="Times New Roman"/>
          <w:sz w:val="24"/>
          <w:szCs w:val="24"/>
        </w:rPr>
        <w:t xml:space="preserve"> a </w:t>
      </w:r>
      <w:r w:rsidR="00B353D1">
        <w:rPr>
          <w:rFonts w:ascii="Times New Roman" w:hAnsi="Times New Roman"/>
          <w:sz w:val="24"/>
          <w:szCs w:val="24"/>
        </w:rPr>
        <w:t>dis</w:t>
      </w:r>
      <w:r w:rsidR="00366921" w:rsidRPr="00AB46C0">
        <w:rPr>
          <w:rFonts w:ascii="Times New Roman" w:hAnsi="Times New Roman"/>
          <w:sz w:val="24"/>
          <w:szCs w:val="24"/>
        </w:rPr>
        <w:t xml:space="preserve">placement of “academic </w:t>
      </w:r>
      <w:r w:rsidR="009870A0">
        <w:rPr>
          <w:rFonts w:ascii="Times New Roman" w:hAnsi="Times New Roman"/>
          <w:sz w:val="24"/>
          <w:szCs w:val="24"/>
        </w:rPr>
        <w:t>value[s] and practice[s]</w:t>
      </w:r>
      <w:r w:rsidR="00366921" w:rsidRPr="00AB46C0">
        <w:rPr>
          <w:rFonts w:ascii="Times New Roman" w:hAnsi="Times New Roman"/>
          <w:sz w:val="24"/>
          <w:szCs w:val="24"/>
        </w:rPr>
        <w:t xml:space="preserve">” </w:t>
      </w:r>
      <w:r w:rsidR="00366921" w:rsidRPr="00AB46C0">
        <w:rPr>
          <w:rFonts w:ascii="Times New Roman" w:hAnsi="Times New Roman"/>
          <w:sz w:val="24"/>
          <w:szCs w:val="24"/>
        </w:rPr>
        <w:fldChar w:fldCharType="begin"/>
      </w:r>
      <w:r w:rsidR="00B353D1">
        <w:rPr>
          <w:rFonts w:ascii="Times New Roman" w:hAnsi="Times New Roman"/>
          <w:sz w:val="24"/>
          <w:szCs w:val="24"/>
        </w:rPr>
        <w:instrText xml:space="preserve"> ADDIN EN.CITE &lt;EndNote&gt;&lt;Cite&gt;&lt;Author&gt;Hoffman&lt;/Author&gt;&lt;Year&gt;2011&lt;/Year&gt;&lt;IDText&gt;The new tools of the science trade: contested knowledge production and the conceptual vocabularies of academic capitalism&lt;/IDText&gt;&lt;Pages&gt;456&lt;/Pages&gt;&lt;DisplayText&gt;(Hoffman, 2011, p. 456)&lt;/DisplayText&gt;&lt;record&gt;&lt;keywords&gt;&lt;keyword&gt;Organisations&lt;/keyword&gt;&lt;keyword&gt;Institutional Change&lt;/keyword&gt;&lt;keyword&gt;University–industry Relations&lt;/keyword&gt;&lt;keyword&gt;Science&lt;/keyword&gt;&lt;keyword&gt;Knowledge Production&lt;/keyword&gt;&lt;/keywords&gt;&lt;isbn&gt;0964-0282&lt;/isbn&gt;&lt;titles&gt;&lt;title&gt;The new tools of the science trade: contested knowledge production and the conceptual vocabularies of academic capitalism&lt;/title&gt;&lt;secondary-title&gt;Social Anthropology&lt;/secondary-title&gt;&lt;/titles&gt;&lt;pages&gt;439-462&lt;/pages&gt;&lt;number&gt;4&lt;/number&gt;&lt;contributors&gt;&lt;authors&gt;&lt;author&gt;Hoffman, Steve G.&lt;/author&gt;&lt;/authors&gt;&lt;/contributors&gt;&lt;added-date format="utc"&gt;1458689036&lt;/added-date&gt;&lt;pub-location&gt;Oxford, UK&lt;/pub-location&gt;&lt;ref-type name="Journal Article"&gt;17&lt;/ref-type&gt;&lt;dates&gt;&lt;year&gt;2011&lt;/year&gt;&lt;/dates&gt;&lt;rec-number&gt;319&lt;/rec-number&gt;&lt;last-updated-date format="utc"&gt;1469229868&lt;/last-updated-date&gt;&lt;electronic-resource-num&gt;10.1111/j.1469-8676.2011.00180.x&lt;/electronic-resource-num&gt;&lt;volume&gt;19&lt;/volume&gt;&lt;/record&gt;&lt;/Cite&gt;&lt;/EndNote&gt;</w:instrText>
      </w:r>
      <w:r w:rsidR="00366921" w:rsidRPr="00AB46C0">
        <w:rPr>
          <w:rFonts w:ascii="Times New Roman" w:hAnsi="Times New Roman"/>
          <w:sz w:val="24"/>
          <w:szCs w:val="24"/>
        </w:rPr>
        <w:fldChar w:fldCharType="separate"/>
      </w:r>
      <w:r w:rsidR="00B353D1">
        <w:rPr>
          <w:rFonts w:ascii="Times New Roman" w:hAnsi="Times New Roman"/>
          <w:noProof/>
          <w:sz w:val="24"/>
          <w:szCs w:val="24"/>
        </w:rPr>
        <w:t>(Hoffman, 2011, p. 456)</w:t>
      </w:r>
      <w:r w:rsidR="00366921" w:rsidRPr="00AB46C0">
        <w:rPr>
          <w:rFonts w:ascii="Times New Roman" w:hAnsi="Times New Roman"/>
          <w:sz w:val="24"/>
          <w:szCs w:val="24"/>
        </w:rPr>
        <w:fldChar w:fldCharType="end"/>
      </w:r>
      <w:r w:rsidR="00B16FFE">
        <w:rPr>
          <w:rFonts w:ascii="Times New Roman" w:hAnsi="Times New Roman"/>
          <w:sz w:val="24"/>
          <w:szCs w:val="24"/>
        </w:rPr>
        <w:t>, as if academic research has ever been solely focused on curiosity-based research and the dispassionate search for truth</w:t>
      </w:r>
      <w:r w:rsidR="009870A0">
        <w:rPr>
          <w:rFonts w:ascii="Times New Roman" w:hAnsi="Times New Roman"/>
          <w:sz w:val="24"/>
          <w:szCs w:val="24"/>
        </w:rPr>
        <w:t xml:space="preserve">. </w:t>
      </w:r>
      <w:r w:rsidR="004435BB">
        <w:rPr>
          <w:rFonts w:ascii="Times New Roman" w:hAnsi="Times New Roman"/>
          <w:sz w:val="24"/>
          <w:szCs w:val="24"/>
        </w:rPr>
        <w:t>Rather, applied research needs to be part of our understanding of academia</w:t>
      </w:r>
      <w:r w:rsidR="003E29D2">
        <w:rPr>
          <w:rFonts w:ascii="Times New Roman" w:hAnsi="Times New Roman"/>
          <w:sz w:val="24"/>
          <w:szCs w:val="24"/>
        </w:rPr>
        <w:t xml:space="preserve"> – in</w:t>
      </w:r>
      <w:r w:rsidR="00C162F0">
        <w:rPr>
          <w:rFonts w:ascii="Times New Roman" w:hAnsi="Times New Roman"/>
          <w:sz w:val="24"/>
          <w:szCs w:val="24"/>
        </w:rPr>
        <w:t xml:space="preserve">deed, </w:t>
      </w:r>
      <w:r w:rsidR="003E29D2">
        <w:rPr>
          <w:rFonts w:ascii="Times New Roman" w:hAnsi="Times New Roman"/>
          <w:sz w:val="24"/>
          <w:szCs w:val="24"/>
        </w:rPr>
        <w:t>today,</w:t>
      </w:r>
      <w:r w:rsidR="009870A0">
        <w:rPr>
          <w:rFonts w:ascii="Times New Roman" w:hAnsi="Times New Roman"/>
          <w:sz w:val="24"/>
          <w:szCs w:val="24"/>
        </w:rPr>
        <w:t xml:space="preserve"> </w:t>
      </w:r>
      <w:r w:rsidR="005B1D55">
        <w:rPr>
          <w:rFonts w:ascii="Times New Roman" w:hAnsi="Times New Roman"/>
          <w:sz w:val="24"/>
          <w:szCs w:val="24"/>
        </w:rPr>
        <w:t>the</w:t>
      </w:r>
      <w:r w:rsidR="00366921" w:rsidRPr="00AB46C0">
        <w:rPr>
          <w:rFonts w:ascii="Times New Roman" w:hAnsi="Times New Roman"/>
          <w:sz w:val="24"/>
          <w:szCs w:val="24"/>
        </w:rPr>
        <w:t xml:space="preserve"> majority of </w:t>
      </w:r>
      <w:r w:rsidR="005B1D55">
        <w:rPr>
          <w:rFonts w:ascii="Times New Roman" w:hAnsi="Times New Roman"/>
          <w:sz w:val="24"/>
          <w:szCs w:val="24"/>
        </w:rPr>
        <w:t xml:space="preserve">UK </w:t>
      </w:r>
      <w:r w:rsidR="00366921" w:rsidRPr="00AB46C0">
        <w:rPr>
          <w:rFonts w:ascii="Times New Roman" w:hAnsi="Times New Roman"/>
          <w:sz w:val="24"/>
          <w:szCs w:val="24"/>
        </w:rPr>
        <w:t>academics</w:t>
      </w:r>
      <w:r w:rsidR="005B1D55">
        <w:rPr>
          <w:rFonts w:ascii="Times New Roman" w:hAnsi="Times New Roman"/>
          <w:sz w:val="24"/>
          <w:szCs w:val="24"/>
        </w:rPr>
        <w:t xml:space="preserve"> categorise their research as</w:t>
      </w:r>
      <w:r w:rsidR="00366921" w:rsidRPr="00AB46C0">
        <w:rPr>
          <w:rFonts w:ascii="Times New Roman" w:hAnsi="Times New Roman"/>
          <w:sz w:val="24"/>
          <w:szCs w:val="24"/>
        </w:rPr>
        <w:t xml:space="preserve"> primarily ‘use-inspired’ research (Hughes et al., 2016</w:t>
      </w:r>
      <w:r w:rsidR="005B1D55">
        <w:rPr>
          <w:rFonts w:ascii="Times New Roman" w:hAnsi="Times New Roman"/>
          <w:sz w:val="24"/>
          <w:szCs w:val="24"/>
        </w:rPr>
        <w:t>)</w:t>
      </w:r>
      <w:r w:rsidR="00AA2237">
        <w:rPr>
          <w:rFonts w:ascii="Times New Roman" w:hAnsi="Times New Roman"/>
          <w:sz w:val="24"/>
          <w:szCs w:val="24"/>
        </w:rPr>
        <w:t xml:space="preserve">. </w:t>
      </w:r>
    </w:p>
    <w:p w14:paraId="4FF1CC2B" w14:textId="712A46E8" w:rsidR="00531985" w:rsidRDefault="00AA2237" w:rsidP="00641CF2">
      <w:pPr>
        <w:spacing w:after="120" w:line="360" w:lineRule="auto"/>
        <w:rPr>
          <w:iCs/>
          <w:sz w:val="24"/>
          <w:szCs w:val="24"/>
        </w:rPr>
      </w:pPr>
      <w:r>
        <w:rPr>
          <w:sz w:val="24"/>
          <w:szCs w:val="24"/>
        </w:rPr>
        <w:t xml:space="preserve">With these nuances </w:t>
      </w:r>
      <w:r w:rsidR="00965535">
        <w:rPr>
          <w:sz w:val="24"/>
          <w:szCs w:val="24"/>
        </w:rPr>
        <w:t>in mind, the most appropriate way</w:t>
      </w:r>
      <w:r w:rsidR="0002288D">
        <w:rPr>
          <w:sz w:val="24"/>
          <w:szCs w:val="24"/>
        </w:rPr>
        <w:t>s</w:t>
      </w:r>
      <w:r w:rsidR="00965535">
        <w:rPr>
          <w:sz w:val="24"/>
          <w:szCs w:val="24"/>
        </w:rPr>
        <w:t xml:space="preserve"> to summarise ‘academic identity’ as an explanatory theme vis-à-vis </w:t>
      </w:r>
      <w:r w:rsidR="00A30DA5">
        <w:rPr>
          <w:sz w:val="24"/>
          <w:szCs w:val="24"/>
        </w:rPr>
        <w:t xml:space="preserve">the reproduction of academic boundaries through research-related boundary transactions </w:t>
      </w:r>
      <w:r w:rsidR="0002288D">
        <w:rPr>
          <w:sz w:val="24"/>
          <w:szCs w:val="24"/>
        </w:rPr>
        <w:t>are</w:t>
      </w:r>
      <w:r w:rsidR="00A30DA5">
        <w:rPr>
          <w:sz w:val="24"/>
          <w:szCs w:val="24"/>
        </w:rPr>
        <w:t xml:space="preserve"> as follow</w:t>
      </w:r>
      <w:r w:rsidR="0002288D">
        <w:rPr>
          <w:sz w:val="24"/>
          <w:szCs w:val="24"/>
        </w:rPr>
        <w:t>s</w:t>
      </w:r>
      <w:r w:rsidR="00A30DA5">
        <w:rPr>
          <w:sz w:val="24"/>
          <w:szCs w:val="24"/>
        </w:rPr>
        <w:t xml:space="preserve">. </w:t>
      </w:r>
      <w:r w:rsidR="0002288D">
        <w:rPr>
          <w:sz w:val="24"/>
          <w:szCs w:val="24"/>
        </w:rPr>
        <w:t xml:space="preserve">First, </w:t>
      </w:r>
      <w:r w:rsidR="0031340D">
        <w:rPr>
          <w:sz w:val="24"/>
          <w:szCs w:val="24"/>
        </w:rPr>
        <w:t>‘</w:t>
      </w:r>
      <w:r w:rsidR="0002288D">
        <w:rPr>
          <w:sz w:val="24"/>
          <w:szCs w:val="24"/>
        </w:rPr>
        <w:t>a</w:t>
      </w:r>
      <w:r w:rsidR="00965535">
        <w:rPr>
          <w:iCs/>
          <w:sz w:val="24"/>
          <w:szCs w:val="24"/>
        </w:rPr>
        <w:t>cademic identity</w:t>
      </w:r>
      <w:r w:rsidR="0031340D">
        <w:rPr>
          <w:iCs/>
          <w:sz w:val="24"/>
          <w:szCs w:val="24"/>
        </w:rPr>
        <w:t>’ is</w:t>
      </w:r>
      <w:r w:rsidR="00965535">
        <w:rPr>
          <w:iCs/>
          <w:sz w:val="24"/>
          <w:szCs w:val="24"/>
        </w:rPr>
        <w:t xml:space="preserve"> a suitably powerful and </w:t>
      </w:r>
      <w:r w:rsidR="0031340D">
        <w:rPr>
          <w:iCs/>
          <w:sz w:val="24"/>
          <w:szCs w:val="24"/>
        </w:rPr>
        <w:t>loosely</w:t>
      </w:r>
      <w:r w:rsidR="00965535">
        <w:rPr>
          <w:iCs/>
          <w:sz w:val="24"/>
          <w:szCs w:val="24"/>
        </w:rPr>
        <w:t>-defined concept</w:t>
      </w:r>
      <w:r w:rsidR="006B3659">
        <w:rPr>
          <w:iCs/>
          <w:sz w:val="24"/>
          <w:szCs w:val="24"/>
        </w:rPr>
        <w:t xml:space="preserve"> </w:t>
      </w:r>
      <w:r w:rsidR="00974CBB">
        <w:rPr>
          <w:iCs/>
          <w:sz w:val="24"/>
          <w:szCs w:val="24"/>
        </w:rPr>
        <w:t>such that</w:t>
      </w:r>
      <w:r w:rsidR="006B3659">
        <w:rPr>
          <w:iCs/>
          <w:sz w:val="24"/>
          <w:szCs w:val="24"/>
        </w:rPr>
        <w:t xml:space="preserve"> </w:t>
      </w:r>
      <w:r w:rsidR="00531985">
        <w:rPr>
          <w:iCs/>
          <w:sz w:val="24"/>
          <w:szCs w:val="24"/>
        </w:rPr>
        <w:t>heterogeneous</w:t>
      </w:r>
      <w:r w:rsidR="006B3659">
        <w:rPr>
          <w:iCs/>
          <w:sz w:val="24"/>
          <w:szCs w:val="24"/>
        </w:rPr>
        <w:t xml:space="preserve"> academics</w:t>
      </w:r>
      <w:r w:rsidR="00904832">
        <w:rPr>
          <w:iCs/>
          <w:sz w:val="24"/>
          <w:szCs w:val="24"/>
        </w:rPr>
        <w:t xml:space="preserve"> can use their own</w:t>
      </w:r>
      <w:r w:rsidR="006B3659">
        <w:rPr>
          <w:iCs/>
          <w:sz w:val="24"/>
          <w:szCs w:val="24"/>
        </w:rPr>
        <w:t xml:space="preserve"> sense of their academic identity </w:t>
      </w:r>
      <w:r w:rsidR="00531985">
        <w:rPr>
          <w:iCs/>
          <w:sz w:val="24"/>
          <w:szCs w:val="24"/>
        </w:rPr>
        <w:t>a</w:t>
      </w:r>
      <w:r w:rsidR="006B3659">
        <w:rPr>
          <w:iCs/>
          <w:sz w:val="24"/>
          <w:szCs w:val="24"/>
        </w:rPr>
        <w:t xml:space="preserve">s </w:t>
      </w:r>
      <w:r w:rsidR="00531985">
        <w:rPr>
          <w:iCs/>
          <w:sz w:val="24"/>
          <w:szCs w:val="24"/>
        </w:rPr>
        <w:t>motivation to overcome internal and external challenges</w:t>
      </w:r>
      <w:r w:rsidR="0002288D">
        <w:rPr>
          <w:iCs/>
          <w:sz w:val="24"/>
          <w:szCs w:val="24"/>
        </w:rPr>
        <w:t xml:space="preserve"> to achieve</w:t>
      </w:r>
      <w:r w:rsidR="00531985">
        <w:rPr>
          <w:iCs/>
          <w:sz w:val="24"/>
          <w:szCs w:val="24"/>
        </w:rPr>
        <w:t xml:space="preserve"> diverse</w:t>
      </w:r>
      <w:r w:rsidR="0002288D">
        <w:rPr>
          <w:iCs/>
          <w:sz w:val="24"/>
          <w:szCs w:val="24"/>
        </w:rPr>
        <w:t xml:space="preserve"> boundary-transacting objectives</w:t>
      </w:r>
      <w:r w:rsidR="00531985">
        <w:rPr>
          <w:iCs/>
          <w:sz w:val="24"/>
          <w:szCs w:val="24"/>
        </w:rPr>
        <w:t>, so that boundary transactions are a way for the enactment and realisation of their academic identities and goals</w:t>
      </w:r>
      <w:r w:rsidR="0002288D">
        <w:rPr>
          <w:iCs/>
          <w:sz w:val="24"/>
          <w:szCs w:val="24"/>
        </w:rPr>
        <w:t>.</w:t>
      </w:r>
      <w:r w:rsidR="00ED5C33">
        <w:rPr>
          <w:iCs/>
          <w:sz w:val="24"/>
          <w:szCs w:val="24"/>
        </w:rPr>
        <w:t xml:space="preserve"> Second, many non-academic actors and stakeholders perceive </w:t>
      </w:r>
      <w:r w:rsidR="001E7338">
        <w:rPr>
          <w:iCs/>
          <w:sz w:val="24"/>
          <w:szCs w:val="24"/>
        </w:rPr>
        <w:t>‘</w:t>
      </w:r>
      <w:r w:rsidR="00ED5C33">
        <w:rPr>
          <w:iCs/>
          <w:sz w:val="24"/>
          <w:szCs w:val="24"/>
        </w:rPr>
        <w:t>academic identity</w:t>
      </w:r>
      <w:r w:rsidR="001E7338">
        <w:rPr>
          <w:iCs/>
          <w:sz w:val="24"/>
          <w:szCs w:val="24"/>
        </w:rPr>
        <w:t>’</w:t>
      </w:r>
      <w:r w:rsidR="00ED5C33">
        <w:rPr>
          <w:iCs/>
          <w:sz w:val="24"/>
          <w:szCs w:val="24"/>
        </w:rPr>
        <w:t xml:space="preserve"> to be imbued with</w:t>
      </w:r>
      <w:r w:rsidR="00531985">
        <w:rPr>
          <w:iCs/>
          <w:sz w:val="24"/>
          <w:szCs w:val="24"/>
        </w:rPr>
        <w:t xml:space="preserve"> a</w:t>
      </w:r>
      <w:r w:rsidR="00ED5C33">
        <w:rPr>
          <w:iCs/>
          <w:sz w:val="24"/>
          <w:szCs w:val="24"/>
        </w:rPr>
        <w:t xml:space="preserve"> credibility which they see as important to informing decisions in non-academic contexts</w:t>
      </w:r>
      <w:r w:rsidR="004C7D0A">
        <w:rPr>
          <w:iCs/>
          <w:sz w:val="24"/>
          <w:szCs w:val="24"/>
        </w:rPr>
        <w:t xml:space="preserve">. </w:t>
      </w:r>
    </w:p>
    <w:p w14:paraId="7114796B" w14:textId="13D7E863" w:rsidR="00F93451" w:rsidRPr="00E570CB" w:rsidRDefault="00F767B0" w:rsidP="00641CF2">
      <w:pPr>
        <w:spacing w:after="120" w:line="360" w:lineRule="auto"/>
      </w:pPr>
      <w:r>
        <w:rPr>
          <w:iCs/>
          <w:sz w:val="24"/>
          <w:szCs w:val="24"/>
        </w:rPr>
        <w:t>‘</w:t>
      </w:r>
      <w:r w:rsidR="00A213C0">
        <w:rPr>
          <w:iCs/>
          <w:sz w:val="24"/>
          <w:szCs w:val="24"/>
        </w:rPr>
        <w:t>Academic identity</w:t>
      </w:r>
      <w:r>
        <w:rPr>
          <w:iCs/>
          <w:sz w:val="24"/>
          <w:szCs w:val="24"/>
        </w:rPr>
        <w:t>’</w:t>
      </w:r>
      <w:r w:rsidR="00A213C0">
        <w:rPr>
          <w:iCs/>
          <w:sz w:val="24"/>
          <w:szCs w:val="24"/>
        </w:rPr>
        <w:t xml:space="preserve"> therefore fits the criteria of transcending the particular BoRs in my study</w:t>
      </w:r>
      <w:r>
        <w:rPr>
          <w:iCs/>
          <w:sz w:val="24"/>
          <w:szCs w:val="24"/>
        </w:rPr>
        <w:t xml:space="preserve">. </w:t>
      </w:r>
      <w:r w:rsidR="003F7A8D">
        <w:rPr>
          <w:iCs/>
          <w:sz w:val="24"/>
          <w:szCs w:val="24"/>
        </w:rPr>
        <w:t xml:space="preserve">As such, although </w:t>
      </w:r>
      <w:r>
        <w:rPr>
          <w:iCs/>
          <w:sz w:val="24"/>
          <w:szCs w:val="24"/>
        </w:rPr>
        <w:t xml:space="preserve">much has already been written on academic identity </w:t>
      </w:r>
      <w:r w:rsidR="00C71981">
        <w:rPr>
          <w:iCs/>
          <w:sz w:val="24"/>
          <w:szCs w:val="24"/>
        </w:rPr>
        <w:t>(</w:t>
      </w:r>
      <w:r>
        <w:rPr>
          <w:iCs/>
          <w:sz w:val="24"/>
          <w:szCs w:val="24"/>
        </w:rPr>
        <w:t>I have not attempted to do justice to this literature</w:t>
      </w:r>
      <w:r w:rsidR="00C71981">
        <w:rPr>
          <w:iCs/>
          <w:sz w:val="24"/>
          <w:szCs w:val="24"/>
        </w:rPr>
        <w:t>)</w:t>
      </w:r>
      <w:r>
        <w:rPr>
          <w:iCs/>
          <w:sz w:val="24"/>
          <w:szCs w:val="24"/>
        </w:rPr>
        <w:t xml:space="preserve"> I argue that there is significant need for ongoing conceptual and empirical research on the diversity of meanings, applications and tensions associated with the notion of academic identity. </w:t>
      </w:r>
      <w:r w:rsidR="001A421B">
        <w:rPr>
          <w:sz w:val="24"/>
          <w:szCs w:val="24"/>
        </w:rPr>
        <w:t>T</w:t>
      </w:r>
      <w:r w:rsidR="003A7DB5">
        <w:rPr>
          <w:sz w:val="24"/>
          <w:szCs w:val="24"/>
        </w:rPr>
        <w:t>he notion of academic identity remains</w:t>
      </w:r>
      <w:r w:rsidR="001B1A2F">
        <w:rPr>
          <w:sz w:val="24"/>
          <w:szCs w:val="24"/>
        </w:rPr>
        <w:t xml:space="preserve"> complex</w:t>
      </w:r>
      <w:r w:rsidR="00A213C0">
        <w:rPr>
          <w:sz w:val="24"/>
          <w:szCs w:val="24"/>
        </w:rPr>
        <w:t xml:space="preserve"> and</w:t>
      </w:r>
      <w:r w:rsidR="001324AC">
        <w:rPr>
          <w:sz w:val="24"/>
          <w:szCs w:val="24"/>
        </w:rPr>
        <w:t xml:space="preserve"> </w:t>
      </w:r>
      <w:r w:rsidR="00023E75">
        <w:rPr>
          <w:sz w:val="24"/>
          <w:szCs w:val="24"/>
        </w:rPr>
        <w:t>“</w:t>
      </w:r>
      <w:r w:rsidR="001324AC" w:rsidRPr="00023E75">
        <w:rPr>
          <w:sz w:val="24"/>
          <w:szCs w:val="24"/>
        </w:rPr>
        <w:t>overdetermined</w:t>
      </w:r>
      <w:r w:rsidR="00023E75">
        <w:rPr>
          <w:sz w:val="24"/>
          <w:szCs w:val="24"/>
        </w:rPr>
        <w:t xml:space="preserve">” </w:t>
      </w:r>
      <w:r w:rsidR="00A633D0">
        <w:rPr>
          <w:sz w:val="24"/>
          <w:szCs w:val="24"/>
        </w:rPr>
        <w:fldChar w:fldCharType="begin"/>
      </w:r>
      <w:r w:rsidR="00A633D0">
        <w:rPr>
          <w:sz w:val="24"/>
          <w:szCs w:val="24"/>
        </w:rPr>
        <w:instrText xml:space="preserve"> ADDIN EN.CITE &lt;EndNote&gt;&lt;Cite&gt;&lt;Author&gt;Kenny&lt;/Author&gt;&lt;Year&gt;2016&lt;/Year&gt;&lt;IDText&gt;Organizational Identity: The Significance of Power and Politics&lt;/IDText&gt;&lt;Pages&gt;149&lt;/Pages&gt;&lt;DisplayText&gt;(Kenny, Whittle, &amp;amp; Willmott, 2016, p. 149)&lt;/DisplayText&gt;&lt;record&gt;&lt;isbn&gt;0199689571&lt;/isbn&gt;&lt;titles&gt;&lt;title&gt;Organizational Identity: The Significance of Power and Politics&lt;/title&gt;&lt;secondary-title&gt;The Oxford handbook of organizational identity&lt;/secondary-title&gt;&lt;/titles&gt;&lt;contributors&gt;&lt;authors&gt;&lt;author&gt;Kenny, Kate&lt;/author&gt;&lt;author&gt;Whittle, Andrea&lt;/author&gt;&lt;author&gt;Willmott, Hugh&lt;/author&gt;&lt;/authors&gt;&lt;/contributors&gt;&lt;added-date format="utc"&gt;1559818789&lt;/added-date&gt;&lt;pub-location&gt;Oxford&lt;/pub-location&gt;&lt;ref-type name="Book Section"&gt;5&lt;/ref-type&gt;&lt;dates&gt;&lt;year&gt;2016&lt;/year&gt;&lt;/dates&gt;&lt;rec-number&gt;7801&lt;/rec-number&gt;&lt;publisher&gt;Oxford University Press&lt;/publisher&gt;&lt;last-updated-date format="utc"&gt;1559818906&lt;/last-updated-date&gt;&lt;contributors&gt;&lt;secondary-authors&gt;&lt;author&gt;Pratt, Michael G&lt;/author&gt;&lt;author&gt;Schultz, Majken&lt;/author&gt;&lt;author&gt;Ashforth, Blake E&lt;/author&gt;&lt;author&gt;Ravasi, Davide&lt;/author&gt;&lt;/secondary-authors&gt;&lt;/contributors&gt;&lt;/record&gt;&lt;/Cite&gt;&lt;/EndNote&gt;</w:instrText>
      </w:r>
      <w:r w:rsidR="00A633D0">
        <w:rPr>
          <w:sz w:val="24"/>
          <w:szCs w:val="24"/>
        </w:rPr>
        <w:fldChar w:fldCharType="separate"/>
      </w:r>
      <w:r w:rsidR="00A633D0">
        <w:rPr>
          <w:noProof/>
          <w:sz w:val="24"/>
          <w:szCs w:val="24"/>
        </w:rPr>
        <w:t>(Kenny, Whittle, &amp; Willmott, 2016, p. 149)</w:t>
      </w:r>
      <w:r w:rsidR="00A633D0">
        <w:rPr>
          <w:sz w:val="24"/>
          <w:szCs w:val="24"/>
        </w:rPr>
        <w:fldChar w:fldCharType="end"/>
      </w:r>
      <w:r w:rsidR="00F24F87">
        <w:rPr>
          <w:sz w:val="24"/>
          <w:szCs w:val="24"/>
        </w:rPr>
        <w:t xml:space="preserve">, </w:t>
      </w:r>
      <w:r w:rsidR="00F3285D">
        <w:rPr>
          <w:sz w:val="24"/>
          <w:szCs w:val="24"/>
        </w:rPr>
        <w:t>interacting with</w:t>
      </w:r>
      <w:r w:rsidR="00B4669A">
        <w:rPr>
          <w:sz w:val="24"/>
          <w:szCs w:val="24"/>
        </w:rPr>
        <w:t xml:space="preserve"> multiple </w:t>
      </w:r>
      <w:r w:rsidR="00F3285D">
        <w:rPr>
          <w:sz w:val="24"/>
          <w:szCs w:val="24"/>
        </w:rPr>
        <w:t>sources</w:t>
      </w:r>
      <w:r w:rsidR="00B4669A">
        <w:rPr>
          <w:sz w:val="24"/>
          <w:szCs w:val="24"/>
        </w:rPr>
        <w:t xml:space="preserve"> of power</w:t>
      </w:r>
      <w:r w:rsidR="00464812">
        <w:rPr>
          <w:sz w:val="24"/>
          <w:szCs w:val="24"/>
        </w:rPr>
        <w:t xml:space="preserve"> which provide agency but also limitations</w:t>
      </w:r>
      <w:r w:rsidR="00B4669A">
        <w:rPr>
          <w:sz w:val="24"/>
          <w:szCs w:val="24"/>
        </w:rPr>
        <w:t xml:space="preserve">. </w:t>
      </w:r>
      <w:r w:rsidR="00133227">
        <w:rPr>
          <w:sz w:val="24"/>
          <w:szCs w:val="24"/>
        </w:rPr>
        <w:t>The following section will focus on issues of power as a final explanatory theme and will touch on some of the more complex questions still surrounding academic identity, as well as experiences of academic boundaries and academia more generally, such as relating to power associated with different institutional and disciplinary contexts.</w:t>
      </w:r>
    </w:p>
    <w:p w14:paraId="11E91BDD" w14:textId="487EB0D8" w:rsidR="0064403A" w:rsidRDefault="0064403A" w:rsidP="005C5CEF">
      <w:pPr>
        <w:pStyle w:val="Heading3"/>
      </w:pPr>
      <w:bookmarkStart w:id="219" w:name="_Toc31701996"/>
      <w:r>
        <w:t xml:space="preserve">Power and control over </w:t>
      </w:r>
      <w:r w:rsidR="00A807B9">
        <w:t>(academic) science</w:t>
      </w:r>
      <w:bookmarkEnd w:id="219"/>
    </w:p>
    <w:p w14:paraId="6134CD88" w14:textId="7CE94ED3" w:rsidR="007375E0" w:rsidRDefault="001B30E8" w:rsidP="00727443">
      <w:pPr>
        <w:spacing w:after="120" w:line="360" w:lineRule="auto"/>
        <w:rPr>
          <w:sz w:val="24"/>
          <w:szCs w:val="24"/>
        </w:rPr>
      </w:pPr>
      <w:r>
        <w:rPr>
          <w:sz w:val="24"/>
          <w:szCs w:val="24"/>
        </w:rPr>
        <w:t>Bernstein</w:t>
      </w:r>
      <w:r w:rsidR="00936BAD">
        <w:rPr>
          <w:sz w:val="24"/>
          <w:szCs w:val="24"/>
        </w:rPr>
        <w:t>’s</w:t>
      </w:r>
      <w:r>
        <w:rPr>
          <w:sz w:val="24"/>
          <w:szCs w:val="24"/>
        </w:rPr>
        <w:t xml:space="preserve"> (2000)</w:t>
      </w:r>
      <w:r w:rsidR="00936BAD">
        <w:rPr>
          <w:sz w:val="24"/>
          <w:szCs w:val="24"/>
        </w:rPr>
        <w:t xml:space="preserve"> notion of power focuses on</w:t>
      </w:r>
      <w:r w:rsidR="001228DD">
        <w:rPr>
          <w:sz w:val="24"/>
          <w:szCs w:val="24"/>
        </w:rPr>
        <w:t xml:space="preserve"> </w:t>
      </w:r>
      <w:r w:rsidR="00936BAD">
        <w:rPr>
          <w:sz w:val="24"/>
          <w:szCs w:val="24"/>
        </w:rPr>
        <w:t>“</w:t>
      </w:r>
      <w:r w:rsidR="001228DD">
        <w:rPr>
          <w:sz w:val="24"/>
          <w:szCs w:val="24"/>
        </w:rPr>
        <w:t xml:space="preserve">relations </w:t>
      </w:r>
      <w:r w:rsidR="001228DD">
        <w:rPr>
          <w:i/>
          <w:iCs/>
          <w:sz w:val="24"/>
          <w:szCs w:val="24"/>
        </w:rPr>
        <w:t>between</w:t>
      </w:r>
      <w:r w:rsidR="00DB385F">
        <w:rPr>
          <w:i/>
          <w:iCs/>
          <w:sz w:val="24"/>
          <w:szCs w:val="24"/>
        </w:rPr>
        <w:t xml:space="preserve"> </w:t>
      </w:r>
      <w:r w:rsidR="00DB385F">
        <w:rPr>
          <w:iCs/>
          <w:sz w:val="24"/>
          <w:szCs w:val="24"/>
        </w:rPr>
        <w:t xml:space="preserve">[categories]. </w:t>
      </w:r>
      <w:r w:rsidR="001228DD">
        <w:rPr>
          <w:i/>
          <w:iCs/>
          <w:sz w:val="24"/>
          <w:szCs w:val="24"/>
        </w:rPr>
        <w:t>…</w:t>
      </w:r>
      <w:r w:rsidR="001228DD">
        <w:rPr>
          <w:sz w:val="24"/>
          <w:szCs w:val="24"/>
        </w:rPr>
        <w:t>P</w:t>
      </w:r>
      <w:r>
        <w:rPr>
          <w:sz w:val="24"/>
          <w:szCs w:val="24"/>
        </w:rPr>
        <w:t>ower relations ... create boundaries, legitimise boundaries, reproduce boundaries between different categories of groups, ... different categories of discourse, different categories of agents. ...” (p. 4-5</w:t>
      </w:r>
      <w:r w:rsidR="00DC6792">
        <w:rPr>
          <w:sz w:val="24"/>
          <w:szCs w:val="24"/>
        </w:rPr>
        <w:t>, original emphasis</w:t>
      </w:r>
      <w:r>
        <w:rPr>
          <w:sz w:val="24"/>
          <w:szCs w:val="24"/>
        </w:rPr>
        <w:t>).</w:t>
      </w:r>
      <w:r w:rsidR="00092ADC">
        <w:rPr>
          <w:sz w:val="24"/>
          <w:szCs w:val="24"/>
        </w:rPr>
        <w:t xml:space="preserve"> </w:t>
      </w:r>
      <w:r w:rsidR="000C7416">
        <w:rPr>
          <w:sz w:val="24"/>
          <w:szCs w:val="24"/>
        </w:rPr>
        <w:t>Maintenance of</w:t>
      </w:r>
      <w:r w:rsidR="00092ADC">
        <w:rPr>
          <w:sz w:val="24"/>
          <w:szCs w:val="24"/>
        </w:rPr>
        <w:t xml:space="preserve"> boundaries requires boundary transactions</w:t>
      </w:r>
      <w:r w:rsidR="00A01C82">
        <w:rPr>
          <w:sz w:val="24"/>
          <w:szCs w:val="24"/>
        </w:rPr>
        <w:t>, which contribute to the wider societal legitimacy of the boundary. But boundary transactions open</w:t>
      </w:r>
      <w:r w:rsidR="009C7B2B">
        <w:rPr>
          <w:sz w:val="24"/>
          <w:szCs w:val="24"/>
        </w:rPr>
        <w:t xml:space="preserve"> up the opportunity for a </w:t>
      </w:r>
      <w:r w:rsidR="00092ADC">
        <w:rPr>
          <w:sz w:val="24"/>
          <w:szCs w:val="24"/>
        </w:rPr>
        <w:t>weakening of boundaries</w:t>
      </w:r>
      <w:r w:rsidR="00A01C82">
        <w:rPr>
          <w:sz w:val="24"/>
          <w:szCs w:val="24"/>
        </w:rPr>
        <w:t xml:space="preserve"> because there is a balancing act in that transactions must give enough </w:t>
      </w:r>
      <w:r w:rsidR="00AC7F11">
        <w:rPr>
          <w:sz w:val="24"/>
          <w:szCs w:val="24"/>
        </w:rPr>
        <w:t xml:space="preserve">so </w:t>
      </w:r>
      <w:r w:rsidR="00A01C82">
        <w:rPr>
          <w:sz w:val="24"/>
          <w:szCs w:val="24"/>
        </w:rPr>
        <w:t xml:space="preserve">that wider societal legitimacy of the boundary is maintained, but not so much that the distinctiveness of the bounded category is lost. Thus, </w:t>
      </w:r>
      <w:r w:rsidR="00092ADC">
        <w:rPr>
          <w:sz w:val="24"/>
          <w:szCs w:val="24"/>
        </w:rPr>
        <w:t>boundary transaction</w:t>
      </w:r>
      <w:r w:rsidR="00A01C82">
        <w:rPr>
          <w:sz w:val="24"/>
          <w:szCs w:val="24"/>
        </w:rPr>
        <w:t>s carry</w:t>
      </w:r>
      <w:r w:rsidR="00092ADC">
        <w:rPr>
          <w:sz w:val="24"/>
          <w:szCs w:val="24"/>
        </w:rPr>
        <w:t xml:space="preserve"> “both the power of reproduction and the potential for its change” (Bernstein, 2000, p. 5).</w:t>
      </w:r>
      <w:r w:rsidR="00092ADC" w:rsidRPr="00AC2B42">
        <w:rPr>
          <w:sz w:val="24"/>
          <w:szCs w:val="24"/>
        </w:rPr>
        <w:t xml:space="preserve"> </w:t>
      </w:r>
      <w:r w:rsidR="002F5299">
        <w:rPr>
          <w:sz w:val="24"/>
          <w:szCs w:val="24"/>
        </w:rPr>
        <w:t>A</w:t>
      </w:r>
      <w:r w:rsidR="00F32F61">
        <w:rPr>
          <w:sz w:val="24"/>
          <w:szCs w:val="24"/>
        </w:rPr>
        <w:t xml:space="preserve"> key issue in the reproduction of </w:t>
      </w:r>
      <w:r w:rsidR="003F1AA4">
        <w:rPr>
          <w:sz w:val="24"/>
          <w:szCs w:val="24"/>
        </w:rPr>
        <w:t>boundaries, that is, the reproduction of a distinctive bounded category with autonomy and authority over some domain of activity or discourse (i.e. an area of knowledge)</w:t>
      </w:r>
      <w:r w:rsidR="00171E0A">
        <w:rPr>
          <w:sz w:val="24"/>
          <w:szCs w:val="24"/>
        </w:rPr>
        <w:t xml:space="preserve">, is </w:t>
      </w:r>
      <w:r w:rsidR="001C08FA">
        <w:rPr>
          <w:sz w:val="24"/>
          <w:szCs w:val="24"/>
        </w:rPr>
        <w:t>therefore</w:t>
      </w:r>
      <w:r w:rsidR="00171E0A">
        <w:rPr>
          <w:sz w:val="24"/>
          <w:szCs w:val="24"/>
        </w:rPr>
        <w:t xml:space="preserve"> whether the bounded category is able to maintain</w:t>
      </w:r>
      <w:r w:rsidR="003F1AA4">
        <w:rPr>
          <w:sz w:val="24"/>
          <w:szCs w:val="24"/>
        </w:rPr>
        <w:t xml:space="preserve"> ‘</w:t>
      </w:r>
      <w:r w:rsidR="00F32F61">
        <w:rPr>
          <w:sz w:val="24"/>
          <w:szCs w:val="24"/>
        </w:rPr>
        <w:t xml:space="preserve">control’ over </w:t>
      </w:r>
      <w:r w:rsidR="00171E0A">
        <w:rPr>
          <w:sz w:val="24"/>
          <w:szCs w:val="24"/>
        </w:rPr>
        <w:t>its</w:t>
      </w:r>
      <w:r w:rsidR="00F32F61">
        <w:rPr>
          <w:sz w:val="24"/>
          <w:szCs w:val="24"/>
        </w:rPr>
        <w:t xml:space="preserve"> </w:t>
      </w:r>
      <w:r w:rsidR="003F1AA4">
        <w:rPr>
          <w:sz w:val="24"/>
          <w:szCs w:val="24"/>
        </w:rPr>
        <w:t xml:space="preserve">boundary </w:t>
      </w:r>
      <w:r w:rsidR="00F32F61">
        <w:rPr>
          <w:sz w:val="24"/>
          <w:szCs w:val="24"/>
        </w:rPr>
        <w:t>transactions</w:t>
      </w:r>
      <w:r w:rsidR="00171E0A">
        <w:rPr>
          <w:sz w:val="24"/>
          <w:szCs w:val="24"/>
        </w:rPr>
        <w:t xml:space="preserve">. </w:t>
      </w:r>
    </w:p>
    <w:p w14:paraId="25E76906" w14:textId="4BB0A6FD" w:rsidR="001277AE" w:rsidRDefault="00171E0A" w:rsidP="00727443">
      <w:pPr>
        <w:spacing w:after="120" w:line="360" w:lineRule="auto"/>
        <w:rPr>
          <w:sz w:val="24"/>
          <w:szCs w:val="24"/>
        </w:rPr>
      </w:pPr>
      <w:r>
        <w:rPr>
          <w:sz w:val="24"/>
          <w:szCs w:val="24"/>
        </w:rPr>
        <w:t xml:space="preserve">My empirical analysis </w:t>
      </w:r>
      <w:r w:rsidR="00067748">
        <w:rPr>
          <w:sz w:val="24"/>
          <w:szCs w:val="24"/>
        </w:rPr>
        <w:t>suggests</w:t>
      </w:r>
      <w:r w:rsidR="00C25101">
        <w:rPr>
          <w:sz w:val="24"/>
          <w:szCs w:val="24"/>
        </w:rPr>
        <w:t xml:space="preserve"> that </w:t>
      </w:r>
      <w:r w:rsidR="002777D0">
        <w:rPr>
          <w:sz w:val="24"/>
          <w:szCs w:val="24"/>
        </w:rPr>
        <w:t xml:space="preserve">the bodies of research studied do exhibit academic </w:t>
      </w:r>
      <w:r w:rsidR="00C25101">
        <w:rPr>
          <w:sz w:val="24"/>
          <w:szCs w:val="24"/>
        </w:rPr>
        <w:t>power and control over its boundaries and transactions</w:t>
      </w:r>
      <w:r w:rsidR="002777D0">
        <w:rPr>
          <w:sz w:val="24"/>
          <w:szCs w:val="24"/>
        </w:rPr>
        <w:t xml:space="preserve">. </w:t>
      </w:r>
      <w:r w:rsidR="00727443">
        <w:rPr>
          <w:sz w:val="24"/>
          <w:szCs w:val="24"/>
        </w:rPr>
        <w:t>Accordingly, t</w:t>
      </w:r>
      <w:r w:rsidR="00080BA3">
        <w:rPr>
          <w:sz w:val="24"/>
          <w:szCs w:val="24"/>
        </w:rPr>
        <w:t xml:space="preserve">he explanatory themes presented in this chapter </w:t>
      </w:r>
      <w:r w:rsidR="00D43FAB">
        <w:rPr>
          <w:sz w:val="24"/>
          <w:szCs w:val="24"/>
        </w:rPr>
        <w:t xml:space="preserve">so far </w:t>
      </w:r>
      <w:r w:rsidR="007375E0">
        <w:rPr>
          <w:sz w:val="24"/>
          <w:szCs w:val="24"/>
        </w:rPr>
        <w:t>have aimed</w:t>
      </w:r>
      <w:r w:rsidR="00080BA3">
        <w:rPr>
          <w:sz w:val="24"/>
          <w:szCs w:val="24"/>
        </w:rPr>
        <w:t xml:space="preserve"> towards understanding how and why research-related academic boundary transactions tend towards the reproduction of academic boundarie</w:t>
      </w:r>
      <w:r w:rsidR="00092ADC">
        <w:rPr>
          <w:sz w:val="24"/>
          <w:szCs w:val="24"/>
        </w:rPr>
        <w:t>s</w:t>
      </w:r>
      <w:r w:rsidR="00531985">
        <w:rPr>
          <w:sz w:val="24"/>
          <w:szCs w:val="24"/>
        </w:rPr>
        <w:t xml:space="preserve">: </w:t>
      </w:r>
      <w:r w:rsidR="003D4C4E">
        <w:rPr>
          <w:sz w:val="24"/>
          <w:szCs w:val="24"/>
        </w:rPr>
        <w:t xml:space="preserve">the educational function leading to academically-inclined non-academics with whom universities can transfer academic knowledge in relatively ‘low-cost’ ways; the academic trajectory which empowers academics to cast non-academic problems in academic terms, predominantly as an object of theoretical and disciplinary knowledge; the ‘academic identity’ bestowed upon researchers by virtue of their belonging to academia and the way this is perceived by non-academic actors. </w:t>
      </w:r>
    </w:p>
    <w:p w14:paraId="447B3B52" w14:textId="32A6E7CC" w:rsidR="00190E49" w:rsidRDefault="008C27CE" w:rsidP="00727443">
      <w:pPr>
        <w:spacing w:after="120" w:line="360" w:lineRule="auto"/>
        <w:rPr>
          <w:sz w:val="24"/>
          <w:szCs w:val="24"/>
        </w:rPr>
      </w:pPr>
      <w:r>
        <w:rPr>
          <w:sz w:val="24"/>
          <w:szCs w:val="24"/>
        </w:rPr>
        <w:t xml:space="preserve">But </w:t>
      </w:r>
      <w:r w:rsidR="001277AE">
        <w:rPr>
          <w:sz w:val="24"/>
          <w:szCs w:val="24"/>
        </w:rPr>
        <w:t>my analysis also suggests</w:t>
      </w:r>
      <w:r>
        <w:rPr>
          <w:sz w:val="24"/>
          <w:szCs w:val="24"/>
        </w:rPr>
        <w:t xml:space="preserve"> important limits and caveats which make this reproduction and maintenance of boundaries </w:t>
      </w:r>
      <w:r w:rsidR="00AF265E">
        <w:rPr>
          <w:sz w:val="24"/>
          <w:szCs w:val="24"/>
        </w:rPr>
        <w:t>somewhat uncertain</w:t>
      </w:r>
      <w:r w:rsidR="00864B8F">
        <w:rPr>
          <w:sz w:val="24"/>
          <w:szCs w:val="24"/>
        </w:rPr>
        <w:t xml:space="preserve">. There are two main </w:t>
      </w:r>
      <w:r w:rsidR="006E717B">
        <w:rPr>
          <w:sz w:val="24"/>
          <w:szCs w:val="24"/>
        </w:rPr>
        <w:t xml:space="preserve">elements of this which I present below as two sub-themes. </w:t>
      </w:r>
      <w:r w:rsidR="000157A8">
        <w:rPr>
          <w:sz w:val="24"/>
          <w:szCs w:val="24"/>
        </w:rPr>
        <w:t>The f</w:t>
      </w:r>
      <w:r w:rsidR="006D53BA">
        <w:rPr>
          <w:sz w:val="24"/>
          <w:szCs w:val="24"/>
        </w:rPr>
        <w:t>irst relates to t</w:t>
      </w:r>
      <w:r w:rsidR="00864B8F">
        <w:rPr>
          <w:sz w:val="24"/>
          <w:szCs w:val="24"/>
        </w:rPr>
        <w:t xml:space="preserve">he uneven distribution of power within </w:t>
      </w:r>
      <w:r w:rsidR="00382CB4">
        <w:rPr>
          <w:sz w:val="24"/>
          <w:szCs w:val="24"/>
        </w:rPr>
        <w:t>academia. The second relates</w:t>
      </w:r>
      <w:r w:rsidR="00CE3FAE">
        <w:rPr>
          <w:sz w:val="24"/>
          <w:szCs w:val="24"/>
        </w:rPr>
        <w:t xml:space="preserve"> to the</w:t>
      </w:r>
      <w:r w:rsidR="003D6E6A">
        <w:rPr>
          <w:sz w:val="24"/>
          <w:szCs w:val="24"/>
        </w:rPr>
        <w:t xml:space="preserve"> uneven access to control and influence of boundary transactions afforded to external actors</w:t>
      </w:r>
      <w:r w:rsidR="00864B8F">
        <w:rPr>
          <w:sz w:val="24"/>
          <w:szCs w:val="24"/>
        </w:rPr>
        <w:t xml:space="preserve">. </w:t>
      </w:r>
    </w:p>
    <w:p w14:paraId="643BF95A" w14:textId="23C653F8" w:rsidR="00377045" w:rsidRDefault="00CA7D88" w:rsidP="00C6769E">
      <w:pPr>
        <w:pStyle w:val="Heading4"/>
      </w:pPr>
      <w:r>
        <w:t>Internal</w:t>
      </w:r>
      <w:r w:rsidR="002041A5">
        <w:t>: uneven distribution of power</w:t>
      </w:r>
    </w:p>
    <w:p w14:paraId="76A25009" w14:textId="39967260" w:rsidR="003B4E44" w:rsidRDefault="00244E24" w:rsidP="00497603">
      <w:pPr>
        <w:autoSpaceDE w:val="0"/>
        <w:autoSpaceDN w:val="0"/>
        <w:adjustRightInd w:val="0"/>
        <w:spacing w:after="120" w:line="360" w:lineRule="auto"/>
        <w:rPr>
          <w:iCs/>
          <w:sz w:val="24"/>
          <w:szCs w:val="24"/>
        </w:rPr>
      </w:pPr>
      <w:r>
        <w:rPr>
          <w:sz w:val="24"/>
          <w:szCs w:val="24"/>
        </w:rPr>
        <w:t xml:space="preserve">Adopting a similar Bernsteinian ‘boundary’ lens to myself, Douglas suggests that where </w:t>
      </w:r>
      <w:r w:rsidRPr="003E565E">
        <w:rPr>
          <w:sz w:val="24"/>
          <w:szCs w:val="24"/>
        </w:rPr>
        <w:t xml:space="preserve">a group is sufficiently powerful </w:t>
      </w:r>
      <w:r>
        <w:rPr>
          <w:sz w:val="24"/>
          <w:szCs w:val="24"/>
        </w:rPr>
        <w:t>and bounded</w:t>
      </w:r>
      <w:r w:rsidRPr="003E565E">
        <w:rPr>
          <w:sz w:val="24"/>
          <w:szCs w:val="24"/>
        </w:rPr>
        <w:t xml:space="preserve">, it may not be greatly “exposed to the need to communicate with outsiders” </w:t>
      </w:r>
      <w:r w:rsidRPr="00D06473">
        <w:rPr>
          <w:sz w:val="24"/>
          <w:szCs w:val="24"/>
        </w:rPr>
        <w:fldChar w:fldCharType="begin"/>
      </w:r>
      <w:r w:rsidRPr="00D06473">
        <w:rPr>
          <w:sz w:val="24"/>
          <w:szCs w:val="24"/>
          <w:lang w:eastAsia="ko-KR"/>
        </w:rPr>
        <w:instrText xml:space="preserve"> ADDIN EN.CITE &lt;EndNote&gt;&lt;Cite&gt;&lt;Author&gt;Douglas&lt;/Author&gt;&lt;Year&gt;1996&lt;/Year&gt;&lt;IDText&gt;Natural Symbols: Explorations in Cosmology&lt;/IDText&gt;&lt;Pages&gt;55&lt;/Pages&gt;&lt;DisplayText&gt;(Douglas, 1996, p. 55)&lt;/DisplayText&gt;&lt;record&gt;&lt;keywords&gt;&lt;keyword&gt;Human body -- Religious aspects&lt;/keyword&gt;&lt;keyword&gt;Human body -- Mythology&lt;/keyword&gt;&lt;keyword&gt;Symbolism&lt;/keyword&gt;&lt;keyword&gt;Ritual&lt;/keyword&gt;&lt;keyword&gt;Cult&lt;/keyword&gt;&lt;keyword&gt;Cultus&lt;/keyword&gt;&lt;keyword&gt;Liturgies&lt;/keyword&gt;&lt;keyword&gt;Public worship&lt;/keyword&gt;&lt;keyword&gt;Symbolism&lt;/keyword&gt;&lt;keyword&gt;Worship&lt;/keyword&gt;&lt;keyword&gt;Rites and ceremonies&lt;/keyword&gt;&lt;keyword&gt;Ritualism&lt;/keyword&gt;&lt;keyword&gt;Representation, Symbolic&lt;/keyword&gt;&lt;keyword&gt;Symbolic representation&lt;/keyword&gt;&lt;keyword&gt;Mythology&lt;/keyword&gt;&lt;keyword&gt;Emblems&lt;/keyword&gt;&lt;keyword&gt;Signs and symbols&lt;/keyword&gt;&lt;keyword&gt;Body, Human (in religion, folk-lore, etc.)&lt;/keyword&gt;&lt;keyword&gt;Body, Human (in religion, folk-lore, etc.)&lt;/keyword&gt;&lt;/keywords&gt;&lt;titles&gt;&lt;title&gt;Natural Symbols: Explorations in Cosmology&lt;/title&gt;&lt;/titles&gt;&lt;contributors&gt;&lt;authors&gt;&lt;author&gt;Douglas, Mary&lt;/author&gt;&lt;/authors&gt;&lt;/contributors&gt;&lt;added-date format="utc"&gt;1531832707&lt;/added-date&gt;&lt;pub-location&gt;London&lt;/pub-location&gt;&lt;ref-type name="Book"&gt;6&lt;/ref-type&gt;&lt;dates&gt;&lt;year&gt;1996&lt;/year&gt;&lt;/dates&gt;&lt;rec-number&gt;7611&lt;/rec-number&gt;&lt;publisher&gt;Routledge&lt;/publisher&gt;&lt;last-updated-date format="utc"&gt;1531832758&lt;/last-updated-date&gt;&lt;/record&gt;&lt;/Cite&gt;&lt;/EndNote&gt;</w:instrText>
      </w:r>
      <w:r w:rsidRPr="00D06473">
        <w:rPr>
          <w:sz w:val="24"/>
          <w:szCs w:val="24"/>
        </w:rPr>
        <w:fldChar w:fldCharType="separate"/>
      </w:r>
      <w:r w:rsidRPr="00D06473">
        <w:rPr>
          <w:noProof/>
          <w:sz w:val="24"/>
          <w:szCs w:val="24"/>
          <w:lang w:eastAsia="ko-KR"/>
        </w:rPr>
        <w:t>(Douglas, 1996, p. 55)</w:t>
      </w:r>
      <w:r w:rsidRPr="00D06473">
        <w:rPr>
          <w:sz w:val="24"/>
          <w:szCs w:val="24"/>
        </w:rPr>
        <w:fldChar w:fldCharType="end"/>
      </w:r>
      <w:r w:rsidR="009B3A64">
        <w:rPr>
          <w:sz w:val="24"/>
          <w:szCs w:val="24"/>
        </w:rPr>
        <w:t xml:space="preserve">. </w:t>
      </w:r>
      <w:r w:rsidR="00660DB7">
        <w:rPr>
          <w:sz w:val="24"/>
          <w:szCs w:val="24"/>
        </w:rPr>
        <w:t xml:space="preserve">In other words, more powerfully bounded categories or groups have greater </w:t>
      </w:r>
      <w:r w:rsidR="00BF10A5">
        <w:rPr>
          <w:sz w:val="24"/>
          <w:szCs w:val="24"/>
        </w:rPr>
        <w:t>power over their boundaries and more regulatory</w:t>
      </w:r>
      <w:r w:rsidR="00660DB7">
        <w:rPr>
          <w:sz w:val="24"/>
          <w:szCs w:val="24"/>
        </w:rPr>
        <w:t xml:space="preserve"> control over their boundary transactions. </w:t>
      </w:r>
      <w:r w:rsidR="00A059EE">
        <w:rPr>
          <w:sz w:val="24"/>
          <w:szCs w:val="24"/>
        </w:rPr>
        <w:t>This means that</w:t>
      </w:r>
      <w:r w:rsidR="00497603">
        <w:rPr>
          <w:sz w:val="24"/>
          <w:szCs w:val="24"/>
        </w:rPr>
        <w:t xml:space="preserve"> m</w:t>
      </w:r>
      <w:r w:rsidR="008541EA">
        <w:rPr>
          <w:sz w:val="24"/>
          <w:szCs w:val="24"/>
        </w:rPr>
        <w:t>ore powerful universities at the top of the</w:t>
      </w:r>
      <w:r w:rsidR="00DF5F78">
        <w:rPr>
          <w:sz w:val="24"/>
          <w:szCs w:val="24"/>
        </w:rPr>
        <w:t xml:space="preserve"> academic “hierarchy” will likely be </w:t>
      </w:r>
      <w:r w:rsidR="00701AEA">
        <w:rPr>
          <w:sz w:val="24"/>
          <w:szCs w:val="24"/>
        </w:rPr>
        <w:t>better able to insulate themselves from</w:t>
      </w:r>
      <w:r w:rsidR="00D30FB0">
        <w:rPr>
          <w:rFonts w:eastAsia="MalgunNew Roman"/>
          <w:sz w:val="24"/>
          <w:szCs w:val="24"/>
        </w:rPr>
        <w:t xml:space="preserve"> </w:t>
      </w:r>
      <w:r w:rsidR="00AD380F">
        <w:rPr>
          <w:rFonts w:eastAsia="MalgunNew Roman"/>
          <w:sz w:val="24"/>
          <w:szCs w:val="24"/>
        </w:rPr>
        <w:t>“</w:t>
      </w:r>
      <w:r w:rsidR="00D30FB0">
        <w:rPr>
          <w:rFonts w:eastAsia="MalgunNew Roman"/>
          <w:sz w:val="24"/>
          <w:szCs w:val="24"/>
        </w:rPr>
        <w:t xml:space="preserve">the </w:t>
      </w:r>
      <w:r w:rsidR="00D30FB0">
        <w:rPr>
          <w:rFonts w:eastAsia="MalgunNew Roman"/>
          <w:i/>
          <w:sz w:val="24"/>
          <w:szCs w:val="24"/>
        </w:rPr>
        <w:t>exigencies of the market</w:t>
      </w:r>
      <w:r w:rsidR="00D30FB0">
        <w:rPr>
          <w:rFonts w:eastAsia="MalgunNew Roman"/>
          <w:sz w:val="24"/>
          <w:szCs w:val="24"/>
        </w:rPr>
        <w:t xml:space="preserve">” (Bernstein, 2000, p. 60, original emphasis). </w:t>
      </w:r>
      <w:r w:rsidR="00E26F9D">
        <w:rPr>
          <w:rFonts w:eastAsia="MalgunNew Roman"/>
          <w:sz w:val="24"/>
          <w:szCs w:val="24"/>
        </w:rPr>
        <w:t xml:space="preserve">Here, </w:t>
      </w:r>
      <w:r w:rsidR="000D456E">
        <w:rPr>
          <w:rFonts w:eastAsia="MalgunNew Roman"/>
          <w:sz w:val="24"/>
          <w:szCs w:val="24"/>
        </w:rPr>
        <w:t>the difference between more and less</w:t>
      </w:r>
      <w:r w:rsidR="00E26F9D">
        <w:rPr>
          <w:rFonts w:eastAsia="MalgunNew Roman"/>
          <w:sz w:val="24"/>
          <w:szCs w:val="24"/>
        </w:rPr>
        <w:t xml:space="preserve"> ‘powerful’ </w:t>
      </w:r>
      <w:r w:rsidR="000D456E">
        <w:rPr>
          <w:rFonts w:eastAsia="MalgunNew Roman"/>
          <w:sz w:val="24"/>
          <w:szCs w:val="24"/>
        </w:rPr>
        <w:t>institutions does not manifest in terms of the extent or frequency of boundary transactions – powerful universities will not tend towards an ‘ivory tower’ position</w:t>
      </w:r>
      <w:r w:rsidR="001524BE">
        <w:rPr>
          <w:rFonts w:eastAsia="MalgunNew Roman"/>
          <w:sz w:val="24"/>
          <w:szCs w:val="24"/>
        </w:rPr>
        <w:t xml:space="preserve"> – but rather </w:t>
      </w:r>
      <w:r w:rsidR="000D456E">
        <w:rPr>
          <w:rFonts w:eastAsia="MalgunNew Roman"/>
          <w:sz w:val="24"/>
          <w:szCs w:val="24"/>
        </w:rPr>
        <w:t>in the</w:t>
      </w:r>
      <w:r w:rsidR="00D95A2A">
        <w:rPr>
          <w:rFonts w:eastAsia="MalgunNew Roman"/>
          <w:sz w:val="24"/>
          <w:szCs w:val="24"/>
        </w:rPr>
        <w:t xml:space="preserve"> control over the</w:t>
      </w:r>
      <w:r w:rsidR="000D456E">
        <w:rPr>
          <w:rFonts w:eastAsia="MalgunNew Roman"/>
          <w:sz w:val="24"/>
          <w:szCs w:val="24"/>
        </w:rPr>
        <w:t xml:space="preserve"> boundary transactions</w:t>
      </w:r>
      <w:r w:rsidR="00D95A2A">
        <w:rPr>
          <w:rFonts w:eastAsia="MalgunNew Roman"/>
          <w:sz w:val="24"/>
          <w:szCs w:val="24"/>
        </w:rPr>
        <w:t xml:space="preserve"> engaged with</w:t>
      </w:r>
      <w:r w:rsidR="00BB1B5C">
        <w:rPr>
          <w:rFonts w:eastAsia="MalgunNew Roman"/>
          <w:sz w:val="24"/>
          <w:szCs w:val="24"/>
        </w:rPr>
        <w:t xml:space="preserve">. </w:t>
      </w:r>
      <w:r w:rsidR="007C6E83">
        <w:rPr>
          <w:rFonts w:eastAsia="MalgunNew Roman"/>
          <w:sz w:val="24"/>
          <w:szCs w:val="24"/>
        </w:rPr>
        <w:t>What I mean by this is that m</w:t>
      </w:r>
      <w:r w:rsidR="00BB1B5C">
        <w:rPr>
          <w:rFonts w:eastAsia="MalgunNew Roman"/>
          <w:sz w:val="24"/>
          <w:szCs w:val="24"/>
        </w:rPr>
        <w:t>o</w:t>
      </w:r>
      <w:r w:rsidR="000D456E">
        <w:rPr>
          <w:rFonts w:eastAsia="MalgunNew Roman"/>
          <w:sz w:val="24"/>
          <w:szCs w:val="24"/>
        </w:rPr>
        <w:t xml:space="preserve">re powerful </w:t>
      </w:r>
      <w:r w:rsidR="0000680A">
        <w:rPr>
          <w:rFonts w:eastAsia="MalgunNew Roman"/>
          <w:sz w:val="24"/>
          <w:szCs w:val="24"/>
        </w:rPr>
        <w:t>institutions</w:t>
      </w:r>
      <w:r w:rsidR="00BB1B5C">
        <w:rPr>
          <w:rFonts w:eastAsia="MalgunNew Roman"/>
          <w:sz w:val="24"/>
          <w:szCs w:val="24"/>
        </w:rPr>
        <w:t xml:space="preserve"> will be more </w:t>
      </w:r>
      <w:r w:rsidR="009D6C2D">
        <w:rPr>
          <w:rFonts w:eastAsia="MalgunNew Roman"/>
          <w:sz w:val="24"/>
          <w:szCs w:val="24"/>
        </w:rPr>
        <w:t>able to resist</w:t>
      </w:r>
      <w:r w:rsidR="00BB1B5C">
        <w:rPr>
          <w:rFonts w:eastAsia="MalgunNew Roman"/>
          <w:sz w:val="24"/>
          <w:szCs w:val="24"/>
        </w:rPr>
        <w:t xml:space="preserve"> pressures to engage in boundary transactions which disagree with their own sense of what is appropriate or valuable; they will tend to engage in</w:t>
      </w:r>
      <w:r w:rsidR="000D456E">
        <w:rPr>
          <w:rFonts w:eastAsia="MalgunNew Roman"/>
          <w:sz w:val="24"/>
          <w:szCs w:val="24"/>
        </w:rPr>
        <w:t xml:space="preserve"> boundary transactions </w:t>
      </w:r>
      <w:r w:rsidR="00BB1B5C">
        <w:rPr>
          <w:rFonts w:eastAsia="MalgunNew Roman"/>
          <w:sz w:val="24"/>
          <w:szCs w:val="24"/>
        </w:rPr>
        <w:t>which also allow them to advance their own academic agendas</w:t>
      </w:r>
      <w:r w:rsidR="00F96B04">
        <w:rPr>
          <w:rFonts w:eastAsia="MalgunNew Roman"/>
          <w:sz w:val="24"/>
          <w:szCs w:val="24"/>
        </w:rPr>
        <w:t xml:space="preserve"> and which incur relatively few ‘costs’</w:t>
      </w:r>
      <w:r w:rsidR="007C6E83">
        <w:rPr>
          <w:rFonts w:eastAsia="MalgunNew Roman"/>
          <w:sz w:val="24"/>
          <w:szCs w:val="24"/>
        </w:rPr>
        <w:t>. For example</w:t>
      </w:r>
      <w:r w:rsidR="00C11D3A">
        <w:rPr>
          <w:rFonts w:eastAsia="MalgunNew Roman"/>
          <w:sz w:val="24"/>
          <w:szCs w:val="24"/>
        </w:rPr>
        <w:t>,</w:t>
      </w:r>
      <w:r w:rsidR="007C6E83">
        <w:rPr>
          <w:rFonts w:eastAsia="MalgunNew Roman"/>
          <w:sz w:val="24"/>
          <w:szCs w:val="24"/>
        </w:rPr>
        <w:t xml:space="preserve"> they may focus on those boundary transactions which </w:t>
      </w:r>
      <w:r w:rsidR="00D55C43">
        <w:rPr>
          <w:rFonts w:eastAsia="MalgunNew Roman"/>
          <w:sz w:val="24"/>
          <w:szCs w:val="24"/>
        </w:rPr>
        <w:t xml:space="preserve">can </w:t>
      </w:r>
      <w:r w:rsidR="007C6E83">
        <w:rPr>
          <w:rFonts w:eastAsia="MalgunNew Roman"/>
          <w:sz w:val="24"/>
          <w:szCs w:val="24"/>
        </w:rPr>
        <w:t xml:space="preserve">be accomplished by standard outputs such as </w:t>
      </w:r>
      <w:r w:rsidR="00F15742">
        <w:rPr>
          <w:rFonts w:eastAsia="MalgunNew Roman"/>
          <w:sz w:val="24"/>
          <w:szCs w:val="24"/>
        </w:rPr>
        <w:t xml:space="preserve">journal articles and skilled </w:t>
      </w:r>
      <w:r w:rsidR="007C6E83">
        <w:rPr>
          <w:rFonts w:eastAsia="MalgunNew Roman"/>
          <w:sz w:val="24"/>
          <w:szCs w:val="24"/>
        </w:rPr>
        <w:t>graduates</w:t>
      </w:r>
      <w:r w:rsidR="00F96B04">
        <w:rPr>
          <w:rFonts w:eastAsia="MalgunNew Roman"/>
          <w:sz w:val="24"/>
          <w:szCs w:val="24"/>
        </w:rPr>
        <w:t>.</w:t>
      </w:r>
      <w:r w:rsidR="00273B1D">
        <w:rPr>
          <w:rFonts w:eastAsia="MalgunNew Roman"/>
          <w:sz w:val="24"/>
          <w:szCs w:val="24"/>
        </w:rPr>
        <w:t xml:space="preserve"> By contrast, less powerful universities may engage in boundary transactions which pose greater challenges to their academic identity and values</w:t>
      </w:r>
      <w:r w:rsidR="007C6E83">
        <w:rPr>
          <w:rFonts w:eastAsia="MalgunNew Roman"/>
          <w:sz w:val="24"/>
          <w:szCs w:val="24"/>
        </w:rPr>
        <w:t xml:space="preserve"> and/or which involve transmitting knowledge in new, more user-oriented ways</w:t>
      </w:r>
      <w:r w:rsidR="00273B1D">
        <w:rPr>
          <w:rFonts w:eastAsia="MalgunNew Roman"/>
          <w:sz w:val="24"/>
          <w:szCs w:val="24"/>
        </w:rPr>
        <w:t>.</w:t>
      </w:r>
      <w:r w:rsidR="00F96B04">
        <w:rPr>
          <w:rFonts w:eastAsia="MalgunNew Roman"/>
          <w:sz w:val="24"/>
          <w:szCs w:val="24"/>
        </w:rPr>
        <w:t xml:space="preserve"> </w:t>
      </w:r>
      <w:r w:rsidR="0083563C">
        <w:rPr>
          <w:rFonts w:eastAsia="MalgunNew Roman"/>
          <w:sz w:val="24"/>
          <w:szCs w:val="24"/>
        </w:rPr>
        <w:t>My analysis bears this out</w:t>
      </w:r>
      <w:r w:rsidR="00D55C43">
        <w:rPr>
          <w:rFonts w:eastAsia="MalgunNew Roman"/>
          <w:sz w:val="24"/>
          <w:szCs w:val="24"/>
        </w:rPr>
        <w:t xml:space="preserve"> (see </w:t>
      </w:r>
      <w:r w:rsidR="00D55C43" w:rsidRPr="00E735D5">
        <w:rPr>
          <w:iCs/>
          <w:sz w:val="24"/>
          <w:szCs w:val="24"/>
        </w:rPr>
        <w:fldChar w:fldCharType="begin"/>
      </w:r>
      <w:r w:rsidR="00D55C43" w:rsidRPr="00E735D5">
        <w:rPr>
          <w:iCs/>
          <w:sz w:val="24"/>
          <w:szCs w:val="24"/>
        </w:rPr>
        <w:instrText xml:space="preserve"> REF _Ref8937176 \h  \* MERGEFORMAT </w:instrText>
      </w:r>
      <w:r w:rsidR="00D55C43" w:rsidRPr="00E735D5">
        <w:rPr>
          <w:iCs/>
          <w:sz w:val="24"/>
          <w:szCs w:val="24"/>
        </w:rPr>
      </w:r>
      <w:r w:rsidR="00D55C43" w:rsidRPr="00E735D5">
        <w:rPr>
          <w:iCs/>
          <w:sz w:val="24"/>
          <w:szCs w:val="24"/>
        </w:rPr>
        <w:fldChar w:fldCharType="separate"/>
      </w:r>
      <w:r w:rsidR="0011424E" w:rsidRPr="0011424E">
        <w:rPr>
          <w:sz w:val="24"/>
          <w:szCs w:val="24"/>
        </w:rPr>
        <w:t xml:space="preserve">Table </w:t>
      </w:r>
      <w:r w:rsidR="0011424E" w:rsidRPr="0011424E">
        <w:rPr>
          <w:noProof/>
          <w:sz w:val="24"/>
          <w:szCs w:val="24"/>
        </w:rPr>
        <w:t>37</w:t>
      </w:r>
      <w:r w:rsidR="00D55C43" w:rsidRPr="00E735D5">
        <w:rPr>
          <w:iCs/>
          <w:sz w:val="24"/>
          <w:szCs w:val="24"/>
        </w:rPr>
        <w:fldChar w:fldCharType="end"/>
      </w:r>
      <w:r w:rsidR="00D55C43">
        <w:rPr>
          <w:iCs/>
          <w:sz w:val="24"/>
          <w:szCs w:val="24"/>
        </w:rPr>
        <w:t xml:space="preserve">, p. </w:t>
      </w:r>
      <w:r w:rsidR="00D55C43">
        <w:rPr>
          <w:iCs/>
          <w:sz w:val="24"/>
          <w:szCs w:val="24"/>
        </w:rPr>
        <w:fldChar w:fldCharType="begin"/>
      </w:r>
      <w:r w:rsidR="00D55C43">
        <w:rPr>
          <w:iCs/>
          <w:sz w:val="24"/>
          <w:szCs w:val="24"/>
        </w:rPr>
        <w:instrText xml:space="preserve"> PAGEREF _Ref9077180 \h </w:instrText>
      </w:r>
      <w:r w:rsidR="00D55C43">
        <w:rPr>
          <w:iCs/>
          <w:sz w:val="24"/>
          <w:szCs w:val="24"/>
        </w:rPr>
      </w:r>
      <w:r w:rsidR="00D55C43">
        <w:rPr>
          <w:iCs/>
          <w:sz w:val="24"/>
          <w:szCs w:val="24"/>
        </w:rPr>
        <w:fldChar w:fldCharType="separate"/>
      </w:r>
      <w:r w:rsidR="0011424E">
        <w:rPr>
          <w:iCs/>
          <w:noProof/>
          <w:sz w:val="24"/>
          <w:szCs w:val="24"/>
        </w:rPr>
        <w:t>136</w:t>
      </w:r>
      <w:r w:rsidR="00D55C43">
        <w:rPr>
          <w:iCs/>
          <w:sz w:val="24"/>
          <w:szCs w:val="24"/>
        </w:rPr>
        <w:fldChar w:fldCharType="end"/>
      </w:r>
      <w:r w:rsidR="00D55C43">
        <w:rPr>
          <w:iCs/>
          <w:sz w:val="24"/>
          <w:szCs w:val="24"/>
        </w:rPr>
        <w:t>)</w:t>
      </w:r>
      <w:r w:rsidR="00D55C43">
        <w:rPr>
          <w:rFonts w:eastAsia="MalgunNew Roman"/>
          <w:sz w:val="24"/>
          <w:szCs w:val="24"/>
        </w:rPr>
        <w:t>: the research</w:t>
      </w:r>
      <w:r w:rsidR="0083563C">
        <w:rPr>
          <w:rFonts w:eastAsia="MalgunNew Roman"/>
          <w:sz w:val="24"/>
          <w:szCs w:val="24"/>
        </w:rPr>
        <w:t xml:space="preserve"> sampled from ‘elite’ departmental contexts </w:t>
      </w:r>
      <w:r w:rsidR="00D55C43">
        <w:rPr>
          <w:rFonts w:eastAsia="MalgunNew Roman"/>
          <w:sz w:val="24"/>
          <w:szCs w:val="24"/>
        </w:rPr>
        <w:t>was more</w:t>
      </w:r>
      <w:r w:rsidR="0083563C">
        <w:rPr>
          <w:rFonts w:eastAsia="MalgunNew Roman"/>
          <w:sz w:val="24"/>
          <w:szCs w:val="24"/>
        </w:rPr>
        <w:t xml:space="preserve"> ‘bounded’ </w:t>
      </w:r>
      <w:r w:rsidR="00D55C43">
        <w:rPr>
          <w:rFonts w:eastAsia="MalgunNew Roman"/>
          <w:sz w:val="24"/>
          <w:szCs w:val="24"/>
        </w:rPr>
        <w:t xml:space="preserve">than non-elite </w:t>
      </w:r>
      <w:r w:rsidR="0083563C">
        <w:rPr>
          <w:rFonts w:eastAsia="MalgunNew Roman"/>
          <w:sz w:val="24"/>
          <w:szCs w:val="24"/>
        </w:rPr>
        <w:t>in those aspects of research most central to academia</w:t>
      </w:r>
      <w:r w:rsidR="00471A17">
        <w:rPr>
          <w:rFonts w:eastAsia="MalgunNew Roman"/>
          <w:sz w:val="24"/>
          <w:szCs w:val="24"/>
        </w:rPr>
        <w:t xml:space="preserve">, i.e. the knowledge content and the </w:t>
      </w:r>
      <w:r w:rsidR="00F466E7">
        <w:rPr>
          <w:rFonts w:eastAsia="MalgunNew Roman"/>
          <w:sz w:val="24"/>
          <w:szCs w:val="24"/>
        </w:rPr>
        <w:t>centrality of academic credentials, whereas th</w:t>
      </w:r>
      <w:r w:rsidR="0085334E">
        <w:rPr>
          <w:rFonts w:eastAsia="MalgunNew Roman"/>
          <w:sz w:val="24"/>
          <w:szCs w:val="24"/>
        </w:rPr>
        <w:t>e</w:t>
      </w:r>
      <w:r w:rsidR="00F466E7">
        <w:rPr>
          <w:rFonts w:eastAsia="MalgunNew Roman"/>
          <w:sz w:val="24"/>
          <w:szCs w:val="24"/>
        </w:rPr>
        <w:t xml:space="preserve"> research in non-elite departmental contexts had relatively less control over these aspects of research</w:t>
      </w:r>
      <w:r w:rsidR="00D55C43">
        <w:rPr>
          <w:iCs/>
          <w:sz w:val="24"/>
          <w:szCs w:val="24"/>
        </w:rPr>
        <w:t xml:space="preserve">; </w:t>
      </w:r>
      <w:r w:rsidR="0085334E">
        <w:rPr>
          <w:iCs/>
          <w:sz w:val="24"/>
          <w:szCs w:val="24"/>
        </w:rPr>
        <w:t xml:space="preserve">this ‘boundedness’ in ‘elite’ departments’ research did not constrain the research to narrowly scientific objectives with little external relevance, but if anything led to the opposite, liberating </w:t>
      </w:r>
      <w:r w:rsidR="002C47FD">
        <w:rPr>
          <w:iCs/>
          <w:sz w:val="24"/>
          <w:szCs w:val="24"/>
        </w:rPr>
        <w:t>the research in</w:t>
      </w:r>
      <w:r w:rsidR="0085334E">
        <w:rPr>
          <w:iCs/>
          <w:sz w:val="24"/>
          <w:szCs w:val="24"/>
        </w:rPr>
        <w:t xml:space="preserve"> ‘elite’ departments to </w:t>
      </w:r>
      <w:r w:rsidR="00BE60E1">
        <w:rPr>
          <w:iCs/>
          <w:sz w:val="24"/>
          <w:szCs w:val="24"/>
        </w:rPr>
        <w:t xml:space="preserve">produce outputs which, although low in ‘transaction costs’ </w:t>
      </w:r>
      <w:r w:rsidR="00E23255">
        <w:rPr>
          <w:iCs/>
          <w:sz w:val="24"/>
          <w:szCs w:val="24"/>
        </w:rPr>
        <w:t>were</w:t>
      </w:r>
      <w:r w:rsidR="00FC34C4">
        <w:rPr>
          <w:iCs/>
          <w:sz w:val="24"/>
          <w:szCs w:val="24"/>
        </w:rPr>
        <w:t xml:space="preserve"> </w:t>
      </w:r>
      <w:r w:rsidR="001C2EF6">
        <w:rPr>
          <w:iCs/>
          <w:sz w:val="24"/>
          <w:szCs w:val="24"/>
        </w:rPr>
        <w:t>readi</w:t>
      </w:r>
      <w:r w:rsidR="00FC34C4">
        <w:rPr>
          <w:iCs/>
          <w:sz w:val="24"/>
          <w:szCs w:val="24"/>
        </w:rPr>
        <w:t>ly</w:t>
      </w:r>
      <w:r w:rsidR="00E23255">
        <w:rPr>
          <w:iCs/>
          <w:sz w:val="24"/>
          <w:szCs w:val="24"/>
        </w:rPr>
        <w:t xml:space="preserve"> </w:t>
      </w:r>
      <w:r w:rsidR="00995267">
        <w:rPr>
          <w:iCs/>
          <w:sz w:val="24"/>
          <w:szCs w:val="24"/>
        </w:rPr>
        <w:t>relevant</w:t>
      </w:r>
      <w:r w:rsidR="00FC34C4">
        <w:rPr>
          <w:iCs/>
          <w:sz w:val="24"/>
          <w:szCs w:val="24"/>
        </w:rPr>
        <w:t xml:space="preserve"> to</w:t>
      </w:r>
      <w:r w:rsidR="00995267">
        <w:rPr>
          <w:iCs/>
          <w:sz w:val="24"/>
          <w:szCs w:val="24"/>
        </w:rPr>
        <w:t xml:space="preserve"> and useable by external actors</w:t>
      </w:r>
      <w:r w:rsidR="00D55C43">
        <w:rPr>
          <w:iCs/>
          <w:sz w:val="24"/>
          <w:szCs w:val="24"/>
        </w:rPr>
        <w:t>, while research sampled from</w:t>
      </w:r>
      <w:r w:rsidR="00C852CB">
        <w:rPr>
          <w:iCs/>
          <w:sz w:val="24"/>
          <w:szCs w:val="24"/>
        </w:rPr>
        <w:t xml:space="preserve"> non-elite contexts tended to be more reserved in terms of the extent to which research questions and outputs were oriented towards </w:t>
      </w:r>
      <w:r w:rsidR="00D55C43">
        <w:rPr>
          <w:iCs/>
          <w:sz w:val="24"/>
          <w:szCs w:val="24"/>
        </w:rPr>
        <w:t>specific outcomes; and yet the outputs from ‘elite’ departments more typically took the form of standard academic outputs such as papers and technologies, while ‘non-elite’ departments more frequently produced or engaged in more user-friendly and high-cost transactions</w:t>
      </w:r>
      <w:r w:rsidR="003210CE">
        <w:rPr>
          <w:iCs/>
          <w:sz w:val="24"/>
          <w:szCs w:val="24"/>
        </w:rPr>
        <w:t xml:space="preserve"> such as on-site development and application of research, and engaging directly with non-expert users, including members of the public</w:t>
      </w:r>
      <w:r w:rsidR="00D55C43">
        <w:rPr>
          <w:iCs/>
          <w:sz w:val="24"/>
          <w:szCs w:val="24"/>
        </w:rPr>
        <w:t xml:space="preserve">. </w:t>
      </w:r>
    </w:p>
    <w:p w14:paraId="7D61500B" w14:textId="74199D4C" w:rsidR="002041A5" w:rsidRDefault="00DD024A" w:rsidP="00F80A6B">
      <w:pPr>
        <w:spacing w:after="120" w:line="360" w:lineRule="auto"/>
        <w:rPr>
          <w:sz w:val="24"/>
          <w:szCs w:val="24"/>
        </w:rPr>
      </w:pPr>
      <w:r>
        <w:rPr>
          <w:sz w:val="24"/>
          <w:szCs w:val="24"/>
        </w:rPr>
        <w:t>On th</w:t>
      </w:r>
      <w:r w:rsidR="00651A89">
        <w:rPr>
          <w:sz w:val="24"/>
          <w:szCs w:val="24"/>
        </w:rPr>
        <w:t>e</w:t>
      </w:r>
      <w:r>
        <w:rPr>
          <w:sz w:val="24"/>
          <w:szCs w:val="24"/>
        </w:rPr>
        <w:t xml:space="preserve"> dimension of institutional prestige,</w:t>
      </w:r>
      <w:r w:rsidR="00D536C0">
        <w:rPr>
          <w:sz w:val="24"/>
          <w:szCs w:val="24"/>
        </w:rPr>
        <w:t xml:space="preserve"> then,</w:t>
      </w:r>
      <w:r>
        <w:rPr>
          <w:sz w:val="24"/>
          <w:szCs w:val="24"/>
        </w:rPr>
        <w:t xml:space="preserve"> the analysis </w:t>
      </w:r>
      <w:r w:rsidR="00001D05">
        <w:rPr>
          <w:sz w:val="24"/>
          <w:szCs w:val="24"/>
        </w:rPr>
        <w:t xml:space="preserve">suggests that the </w:t>
      </w:r>
      <w:r w:rsidR="00F81972">
        <w:rPr>
          <w:sz w:val="24"/>
          <w:szCs w:val="24"/>
        </w:rPr>
        <w:t xml:space="preserve">uncertainties </w:t>
      </w:r>
      <w:r w:rsidR="00E5787D">
        <w:rPr>
          <w:sz w:val="24"/>
          <w:szCs w:val="24"/>
        </w:rPr>
        <w:t>and tensions around</w:t>
      </w:r>
      <w:r w:rsidR="003E4173">
        <w:rPr>
          <w:sz w:val="24"/>
          <w:szCs w:val="24"/>
        </w:rPr>
        <w:t xml:space="preserve"> boundary reproduction may be experienced predominantly by less prestigious institutions</w:t>
      </w:r>
      <w:r w:rsidR="008726C8">
        <w:rPr>
          <w:sz w:val="24"/>
          <w:szCs w:val="24"/>
        </w:rPr>
        <w:t xml:space="preserve">; </w:t>
      </w:r>
      <w:r w:rsidR="00BF614C">
        <w:rPr>
          <w:sz w:val="24"/>
          <w:szCs w:val="24"/>
        </w:rPr>
        <w:t>‘</w:t>
      </w:r>
      <w:r w:rsidR="008726C8">
        <w:rPr>
          <w:sz w:val="24"/>
          <w:szCs w:val="24"/>
        </w:rPr>
        <w:t>e</w:t>
      </w:r>
      <w:r w:rsidR="00BF614C">
        <w:rPr>
          <w:sz w:val="24"/>
          <w:szCs w:val="24"/>
        </w:rPr>
        <w:t xml:space="preserve">lite’ departments </w:t>
      </w:r>
      <w:r w:rsidR="008726C8">
        <w:rPr>
          <w:sz w:val="24"/>
          <w:szCs w:val="24"/>
        </w:rPr>
        <w:t xml:space="preserve">are able to </w:t>
      </w:r>
      <w:r w:rsidR="00BF614C">
        <w:rPr>
          <w:sz w:val="24"/>
          <w:szCs w:val="24"/>
        </w:rPr>
        <w:t>exercise</w:t>
      </w:r>
      <w:r w:rsidR="008726C8">
        <w:rPr>
          <w:sz w:val="24"/>
          <w:szCs w:val="24"/>
        </w:rPr>
        <w:t xml:space="preserve"> their</w:t>
      </w:r>
      <w:r w:rsidR="00BF614C">
        <w:rPr>
          <w:sz w:val="24"/>
          <w:szCs w:val="24"/>
        </w:rPr>
        <w:t xml:space="preserve"> power</w:t>
      </w:r>
      <w:r w:rsidR="003225D6">
        <w:rPr>
          <w:sz w:val="24"/>
          <w:szCs w:val="24"/>
        </w:rPr>
        <w:t xml:space="preserve"> by engaging in boundary transactions which </w:t>
      </w:r>
      <w:r w:rsidR="008726C8">
        <w:rPr>
          <w:sz w:val="24"/>
          <w:szCs w:val="24"/>
        </w:rPr>
        <w:t>do</w:t>
      </w:r>
      <w:r w:rsidR="003225D6">
        <w:rPr>
          <w:sz w:val="24"/>
          <w:szCs w:val="24"/>
        </w:rPr>
        <w:t xml:space="preserve"> not challenge their strong ownership and tight control over the knowledge content, </w:t>
      </w:r>
      <w:r w:rsidR="008577AA">
        <w:rPr>
          <w:sz w:val="24"/>
          <w:szCs w:val="24"/>
        </w:rPr>
        <w:t>but which allowed them to enact and reinforce</w:t>
      </w:r>
      <w:r w:rsidR="003225D6">
        <w:rPr>
          <w:sz w:val="24"/>
          <w:szCs w:val="24"/>
        </w:rPr>
        <w:t xml:space="preserve"> their distinctive relation to knowledge</w:t>
      </w:r>
      <w:r w:rsidR="00D53479">
        <w:rPr>
          <w:sz w:val="24"/>
          <w:szCs w:val="24"/>
        </w:rPr>
        <w:t xml:space="preserve">, </w:t>
      </w:r>
      <w:r w:rsidR="003225D6">
        <w:rPr>
          <w:sz w:val="24"/>
          <w:szCs w:val="24"/>
        </w:rPr>
        <w:t xml:space="preserve">i.e. to the ‘transcendental’ </w:t>
      </w:r>
      <w:r w:rsidR="00D53479">
        <w:rPr>
          <w:sz w:val="24"/>
          <w:szCs w:val="24"/>
        </w:rPr>
        <w:t>(</w:t>
      </w:r>
      <w:r w:rsidR="003225D6">
        <w:rPr>
          <w:sz w:val="24"/>
          <w:szCs w:val="24"/>
        </w:rPr>
        <w:t>or the ‘sacred</w:t>
      </w:r>
      <w:r w:rsidR="00D53479">
        <w:rPr>
          <w:sz w:val="24"/>
          <w:szCs w:val="24"/>
        </w:rPr>
        <w:t>’) (</w:t>
      </w:r>
      <w:r w:rsidR="003225D6">
        <w:rPr>
          <w:sz w:val="24"/>
          <w:szCs w:val="24"/>
        </w:rPr>
        <w:t>Bernstein, 2000; Durkheim, 1915)</w:t>
      </w:r>
      <w:r w:rsidR="008726C8">
        <w:rPr>
          <w:sz w:val="24"/>
          <w:szCs w:val="24"/>
        </w:rPr>
        <w:t xml:space="preserve">. </w:t>
      </w:r>
      <w:r w:rsidR="007A2502">
        <w:rPr>
          <w:sz w:val="24"/>
          <w:szCs w:val="24"/>
        </w:rPr>
        <w:t>But w</w:t>
      </w:r>
      <w:r w:rsidR="008726C8">
        <w:rPr>
          <w:sz w:val="24"/>
          <w:szCs w:val="24"/>
        </w:rPr>
        <w:t>hile this</w:t>
      </w:r>
      <w:r w:rsidR="00D8290C">
        <w:rPr>
          <w:sz w:val="24"/>
          <w:szCs w:val="24"/>
        </w:rPr>
        <w:t xml:space="preserve"> description has merit vis-à-vis </w:t>
      </w:r>
      <w:r w:rsidR="00942B06">
        <w:rPr>
          <w:sz w:val="24"/>
          <w:szCs w:val="24"/>
        </w:rPr>
        <w:t>a comparison between</w:t>
      </w:r>
      <w:r w:rsidR="00D8290C">
        <w:rPr>
          <w:sz w:val="24"/>
          <w:szCs w:val="24"/>
        </w:rPr>
        <w:t xml:space="preserve"> </w:t>
      </w:r>
      <w:r w:rsidR="008726C8">
        <w:rPr>
          <w:sz w:val="24"/>
          <w:szCs w:val="24"/>
        </w:rPr>
        <w:t xml:space="preserve">more and less powerful institutional contexts, it obscures other </w:t>
      </w:r>
      <w:r w:rsidR="00A22E9A">
        <w:rPr>
          <w:sz w:val="24"/>
          <w:szCs w:val="24"/>
        </w:rPr>
        <w:t>interplays</w:t>
      </w:r>
      <w:r w:rsidR="008726C8">
        <w:rPr>
          <w:sz w:val="24"/>
          <w:szCs w:val="24"/>
        </w:rPr>
        <w:t xml:space="preserve"> of power</w:t>
      </w:r>
      <w:r w:rsidR="00A22E9A">
        <w:rPr>
          <w:sz w:val="24"/>
          <w:szCs w:val="24"/>
        </w:rPr>
        <w:t xml:space="preserve"> and control</w:t>
      </w:r>
      <w:r w:rsidR="00942B06">
        <w:rPr>
          <w:sz w:val="24"/>
          <w:szCs w:val="24"/>
        </w:rPr>
        <w:t xml:space="preserve"> which operate </w:t>
      </w:r>
      <w:r w:rsidR="00CA073C">
        <w:rPr>
          <w:sz w:val="24"/>
          <w:szCs w:val="24"/>
        </w:rPr>
        <w:t>across all academic contexts</w:t>
      </w:r>
      <w:r w:rsidR="00D53479">
        <w:rPr>
          <w:sz w:val="24"/>
          <w:szCs w:val="24"/>
        </w:rPr>
        <w:t xml:space="preserve"> </w:t>
      </w:r>
      <w:r w:rsidR="00572251">
        <w:rPr>
          <w:sz w:val="24"/>
          <w:szCs w:val="24"/>
        </w:rPr>
        <w:t xml:space="preserve">and instil a </w:t>
      </w:r>
      <w:r w:rsidR="001253C8">
        <w:rPr>
          <w:sz w:val="24"/>
          <w:szCs w:val="24"/>
        </w:rPr>
        <w:t>more general p</w:t>
      </w:r>
      <w:r w:rsidR="000E3998">
        <w:rPr>
          <w:sz w:val="24"/>
          <w:szCs w:val="24"/>
        </w:rPr>
        <w:t>recariousness</w:t>
      </w:r>
      <w:r w:rsidR="00AE3344">
        <w:rPr>
          <w:sz w:val="24"/>
          <w:szCs w:val="24"/>
        </w:rPr>
        <w:t xml:space="preserve">. </w:t>
      </w:r>
    </w:p>
    <w:p w14:paraId="61C83C2C" w14:textId="06FE8B9C" w:rsidR="00645577" w:rsidRPr="00856E59" w:rsidRDefault="00645577" w:rsidP="00645577">
      <w:pPr>
        <w:pStyle w:val="Heading4"/>
      </w:pPr>
      <w:r>
        <w:t xml:space="preserve">External: </w:t>
      </w:r>
      <w:r w:rsidR="001C04D4">
        <w:t>multiple scientific systems</w:t>
      </w:r>
    </w:p>
    <w:p w14:paraId="5A150BC3" w14:textId="7D1A0D03" w:rsidR="00D86890" w:rsidRDefault="003235B0" w:rsidP="00077804">
      <w:pPr>
        <w:spacing w:after="120" w:line="360" w:lineRule="auto"/>
        <w:rPr>
          <w:sz w:val="24"/>
          <w:szCs w:val="24"/>
        </w:rPr>
      </w:pPr>
      <w:r>
        <w:rPr>
          <w:sz w:val="24"/>
          <w:szCs w:val="24"/>
        </w:rPr>
        <w:t xml:space="preserve">Academia may be the central knowledge </w:t>
      </w:r>
      <w:r w:rsidR="003C754E">
        <w:rPr>
          <w:sz w:val="24"/>
          <w:szCs w:val="24"/>
        </w:rPr>
        <w:t>institution</w:t>
      </w:r>
      <w:r>
        <w:rPr>
          <w:sz w:val="24"/>
          <w:szCs w:val="24"/>
        </w:rPr>
        <w:t xml:space="preserve"> in society, but it does not hold a monopoly over </w:t>
      </w:r>
      <w:r w:rsidR="00D43B64">
        <w:rPr>
          <w:sz w:val="24"/>
          <w:szCs w:val="24"/>
        </w:rPr>
        <w:t>the production, conduct or direction of scien</w:t>
      </w:r>
      <w:r w:rsidR="00C60E66">
        <w:rPr>
          <w:sz w:val="24"/>
          <w:szCs w:val="24"/>
        </w:rPr>
        <w:t>ce</w:t>
      </w:r>
      <w:r w:rsidR="00B47DB7">
        <w:rPr>
          <w:sz w:val="24"/>
          <w:szCs w:val="24"/>
        </w:rPr>
        <w:t xml:space="preserve"> </w:t>
      </w:r>
      <w:r w:rsidR="00B47DB7">
        <w:rPr>
          <w:sz w:val="24"/>
          <w:szCs w:val="24"/>
        </w:rPr>
        <w:fldChar w:fldCharType="begin"/>
      </w:r>
      <w:r w:rsidR="00B47DB7">
        <w:rPr>
          <w:sz w:val="24"/>
          <w:szCs w:val="24"/>
        </w:rPr>
        <w:instrText xml:space="preserve"> ADDIN EN.CITE &lt;EndNote&gt;&lt;Cite&gt;&lt;Author&gt;Brennan&lt;/Author&gt;&lt;Year&gt;2016&lt;/Year&gt;&lt;IDText&gt;Diversity of Higher Education Institutions in Networked Knowledge Societies: A Comparative Examination&lt;/IDText&gt;&lt;DisplayText&gt;(Brennan et al., 2016)&lt;/DisplayText&gt;&lt;record&gt;&lt;titles&gt;&lt;title&gt;Diversity of Higher Education Institutions in Networked Knowledge Societies: A Comparative Examination&lt;/title&gt;&lt;secondary-title&gt;Re-becoming universities?: higher education institutions in networked knowledge societies&lt;/secondary-title&gt;&lt;/titles&gt;&lt;contributors&gt;&lt;authors&gt;&lt;author&gt;Brennan, John&lt;/author&gt;&lt;author&gt;Papatsiba, Vassiliki&lt;/author&gt;&lt;author&gt;Sousa, Sofia Branco&lt;/author&gt;&lt;author&gt;Hoffman, David&lt;/author&gt;&lt;/authors&gt;&lt;/contributors&gt;&lt;added-date format="utc"&gt;1458844676&lt;/added-date&gt;&lt;pub-location&gt;Dordrecht&lt;/pub-location&gt;&lt;ref-type name="Book Section"&gt;5&lt;/ref-type&gt;&lt;dates&gt;&lt;year&gt;2016&lt;/year&gt;&lt;/dates&gt;&lt;rec-number&gt;323&lt;/rec-number&gt;&lt;publisher&gt;Springer&lt;/publisher&gt;&lt;last-updated-date format="utc"&gt;1560727286&lt;/last-updated-date&gt;&lt;contributors&gt;&lt;secondary-authors&gt;&lt;author&gt;Hoffman, David M.&lt;/author&gt;&lt;author&gt;Välimaa, Jussi&lt;/author&gt;&lt;/secondary-authors&gt;&lt;/contributors&gt;&lt;/record&gt;&lt;/Cite&gt;&lt;/EndNote&gt;</w:instrText>
      </w:r>
      <w:r w:rsidR="00B47DB7">
        <w:rPr>
          <w:sz w:val="24"/>
          <w:szCs w:val="24"/>
        </w:rPr>
        <w:fldChar w:fldCharType="separate"/>
      </w:r>
      <w:r w:rsidR="00B47DB7">
        <w:rPr>
          <w:noProof/>
          <w:sz w:val="24"/>
          <w:szCs w:val="24"/>
        </w:rPr>
        <w:t>(Brennan et al., 2016)</w:t>
      </w:r>
      <w:r w:rsidR="00B47DB7">
        <w:rPr>
          <w:sz w:val="24"/>
          <w:szCs w:val="24"/>
        </w:rPr>
        <w:fldChar w:fldCharType="end"/>
      </w:r>
      <w:r>
        <w:rPr>
          <w:sz w:val="24"/>
          <w:szCs w:val="24"/>
        </w:rPr>
        <w:t xml:space="preserve">. </w:t>
      </w:r>
      <w:r w:rsidR="00F0438B">
        <w:rPr>
          <w:sz w:val="24"/>
          <w:szCs w:val="24"/>
        </w:rPr>
        <w:t xml:space="preserve">When the sampled research </w:t>
      </w:r>
      <w:r w:rsidR="0068649E">
        <w:rPr>
          <w:sz w:val="24"/>
          <w:szCs w:val="24"/>
        </w:rPr>
        <w:t>wa</w:t>
      </w:r>
      <w:r w:rsidR="00F0438B">
        <w:rPr>
          <w:sz w:val="24"/>
          <w:szCs w:val="24"/>
        </w:rPr>
        <w:t xml:space="preserve">s </w:t>
      </w:r>
      <w:r w:rsidR="0068649E">
        <w:rPr>
          <w:sz w:val="24"/>
          <w:szCs w:val="24"/>
        </w:rPr>
        <w:t>analysed</w:t>
      </w:r>
      <w:r w:rsidR="00F0438B">
        <w:rPr>
          <w:sz w:val="24"/>
          <w:szCs w:val="24"/>
        </w:rPr>
        <w:t xml:space="preserve"> from the perspective of research orientation, </w:t>
      </w:r>
      <w:r w:rsidR="00000D12">
        <w:rPr>
          <w:sz w:val="24"/>
          <w:szCs w:val="24"/>
        </w:rPr>
        <w:t>that is, orientation towards use-oriented/applied research or understanding-oriented/basic research,</w:t>
      </w:r>
      <w:r w:rsidR="00F5317E">
        <w:rPr>
          <w:sz w:val="24"/>
          <w:szCs w:val="24"/>
        </w:rPr>
        <w:t xml:space="preserve"> I interpreted variation in terms of </w:t>
      </w:r>
      <w:r w:rsidR="001B0F17">
        <w:rPr>
          <w:sz w:val="24"/>
          <w:szCs w:val="24"/>
        </w:rPr>
        <w:t xml:space="preserve">the way that research in different categories </w:t>
      </w:r>
      <w:r w:rsidR="00077804">
        <w:rPr>
          <w:sz w:val="24"/>
          <w:szCs w:val="24"/>
        </w:rPr>
        <w:t>aligned</w:t>
      </w:r>
      <w:r w:rsidR="001B0F17">
        <w:rPr>
          <w:sz w:val="24"/>
          <w:szCs w:val="24"/>
        </w:rPr>
        <w:t xml:space="preserve"> to different broad knowledge</w:t>
      </w:r>
      <w:r w:rsidR="00077804">
        <w:rPr>
          <w:sz w:val="24"/>
          <w:szCs w:val="24"/>
        </w:rPr>
        <w:t xml:space="preserve"> </w:t>
      </w:r>
      <w:r w:rsidR="001B0F17">
        <w:rPr>
          <w:sz w:val="24"/>
          <w:szCs w:val="24"/>
        </w:rPr>
        <w:t>systems</w:t>
      </w:r>
      <w:r w:rsidR="0084405E">
        <w:rPr>
          <w:sz w:val="24"/>
          <w:szCs w:val="24"/>
        </w:rPr>
        <w:t>.</w:t>
      </w:r>
      <w:r w:rsidR="00077804">
        <w:rPr>
          <w:sz w:val="24"/>
          <w:szCs w:val="24"/>
        </w:rPr>
        <w:t xml:space="preserve"> The research from Basic </w:t>
      </w:r>
      <w:r w:rsidR="00717562">
        <w:rPr>
          <w:sz w:val="24"/>
          <w:szCs w:val="24"/>
        </w:rPr>
        <w:t xml:space="preserve">disciplines </w:t>
      </w:r>
      <w:r w:rsidR="00077804">
        <w:rPr>
          <w:sz w:val="24"/>
          <w:szCs w:val="24"/>
        </w:rPr>
        <w:t>frequently aligned, through technology research and development, to a ‘technoscientific’ system in which large industry and nation states are interested in the power afforded by new technologies which, just as they push back the frontiers of data-collection for scientific purposes, also drive the cutting edge in</w:t>
      </w:r>
      <w:r w:rsidR="00131BD4">
        <w:rPr>
          <w:sz w:val="24"/>
          <w:szCs w:val="24"/>
        </w:rPr>
        <w:t xml:space="preserve"> production for commerce and national security. </w:t>
      </w:r>
      <w:r w:rsidR="00717562">
        <w:rPr>
          <w:sz w:val="24"/>
          <w:szCs w:val="24"/>
        </w:rPr>
        <w:t>Research from Applied disciplines often aligned to a ‘Mode 2’ system which challenge</w:t>
      </w:r>
      <w:r w:rsidR="00A63859">
        <w:rPr>
          <w:sz w:val="24"/>
          <w:szCs w:val="24"/>
        </w:rPr>
        <w:t>s</w:t>
      </w:r>
      <w:r w:rsidR="00717562">
        <w:rPr>
          <w:sz w:val="24"/>
          <w:szCs w:val="24"/>
        </w:rPr>
        <w:t xml:space="preserve"> academia’s preferred mode of conducting science, with a</w:t>
      </w:r>
      <w:r w:rsidR="00AA7208">
        <w:rPr>
          <w:sz w:val="24"/>
          <w:szCs w:val="24"/>
        </w:rPr>
        <w:t xml:space="preserve"> transdisciplinary (as opposed to disciplinary) approach to research focused</w:t>
      </w:r>
      <w:r w:rsidR="00717562">
        <w:rPr>
          <w:sz w:val="24"/>
          <w:szCs w:val="24"/>
        </w:rPr>
        <w:t xml:space="preserve"> on pre-specified outcomes (as opposed to open-ended projects) of localised </w:t>
      </w:r>
      <w:r w:rsidR="00AA7208">
        <w:rPr>
          <w:sz w:val="24"/>
          <w:szCs w:val="24"/>
        </w:rPr>
        <w:t xml:space="preserve">import </w:t>
      </w:r>
      <w:r w:rsidR="00717562">
        <w:rPr>
          <w:sz w:val="24"/>
          <w:szCs w:val="24"/>
        </w:rPr>
        <w:t>(as opposed to general or even universal relevance)</w:t>
      </w:r>
      <w:r w:rsidR="00AA7208">
        <w:rPr>
          <w:sz w:val="24"/>
          <w:szCs w:val="24"/>
        </w:rPr>
        <w:t xml:space="preserve">. </w:t>
      </w:r>
      <w:r w:rsidR="00C153C9">
        <w:rPr>
          <w:sz w:val="24"/>
          <w:szCs w:val="24"/>
        </w:rPr>
        <w:t xml:space="preserve">The way in which I want to develop this discussion here is to </w:t>
      </w:r>
      <w:r w:rsidR="0001349D">
        <w:rPr>
          <w:sz w:val="24"/>
          <w:szCs w:val="24"/>
        </w:rPr>
        <w:t>draw on these findings to note</w:t>
      </w:r>
      <w:r w:rsidR="00C153C9">
        <w:rPr>
          <w:sz w:val="24"/>
          <w:szCs w:val="24"/>
        </w:rPr>
        <w:t xml:space="preserve"> the ways in which academia is systematically </w:t>
      </w:r>
      <w:r w:rsidR="004B2107">
        <w:rPr>
          <w:sz w:val="24"/>
          <w:szCs w:val="24"/>
        </w:rPr>
        <w:t xml:space="preserve">exhibiting </w:t>
      </w:r>
      <w:r w:rsidR="004F6A6D">
        <w:rPr>
          <w:sz w:val="24"/>
          <w:szCs w:val="24"/>
        </w:rPr>
        <w:t xml:space="preserve">an </w:t>
      </w:r>
      <w:r w:rsidR="00474B61" w:rsidRPr="00E707C3">
        <w:rPr>
          <w:sz w:val="24"/>
          <w:szCs w:val="24"/>
        </w:rPr>
        <w:t xml:space="preserve">“orientation ... towards </w:t>
      </w:r>
      <w:r w:rsidR="00474B61">
        <w:rPr>
          <w:sz w:val="24"/>
          <w:szCs w:val="24"/>
        </w:rPr>
        <w:t>...</w:t>
      </w:r>
      <w:r w:rsidR="00474B61" w:rsidRPr="00E707C3">
        <w:rPr>
          <w:sz w:val="24"/>
          <w:szCs w:val="24"/>
        </w:rPr>
        <w:t xml:space="preserve"> external dependency” (</w:t>
      </w:r>
      <w:r w:rsidR="00474B61">
        <w:rPr>
          <w:sz w:val="24"/>
          <w:szCs w:val="24"/>
        </w:rPr>
        <w:t xml:space="preserve">Bernstein, 2000, </w:t>
      </w:r>
      <w:r w:rsidR="00474B61" w:rsidRPr="00E707C3">
        <w:rPr>
          <w:sz w:val="24"/>
          <w:szCs w:val="24"/>
        </w:rPr>
        <w:t>p. 52)</w:t>
      </w:r>
      <w:r w:rsidR="00C153C9">
        <w:rPr>
          <w:sz w:val="24"/>
          <w:szCs w:val="24"/>
        </w:rPr>
        <w:t xml:space="preserve">. </w:t>
      </w:r>
      <w:r w:rsidR="00E829F9">
        <w:rPr>
          <w:sz w:val="24"/>
          <w:szCs w:val="24"/>
        </w:rPr>
        <w:t xml:space="preserve">The point is that not only is there the theoretical necessity for some form of boundary transaction, a necessity to be somewhat </w:t>
      </w:r>
      <w:r w:rsidR="00E829F9" w:rsidRPr="0090009A">
        <w:rPr>
          <w:sz w:val="24"/>
          <w:szCs w:val="24"/>
        </w:rPr>
        <w:t xml:space="preserve">accessible </w:t>
      </w:r>
      <w:r w:rsidR="00E829F9">
        <w:rPr>
          <w:sz w:val="24"/>
          <w:szCs w:val="24"/>
        </w:rPr>
        <w:t xml:space="preserve">and concede some </w:t>
      </w:r>
      <w:r w:rsidR="00E829F9" w:rsidRPr="0090009A">
        <w:rPr>
          <w:sz w:val="24"/>
          <w:szCs w:val="24"/>
        </w:rPr>
        <w:t>control to</w:t>
      </w:r>
      <w:r w:rsidR="00E829F9">
        <w:rPr>
          <w:sz w:val="24"/>
          <w:szCs w:val="24"/>
        </w:rPr>
        <w:t xml:space="preserve"> wider society (Bernstein, 2000; Moore, 2013); but that, empirically, academic research seems to consistently depend on allowing access to and conceding control to </w:t>
      </w:r>
      <w:r w:rsidR="00E829F9" w:rsidRPr="0051338D">
        <w:rPr>
          <w:i/>
          <w:iCs/>
          <w:sz w:val="24"/>
          <w:szCs w:val="24"/>
        </w:rPr>
        <w:t xml:space="preserve">certain </w:t>
      </w:r>
      <w:r w:rsidR="00E829F9">
        <w:rPr>
          <w:sz w:val="24"/>
          <w:szCs w:val="24"/>
        </w:rPr>
        <w:t xml:space="preserve">external groups. </w:t>
      </w:r>
      <w:r w:rsidR="000B5D66">
        <w:rPr>
          <w:sz w:val="24"/>
          <w:szCs w:val="24"/>
        </w:rPr>
        <w:t>Th</w:t>
      </w:r>
      <w:r w:rsidR="00C153C9">
        <w:rPr>
          <w:sz w:val="24"/>
          <w:szCs w:val="24"/>
        </w:rPr>
        <w:t>e technoscientific system primarily operates at the level of industry and governmental powers who shape academic science by investing in and occasionally collaborating in research with academics</w:t>
      </w:r>
      <w:r w:rsidR="0000051D">
        <w:rPr>
          <w:sz w:val="24"/>
          <w:szCs w:val="24"/>
        </w:rPr>
        <w:t>. The</w:t>
      </w:r>
      <w:r w:rsidR="00C153C9">
        <w:rPr>
          <w:sz w:val="24"/>
          <w:szCs w:val="24"/>
        </w:rPr>
        <w:t xml:space="preserve"> ‘mode 2’ knowledge production system may be shaped by a more </w:t>
      </w:r>
      <w:r w:rsidR="00A022A5">
        <w:rPr>
          <w:sz w:val="24"/>
          <w:szCs w:val="24"/>
        </w:rPr>
        <w:t>broadly distributed</w:t>
      </w:r>
      <w:r w:rsidR="00C153C9">
        <w:rPr>
          <w:sz w:val="24"/>
          <w:szCs w:val="24"/>
        </w:rPr>
        <w:t xml:space="preserve"> base of private interests, but is nonetheless dependent on knowledge-intensive commerce, as well as governmental innovation policies. </w:t>
      </w:r>
    </w:p>
    <w:p w14:paraId="7CFA1759" w14:textId="4A8A5FE5" w:rsidR="00E707C3" w:rsidRDefault="000A69D5" w:rsidP="00965FAE">
      <w:pPr>
        <w:spacing w:after="120" w:line="360" w:lineRule="auto"/>
        <w:rPr>
          <w:sz w:val="24"/>
          <w:szCs w:val="24"/>
        </w:rPr>
      </w:pPr>
      <w:r>
        <w:rPr>
          <w:sz w:val="24"/>
          <w:szCs w:val="24"/>
        </w:rPr>
        <w:t>For Moore (2013</w:t>
      </w:r>
      <w:r w:rsidR="00794422">
        <w:rPr>
          <w:sz w:val="24"/>
          <w:szCs w:val="24"/>
        </w:rPr>
        <w:t xml:space="preserve">, </w:t>
      </w:r>
      <w:r w:rsidR="00AE041A">
        <w:rPr>
          <w:sz w:val="24"/>
          <w:szCs w:val="24"/>
        </w:rPr>
        <w:t>p. 80</w:t>
      </w:r>
      <w:r>
        <w:rPr>
          <w:sz w:val="24"/>
          <w:szCs w:val="24"/>
        </w:rPr>
        <w:t>), the importance of th</w:t>
      </w:r>
      <w:r w:rsidR="00000772">
        <w:rPr>
          <w:sz w:val="24"/>
          <w:szCs w:val="24"/>
        </w:rPr>
        <w:t>is</w:t>
      </w:r>
      <w:r>
        <w:rPr>
          <w:sz w:val="24"/>
          <w:szCs w:val="24"/>
        </w:rPr>
        <w:t xml:space="preserve"> issue</w:t>
      </w:r>
      <w:r w:rsidR="00000772">
        <w:rPr>
          <w:sz w:val="24"/>
          <w:szCs w:val="24"/>
        </w:rPr>
        <w:t>, that</w:t>
      </w:r>
      <w:r>
        <w:rPr>
          <w:sz w:val="24"/>
          <w:szCs w:val="24"/>
        </w:rPr>
        <w:t xml:space="preserve"> of </w:t>
      </w:r>
      <w:r>
        <w:rPr>
          <w:i/>
          <w:iCs/>
          <w:sz w:val="24"/>
          <w:szCs w:val="24"/>
        </w:rPr>
        <w:t xml:space="preserve">which </w:t>
      </w:r>
      <w:r>
        <w:rPr>
          <w:sz w:val="24"/>
          <w:szCs w:val="24"/>
        </w:rPr>
        <w:t>external group/actors</w:t>
      </w:r>
      <w:r>
        <w:rPr>
          <w:i/>
          <w:iCs/>
          <w:sz w:val="24"/>
          <w:szCs w:val="24"/>
        </w:rPr>
        <w:t xml:space="preserve"> </w:t>
      </w:r>
      <w:r>
        <w:rPr>
          <w:sz w:val="24"/>
          <w:szCs w:val="24"/>
        </w:rPr>
        <w:t>get access to bounded categories</w:t>
      </w:r>
      <w:r w:rsidR="00000772">
        <w:rPr>
          <w:sz w:val="24"/>
          <w:szCs w:val="24"/>
        </w:rPr>
        <w:t>,</w:t>
      </w:r>
      <w:r>
        <w:rPr>
          <w:sz w:val="24"/>
          <w:szCs w:val="24"/>
        </w:rPr>
        <w:t xml:space="preserve"> is a key sociological implication of Bernstein’s theory</w:t>
      </w:r>
      <w:r w:rsidR="00794422">
        <w:rPr>
          <w:sz w:val="24"/>
          <w:szCs w:val="24"/>
        </w:rPr>
        <w:t>.</w:t>
      </w:r>
      <w:r w:rsidR="00D86890">
        <w:rPr>
          <w:sz w:val="24"/>
          <w:szCs w:val="24"/>
        </w:rPr>
        <w:t xml:space="preserve"> According to my analysis it is best to think in terms of two coalitions of interest in controlling science, with the </w:t>
      </w:r>
      <w:r w:rsidR="00E829F9">
        <w:rPr>
          <w:sz w:val="24"/>
          <w:szCs w:val="24"/>
        </w:rPr>
        <w:t>s</w:t>
      </w:r>
      <w:r w:rsidR="00D86890">
        <w:rPr>
          <w:sz w:val="24"/>
          <w:szCs w:val="24"/>
        </w:rPr>
        <w:t>tate (national governments)</w:t>
      </w:r>
      <w:r w:rsidR="00E829F9">
        <w:rPr>
          <w:sz w:val="24"/>
          <w:szCs w:val="24"/>
        </w:rPr>
        <w:t xml:space="preserve"> important to both.</w:t>
      </w:r>
      <w:r w:rsidR="00D86890">
        <w:rPr>
          <w:sz w:val="24"/>
          <w:szCs w:val="24"/>
        </w:rPr>
        <w:t xml:space="preserve"> One coalition is that around </w:t>
      </w:r>
      <w:r w:rsidR="00965FAE">
        <w:rPr>
          <w:sz w:val="24"/>
          <w:szCs w:val="24"/>
        </w:rPr>
        <w:t xml:space="preserve">science-based technologies as a source of </w:t>
      </w:r>
      <w:r w:rsidR="00B25CC9">
        <w:rPr>
          <w:sz w:val="24"/>
          <w:szCs w:val="24"/>
        </w:rPr>
        <w:t xml:space="preserve">global political and military </w:t>
      </w:r>
      <w:r w:rsidR="00965FAE">
        <w:rPr>
          <w:sz w:val="24"/>
          <w:szCs w:val="24"/>
        </w:rPr>
        <w:t xml:space="preserve">power; the other coalition is that around science and science-based technologies as central to innovation and economic growth. </w:t>
      </w:r>
      <w:r w:rsidR="00002AAD">
        <w:rPr>
          <w:sz w:val="24"/>
          <w:szCs w:val="24"/>
        </w:rPr>
        <w:t>Not only are g</w:t>
      </w:r>
      <w:r w:rsidR="00965FAE">
        <w:rPr>
          <w:sz w:val="24"/>
          <w:szCs w:val="24"/>
        </w:rPr>
        <w:t xml:space="preserve">overnments central to both, </w:t>
      </w:r>
      <w:r w:rsidR="00002AAD">
        <w:rPr>
          <w:sz w:val="24"/>
          <w:szCs w:val="24"/>
        </w:rPr>
        <w:t>but they</w:t>
      </w:r>
      <w:r w:rsidR="00965FAE">
        <w:rPr>
          <w:sz w:val="24"/>
          <w:szCs w:val="24"/>
        </w:rPr>
        <w:t xml:space="preserve"> a</w:t>
      </w:r>
      <w:r w:rsidR="00002AAD">
        <w:rPr>
          <w:sz w:val="24"/>
          <w:szCs w:val="24"/>
        </w:rPr>
        <w:t xml:space="preserve">lso increasingly intervene in </w:t>
      </w:r>
      <w:r w:rsidR="00965FAE">
        <w:rPr>
          <w:sz w:val="24"/>
          <w:szCs w:val="24"/>
        </w:rPr>
        <w:t>the</w:t>
      </w:r>
      <w:r w:rsidR="00002AAD">
        <w:rPr>
          <w:sz w:val="24"/>
          <w:szCs w:val="24"/>
        </w:rPr>
        <w:t xml:space="preserve"> governance</w:t>
      </w:r>
      <w:r w:rsidR="00965FAE">
        <w:rPr>
          <w:sz w:val="24"/>
          <w:szCs w:val="24"/>
        </w:rPr>
        <w:t xml:space="preserve"> </w:t>
      </w:r>
      <w:r w:rsidR="00002AAD">
        <w:rPr>
          <w:sz w:val="24"/>
          <w:szCs w:val="24"/>
        </w:rPr>
        <w:t>architecture of the academic sector</w:t>
      </w:r>
      <w:r w:rsidR="00965FAE">
        <w:rPr>
          <w:sz w:val="24"/>
          <w:szCs w:val="24"/>
        </w:rPr>
        <w:t xml:space="preserve">, for example through performance-based funding allocation systems such as the REF. </w:t>
      </w:r>
      <w:r w:rsidR="00A72AC3">
        <w:rPr>
          <w:sz w:val="24"/>
          <w:szCs w:val="24"/>
        </w:rPr>
        <w:t>This explanatory</w:t>
      </w:r>
      <w:r w:rsidR="0045746F">
        <w:rPr>
          <w:sz w:val="24"/>
          <w:szCs w:val="24"/>
        </w:rPr>
        <w:t xml:space="preserve"> sub-</w:t>
      </w:r>
      <w:r w:rsidR="00A72AC3">
        <w:rPr>
          <w:sz w:val="24"/>
          <w:szCs w:val="24"/>
        </w:rPr>
        <w:t>theme</w:t>
      </w:r>
      <w:r w:rsidR="0045746F">
        <w:rPr>
          <w:sz w:val="24"/>
          <w:szCs w:val="24"/>
        </w:rPr>
        <w:t xml:space="preserve"> therefore highlights that national governments’ own interests and constraints contribute to the nature and culture of the system in which academic research operates. </w:t>
      </w:r>
      <w:r w:rsidR="0092513F">
        <w:rPr>
          <w:sz w:val="24"/>
          <w:szCs w:val="24"/>
        </w:rPr>
        <w:t>Bernstein</w:t>
      </w:r>
      <w:r w:rsidR="0092513F" w:rsidRPr="003E565E">
        <w:rPr>
          <w:sz w:val="24"/>
          <w:szCs w:val="24"/>
        </w:rPr>
        <w:t xml:space="preserve"> </w:t>
      </w:r>
      <w:r w:rsidR="0092513F" w:rsidRPr="003E565E">
        <w:rPr>
          <w:sz w:val="24"/>
          <w:szCs w:val="24"/>
        </w:rPr>
        <w:fldChar w:fldCharType="begin"/>
      </w:r>
      <w:r w:rsidR="0092513F" w:rsidRPr="003E565E">
        <w:rPr>
          <w:sz w:val="24"/>
          <w:szCs w:val="24"/>
        </w:rPr>
        <w:instrText xml:space="preserve"> ADDIN EN.CITE &lt;EndNote&gt;&lt;Cite ExcludeAuth="1"&gt;&lt;Author&gt;Bernstein&lt;/Author&gt;&lt;Year&gt;2000&lt;/Year&gt;&lt;IDText&gt;Pedagogy, symbolic control, and identity: Theory, research, critique&lt;/IDText&gt;&lt;DisplayText&gt;(2000)&lt;/DisplayText&gt;&lt;record&gt;&lt;isbn&gt;084769576X&lt;/isbn&gt;&lt;titles&gt;&lt;title&gt;Pedagogy,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format="utc"&gt;1452707855&lt;/added-date&gt;&lt;pub-location&gt;Oxford&lt;/pub-location&gt;&lt;ref-type name="Book"&gt;6&lt;/ref-type&gt;&lt;dates&gt;&lt;year&gt;2000&lt;/year&gt;&lt;/dates&gt;&lt;rec-number&gt;185&lt;/rec-number&gt;&lt;publisher&gt;Rowman &amp;amp; Littlefield&lt;/publisher&gt;&lt;last-updated-date format="utc"&gt;1477766808&lt;/last-updated-date&gt;&lt;/record&gt;&lt;/Cite&gt;&lt;/EndNote&gt;</w:instrText>
      </w:r>
      <w:r w:rsidR="0092513F" w:rsidRPr="003E565E">
        <w:rPr>
          <w:sz w:val="24"/>
          <w:szCs w:val="24"/>
        </w:rPr>
        <w:fldChar w:fldCharType="separate"/>
      </w:r>
      <w:r w:rsidR="0092513F" w:rsidRPr="003E565E">
        <w:rPr>
          <w:noProof/>
          <w:sz w:val="24"/>
          <w:szCs w:val="24"/>
        </w:rPr>
        <w:t>(2000)</w:t>
      </w:r>
      <w:r w:rsidR="0092513F" w:rsidRPr="003E565E">
        <w:rPr>
          <w:sz w:val="24"/>
          <w:szCs w:val="24"/>
        </w:rPr>
        <w:fldChar w:fldCharType="end"/>
      </w:r>
      <w:r w:rsidR="00C11478">
        <w:rPr>
          <w:sz w:val="24"/>
          <w:szCs w:val="24"/>
        </w:rPr>
        <w:t xml:space="preserve"> writes of a </w:t>
      </w:r>
      <w:r w:rsidR="0092513F">
        <w:rPr>
          <w:sz w:val="24"/>
          <w:szCs w:val="24"/>
        </w:rPr>
        <w:t>“</w:t>
      </w:r>
      <w:r w:rsidR="00CD3595">
        <w:rPr>
          <w:sz w:val="24"/>
          <w:szCs w:val="24"/>
        </w:rPr>
        <w:t>culture ...</w:t>
      </w:r>
      <w:r w:rsidR="00CD3595" w:rsidRPr="00CD3595">
        <w:rPr>
          <w:sz w:val="24"/>
          <w:szCs w:val="24"/>
        </w:rPr>
        <w:t xml:space="preserve"> </w:t>
      </w:r>
      <w:r w:rsidR="00CD3595" w:rsidRPr="003E565E">
        <w:rPr>
          <w:sz w:val="24"/>
          <w:szCs w:val="24"/>
        </w:rPr>
        <w:t>facilitated by the activities of funding agencies, state and private”</w:t>
      </w:r>
      <w:r w:rsidR="000E555B">
        <w:rPr>
          <w:sz w:val="24"/>
          <w:szCs w:val="24"/>
        </w:rPr>
        <w:t xml:space="preserve"> (p. 63), a culture</w:t>
      </w:r>
      <w:r w:rsidR="0092513F">
        <w:rPr>
          <w:sz w:val="24"/>
          <w:szCs w:val="24"/>
        </w:rPr>
        <w:t xml:space="preserve"> which </w:t>
      </w:r>
      <w:r w:rsidR="00D122EF">
        <w:rPr>
          <w:sz w:val="24"/>
          <w:szCs w:val="24"/>
        </w:rPr>
        <w:t xml:space="preserve">predominantly </w:t>
      </w:r>
      <w:r w:rsidR="0092513F">
        <w:rPr>
          <w:sz w:val="24"/>
          <w:szCs w:val="24"/>
        </w:rPr>
        <w:t>favour</w:t>
      </w:r>
      <w:r w:rsidR="00D122EF">
        <w:rPr>
          <w:sz w:val="24"/>
          <w:szCs w:val="24"/>
        </w:rPr>
        <w:t>s</w:t>
      </w:r>
      <w:r w:rsidR="0092513F">
        <w:rPr>
          <w:sz w:val="24"/>
          <w:szCs w:val="24"/>
        </w:rPr>
        <w:t xml:space="preserve"> </w:t>
      </w:r>
      <w:r w:rsidR="0045746F">
        <w:rPr>
          <w:sz w:val="24"/>
          <w:szCs w:val="24"/>
        </w:rPr>
        <w:t xml:space="preserve">and acts selectively upon </w:t>
      </w:r>
      <w:r w:rsidR="00D122EF">
        <w:rPr>
          <w:sz w:val="24"/>
          <w:szCs w:val="24"/>
        </w:rPr>
        <w:t>research</w:t>
      </w:r>
      <w:r w:rsidR="000E555B">
        <w:rPr>
          <w:sz w:val="24"/>
          <w:szCs w:val="24"/>
        </w:rPr>
        <w:t xml:space="preserve"> </w:t>
      </w:r>
      <w:r w:rsidR="0092513F">
        <w:rPr>
          <w:sz w:val="24"/>
          <w:szCs w:val="24"/>
        </w:rPr>
        <w:t xml:space="preserve">that </w:t>
      </w:r>
      <w:r w:rsidR="000C68E7">
        <w:rPr>
          <w:sz w:val="24"/>
          <w:szCs w:val="24"/>
        </w:rPr>
        <w:t xml:space="preserve">can be measured in terms of economic value or contributions to </w:t>
      </w:r>
      <w:r w:rsidR="00D122EF">
        <w:rPr>
          <w:sz w:val="24"/>
          <w:szCs w:val="24"/>
        </w:rPr>
        <w:t>other policy priorities</w:t>
      </w:r>
      <w:r w:rsidR="000C68E7">
        <w:rPr>
          <w:sz w:val="24"/>
          <w:szCs w:val="24"/>
        </w:rPr>
        <w:t xml:space="preserve">. </w:t>
      </w:r>
      <w:r w:rsidR="00C11478">
        <w:rPr>
          <w:sz w:val="24"/>
          <w:szCs w:val="24"/>
        </w:rPr>
        <w:t xml:space="preserve">The late Bernstein was writing specifically of the context of the RAE and would surely have </w:t>
      </w:r>
      <w:r w:rsidR="009E3DFA">
        <w:rPr>
          <w:sz w:val="24"/>
          <w:szCs w:val="24"/>
        </w:rPr>
        <w:t xml:space="preserve">had even greater conviction in his </w:t>
      </w:r>
      <w:r w:rsidR="00C11478">
        <w:rPr>
          <w:sz w:val="24"/>
          <w:szCs w:val="24"/>
        </w:rPr>
        <w:t xml:space="preserve">analysis in light of the addition of ‘impact’ in REF2014. </w:t>
      </w:r>
      <w:r w:rsidR="00F90218">
        <w:rPr>
          <w:sz w:val="24"/>
          <w:szCs w:val="24"/>
        </w:rPr>
        <w:t>These factors – global demands for powerful technologies (‘technoscience’), countless demands for localised knowledge expertise to solve specific problems (‘mode 2’)</w:t>
      </w:r>
      <w:r w:rsidR="0051065C">
        <w:rPr>
          <w:sz w:val="24"/>
          <w:szCs w:val="24"/>
        </w:rPr>
        <w:t>,</w:t>
      </w:r>
      <w:r w:rsidR="00F90218">
        <w:rPr>
          <w:sz w:val="24"/>
          <w:szCs w:val="24"/>
        </w:rPr>
        <w:t xml:space="preserve"> and governments’ demand that national institutions contribute to the governments’ own perceptions of ‘national interest’ – all constitute realities which shape academia and academic boundary transactions, and which transcend the experiences of my sampled research. </w:t>
      </w:r>
    </w:p>
    <w:p w14:paraId="35A8A855" w14:textId="30763DA1" w:rsidR="00BA5892" w:rsidRDefault="00C12471" w:rsidP="00BA5892">
      <w:pPr>
        <w:spacing w:after="120" w:line="360" w:lineRule="auto"/>
        <w:rPr>
          <w:sz w:val="24"/>
          <w:szCs w:val="24"/>
        </w:rPr>
      </w:pPr>
      <w:r>
        <w:rPr>
          <w:sz w:val="24"/>
          <w:szCs w:val="24"/>
        </w:rPr>
        <w:t xml:space="preserve">Etzkowitz and Viale (2010) have summarised the situation for academic boundaries as follows: </w:t>
      </w:r>
      <w:r w:rsidR="0096597A">
        <w:rPr>
          <w:sz w:val="24"/>
          <w:szCs w:val="24"/>
        </w:rPr>
        <w:t>“</w:t>
      </w:r>
      <w:r w:rsidR="0096597A" w:rsidRPr="003E565E">
        <w:rPr>
          <w:sz w:val="24"/>
          <w:szCs w:val="24"/>
        </w:rPr>
        <w:t xml:space="preserve">Bounded entities persist but the boundaries are permeable; with networks and collaborations giving organizations an outward as well as an inward focus. Networking </w:t>
      </w:r>
      <w:r w:rsidR="0096597A" w:rsidRPr="00112A7B">
        <w:rPr>
          <w:sz w:val="24"/>
          <w:szCs w:val="24"/>
        </w:rPr>
        <w:t>and</w:t>
      </w:r>
      <w:r w:rsidR="0096597A" w:rsidRPr="00C12471">
        <w:rPr>
          <w:i/>
          <w:iCs/>
          <w:sz w:val="24"/>
          <w:szCs w:val="24"/>
        </w:rPr>
        <w:t xml:space="preserve"> taking advantage of complementarities supersedes ‘boundary work’, or defence of structures, as an organizational priority</w:t>
      </w:r>
      <w:r>
        <w:rPr>
          <w:sz w:val="24"/>
          <w:szCs w:val="24"/>
        </w:rPr>
        <w:t>”</w:t>
      </w:r>
      <w:r w:rsidR="0096597A" w:rsidRPr="003E565E">
        <w:rPr>
          <w:sz w:val="24"/>
          <w:szCs w:val="24"/>
        </w:rPr>
        <w:t xml:space="preserve"> (p. 602</w:t>
      </w:r>
      <w:r w:rsidR="00361D31">
        <w:rPr>
          <w:sz w:val="24"/>
          <w:szCs w:val="24"/>
        </w:rPr>
        <w:t>, emphasis added</w:t>
      </w:r>
      <w:r w:rsidR="0096597A" w:rsidRPr="003E565E">
        <w:rPr>
          <w:sz w:val="24"/>
          <w:szCs w:val="24"/>
        </w:rPr>
        <w:t>)</w:t>
      </w:r>
      <w:r w:rsidR="00361D31">
        <w:rPr>
          <w:sz w:val="24"/>
          <w:szCs w:val="24"/>
        </w:rPr>
        <w:t xml:space="preserve">. </w:t>
      </w:r>
      <w:r w:rsidR="00717A27">
        <w:rPr>
          <w:sz w:val="24"/>
          <w:szCs w:val="24"/>
        </w:rPr>
        <w:t xml:space="preserve">This </w:t>
      </w:r>
      <w:r w:rsidR="000600F4">
        <w:rPr>
          <w:sz w:val="24"/>
          <w:szCs w:val="24"/>
        </w:rPr>
        <w:t>account emphasises how external powers</w:t>
      </w:r>
      <w:r w:rsidR="0084548B">
        <w:rPr>
          <w:sz w:val="24"/>
          <w:szCs w:val="24"/>
        </w:rPr>
        <w:t>’ knowledge demands</w:t>
      </w:r>
      <w:r w:rsidR="00FC0133">
        <w:rPr>
          <w:sz w:val="24"/>
          <w:szCs w:val="24"/>
        </w:rPr>
        <w:t xml:space="preserve"> present opportunities for</w:t>
      </w:r>
      <w:r w:rsidR="0084548B">
        <w:rPr>
          <w:sz w:val="24"/>
          <w:szCs w:val="24"/>
        </w:rPr>
        <w:t xml:space="preserve"> rather than threats to</w:t>
      </w:r>
      <w:r w:rsidR="00FC0133">
        <w:rPr>
          <w:sz w:val="24"/>
          <w:szCs w:val="24"/>
        </w:rPr>
        <w:t xml:space="preserve"> academia</w:t>
      </w:r>
      <w:r w:rsidR="00624828">
        <w:rPr>
          <w:sz w:val="24"/>
          <w:szCs w:val="24"/>
        </w:rPr>
        <w:t>.</w:t>
      </w:r>
      <w:r w:rsidR="00FC0133">
        <w:rPr>
          <w:sz w:val="24"/>
          <w:szCs w:val="24"/>
        </w:rPr>
        <w:t xml:space="preserve"> As a judgement on the </w:t>
      </w:r>
      <w:r w:rsidR="006F3FB4">
        <w:rPr>
          <w:sz w:val="24"/>
          <w:szCs w:val="24"/>
        </w:rPr>
        <w:t>“paradox” of the “competing logics”</w:t>
      </w:r>
      <w:r w:rsidR="008B7C04">
        <w:rPr>
          <w:sz w:val="24"/>
          <w:szCs w:val="24"/>
        </w:rPr>
        <w:t xml:space="preserve"> of universities</w:t>
      </w:r>
      <w:r w:rsidR="006F3FB4">
        <w:rPr>
          <w:sz w:val="24"/>
          <w:szCs w:val="24"/>
        </w:rPr>
        <w:t xml:space="preserve"> (Shields &amp; Watermeyer, 2018, p. 12), Etzkowitz and Viale’s (2010) account </w:t>
      </w:r>
      <w:r w:rsidR="008B7C04">
        <w:rPr>
          <w:sz w:val="24"/>
          <w:szCs w:val="24"/>
        </w:rPr>
        <w:t xml:space="preserve">reflects one possible perspective, namely </w:t>
      </w:r>
      <w:r w:rsidR="00BA5892">
        <w:rPr>
          <w:sz w:val="24"/>
          <w:szCs w:val="24"/>
        </w:rPr>
        <w:t>that the result</w:t>
      </w:r>
      <w:r w:rsidR="008B7C04">
        <w:rPr>
          <w:sz w:val="24"/>
          <w:szCs w:val="24"/>
        </w:rPr>
        <w:t xml:space="preserve"> of the paradox</w:t>
      </w:r>
      <w:r w:rsidR="00BA5892">
        <w:rPr>
          <w:sz w:val="24"/>
          <w:szCs w:val="24"/>
        </w:rPr>
        <w:t xml:space="preserve"> is a kind of</w:t>
      </w:r>
      <w:r w:rsidR="00BA2AB1">
        <w:rPr>
          <w:sz w:val="24"/>
          <w:szCs w:val="24"/>
        </w:rPr>
        <w:t xml:space="preserve"> </w:t>
      </w:r>
      <w:r w:rsidR="006F3FB4">
        <w:rPr>
          <w:sz w:val="24"/>
          <w:szCs w:val="24"/>
        </w:rPr>
        <w:t>“stability” (Shields &amp; Watermeyer, 2018, p. 12</w:t>
      </w:r>
      <w:r w:rsidR="00BA2AB1">
        <w:rPr>
          <w:sz w:val="24"/>
          <w:szCs w:val="24"/>
        </w:rPr>
        <w:t>)</w:t>
      </w:r>
      <w:r w:rsidR="00624828">
        <w:rPr>
          <w:sz w:val="24"/>
          <w:szCs w:val="24"/>
        </w:rPr>
        <w:t xml:space="preserve">, </w:t>
      </w:r>
      <w:r w:rsidR="0051065C">
        <w:rPr>
          <w:sz w:val="24"/>
          <w:szCs w:val="24"/>
        </w:rPr>
        <w:t>in that</w:t>
      </w:r>
      <w:r w:rsidR="00624828">
        <w:rPr>
          <w:sz w:val="24"/>
          <w:szCs w:val="24"/>
        </w:rPr>
        <w:t xml:space="preserve"> “[b]y ceding some control of their work to external resource providers, faculty members ... </w:t>
      </w:r>
      <w:r w:rsidR="001E3968">
        <w:rPr>
          <w:sz w:val="24"/>
          <w:szCs w:val="24"/>
        </w:rPr>
        <w:t xml:space="preserve">[are able to] </w:t>
      </w:r>
      <w:r w:rsidR="00624828">
        <w:rPr>
          <w:sz w:val="24"/>
          <w:szCs w:val="24"/>
        </w:rPr>
        <w:t xml:space="preserve">insulate themselves” </w:t>
      </w:r>
      <w:r w:rsidR="00624828">
        <w:rPr>
          <w:sz w:val="24"/>
          <w:szCs w:val="24"/>
        </w:rPr>
        <w:fldChar w:fldCharType="begin"/>
      </w:r>
      <w:r w:rsidR="00EF7761">
        <w:rPr>
          <w:sz w:val="24"/>
          <w:szCs w:val="24"/>
        </w:rPr>
        <w:instrText xml:space="preserve"> ADDIN EN.CITE &lt;EndNote&gt;&lt;Cite&gt;&lt;Author&gt;Rosinger&lt;/Author&gt;&lt;Year&gt;2016&lt;/Year&gt;&lt;IDText&gt;Organizational Segmentation and the Prestige Economy: Deprofessionalization in High- and Low-Resource Departments&lt;/IDText&gt;&lt;Pages&gt;45&lt;/Pages&gt;&lt;DisplayText&gt;(Rosinger et al., 2016, p. 45)&lt;/DisplayText&gt;&lt;record&gt;&lt;keywords&gt;&lt;keyword&gt;Article&lt;/keyword&gt;&lt;keyword&gt;Organizational Segmentation&lt;/keyword&gt;&lt;keyword&gt;Faculty Work&lt;/keyword&gt;&lt;keyword&gt;Academic Capitalism&lt;/keyword&gt;&lt;keyword&gt;Professionalization&lt;/keyword&gt;&lt;keyword&gt;Prestige Economy&lt;/keyword&gt;&lt;/keywords&gt;&lt;isbn&gt;0022-1546&lt;/isbn&gt;&lt;titles&gt;&lt;title&gt;Organizational Segmentation and the Prestige Economy: Deprofessionalization in High- and Low-Resource Departments&lt;/title&gt;&lt;secondary-title&gt;The Journal of Higher Education&lt;/secondary-title&gt;&lt;/titles&gt;&lt;pages&gt;27-54&lt;/pages&gt;&lt;number&gt;1&lt;/number&gt;&lt;contributors&gt;&lt;authors&gt;&lt;author&gt;Rosinger, Kelly Ochs&lt;/author&gt;&lt;author&gt;Taylor, Barrett J.&lt;/author&gt;&lt;author&gt;Coco, Lindsay&lt;/author&gt;&lt;author&gt;Slaughter, Sheila&lt;/author&gt;&lt;/authors&gt;&lt;/contributors&gt;&lt;added-date format="utc"&gt;1558010190&lt;/added-date&gt;&lt;ref-type name="Journal Article"&gt;17&lt;/ref-type&gt;&lt;dates&gt;&lt;year&gt;2016&lt;/year&gt;&lt;/dates&gt;&lt;rec-number&gt;7785&lt;/rec-number&gt;&lt;publisher&gt;Taylor &amp;amp; Francis&lt;/publisher&gt;&lt;last-updated-date format="utc"&gt;1558010190&lt;/last-updated-date&gt;&lt;electronic-resource-num&gt;10.1080/00221546.2016.11777393&lt;/electronic-resource-num&gt;&lt;volume&gt;87&lt;/volume&gt;&lt;/record&gt;&lt;/Cite&gt;&lt;/EndNote&gt;</w:instrText>
      </w:r>
      <w:r w:rsidR="00624828">
        <w:rPr>
          <w:sz w:val="24"/>
          <w:szCs w:val="24"/>
        </w:rPr>
        <w:fldChar w:fldCharType="separate"/>
      </w:r>
      <w:r w:rsidR="00EF7761">
        <w:rPr>
          <w:noProof/>
          <w:sz w:val="24"/>
          <w:szCs w:val="24"/>
        </w:rPr>
        <w:t>(Rosinger et al., 2016, p. 45)</w:t>
      </w:r>
      <w:r w:rsidR="00624828">
        <w:rPr>
          <w:sz w:val="24"/>
          <w:szCs w:val="24"/>
        </w:rPr>
        <w:fldChar w:fldCharType="end"/>
      </w:r>
      <w:r w:rsidR="001E3968">
        <w:rPr>
          <w:sz w:val="24"/>
          <w:szCs w:val="24"/>
        </w:rPr>
        <w:t xml:space="preserve">. </w:t>
      </w:r>
    </w:p>
    <w:p w14:paraId="376E1BBB" w14:textId="77777777" w:rsidR="006D0ABC" w:rsidRDefault="005E362C" w:rsidP="00FC2FAB">
      <w:pPr>
        <w:spacing w:after="120" w:line="360" w:lineRule="auto"/>
        <w:rPr>
          <w:sz w:val="24"/>
          <w:szCs w:val="24"/>
        </w:rPr>
      </w:pPr>
      <w:r>
        <w:rPr>
          <w:sz w:val="24"/>
          <w:szCs w:val="24"/>
        </w:rPr>
        <w:t xml:space="preserve">My own evidence does, to an extent, </w:t>
      </w:r>
      <w:r w:rsidR="007075DF">
        <w:rPr>
          <w:sz w:val="24"/>
          <w:szCs w:val="24"/>
        </w:rPr>
        <w:t>align with this view</w:t>
      </w:r>
      <w:r>
        <w:rPr>
          <w:sz w:val="24"/>
          <w:szCs w:val="24"/>
        </w:rPr>
        <w:t xml:space="preserve">. But it </w:t>
      </w:r>
      <w:r w:rsidR="007075DF">
        <w:rPr>
          <w:sz w:val="24"/>
          <w:szCs w:val="24"/>
        </w:rPr>
        <w:t>also finds</w:t>
      </w:r>
      <w:r>
        <w:rPr>
          <w:sz w:val="24"/>
          <w:szCs w:val="24"/>
        </w:rPr>
        <w:t xml:space="preserve"> evidence that the reproduction of any such stability should be considered to be potentially precarious.</w:t>
      </w:r>
      <w:r w:rsidR="00A249AD">
        <w:rPr>
          <w:sz w:val="24"/>
          <w:szCs w:val="24"/>
        </w:rPr>
        <w:t xml:space="preserve"> There</w:t>
      </w:r>
      <w:r w:rsidR="00AB35FB">
        <w:rPr>
          <w:sz w:val="24"/>
          <w:szCs w:val="24"/>
        </w:rPr>
        <w:t xml:space="preserve"> are external </w:t>
      </w:r>
      <w:r w:rsidR="001C4F1A">
        <w:rPr>
          <w:sz w:val="24"/>
          <w:szCs w:val="24"/>
        </w:rPr>
        <w:t>forces</w:t>
      </w:r>
      <w:r w:rsidR="00AB35FB">
        <w:rPr>
          <w:sz w:val="24"/>
          <w:szCs w:val="24"/>
        </w:rPr>
        <w:t xml:space="preserve"> acting upon academic boundary transactions</w:t>
      </w:r>
      <w:r w:rsidR="00A249AD">
        <w:rPr>
          <w:sz w:val="24"/>
          <w:szCs w:val="24"/>
        </w:rPr>
        <w:t xml:space="preserve"> and exerting control upon them. </w:t>
      </w:r>
      <w:r w:rsidR="001C4F1A">
        <w:rPr>
          <w:sz w:val="24"/>
          <w:szCs w:val="24"/>
        </w:rPr>
        <w:t xml:space="preserve">These external forces transcend any given policy or government, and even any given economy or state. </w:t>
      </w:r>
    </w:p>
    <w:p w14:paraId="12DAC20F" w14:textId="226360F0" w:rsidR="00B5109E" w:rsidRPr="003E565E" w:rsidRDefault="00BC1B48" w:rsidP="00FC2FAB">
      <w:pPr>
        <w:spacing w:after="120" w:line="360" w:lineRule="auto"/>
      </w:pPr>
      <w:r>
        <w:rPr>
          <w:sz w:val="24"/>
          <w:szCs w:val="24"/>
        </w:rPr>
        <w:t>True</w:t>
      </w:r>
      <w:r w:rsidR="001C4F1A">
        <w:rPr>
          <w:sz w:val="24"/>
          <w:szCs w:val="24"/>
        </w:rPr>
        <w:t>, my</w:t>
      </w:r>
      <w:r w:rsidR="00A249AD">
        <w:rPr>
          <w:sz w:val="24"/>
          <w:szCs w:val="24"/>
        </w:rPr>
        <w:t xml:space="preserve"> analysis suggests that currently, the effects of these external forces may be being mediated by differential distributions of power within academia, so that</w:t>
      </w:r>
      <w:r w:rsidR="008D6B85">
        <w:rPr>
          <w:sz w:val="24"/>
          <w:szCs w:val="24"/>
        </w:rPr>
        <w:t xml:space="preserve"> powerful institutions feel the effects less strongly</w:t>
      </w:r>
      <w:r w:rsidR="00F96EAA">
        <w:rPr>
          <w:sz w:val="24"/>
          <w:szCs w:val="24"/>
        </w:rPr>
        <w:t>; f</w:t>
      </w:r>
      <w:r w:rsidR="00FC2FAB">
        <w:rPr>
          <w:sz w:val="24"/>
          <w:szCs w:val="24"/>
        </w:rPr>
        <w:t>or as long as traditionally prestigious universities do maintain power and control over their boundaries, there may be a sense of relatively secure reproduction. But to the extent that such powerful institutions depend upon the presence of less powerful universities to receive the brunt of external forces, this may not be a sustainable strategy. I do not find sufficient evidence to close the question on t</w:t>
      </w:r>
      <w:r w:rsidR="008D6B85">
        <w:rPr>
          <w:sz w:val="24"/>
          <w:szCs w:val="24"/>
        </w:rPr>
        <w:t xml:space="preserve">he stability of this situation and the long-term shape and strength of academic boundaries. </w:t>
      </w:r>
    </w:p>
    <w:p w14:paraId="3E0B352E" w14:textId="5D1A3182" w:rsidR="00401569" w:rsidRDefault="002721D6" w:rsidP="003B7EFB">
      <w:pPr>
        <w:pStyle w:val="Heading2"/>
      </w:pPr>
      <w:bookmarkStart w:id="220" w:name="_Toc31701997"/>
      <w:r>
        <w:t>Chapter summary</w:t>
      </w:r>
      <w:bookmarkStart w:id="221" w:name="_Toc536717979"/>
      <w:bookmarkEnd w:id="220"/>
    </w:p>
    <w:p w14:paraId="1F7687D8" w14:textId="296C3825" w:rsidR="000E07C7" w:rsidRDefault="009E7989" w:rsidP="009E7989">
      <w:pPr>
        <w:spacing w:after="120" w:line="360" w:lineRule="auto"/>
        <w:rPr>
          <w:sz w:val="24"/>
          <w:szCs w:val="24"/>
        </w:rPr>
      </w:pPr>
      <w:bookmarkStart w:id="222" w:name="_Toc536717980"/>
      <w:bookmarkEnd w:id="221"/>
      <w:r>
        <w:rPr>
          <w:sz w:val="24"/>
          <w:szCs w:val="24"/>
        </w:rPr>
        <w:t>The four explanatory themes all relate to, but take to a new theoretical level, aspects</w:t>
      </w:r>
      <w:r w:rsidR="000D40FF">
        <w:rPr>
          <w:sz w:val="24"/>
          <w:szCs w:val="24"/>
        </w:rPr>
        <w:t xml:space="preserve"> of</w:t>
      </w:r>
      <w:r>
        <w:rPr>
          <w:sz w:val="24"/>
          <w:szCs w:val="24"/>
        </w:rPr>
        <w:t xml:space="preserve"> the ‘explanatory analysis’ in the final section of the Analysis chapter (Chapter </w:t>
      </w:r>
      <w:r w:rsidR="00984890">
        <w:rPr>
          <w:sz w:val="24"/>
          <w:szCs w:val="24"/>
        </w:rPr>
        <w:t>4</w:t>
      </w:r>
      <w:r>
        <w:rPr>
          <w:sz w:val="24"/>
          <w:szCs w:val="24"/>
        </w:rPr>
        <w:t xml:space="preserve">). In Chapter </w:t>
      </w:r>
      <w:r w:rsidR="00984890">
        <w:rPr>
          <w:sz w:val="24"/>
          <w:szCs w:val="24"/>
        </w:rPr>
        <w:t>4</w:t>
      </w:r>
      <w:r>
        <w:rPr>
          <w:sz w:val="24"/>
          <w:szCs w:val="24"/>
        </w:rPr>
        <w:t xml:space="preserve"> it was necessary to emphasise certain explanatory features in relation to particular contexts. The present chapter is about applying the critical realist (Bhaskar, 1998) framework to elaborate the main explanatory features and to argue that they represent underpinning realities which are always </w:t>
      </w:r>
      <w:r>
        <w:rPr>
          <w:i/>
          <w:sz w:val="24"/>
          <w:szCs w:val="24"/>
        </w:rPr>
        <w:t xml:space="preserve">part </w:t>
      </w:r>
      <w:r>
        <w:rPr>
          <w:sz w:val="24"/>
          <w:szCs w:val="24"/>
        </w:rPr>
        <w:t xml:space="preserve">of the processes shaping academia’s research-related boundary transactions.  </w:t>
      </w:r>
    </w:p>
    <w:p w14:paraId="273BA3D3" w14:textId="270A3FA0" w:rsidR="000818D7" w:rsidRDefault="009E7989" w:rsidP="009E7989">
      <w:pPr>
        <w:spacing w:after="120" w:line="360" w:lineRule="auto"/>
        <w:rPr>
          <w:sz w:val="24"/>
          <w:szCs w:val="24"/>
        </w:rPr>
      </w:pPr>
      <w:r>
        <w:rPr>
          <w:sz w:val="24"/>
          <w:szCs w:val="24"/>
        </w:rPr>
        <w:t xml:space="preserve">For example, the theme of </w:t>
      </w:r>
      <w:r w:rsidR="000E07C7">
        <w:rPr>
          <w:sz w:val="24"/>
          <w:szCs w:val="24"/>
        </w:rPr>
        <w:t xml:space="preserve">the </w:t>
      </w:r>
      <w:r>
        <w:rPr>
          <w:sz w:val="24"/>
          <w:szCs w:val="24"/>
        </w:rPr>
        <w:t>‘</w:t>
      </w:r>
      <w:r w:rsidR="000E07C7">
        <w:rPr>
          <w:sz w:val="24"/>
          <w:szCs w:val="24"/>
        </w:rPr>
        <w:t>education</w:t>
      </w:r>
      <w:r w:rsidR="001E5B6F">
        <w:rPr>
          <w:sz w:val="24"/>
          <w:szCs w:val="24"/>
        </w:rPr>
        <w:t>al</w:t>
      </w:r>
      <w:r w:rsidR="000E07C7">
        <w:rPr>
          <w:sz w:val="24"/>
          <w:szCs w:val="24"/>
        </w:rPr>
        <w:t xml:space="preserve"> function’</w:t>
      </w:r>
      <w:r>
        <w:rPr>
          <w:sz w:val="24"/>
          <w:szCs w:val="24"/>
        </w:rPr>
        <w:t xml:space="preserve"> was found to be most important in explaining </w:t>
      </w:r>
      <w:r w:rsidR="00FD134C">
        <w:rPr>
          <w:sz w:val="24"/>
          <w:szCs w:val="24"/>
        </w:rPr>
        <w:t>how</w:t>
      </w:r>
      <w:r>
        <w:rPr>
          <w:sz w:val="24"/>
          <w:szCs w:val="24"/>
        </w:rPr>
        <w:t xml:space="preserve"> Formal scie</w:t>
      </w:r>
      <w:r w:rsidR="00F64E42">
        <w:rPr>
          <w:sz w:val="24"/>
          <w:szCs w:val="24"/>
        </w:rPr>
        <w:t>ntists were found to experience</w:t>
      </w:r>
      <w:r>
        <w:rPr>
          <w:sz w:val="24"/>
          <w:szCs w:val="24"/>
        </w:rPr>
        <w:t xml:space="preserve"> eased (less ‘costly’) transactions than Life and Natural scientists largely because</w:t>
      </w:r>
      <w:r w:rsidR="00273011">
        <w:rPr>
          <w:sz w:val="24"/>
          <w:szCs w:val="24"/>
        </w:rPr>
        <w:t xml:space="preserve"> Formal scientists’</w:t>
      </w:r>
      <w:r>
        <w:rPr>
          <w:sz w:val="24"/>
          <w:szCs w:val="24"/>
        </w:rPr>
        <w:t xml:space="preserve"> non-academic collaborators often</w:t>
      </w:r>
      <w:r w:rsidR="000D38AF">
        <w:rPr>
          <w:sz w:val="24"/>
          <w:szCs w:val="24"/>
        </w:rPr>
        <w:t xml:space="preserve"> had doctoral degrees and</w:t>
      </w:r>
      <w:r>
        <w:rPr>
          <w:sz w:val="24"/>
          <w:szCs w:val="24"/>
        </w:rPr>
        <w:t xml:space="preserve"> retained significant academic </w:t>
      </w:r>
      <w:r w:rsidR="00F7538F">
        <w:rPr>
          <w:sz w:val="24"/>
          <w:szCs w:val="24"/>
        </w:rPr>
        <w:t>inclinations and networks, which eased</w:t>
      </w:r>
      <w:r>
        <w:rPr>
          <w:sz w:val="24"/>
          <w:szCs w:val="24"/>
        </w:rPr>
        <w:t xml:space="preserve"> interactions. However, in this chapter I emphasise</w:t>
      </w:r>
      <w:r w:rsidR="00BC1B95">
        <w:rPr>
          <w:sz w:val="24"/>
          <w:szCs w:val="24"/>
        </w:rPr>
        <w:t>d</w:t>
      </w:r>
      <w:r>
        <w:rPr>
          <w:sz w:val="24"/>
          <w:szCs w:val="24"/>
        </w:rPr>
        <w:t xml:space="preserve"> that this is a</w:t>
      </w:r>
      <w:r w:rsidR="004B3F6C">
        <w:rPr>
          <w:sz w:val="24"/>
          <w:szCs w:val="24"/>
        </w:rPr>
        <w:t xml:space="preserve"> </w:t>
      </w:r>
      <w:r>
        <w:rPr>
          <w:sz w:val="24"/>
          <w:szCs w:val="24"/>
        </w:rPr>
        <w:t>broader underpinning reality shaping academia’s</w:t>
      </w:r>
      <w:r w:rsidR="00E573D2">
        <w:rPr>
          <w:sz w:val="24"/>
          <w:szCs w:val="24"/>
        </w:rPr>
        <w:t xml:space="preserve"> research-related</w:t>
      </w:r>
      <w:r>
        <w:rPr>
          <w:sz w:val="24"/>
          <w:szCs w:val="24"/>
        </w:rPr>
        <w:t xml:space="preserve"> boundary transaction</w:t>
      </w:r>
      <w:r w:rsidR="0036104E">
        <w:rPr>
          <w:sz w:val="24"/>
          <w:szCs w:val="24"/>
        </w:rPr>
        <w:t>s.</w:t>
      </w:r>
    </w:p>
    <w:p w14:paraId="2389C68E" w14:textId="5D6DB7D6" w:rsidR="009E7989" w:rsidRDefault="009E7989" w:rsidP="009E7989">
      <w:pPr>
        <w:spacing w:after="120" w:line="360" w:lineRule="auto"/>
        <w:rPr>
          <w:sz w:val="24"/>
          <w:szCs w:val="24"/>
        </w:rPr>
      </w:pPr>
      <w:r>
        <w:rPr>
          <w:sz w:val="24"/>
          <w:szCs w:val="24"/>
        </w:rPr>
        <w:t>Similarly, ‘academic identity’ was found</w:t>
      </w:r>
      <w:r w:rsidR="00D57ADB">
        <w:rPr>
          <w:sz w:val="24"/>
          <w:szCs w:val="24"/>
        </w:rPr>
        <w:t xml:space="preserve"> in Chapter </w:t>
      </w:r>
      <w:r w:rsidR="00984890">
        <w:rPr>
          <w:sz w:val="24"/>
          <w:szCs w:val="24"/>
        </w:rPr>
        <w:t>4</w:t>
      </w:r>
      <w:r>
        <w:rPr>
          <w:sz w:val="24"/>
          <w:szCs w:val="24"/>
        </w:rPr>
        <w:t xml:space="preserve"> to be particularly pertinent </w:t>
      </w:r>
      <w:r w:rsidR="00D57ADB">
        <w:rPr>
          <w:sz w:val="24"/>
          <w:szCs w:val="24"/>
        </w:rPr>
        <w:t>in explanations of the experience of Life scientists, whose sense of academic identity was often an important source of motivation</w:t>
      </w:r>
      <w:r w:rsidR="002C55A8">
        <w:rPr>
          <w:sz w:val="24"/>
          <w:szCs w:val="24"/>
        </w:rPr>
        <w:t xml:space="preserve"> to overcome challenges associated with crossing boundaries into politically contested spaces. Moreover, the perception of ‘academic identity’ as a carrier of credibility held by non-academics emerged as an important factor in their relative success in crossing these difficult boundaries. </w:t>
      </w:r>
      <w:r w:rsidR="00450B7C">
        <w:rPr>
          <w:sz w:val="24"/>
          <w:szCs w:val="24"/>
        </w:rPr>
        <w:t>Again, the point made in the present chapter is that these dynamics are relevant more broadly, albeit that they appeared to come to the fore more prominently in my sampled research from Life sciences.</w:t>
      </w:r>
    </w:p>
    <w:p w14:paraId="014CFC91" w14:textId="69CBC145" w:rsidR="00736CDE" w:rsidRDefault="00A7262E" w:rsidP="00736CDE">
      <w:pPr>
        <w:spacing w:after="120" w:line="360" w:lineRule="auto"/>
        <w:rPr>
          <w:sz w:val="24"/>
          <w:szCs w:val="24"/>
        </w:rPr>
      </w:pPr>
      <w:r>
        <w:rPr>
          <w:sz w:val="24"/>
          <w:szCs w:val="24"/>
        </w:rPr>
        <w:t>T</w:t>
      </w:r>
      <w:r w:rsidR="00736CDE">
        <w:rPr>
          <w:sz w:val="24"/>
          <w:szCs w:val="24"/>
        </w:rPr>
        <w:t>he ‘academic trajectory</w:t>
      </w:r>
      <w:r>
        <w:rPr>
          <w:sz w:val="24"/>
          <w:szCs w:val="24"/>
        </w:rPr>
        <w:t xml:space="preserve">’, </w:t>
      </w:r>
      <w:r w:rsidR="00736CDE">
        <w:rPr>
          <w:sz w:val="24"/>
          <w:szCs w:val="24"/>
        </w:rPr>
        <w:t>where</w:t>
      </w:r>
      <w:r>
        <w:rPr>
          <w:sz w:val="24"/>
          <w:szCs w:val="24"/>
        </w:rPr>
        <w:t>by</w:t>
      </w:r>
      <w:r w:rsidR="00736CDE">
        <w:rPr>
          <w:sz w:val="24"/>
          <w:szCs w:val="24"/>
        </w:rPr>
        <w:t xml:space="preserve"> academia </w:t>
      </w:r>
      <w:r>
        <w:rPr>
          <w:sz w:val="24"/>
          <w:szCs w:val="24"/>
        </w:rPr>
        <w:t>in part</w:t>
      </w:r>
      <w:r w:rsidR="00736CDE">
        <w:rPr>
          <w:sz w:val="24"/>
          <w:szCs w:val="24"/>
        </w:rPr>
        <w:t xml:space="preserve"> reproduce</w:t>
      </w:r>
      <w:r>
        <w:rPr>
          <w:sz w:val="24"/>
          <w:szCs w:val="24"/>
        </w:rPr>
        <w:t xml:space="preserve">s its boundaries </w:t>
      </w:r>
      <w:r w:rsidR="00736CDE">
        <w:rPr>
          <w:sz w:val="24"/>
          <w:szCs w:val="24"/>
        </w:rPr>
        <w:t xml:space="preserve">by internalising </w:t>
      </w:r>
      <w:r>
        <w:rPr>
          <w:sz w:val="24"/>
          <w:szCs w:val="24"/>
        </w:rPr>
        <w:t>real-world issues faced in society into objects of academic, disciplinary knowledge, was most obviously exhibited in my category of</w:t>
      </w:r>
      <w:r w:rsidR="00736CDE">
        <w:rPr>
          <w:sz w:val="24"/>
          <w:szCs w:val="24"/>
        </w:rPr>
        <w:t xml:space="preserve"> Basic/Applied disciplines. </w:t>
      </w:r>
      <w:r w:rsidR="00E078EB">
        <w:rPr>
          <w:sz w:val="24"/>
          <w:szCs w:val="24"/>
        </w:rPr>
        <w:t>However, the tendency towards ‘use-inspired basic’ research (Stokes, 1997), both in my sampled research and</w:t>
      </w:r>
      <w:r w:rsidR="005F00CE">
        <w:rPr>
          <w:sz w:val="24"/>
          <w:szCs w:val="24"/>
        </w:rPr>
        <w:t xml:space="preserve"> in UK academic research</w:t>
      </w:r>
      <w:r w:rsidR="00E078EB">
        <w:rPr>
          <w:sz w:val="24"/>
          <w:szCs w:val="24"/>
        </w:rPr>
        <w:t xml:space="preserve"> more generally (Hughes et al., 2016), highlights that this is a general</w:t>
      </w:r>
      <w:r w:rsidR="0004698D">
        <w:rPr>
          <w:sz w:val="24"/>
          <w:szCs w:val="24"/>
        </w:rPr>
        <w:t xml:space="preserve"> </w:t>
      </w:r>
      <w:r w:rsidR="00BD4F4C">
        <w:rPr>
          <w:sz w:val="24"/>
          <w:szCs w:val="24"/>
        </w:rPr>
        <w:t>process through which boundary transactions serve to simultaneously establish external legitimacy of and reinforce the strength of, academic boundaries</w:t>
      </w:r>
      <w:r w:rsidR="0004698D">
        <w:rPr>
          <w:sz w:val="24"/>
          <w:szCs w:val="24"/>
        </w:rPr>
        <w:t xml:space="preserve"> – and it is perhaps even the most effective mechanism for this process in recent times.</w:t>
      </w:r>
    </w:p>
    <w:p w14:paraId="48C2741E" w14:textId="1DD65F67" w:rsidR="00014294" w:rsidRDefault="00014294" w:rsidP="00736CDE">
      <w:pPr>
        <w:spacing w:after="120" w:line="360" w:lineRule="auto"/>
        <w:rPr>
          <w:sz w:val="24"/>
          <w:szCs w:val="24"/>
        </w:rPr>
      </w:pPr>
      <w:r>
        <w:rPr>
          <w:sz w:val="24"/>
          <w:szCs w:val="24"/>
        </w:rPr>
        <w:t xml:space="preserve">Lastly, the interplay of internal and external sources and forces of ‘power and control’ over academic boundaries and boundary transactions highlights the limits, caveats and ultimately the </w:t>
      </w:r>
      <w:r w:rsidR="000E3998">
        <w:rPr>
          <w:sz w:val="24"/>
          <w:szCs w:val="24"/>
        </w:rPr>
        <w:t>precariousness</w:t>
      </w:r>
      <w:r>
        <w:rPr>
          <w:sz w:val="24"/>
          <w:szCs w:val="24"/>
        </w:rPr>
        <w:t xml:space="preserve"> of these boundary-reproducing mechanisms.</w:t>
      </w:r>
      <w:r w:rsidR="002278F4">
        <w:rPr>
          <w:sz w:val="24"/>
          <w:szCs w:val="24"/>
        </w:rPr>
        <w:t xml:space="preserve"> My analysis suggests that, currently, this </w:t>
      </w:r>
      <w:r w:rsidR="000E3998">
        <w:rPr>
          <w:sz w:val="24"/>
          <w:szCs w:val="24"/>
        </w:rPr>
        <w:t xml:space="preserve">precariousness </w:t>
      </w:r>
      <w:r w:rsidR="002278F4">
        <w:rPr>
          <w:sz w:val="24"/>
          <w:szCs w:val="24"/>
        </w:rPr>
        <w:t>most strongly affects less prestigious institutional contexts in a sector characterised by differentiation of power</w:t>
      </w:r>
      <w:r w:rsidR="00DD7CDE">
        <w:rPr>
          <w:sz w:val="24"/>
          <w:szCs w:val="24"/>
        </w:rPr>
        <w:t xml:space="preserve"> and prestige. </w:t>
      </w:r>
      <w:r w:rsidR="005209A6">
        <w:rPr>
          <w:sz w:val="24"/>
          <w:szCs w:val="24"/>
        </w:rPr>
        <w:t>But it is best understood as a feature which acts upon</w:t>
      </w:r>
      <w:r w:rsidR="006C5D27">
        <w:rPr>
          <w:sz w:val="24"/>
          <w:szCs w:val="24"/>
        </w:rPr>
        <w:t xml:space="preserve"> Western</w:t>
      </w:r>
      <w:r w:rsidR="005209A6">
        <w:rPr>
          <w:sz w:val="24"/>
          <w:szCs w:val="24"/>
        </w:rPr>
        <w:t xml:space="preserve"> society’s relation to scientific knowledge generally, and therefore transcends any particular configuration of policy,</w:t>
      </w:r>
      <w:r w:rsidR="00583771">
        <w:rPr>
          <w:sz w:val="24"/>
          <w:szCs w:val="24"/>
        </w:rPr>
        <w:t xml:space="preserve"> </w:t>
      </w:r>
      <w:r w:rsidR="00813BF3">
        <w:rPr>
          <w:sz w:val="24"/>
          <w:szCs w:val="24"/>
        </w:rPr>
        <w:t xml:space="preserve">economy, ideology (i.e. neoliberalism) </w:t>
      </w:r>
      <w:r w:rsidR="005209A6">
        <w:rPr>
          <w:sz w:val="24"/>
          <w:szCs w:val="24"/>
        </w:rPr>
        <w:t xml:space="preserve">and academic sector. </w:t>
      </w:r>
      <w:r w:rsidR="006604A7">
        <w:rPr>
          <w:sz w:val="24"/>
          <w:szCs w:val="24"/>
        </w:rPr>
        <w:t xml:space="preserve">This presents an element of </w:t>
      </w:r>
      <w:r w:rsidR="000E3998">
        <w:rPr>
          <w:sz w:val="24"/>
          <w:szCs w:val="24"/>
        </w:rPr>
        <w:t>precariousness</w:t>
      </w:r>
      <w:r w:rsidR="006604A7">
        <w:rPr>
          <w:sz w:val="24"/>
          <w:szCs w:val="24"/>
        </w:rPr>
        <w:t xml:space="preserve"> to the whole academic enterprise</w:t>
      </w:r>
      <w:r w:rsidR="00F970AB">
        <w:rPr>
          <w:sz w:val="24"/>
          <w:szCs w:val="24"/>
        </w:rPr>
        <w:t xml:space="preserve"> </w:t>
      </w:r>
      <w:r w:rsidR="006604A7">
        <w:rPr>
          <w:sz w:val="24"/>
          <w:szCs w:val="24"/>
        </w:rPr>
        <w:t>and should not be ignored by universities just because they may feel that they are benefiting from the current configuration.</w:t>
      </w:r>
    </w:p>
    <w:p w14:paraId="643BC3D3" w14:textId="77777777" w:rsidR="008D0348" w:rsidRDefault="008D0348" w:rsidP="00736CDE">
      <w:pPr>
        <w:spacing w:after="120" w:line="360" w:lineRule="auto"/>
        <w:rPr>
          <w:sz w:val="24"/>
          <w:szCs w:val="24"/>
        </w:rPr>
      </w:pPr>
    </w:p>
    <w:p w14:paraId="503C49E3" w14:textId="09F4638A" w:rsidR="00623A7E" w:rsidRDefault="00623A7E" w:rsidP="00EE7906">
      <w:pPr>
        <w:spacing w:after="120" w:line="360" w:lineRule="auto"/>
        <w:rPr>
          <w:rFonts w:asciiTheme="majorHAnsi" w:eastAsiaTheme="majorEastAsia" w:hAnsiTheme="majorHAnsi" w:cstheme="majorBidi"/>
          <w:color w:val="2F5496" w:themeColor="accent1" w:themeShade="BF"/>
          <w:sz w:val="32"/>
          <w:szCs w:val="32"/>
        </w:rPr>
      </w:pPr>
      <w:r>
        <w:br w:type="page"/>
      </w:r>
    </w:p>
    <w:p w14:paraId="0663EB7F" w14:textId="659FAFA8" w:rsidR="000D0F88" w:rsidRDefault="00BB6C0A" w:rsidP="000912DC">
      <w:pPr>
        <w:pStyle w:val="Heading1"/>
        <w:spacing w:before="0"/>
      </w:pPr>
      <w:bookmarkStart w:id="223" w:name="_Toc31701998"/>
      <w:r>
        <w:t xml:space="preserve">Chapter </w:t>
      </w:r>
      <w:r w:rsidR="001B4926">
        <w:t>6</w:t>
      </w:r>
      <w:r>
        <w:t>. Conclusion</w:t>
      </w:r>
      <w:bookmarkEnd w:id="222"/>
      <w:bookmarkEnd w:id="223"/>
      <w:r w:rsidR="007D51A2">
        <w:t xml:space="preserve"> </w:t>
      </w:r>
      <w:r w:rsidR="007068BA">
        <w:t xml:space="preserve">                                                                                                                                                                                                                                                      </w:t>
      </w:r>
    </w:p>
    <w:p w14:paraId="201F6971" w14:textId="18285E27" w:rsidR="00362EEF" w:rsidRDefault="00362EEF" w:rsidP="00057325">
      <w:pPr>
        <w:pStyle w:val="Heading2"/>
        <w:spacing w:before="0"/>
      </w:pPr>
      <w:bookmarkStart w:id="224" w:name="_Toc31701999"/>
      <w:r>
        <w:t>Introduction</w:t>
      </w:r>
      <w:bookmarkEnd w:id="224"/>
    </w:p>
    <w:p w14:paraId="0FC28D90" w14:textId="02C44CF0" w:rsidR="00622248" w:rsidRDefault="000D0F88" w:rsidP="008156EF">
      <w:pPr>
        <w:pStyle w:val="NormalWeb"/>
        <w:spacing w:before="120" w:beforeAutospacing="0" w:after="120" w:afterAutospacing="0" w:line="360" w:lineRule="auto"/>
        <w:rPr>
          <w:i/>
          <w:iCs/>
        </w:rPr>
      </w:pPr>
      <w:r w:rsidRPr="009B42CD">
        <w:rPr>
          <w:color w:val="000000" w:themeColor="text1"/>
        </w:rPr>
        <w:t xml:space="preserve">This chapter </w:t>
      </w:r>
      <w:r w:rsidR="00251D11" w:rsidRPr="009B42CD">
        <w:rPr>
          <w:color w:val="000000" w:themeColor="text1"/>
        </w:rPr>
        <w:t xml:space="preserve">summarises the key findings </w:t>
      </w:r>
      <w:r w:rsidR="00E27F17">
        <w:rPr>
          <w:color w:val="000000" w:themeColor="text1"/>
        </w:rPr>
        <w:t xml:space="preserve">and contributions </w:t>
      </w:r>
      <w:r w:rsidR="00251D11" w:rsidRPr="009B42CD">
        <w:rPr>
          <w:color w:val="000000" w:themeColor="text1"/>
        </w:rPr>
        <w:t>of my research and highlight</w:t>
      </w:r>
      <w:r w:rsidR="006965B1" w:rsidRPr="009B42CD">
        <w:rPr>
          <w:color w:val="000000" w:themeColor="text1"/>
        </w:rPr>
        <w:t>s</w:t>
      </w:r>
      <w:r w:rsidR="00251D11" w:rsidRPr="009B42CD">
        <w:rPr>
          <w:color w:val="000000" w:themeColor="text1"/>
        </w:rPr>
        <w:t xml:space="preserve"> </w:t>
      </w:r>
      <w:r w:rsidR="00E27F17">
        <w:rPr>
          <w:color w:val="000000" w:themeColor="text1"/>
        </w:rPr>
        <w:t>the</w:t>
      </w:r>
      <w:r w:rsidR="00251D11" w:rsidRPr="009B42CD">
        <w:rPr>
          <w:color w:val="000000" w:themeColor="text1"/>
        </w:rPr>
        <w:t xml:space="preserve"> </w:t>
      </w:r>
      <w:r w:rsidR="00A4193C" w:rsidRPr="009B42CD">
        <w:rPr>
          <w:color w:val="000000" w:themeColor="text1"/>
        </w:rPr>
        <w:t>implications</w:t>
      </w:r>
      <w:r w:rsidR="00251D11" w:rsidRPr="009B42CD">
        <w:rPr>
          <w:color w:val="000000" w:themeColor="text1"/>
        </w:rPr>
        <w:t xml:space="preserve"> </w:t>
      </w:r>
      <w:r w:rsidR="00096A0B">
        <w:rPr>
          <w:color w:val="000000" w:themeColor="text1"/>
        </w:rPr>
        <w:t>for theory and policy</w:t>
      </w:r>
      <w:r w:rsidR="00A749C4" w:rsidRPr="009B42CD">
        <w:rPr>
          <w:color w:val="000000" w:themeColor="text1"/>
        </w:rPr>
        <w:t xml:space="preserve">, particularly in relation to </w:t>
      </w:r>
      <w:r w:rsidR="006965B1" w:rsidRPr="009B42CD">
        <w:rPr>
          <w:color w:val="000000" w:themeColor="text1"/>
        </w:rPr>
        <w:t xml:space="preserve">my aim of bringing empirical evidence to bear on </w:t>
      </w:r>
      <w:r w:rsidR="00A749C4" w:rsidRPr="009B42CD">
        <w:rPr>
          <w:color w:val="000000" w:themeColor="text1"/>
        </w:rPr>
        <w:t>analytical and normative debates on the</w:t>
      </w:r>
      <w:r w:rsidR="00043BEB">
        <w:rPr>
          <w:color w:val="000000" w:themeColor="text1"/>
        </w:rPr>
        <w:t xml:space="preserve"> extent to which universities are</w:t>
      </w:r>
      <w:r w:rsidR="00A749C4" w:rsidRPr="009B42CD">
        <w:rPr>
          <w:color w:val="000000" w:themeColor="text1"/>
        </w:rPr>
        <w:t xml:space="preserve"> and should </w:t>
      </w:r>
      <w:r w:rsidR="00354A9B">
        <w:rPr>
          <w:color w:val="000000" w:themeColor="text1"/>
        </w:rPr>
        <w:t xml:space="preserve">be ‘weakening’ or ‘maintaining’ their ‘boundaries’. </w:t>
      </w:r>
      <w:r w:rsidR="006965B1" w:rsidRPr="009B42CD">
        <w:rPr>
          <w:color w:val="000000" w:themeColor="text1"/>
        </w:rPr>
        <w:t xml:space="preserve">With this aim in mind, I formulated </w:t>
      </w:r>
      <w:r w:rsidR="00DE4827" w:rsidRPr="009B42CD">
        <w:rPr>
          <w:color w:val="000000" w:themeColor="text1"/>
        </w:rPr>
        <w:t>research question</w:t>
      </w:r>
      <w:r w:rsidR="00A749C4" w:rsidRPr="009B42CD">
        <w:rPr>
          <w:color w:val="000000" w:themeColor="text1"/>
        </w:rPr>
        <w:t>s</w:t>
      </w:r>
      <w:r w:rsidR="00B21513" w:rsidRPr="009B42CD">
        <w:rPr>
          <w:color w:val="000000" w:themeColor="text1"/>
        </w:rPr>
        <w:t xml:space="preserve"> </w:t>
      </w:r>
      <w:r w:rsidR="006965B1" w:rsidRPr="009B42CD">
        <w:rPr>
          <w:color w:val="000000" w:themeColor="text1"/>
        </w:rPr>
        <w:t>which focused empirically on the context of UK academic STEMM research</w:t>
      </w:r>
      <w:r w:rsidR="002C333B" w:rsidRPr="009B42CD">
        <w:rPr>
          <w:color w:val="000000" w:themeColor="text1"/>
        </w:rPr>
        <w:t xml:space="preserve"> through the lens of the metaphor of academic </w:t>
      </w:r>
      <w:r w:rsidR="00FA0CA2" w:rsidRPr="009B42CD">
        <w:rPr>
          <w:color w:val="000000" w:themeColor="text1"/>
        </w:rPr>
        <w:t>‘</w:t>
      </w:r>
      <w:r w:rsidR="002C333B" w:rsidRPr="009B42CD">
        <w:rPr>
          <w:color w:val="000000" w:themeColor="text1"/>
        </w:rPr>
        <w:t>boundaries</w:t>
      </w:r>
      <w:r w:rsidR="00FA0CA2" w:rsidRPr="009B42CD">
        <w:rPr>
          <w:color w:val="000000" w:themeColor="text1"/>
        </w:rPr>
        <w:t>’</w:t>
      </w:r>
      <w:r w:rsidR="00A749C4" w:rsidRPr="009B42CD">
        <w:rPr>
          <w:color w:val="000000" w:themeColor="text1"/>
        </w:rPr>
        <w:t xml:space="preserve">, a construct inspired by the sociology of Basil Bernstein. </w:t>
      </w:r>
      <w:r w:rsidR="00B21513" w:rsidRPr="009B42CD">
        <w:rPr>
          <w:color w:val="000000" w:themeColor="text1"/>
        </w:rPr>
        <w:t xml:space="preserve">The </w:t>
      </w:r>
      <w:r w:rsidR="000C2D44">
        <w:rPr>
          <w:color w:val="000000" w:themeColor="text1"/>
        </w:rPr>
        <w:t>overarching</w:t>
      </w:r>
      <w:r w:rsidR="00F35A44">
        <w:rPr>
          <w:color w:val="000000" w:themeColor="text1"/>
        </w:rPr>
        <w:t xml:space="preserve"> question and sub-</w:t>
      </w:r>
      <w:r w:rsidR="00B21513" w:rsidRPr="009B42CD">
        <w:rPr>
          <w:color w:val="000000" w:themeColor="text1"/>
        </w:rPr>
        <w:t>questions this study aimed to answer were</w:t>
      </w:r>
      <w:r w:rsidR="00DE4827" w:rsidRPr="009B42CD">
        <w:rPr>
          <w:color w:val="000000" w:themeColor="text1"/>
        </w:rPr>
        <w:t>:</w:t>
      </w:r>
      <w:r w:rsidR="00002F4C" w:rsidRPr="009B42CD">
        <w:rPr>
          <w:i/>
          <w:iCs/>
        </w:rPr>
        <w:t xml:space="preserve"> </w:t>
      </w:r>
    </w:p>
    <w:p w14:paraId="2C4C5EF0" w14:textId="673C4F7E" w:rsidR="008156EF" w:rsidRPr="00B41FC1" w:rsidRDefault="008156EF" w:rsidP="008156EF">
      <w:pPr>
        <w:pStyle w:val="NormalWeb"/>
        <w:spacing w:before="120" w:beforeAutospacing="0" w:after="120" w:afterAutospacing="0" w:line="360" w:lineRule="auto"/>
        <w:rPr>
          <w:i/>
          <w:iCs/>
        </w:rPr>
      </w:pPr>
      <w:r w:rsidRPr="009B42CD">
        <w:rPr>
          <w:i/>
          <w:iCs/>
        </w:rPr>
        <w:t>Wh</w:t>
      </w:r>
      <w:r w:rsidRPr="00B41FC1">
        <w:rPr>
          <w:i/>
          <w:iCs/>
        </w:rPr>
        <w:t>at is the balance of ‘power’ and ‘control’ over the organisation, activities and societal relations associated with ‘high-impact’ academic STEMM research in the REF2014 context?</w:t>
      </w:r>
    </w:p>
    <w:p w14:paraId="08E2F05D" w14:textId="77777777" w:rsidR="008156EF" w:rsidRPr="00B41FC1" w:rsidRDefault="008156EF" w:rsidP="008156EF">
      <w:pPr>
        <w:pStyle w:val="NormalWeb"/>
        <w:spacing w:before="120" w:beforeAutospacing="0" w:after="120" w:afterAutospacing="0" w:line="360" w:lineRule="auto"/>
      </w:pPr>
      <w:r w:rsidRPr="00B41FC1">
        <w:t>Sub-questions:</w:t>
      </w:r>
    </w:p>
    <w:p w14:paraId="052BC4BB" w14:textId="44F06A95" w:rsidR="008156EF" w:rsidRPr="00B41FC1" w:rsidRDefault="008156EF" w:rsidP="00680971">
      <w:pPr>
        <w:pStyle w:val="NormalWeb"/>
        <w:numPr>
          <w:ilvl w:val="0"/>
          <w:numId w:val="13"/>
        </w:numPr>
        <w:spacing w:before="120" w:beforeAutospacing="0" w:after="120" w:afterAutospacing="0" w:line="360" w:lineRule="auto"/>
        <w:rPr>
          <w:i/>
          <w:iCs/>
        </w:rPr>
      </w:pPr>
      <w:r w:rsidRPr="00B41FC1">
        <w:rPr>
          <w:i/>
          <w:iCs/>
        </w:rPr>
        <w:t>What role do different institutional and epistemic contexts play in shaping the balance of ‘power’ and ‘control’</w:t>
      </w:r>
      <w:r w:rsidR="00C41B6A">
        <w:rPr>
          <w:i/>
          <w:iCs/>
        </w:rPr>
        <w:t xml:space="preserve"> over </w:t>
      </w:r>
      <w:r w:rsidR="00A6173A">
        <w:rPr>
          <w:i/>
          <w:iCs/>
        </w:rPr>
        <w:t xml:space="preserve">academic </w:t>
      </w:r>
      <w:r w:rsidR="00C41B6A">
        <w:rPr>
          <w:i/>
          <w:iCs/>
        </w:rPr>
        <w:t>STEMM research</w:t>
      </w:r>
      <w:r w:rsidRPr="00B41FC1">
        <w:rPr>
          <w:i/>
          <w:iCs/>
        </w:rPr>
        <w:t xml:space="preserve">? </w:t>
      </w:r>
    </w:p>
    <w:p w14:paraId="7B26DC19" w14:textId="77777777" w:rsidR="008156EF" w:rsidRPr="00B41FC1" w:rsidRDefault="008156EF" w:rsidP="00680971">
      <w:pPr>
        <w:pStyle w:val="NormalWeb"/>
        <w:numPr>
          <w:ilvl w:val="0"/>
          <w:numId w:val="13"/>
        </w:numPr>
        <w:spacing w:before="120" w:beforeAutospacing="0" w:after="120" w:afterAutospacing="0" w:line="360" w:lineRule="auto"/>
        <w:rPr>
          <w:i/>
          <w:iCs/>
        </w:rPr>
      </w:pPr>
      <w:r w:rsidRPr="00B41FC1">
        <w:rPr>
          <w:i/>
          <w:iCs/>
        </w:rPr>
        <w:t>What are the main forms and functions of ‘boundary transactions’ associated with the sampled academic STEMM research?</w:t>
      </w:r>
    </w:p>
    <w:p w14:paraId="1CD6A4B1" w14:textId="052363A4" w:rsidR="008156EF" w:rsidRPr="00B41FC1" w:rsidRDefault="008156EF" w:rsidP="00680971">
      <w:pPr>
        <w:pStyle w:val="NormalWeb"/>
        <w:numPr>
          <w:ilvl w:val="0"/>
          <w:numId w:val="13"/>
        </w:numPr>
        <w:spacing w:before="0" w:beforeAutospacing="0" w:after="120" w:afterAutospacing="0" w:line="360" w:lineRule="auto"/>
        <w:rPr>
          <w:i/>
          <w:iCs/>
        </w:rPr>
      </w:pPr>
      <w:r w:rsidRPr="00B41FC1">
        <w:rPr>
          <w:i/>
          <w:iCs/>
        </w:rPr>
        <w:t>What are the implications of the balance of ‘power’ and ‘control’ for academic boundaries</w:t>
      </w:r>
      <w:r w:rsidR="003A0AA6">
        <w:rPr>
          <w:i/>
          <w:iCs/>
        </w:rPr>
        <w:t xml:space="preserve"> in the context of the ‘impact agenda’</w:t>
      </w:r>
      <w:r w:rsidRPr="00B41FC1">
        <w:rPr>
          <w:i/>
          <w:iCs/>
        </w:rPr>
        <w:t>?</w:t>
      </w:r>
    </w:p>
    <w:p w14:paraId="03AE0A03" w14:textId="3AA40BE4" w:rsidR="00680971" w:rsidRDefault="00680971" w:rsidP="00EC59C4">
      <w:pPr>
        <w:pStyle w:val="NormalWeb"/>
        <w:spacing w:before="120" w:beforeAutospacing="0" w:after="120" w:afterAutospacing="0" w:line="360" w:lineRule="auto"/>
      </w:pPr>
      <w:r>
        <w:t>Theoretically, these questions are grounded i</w:t>
      </w:r>
      <w:r w:rsidR="000E75EA" w:rsidRPr="006D5D13">
        <w:t xml:space="preserve">n my </w:t>
      </w:r>
      <w:r w:rsidR="00EB360F" w:rsidRPr="006D5D13">
        <w:t xml:space="preserve">Bernsteinian </w:t>
      </w:r>
      <w:r w:rsidR="000E75EA" w:rsidRPr="006D5D13">
        <w:t xml:space="preserve">understanding and use of the </w:t>
      </w:r>
      <w:r>
        <w:t>metaphor of</w:t>
      </w:r>
      <w:r w:rsidR="000E75EA" w:rsidRPr="006D5D13">
        <w:t xml:space="preserve"> ‘boundaries’</w:t>
      </w:r>
      <w:r>
        <w:t xml:space="preserve"> as a lens to study universities’ organisation, activities and relations</w:t>
      </w:r>
      <w:r w:rsidR="005B0C7D">
        <w:t>, alongside his interrelated concepts of ‘power’ and ‘control’</w:t>
      </w:r>
      <w:r>
        <w:t xml:space="preserve">. </w:t>
      </w:r>
      <w:r w:rsidR="00F77446">
        <w:t>‘P</w:t>
      </w:r>
      <w:r w:rsidR="005B0C7D">
        <w:t>ower’ is understood as an institution’s</w:t>
      </w:r>
      <w:r w:rsidR="00354A9B">
        <w:t xml:space="preserve"> or group’s</w:t>
      </w:r>
      <w:r w:rsidR="005B0C7D">
        <w:t xml:space="preserve"> ability to self-define the boundaries within which it has established a distinctive and legitimate authority over some domain of discourse, knowledge, practice or activity, while ‘control’ can be understood in terms of levels of ownership over the forms that boundary transactions take (Bernstein, 2000). </w:t>
      </w:r>
      <w:r w:rsidR="00995A46" w:rsidRPr="005973EC">
        <w:t xml:space="preserve">A ‘boundary’ is </w:t>
      </w:r>
      <w:r w:rsidR="00EB360F" w:rsidRPr="005973EC">
        <w:t>to be u</w:t>
      </w:r>
      <w:r w:rsidR="00FF0D14" w:rsidRPr="005973EC">
        <w:t>nderstood as</w:t>
      </w:r>
      <w:r w:rsidR="001463B8" w:rsidRPr="005973EC">
        <w:t xml:space="preserve"> a</w:t>
      </w:r>
      <w:r w:rsidR="00FF0D14" w:rsidRPr="005973EC">
        <w:t xml:space="preserve"> </w:t>
      </w:r>
      <w:r w:rsidR="00C5435A" w:rsidRPr="005973EC">
        <w:t>device for regulating</w:t>
      </w:r>
      <w:r w:rsidR="00FF0D14" w:rsidRPr="005973EC">
        <w:t xml:space="preserve"> relations </w:t>
      </w:r>
      <w:r w:rsidR="00C5435A" w:rsidRPr="005973EC">
        <w:t xml:space="preserve">and interactions </w:t>
      </w:r>
      <w:r w:rsidR="00FF0D14" w:rsidRPr="005973EC">
        <w:t>between actors</w:t>
      </w:r>
      <w:r w:rsidR="00777D74" w:rsidRPr="005973EC">
        <w:t xml:space="preserve">. </w:t>
      </w:r>
      <w:r w:rsidR="005B0C7D">
        <w:t>B</w:t>
      </w:r>
      <w:r w:rsidR="00FF0D14" w:rsidRPr="005973EC">
        <w:t xml:space="preserve">oundaries are </w:t>
      </w:r>
      <w:r w:rsidR="001262D4" w:rsidRPr="005973EC">
        <w:t>productiv</w:t>
      </w:r>
      <w:r w:rsidR="0013376F" w:rsidRPr="005973EC">
        <w:t>e</w:t>
      </w:r>
      <w:r w:rsidR="009D4786" w:rsidRPr="005973EC">
        <w:t xml:space="preserve"> as well as restrictive</w:t>
      </w:r>
      <w:r w:rsidR="0013376F" w:rsidRPr="005973EC">
        <w:t xml:space="preserve">, in that they </w:t>
      </w:r>
      <w:r w:rsidR="002F7714" w:rsidRPr="005973EC">
        <w:t>can be thought of as</w:t>
      </w:r>
      <w:r w:rsidR="005C757A" w:rsidRPr="005973EC">
        <w:t xml:space="preserve"> institutionalised solutions to </w:t>
      </w:r>
      <w:r w:rsidR="00644E56" w:rsidRPr="005973EC">
        <w:t>social ‘</w:t>
      </w:r>
      <w:r w:rsidR="005C757A" w:rsidRPr="005973EC">
        <w:t>problems</w:t>
      </w:r>
      <w:r w:rsidR="00644E56" w:rsidRPr="005973EC">
        <w:t>’</w:t>
      </w:r>
      <w:r w:rsidR="00C22C12" w:rsidRPr="005973EC">
        <w:t xml:space="preserve"> – for example,</w:t>
      </w:r>
      <w:r w:rsidR="00644E56" w:rsidRPr="005973EC">
        <w:t xml:space="preserve"> the problem </w:t>
      </w:r>
      <w:r w:rsidR="00662CA7" w:rsidRPr="005973EC">
        <w:t>of how academic institutions maintain their status as dist</w:t>
      </w:r>
      <w:r w:rsidR="005C757A" w:rsidRPr="005973EC">
        <w:t>inct, identity-conferring</w:t>
      </w:r>
      <w:r w:rsidR="005A34CA" w:rsidRPr="005973EC">
        <w:t>,</w:t>
      </w:r>
      <w:r w:rsidR="005C757A" w:rsidRPr="005973EC">
        <w:t xml:space="preserve"> knowledge-based institution</w:t>
      </w:r>
      <w:r w:rsidR="00662CA7" w:rsidRPr="005973EC">
        <w:t>s</w:t>
      </w:r>
      <w:r w:rsidR="006E78DE" w:rsidRPr="005973EC">
        <w:t xml:space="preserve"> in the context of the increasing </w:t>
      </w:r>
      <w:r w:rsidR="00F132CB" w:rsidRPr="005973EC">
        <w:t>(</w:t>
      </w:r>
      <w:r w:rsidR="00A53BD3" w:rsidRPr="005973EC">
        <w:t>pressure</w:t>
      </w:r>
      <w:r w:rsidR="006E78DE" w:rsidRPr="005973EC">
        <w:t xml:space="preserve"> to</w:t>
      </w:r>
      <w:r w:rsidR="00F132CB" w:rsidRPr="005973EC">
        <w:t>wards)</w:t>
      </w:r>
      <w:r w:rsidR="006E78DE" w:rsidRPr="005973EC">
        <w:t xml:space="preserve"> engage</w:t>
      </w:r>
      <w:r w:rsidR="00F132CB" w:rsidRPr="005973EC">
        <w:t>ment</w:t>
      </w:r>
      <w:r w:rsidR="006E78DE" w:rsidRPr="005973EC">
        <w:t xml:space="preserve"> with and </w:t>
      </w:r>
      <w:r w:rsidR="00F132CB" w:rsidRPr="005973EC">
        <w:t>guidance from</w:t>
      </w:r>
      <w:r w:rsidR="006E78DE" w:rsidRPr="005973EC">
        <w:t xml:space="preserve"> external </w:t>
      </w:r>
      <w:r w:rsidR="00F132CB" w:rsidRPr="005973EC">
        <w:t>actors</w:t>
      </w:r>
      <w:r w:rsidR="006E78DE" w:rsidRPr="005973EC">
        <w:t xml:space="preserve"> and objectives</w:t>
      </w:r>
      <w:r w:rsidR="004F3B01" w:rsidRPr="005973EC">
        <w:t>.</w:t>
      </w:r>
      <w:r w:rsidR="004E1222" w:rsidRPr="005973EC">
        <w:t xml:space="preserve"> </w:t>
      </w:r>
    </w:p>
    <w:p w14:paraId="1C9120C0" w14:textId="2BCDD9E4" w:rsidR="00EC59C4" w:rsidRDefault="004B20BD" w:rsidP="00EC59C4">
      <w:pPr>
        <w:pStyle w:val="NormalWeb"/>
        <w:spacing w:before="120" w:beforeAutospacing="0" w:after="120" w:afterAutospacing="0" w:line="360" w:lineRule="auto"/>
      </w:pPr>
      <w:r>
        <w:t>‘Boundaries’</w:t>
      </w:r>
      <w:r w:rsidRPr="006D5D13">
        <w:t xml:space="preserve"> reflect</w:t>
      </w:r>
      <w:r>
        <w:t xml:space="preserve"> and aim to preserve ‘power’ (Bernstein, 2000)</w:t>
      </w:r>
      <w:r w:rsidRPr="005973EC">
        <w:t>.</w:t>
      </w:r>
      <w:r>
        <w:t xml:space="preserve"> But n</w:t>
      </w:r>
      <w:r w:rsidR="004E1222" w:rsidRPr="005973EC">
        <w:t>either boundaries, nor the power which they reflect</w:t>
      </w:r>
      <w:r w:rsidR="00954CED">
        <w:t xml:space="preserve"> and pr</w:t>
      </w:r>
      <w:r w:rsidR="00A96268">
        <w:t>eserve</w:t>
      </w:r>
      <w:r w:rsidR="004E1222" w:rsidRPr="005973EC">
        <w:t xml:space="preserve">, </w:t>
      </w:r>
      <w:r w:rsidR="00EE0E21">
        <w:t>are</w:t>
      </w:r>
      <w:r w:rsidR="004E1222" w:rsidRPr="005973EC">
        <w:t xml:space="preserve"> automatically maintained or reproduced</w:t>
      </w:r>
      <w:r w:rsidR="00EE0E21">
        <w:t xml:space="preserve"> simply by virtue of </w:t>
      </w:r>
      <w:r w:rsidR="00954CED">
        <w:t>existing power and boundaries</w:t>
      </w:r>
      <w:r w:rsidR="004E1222" w:rsidRPr="005973EC">
        <w:t>.</w:t>
      </w:r>
      <w:r w:rsidR="00C929A5">
        <w:t xml:space="preserve"> Rather, their renewal and reproduction </w:t>
      </w:r>
      <w:r w:rsidR="00B55D90">
        <w:t>are</w:t>
      </w:r>
      <w:r w:rsidR="00C929A5">
        <w:t xml:space="preserve"> contingent and must take place through</w:t>
      </w:r>
      <w:r w:rsidR="00BA1183">
        <w:t xml:space="preserve"> the operation of</w:t>
      </w:r>
      <w:r w:rsidR="00C929A5">
        <w:t xml:space="preserve"> social mechanisms.</w:t>
      </w:r>
      <w:r w:rsidR="004E1222" w:rsidRPr="005973EC">
        <w:t xml:space="preserve"> </w:t>
      </w:r>
      <w:r w:rsidR="006D5D13" w:rsidRPr="005973EC">
        <w:t xml:space="preserve">One of the mechanisms through which </w:t>
      </w:r>
      <w:r w:rsidR="004E1222" w:rsidRPr="005973EC">
        <w:t xml:space="preserve">they are reproduced </w:t>
      </w:r>
      <w:r w:rsidR="00EC59C4" w:rsidRPr="005973EC">
        <w:t>is via</w:t>
      </w:r>
      <w:r w:rsidR="004E1222" w:rsidRPr="005973EC">
        <w:t xml:space="preserve"> ‘boundary transactions’, whereby something is </w:t>
      </w:r>
      <w:r w:rsidR="004E1222" w:rsidRPr="005973EC">
        <w:rPr>
          <w:i/>
          <w:iCs/>
        </w:rPr>
        <w:t xml:space="preserve">given </w:t>
      </w:r>
      <w:r w:rsidR="004E1222" w:rsidRPr="005973EC">
        <w:t xml:space="preserve">between the bounded entity and wider society (or at least certain sections of it) such that the </w:t>
      </w:r>
      <w:r w:rsidR="00055030">
        <w:t>ongoing ‘</w:t>
      </w:r>
      <w:r w:rsidR="004E1222" w:rsidRPr="005973EC">
        <w:t>boundedness</w:t>
      </w:r>
      <w:r w:rsidR="00055030">
        <w:t>’</w:t>
      </w:r>
      <w:r w:rsidR="004E1222" w:rsidRPr="005973EC">
        <w:t xml:space="preserve"> is legitimised. What makes the focus on boundary transactions so timely and relevant for this study</w:t>
      </w:r>
      <w:r w:rsidR="008F3041" w:rsidRPr="005973EC">
        <w:t xml:space="preserve"> </w:t>
      </w:r>
      <w:r w:rsidR="004E1222" w:rsidRPr="005973EC">
        <w:t xml:space="preserve">is that, as well as being mechanisms through which boundaries are regulated and reproduced, </w:t>
      </w:r>
      <w:r w:rsidR="00643F83" w:rsidRPr="005973EC">
        <w:t>they are simultaneously mechanisms through which boundaries are crossed and potentially weakened.</w:t>
      </w:r>
      <w:r w:rsidR="00A21493">
        <w:t xml:space="preserve"> </w:t>
      </w:r>
      <w:r w:rsidR="0099475B">
        <w:t>The ‘impact agenda’ can be understood as a policy aimed at increasing the intensity and frequency of academia’s boundary transactions. Th</w:t>
      </w:r>
      <w:r w:rsidR="00855DB6">
        <w:t>is raises the</w:t>
      </w:r>
      <w:r w:rsidR="0099475B">
        <w:t xml:space="preserve"> </w:t>
      </w:r>
      <w:r w:rsidR="00855DB6">
        <w:t>issue</w:t>
      </w:r>
      <w:r w:rsidR="0099475B">
        <w:t xml:space="preserve"> </w:t>
      </w:r>
      <w:r w:rsidR="00855DB6">
        <w:t>of</w:t>
      </w:r>
      <w:r w:rsidR="0099475B">
        <w:t xml:space="preserve"> whether the balance of these transactions </w:t>
      </w:r>
      <w:r w:rsidR="00855DB6">
        <w:t xml:space="preserve">tends towards the maintenance and reproduction of academic boundaries, or </w:t>
      </w:r>
      <w:r w:rsidR="00F12F68">
        <w:t>instead towards</w:t>
      </w:r>
      <w:r w:rsidR="00855DB6">
        <w:t xml:space="preserve"> their re-shaping or even weakening. I have tried to operationalise this issue in my research questions</w:t>
      </w:r>
      <w:r w:rsidR="00A97E71">
        <w:t>, where</w:t>
      </w:r>
      <w:r w:rsidR="00514EE3">
        <w:t xml:space="preserve"> ‘control’ refers to control over boundary transactions</w:t>
      </w:r>
      <w:r w:rsidR="007C07E1">
        <w:t xml:space="preserve">; </w:t>
      </w:r>
      <w:r w:rsidR="00945BAD">
        <w:t>the more that academia is able to maintain ‘control’ over its transactions, the more likely</w:t>
      </w:r>
      <w:r w:rsidR="001B3F8E">
        <w:t xml:space="preserve"> it is that these transactions will</w:t>
      </w:r>
      <w:r w:rsidR="00514EE3">
        <w:t xml:space="preserve"> contribute towards the reproduction of academic boundaries</w:t>
      </w:r>
      <w:r w:rsidR="00945BAD">
        <w:t xml:space="preserve"> rather than their</w:t>
      </w:r>
      <w:r w:rsidR="00514EE3">
        <w:t xml:space="preserve"> potential weakening</w:t>
      </w:r>
      <w:r w:rsidR="00700923">
        <w:t xml:space="preserve"> (see further theoretical discussion in Chapter 2)</w:t>
      </w:r>
      <w:r w:rsidR="00514EE3">
        <w:t>.</w:t>
      </w:r>
    </w:p>
    <w:p w14:paraId="4BC19DD1" w14:textId="6863058E" w:rsidR="00D60EFB" w:rsidRDefault="005F7230" w:rsidP="00F566E3">
      <w:pPr>
        <w:tabs>
          <w:tab w:val="left" w:pos="1503"/>
        </w:tabs>
        <w:spacing w:after="120" w:line="360" w:lineRule="auto"/>
        <w:rPr>
          <w:sz w:val="24"/>
          <w:szCs w:val="24"/>
        </w:rPr>
      </w:pPr>
      <w:r>
        <w:rPr>
          <w:sz w:val="24"/>
          <w:szCs w:val="24"/>
        </w:rPr>
        <w:t xml:space="preserve">Empirically, </w:t>
      </w:r>
      <w:r w:rsidR="008F22B3">
        <w:rPr>
          <w:sz w:val="24"/>
          <w:szCs w:val="24"/>
        </w:rPr>
        <w:t>I approached the research by</w:t>
      </w:r>
      <w:r w:rsidR="008F72E3">
        <w:rPr>
          <w:sz w:val="24"/>
          <w:szCs w:val="24"/>
        </w:rPr>
        <w:t xml:space="preserve"> focusing on boundary </w:t>
      </w:r>
      <w:r w:rsidR="007C145B">
        <w:rPr>
          <w:sz w:val="24"/>
          <w:szCs w:val="24"/>
        </w:rPr>
        <w:t xml:space="preserve">transactions associated </w:t>
      </w:r>
      <w:r w:rsidR="008F72E3">
        <w:rPr>
          <w:sz w:val="24"/>
          <w:szCs w:val="24"/>
        </w:rPr>
        <w:t xml:space="preserve">with </w:t>
      </w:r>
      <w:r w:rsidR="00873BA9">
        <w:rPr>
          <w:sz w:val="24"/>
          <w:szCs w:val="24"/>
        </w:rPr>
        <w:t>n=19</w:t>
      </w:r>
      <w:r w:rsidR="008F72E3">
        <w:rPr>
          <w:sz w:val="24"/>
          <w:szCs w:val="24"/>
        </w:rPr>
        <w:t xml:space="preserve"> bodies of research (BoRs) based at ten STEMM departments across </w:t>
      </w:r>
      <w:r w:rsidR="00EC7D41">
        <w:rPr>
          <w:sz w:val="24"/>
          <w:szCs w:val="24"/>
        </w:rPr>
        <w:t xml:space="preserve">nine </w:t>
      </w:r>
      <w:r w:rsidR="008F72E3">
        <w:rPr>
          <w:sz w:val="24"/>
          <w:szCs w:val="24"/>
        </w:rPr>
        <w:t>UK universities</w:t>
      </w:r>
      <w:r w:rsidR="00766FF8">
        <w:rPr>
          <w:sz w:val="24"/>
          <w:szCs w:val="24"/>
        </w:rPr>
        <w:t xml:space="preserve">. </w:t>
      </w:r>
      <w:r w:rsidR="00873BA9">
        <w:rPr>
          <w:sz w:val="24"/>
          <w:szCs w:val="24"/>
        </w:rPr>
        <w:t>These BoRs and departments were purposefully sampled to focus my study on STEMM research covering a range of disciplinary and institutional contexts, but which had all been rec</w:t>
      </w:r>
      <w:r w:rsidR="00ED1920">
        <w:rPr>
          <w:sz w:val="24"/>
          <w:szCs w:val="24"/>
        </w:rPr>
        <w:t>ognised for their</w:t>
      </w:r>
      <w:r w:rsidR="00873BA9">
        <w:rPr>
          <w:sz w:val="24"/>
          <w:szCs w:val="24"/>
        </w:rPr>
        <w:t xml:space="preserve"> ‘impact’ in REF2014.</w:t>
      </w:r>
      <w:r>
        <w:rPr>
          <w:sz w:val="24"/>
          <w:szCs w:val="24"/>
        </w:rPr>
        <w:t xml:space="preserve"> I wanted to identify research recognised for having significant impact because it seemed reasonable to assume that research which achieved significant ‘impact’ would likely have involved many ‘boundary transactions’ of different forms and at different times, and it was important to my research questions that I capture the functioning of</w:t>
      </w:r>
      <w:r w:rsidR="009C64AE">
        <w:rPr>
          <w:sz w:val="24"/>
          <w:szCs w:val="24"/>
        </w:rPr>
        <w:t xml:space="preserve"> a range of</w:t>
      </w:r>
      <w:r>
        <w:rPr>
          <w:sz w:val="24"/>
          <w:szCs w:val="24"/>
        </w:rPr>
        <w:t xml:space="preserve"> boundary transactions in their actual research contexts.</w:t>
      </w:r>
      <w:r w:rsidR="00D23CF4">
        <w:rPr>
          <w:sz w:val="24"/>
          <w:szCs w:val="24"/>
        </w:rPr>
        <w:t xml:space="preserve"> Another reason for focusing on research recognised for its impact was to seek to understand more about the kinds of research and related activities which are privileged and value</w:t>
      </w:r>
      <w:r w:rsidR="00A74A6A">
        <w:rPr>
          <w:sz w:val="24"/>
          <w:szCs w:val="24"/>
        </w:rPr>
        <w:t>d</w:t>
      </w:r>
      <w:r w:rsidR="00D23CF4">
        <w:rPr>
          <w:sz w:val="24"/>
          <w:szCs w:val="24"/>
        </w:rPr>
        <w:t xml:space="preserve"> in the current system.</w:t>
      </w:r>
      <w:r w:rsidR="00873BA9">
        <w:rPr>
          <w:sz w:val="24"/>
          <w:szCs w:val="24"/>
        </w:rPr>
        <w:t xml:space="preserve"> </w:t>
      </w:r>
      <w:r w:rsidR="00766FF8">
        <w:rPr>
          <w:sz w:val="24"/>
          <w:szCs w:val="24"/>
        </w:rPr>
        <w:t xml:space="preserve">My </w:t>
      </w:r>
      <w:r w:rsidR="00873BA9">
        <w:rPr>
          <w:sz w:val="24"/>
          <w:szCs w:val="24"/>
        </w:rPr>
        <w:t xml:space="preserve">main </w:t>
      </w:r>
      <w:r w:rsidR="00766FF8">
        <w:rPr>
          <w:sz w:val="24"/>
          <w:szCs w:val="24"/>
        </w:rPr>
        <w:t>data source</w:t>
      </w:r>
      <w:r w:rsidR="0090503E">
        <w:rPr>
          <w:sz w:val="24"/>
          <w:szCs w:val="24"/>
        </w:rPr>
        <w:t>s</w:t>
      </w:r>
      <w:r w:rsidR="00766FF8">
        <w:rPr>
          <w:sz w:val="24"/>
          <w:szCs w:val="24"/>
        </w:rPr>
        <w:t xml:space="preserve"> </w:t>
      </w:r>
      <w:r w:rsidR="00873BA9">
        <w:rPr>
          <w:sz w:val="24"/>
          <w:szCs w:val="24"/>
        </w:rPr>
        <w:t>were</w:t>
      </w:r>
      <w:r w:rsidR="00C250E9">
        <w:rPr>
          <w:sz w:val="24"/>
          <w:szCs w:val="24"/>
        </w:rPr>
        <w:t xml:space="preserve"> </w:t>
      </w:r>
      <w:r w:rsidR="008F22B3">
        <w:rPr>
          <w:sz w:val="24"/>
          <w:szCs w:val="24"/>
        </w:rPr>
        <w:t>document</w:t>
      </w:r>
      <w:r w:rsidR="00873BA9">
        <w:rPr>
          <w:sz w:val="24"/>
          <w:szCs w:val="24"/>
        </w:rPr>
        <w:t xml:space="preserve">ary materials, including: </w:t>
      </w:r>
      <w:r w:rsidR="00873BA9" w:rsidRPr="00873BA9">
        <w:rPr>
          <w:sz w:val="24"/>
          <w:szCs w:val="24"/>
        </w:rPr>
        <w:t>information about the research and the department submitted to REF2014; outputs from the underpinning research; other information about the research such as grant proposals or press releases; and web pages about the research, the individual researchers or research units involved, as well as web pages related to any non-academic actors involved in the research (for example who were mentioned as playing an important role in the REF2014 documents, or who were acknowledged in academic outputs as collaborating or othe</w:t>
      </w:r>
      <w:r w:rsidR="00873BA9" w:rsidRPr="00D23CF4">
        <w:rPr>
          <w:sz w:val="24"/>
          <w:szCs w:val="24"/>
        </w:rPr>
        <w:t>rwise supporting the research, or who interview respondents mentioned as being important).</w:t>
      </w:r>
      <w:r w:rsidR="00D23CF4" w:rsidRPr="00D23CF4">
        <w:rPr>
          <w:sz w:val="24"/>
          <w:szCs w:val="24"/>
        </w:rPr>
        <w:t xml:space="preserve"> In total I gathered 345 documentary materials for analysis</w:t>
      </w:r>
      <w:r w:rsidR="00D23CF4">
        <w:rPr>
          <w:sz w:val="24"/>
          <w:szCs w:val="24"/>
        </w:rPr>
        <w:t xml:space="preserve">. In addition, I </w:t>
      </w:r>
      <w:r w:rsidR="00D23CF4" w:rsidRPr="00D23CF4">
        <w:rPr>
          <w:sz w:val="24"/>
          <w:szCs w:val="24"/>
        </w:rPr>
        <w:t>conducted 10 interviews</w:t>
      </w:r>
      <w:r w:rsidR="00D23CF4">
        <w:rPr>
          <w:sz w:val="24"/>
          <w:szCs w:val="24"/>
        </w:rPr>
        <w:t xml:space="preserve"> with key individuals involved in the sampled research. </w:t>
      </w:r>
    </w:p>
    <w:p w14:paraId="2A27D9D7" w14:textId="0919E6A3" w:rsidR="00EF0100" w:rsidRPr="00082C0D" w:rsidRDefault="00AA123F" w:rsidP="00EF0100">
      <w:pPr>
        <w:tabs>
          <w:tab w:val="left" w:pos="1503"/>
        </w:tabs>
        <w:spacing w:after="120" w:line="360" w:lineRule="auto"/>
        <w:rPr>
          <w:sz w:val="24"/>
          <w:szCs w:val="24"/>
        </w:rPr>
      </w:pPr>
      <w:r w:rsidRPr="00082C0D">
        <w:rPr>
          <w:sz w:val="24"/>
          <w:szCs w:val="24"/>
        </w:rPr>
        <w:t xml:space="preserve">I argue that the consistency of the narrative that can be derived from the documentary and the interview data and of the qualitative and quantitative analyses, indicate a robustness in my conclusions, and justify some ‘analytical’ or ‘theoretical’ generalisability. However, this </w:t>
      </w:r>
      <w:r w:rsidR="00077C8C" w:rsidRPr="00082C0D">
        <w:rPr>
          <w:sz w:val="24"/>
          <w:szCs w:val="24"/>
        </w:rPr>
        <w:t>design, like all research designs,</w:t>
      </w:r>
      <w:r w:rsidRPr="00082C0D">
        <w:rPr>
          <w:sz w:val="24"/>
          <w:szCs w:val="24"/>
        </w:rPr>
        <w:t xml:space="preserve"> also introduces limitations to</w:t>
      </w:r>
      <w:r w:rsidR="00077C8C" w:rsidRPr="00082C0D">
        <w:rPr>
          <w:sz w:val="24"/>
          <w:szCs w:val="24"/>
        </w:rPr>
        <w:t xml:space="preserve"> the kinds of generalisations and wider implications I can infer from the findings. I am unable to make generalisations in terms of the statistical representativeness of my sample. A different sample, even which followed the same sampling criteria, might have yielded different results.</w:t>
      </w:r>
      <w:r w:rsidR="007D62B1" w:rsidRPr="00082C0D">
        <w:rPr>
          <w:sz w:val="24"/>
          <w:szCs w:val="24"/>
        </w:rPr>
        <w:t xml:space="preserve"> </w:t>
      </w:r>
      <w:r w:rsidRPr="00082C0D">
        <w:rPr>
          <w:sz w:val="24"/>
          <w:szCs w:val="24"/>
        </w:rPr>
        <w:t>More specifically</w:t>
      </w:r>
      <w:r w:rsidR="007D62B1" w:rsidRPr="00082C0D">
        <w:rPr>
          <w:sz w:val="24"/>
          <w:szCs w:val="24"/>
        </w:rPr>
        <w:t xml:space="preserve">, my sample led me to focus on highly successful BoRs and academics, and a quite narrow demographic of participants, and a sample which prioritised a broader range of academic seniority and demographic characteristics may have led to different findings. </w:t>
      </w:r>
      <w:r w:rsidR="00D6130D" w:rsidRPr="00082C0D">
        <w:rPr>
          <w:sz w:val="24"/>
          <w:szCs w:val="24"/>
        </w:rPr>
        <w:t xml:space="preserve">Indeed, </w:t>
      </w:r>
      <w:r w:rsidR="00F846FD" w:rsidRPr="00082C0D">
        <w:rPr>
          <w:sz w:val="24"/>
          <w:szCs w:val="24"/>
        </w:rPr>
        <w:t xml:space="preserve">for many researchers in more precarious situations and on fixed-term contracts doing prespecified research under an established academic, </w:t>
      </w:r>
      <w:r w:rsidR="008B22C1" w:rsidRPr="00082C0D">
        <w:rPr>
          <w:sz w:val="24"/>
          <w:szCs w:val="24"/>
        </w:rPr>
        <w:t>their role in and relation to the process of producing and disseminating knowledge may be vastly different to most of my respondents</w:t>
      </w:r>
      <w:r w:rsidR="007F71C4" w:rsidRPr="00082C0D">
        <w:rPr>
          <w:sz w:val="24"/>
          <w:szCs w:val="24"/>
        </w:rPr>
        <w:t xml:space="preserve">, and it may be that the majority of today’s ‘early career researchers’ never obtain the space to develop the kinds of networks and relationships that underpin the research and impacts that I have studied in my sample – and the rewards now associated with </w:t>
      </w:r>
      <w:r w:rsidR="00695E6B" w:rsidRPr="00082C0D">
        <w:rPr>
          <w:sz w:val="24"/>
          <w:szCs w:val="24"/>
        </w:rPr>
        <w:t xml:space="preserve">impact may well exacerbate pre-existing inequalities </w:t>
      </w:r>
      <w:r w:rsidR="001604C7" w:rsidRPr="00082C0D">
        <w:rPr>
          <w:iCs/>
          <w:sz w:val="24"/>
          <w:szCs w:val="24"/>
        </w:rPr>
        <w:t xml:space="preserve">(Kellard &amp; </w:t>
      </w:r>
      <w:r w:rsidR="001604C7" w:rsidRPr="00082C0D">
        <w:rPr>
          <w:sz w:val="24"/>
          <w:szCs w:val="24"/>
        </w:rPr>
        <w:t>Ś</w:t>
      </w:r>
      <w:r w:rsidR="001604C7" w:rsidRPr="00082C0D">
        <w:rPr>
          <w:iCs/>
          <w:sz w:val="24"/>
          <w:szCs w:val="24"/>
        </w:rPr>
        <w:t>liwa, 2016)</w:t>
      </w:r>
      <w:r w:rsidR="008B22C1" w:rsidRPr="00082C0D">
        <w:rPr>
          <w:sz w:val="24"/>
          <w:szCs w:val="24"/>
        </w:rPr>
        <w:t xml:space="preserve">. </w:t>
      </w:r>
    </w:p>
    <w:p w14:paraId="1AE67F11" w14:textId="2B69EAA0" w:rsidR="003C0ED7" w:rsidRPr="00082C0D" w:rsidRDefault="00456C5D" w:rsidP="00EF0100">
      <w:pPr>
        <w:tabs>
          <w:tab w:val="left" w:pos="1503"/>
        </w:tabs>
        <w:spacing w:after="120" w:line="360" w:lineRule="auto"/>
        <w:rPr>
          <w:sz w:val="24"/>
          <w:szCs w:val="24"/>
        </w:rPr>
      </w:pPr>
      <w:r w:rsidRPr="00082C0D">
        <w:rPr>
          <w:sz w:val="24"/>
          <w:szCs w:val="24"/>
        </w:rPr>
        <w:t>The other main</w:t>
      </w:r>
      <w:r w:rsidR="00AA123F" w:rsidRPr="00082C0D">
        <w:rPr>
          <w:sz w:val="24"/>
          <w:szCs w:val="24"/>
        </w:rPr>
        <w:t xml:space="preserve"> </w:t>
      </w:r>
      <w:r w:rsidRPr="00082C0D">
        <w:rPr>
          <w:sz w:val="24"/>
          <w:szCs w:val="24"/>
        </w:rPr>
        <w:t xml:space="preserve">source of </w:t>
      </w:r>
      <w:r w:rsidR="00AA123F" w:rsidRPr="00082C0D">
        <w:rPr>
          <w:sz w:val="24"/>
          <w:szCs w:val="24"/>
        </w:rPr>
        <w:t xml:space="preserve">limitation is the decision to focus on STEMM fields. </w:t>
      </w:r>
      <w:r w:rsidR="00440ED5" w:rsidRPr="00082C0D">
        <w:rPr>
          <w:sz w:val="24"/>
          <w:szCs w:val="24"/>
        </w:rPr>
        <w:t>As was my intention, this decision</w:t>
      </w:r>
      <w:r w:rsidR="00AA123F" w:rsidRPr="00082C0D">
        <w:rPr>
          <w:sz w:val="24"/>
          <w:szCs w:val="24"/>
        </w:rPr>
        <w:t xml:space="preserve"> allowed me to generate more specific and </w:t>
      </w:r>
      <w:r w:rsidRPr="00082C0D">
        <w:rPr>
          <w:sz w:val="24"/>
          <w:szCs w:val="24"/>
        </w:rPr>
        <w:t xml:space="preserve">detailed </w:t>
      </w:r>
      <w:r w:rsidR="00243D70" w:rsidRPr="00082C0D">
        <w:rPr>
          <w:sz w:val="24"/>
          <w:szCs w:val="24"/>
        </w:rPr>
        <w:t xml:space="preserve">insights </w:t>
      </w:r>
      <w:r w:rsidR="00AA123F" w:rsidRPr="00082C0D">
        <w:rPr>
          <w:sz w:val="24"/>
          <w:szCs w:val="24"/>
        </w:rPr>
        <w:t xml:space="preserve">into the </w:t>
      </w:r>
      <w:r w:rsidR="00321A1F" w:rsidRPr="00082C0D">
        <w:rPr>
          <w:sz w:val="24"/>
          <w:szCs w:val="24"/>
        </w:rPr>
        <w:t>mechanisms through which academic boundaries are crossed, maintained and regulated</w:t>
      </w:r>
      <w:r w:rsidR="00AA123F" w:rsidRPr="00082C0D">
        <w:rPr>
          <w:sz w:val="24"/>
          <w:szCs w:val="24"/>
        </w:rPr>
        <w:t xml:space="preserve">, and how these mechanisms are shaped, influenced and mediated by </w:t>
      </w:r>
      <w:r w:rsidRPr="00082C0D">
        <w:rPr>
          <w:sz w:val="24"/>
          <w:szCs w:val="24"/>
        </w:rPr>
        <w:t xml:space="preserve">nuanced </w:t>
      </w:r>
      <w:r w:rsidR="00AA123F" w:rsidRPr="00082C0D">
        <w:rPr>
          <w:sz w:val="24"/>
          <w:szCs w:val="24"/>
        </w:rPr>
        <w:t>differen</w:t>
      </w:r>
      <w:r w:rsidRPr="00082C0D">
        <w:rPr>
          <w:sz w:val="24"/>
          <w:szCs w:val="24"/>
        </w:rPr>
        <w:t>ces in</w:t>
      </w:r>
      <w:r w:rsidR="00AA123F" w:rsidRPr="00082C0D">
        <w:rPr>
          <w:sz w:val="24"/>
          <w:szCs w:val="24"/>
        </w:rPr>
        <w:t xml:space="preserve"> epistemic content and context</w:t>
      </w:r>
      <w:r w:rsidR="00321A1F" w:rsidRPr="00082C0D">
        <w:rPr>
          <w:sz w:val="24"/>
          <w:szCs w:val="24"/>
        </w:rPr>
        <w:t>.</w:t>
      </w:r>
      <w:r w:rsidR="00AA123F" w:rsidRPr="00082C0D">
        <w:rPr>
          <w:sz w:val="24"/>
          <w:szCs w:val="24"/>
        </w:rPr>
        <w:t xml:space="preserve"> However, it </w:t>
      </w:r>
      <w:r w:rsidR="00A6667A" w:rsidRPr="00082C0D">
        <w:rPr>
          <w:sz w:val="24"/>
          <w:szCs w:val="24"/>
        </w:rPr>
        <w:t xml:space="preserve">makes it difficult to draw out the relevance of my findings for the arts, humanities and social sciences (AHSS). </w:t>
      </w:r>
      <w:r w:rsidR="00440ED5" w:rsidRPr="00082C0D">
        <w:rPr>
          <w:sz w:val="24"/>
          <w:szCs w:val="24"/>
        </w:rPr>
        <w:t xml:space="preserve">I argue that the core concepts of academic boundaries and boundary transactions, and the underpinning interplays of power and control, have relevance to </w:t>
      </w:r>
      <w:r w:rsidR="0057678E" w:rsidRPr="00082C0D">
        <w:rPr>
          <w:sz w:val="24"/>
          <w:szCs w:val="24"/>
        </w:rPr>
        <w:t>academia in general</w:t>
      </w:r>
      <w:r w:rsidR="00440ED5" w:rsidRPr="00082C0D">
        <w:rPr>
          <w:sz w:val="24"/>
          <w:szCs w:val="24"/>
        </w:rPr>
        <w:t xml:space="preserve">, but one of </w:t>
      </w:r>
      <w:r w:rsidR="0057678E" w:rsidRPr="00082C0D">
        <w:rPr>
          <w:sz w:val="24"/>
          <w:szCs w:val="24"/>
        </w:rPr>
        <w:t>my</w:t>
      </w:r>
      <w:r w:rsidR="00440ED5" w:rsidRPr="00082C0D">
        <w:rPr>
          <w:sz w:val="24"/>
          <w:szCs w:val="24"/>
        </w:rPr>
        <w:t xml:space="preserve"> arguments and findings is that</w:t>
      </w:r>
      <w:r w:rsidR="0057678E" w:rsidRPr="00082C0D">
        <w:rPr>
          <w:sz w:val="24"/>
          <w:szCs w:val="24"/>
        </w:rPr>
        <w:t xml:space="preserve"> the specific</w:t>
      </w:r>
      <w:r w:rsidR="00440ED5" w:rsidRPr="00082C0D">
        <w:rPr>
          <w:sz w:val="24"/>
          <w:szCs w:val="24"/>
        </w:rPr>
        <w:t xml:space="preserve"> epistemic context</w:t>
      </w:r>
      <w:r w:rsidR="0057678E" w:rsidRPr="00082C0D">
        <w:rPr>
          <w:sz w:val="24"/>
          <w:szCs w:val="24"/>
        </w:rPr>
        <w:t xml:space="preserve"> is a factor in shaping how these play out, so that it would require further </w:t>
      </w:r>
      <w:r w:rsidR="00440ED5" w:rsidRPr="00082C0D">
        <w:rPr>
          <w:sz w:val="24"/>
          <w:szCs w:val="24"/>
        </w:rPr>
        <w:t xml:space="preserve">empirical </w:t>
      </w:r>
      <w:r w:rsidR="0057678E" w:rsidRPr="00082C0D">
        <w:rPr>
          <w:sz w:val="24"/>
          <w:szCs w:val="24"/>
        </w:rPr>
        <w:t xml:space="preserve">research to explore </w:t>
      </w:r>
      <w:r w:rsidR="00EC173C" w:rsidRPr="00082C0D">
        <w:rPr>
          <w:sz w:val="24"/>
          <w:szCs w:val="24"/>
        </w:rPr>
        <w:t>boundary transactions in different AHSS disciplines. Therefore, although I would be cautious in drawing inferences for AHSS, my study would lead me to expect that a discipline such as economics</w:t>
      </w:r>
      <w:r w:rsidR="00DB1226" w:rsidRPr="00082C0D">
        <w:rPr>
          <w:sz w:val="24"/>
          <w:szCs w:val="24"/>
        </w:rPr>
        <w:t xml:space="preserve">, which is </w:t>
      </w:r>
      <w:r w:rsidR="00EC173C" w:rsidRPr="00082C0D">
        <w:rPr>
          <w:sz w:val="24"/>
          <w:szCs w:val="24"/>
        </w:rPr>
        <w:t xml:space="preserve">largely application-oriented and underpinned by </w:t>
      </w:r>
      <w:r w:rsidR="00DB1226" w:rsidRPr="00082C0D">
        <w:rPr>
          <w:sz w:val="24"/>
          <w:szCs w:val="24"/>
        </w:rPr>
        <w:t>‘formal’ knowledge content (i.e. mathematics)</w:t>
      </w:r>
      <w:r w:rsidR="00EC173C" w:rsidRPr="00082C0D">
        <w:rPr>
          <w:sz w:val="24"/>
          <w:szCs w:val="24"/>
        </w:rPr>
        <w:t xml:space="preserve"> might exhibit similar forms of and control over its boundary transactions </w:t>
      </w:r>
      <w:r w:rsidR="00DB1226" w:rsidRPr="00082C0D">
        <w:rPr>
          <w:sz w:val="24"/>
          <w:szCs w:val="24"/>
        </w:rPr>
        <w:t>as those exhibited by the engineering disciplines in my study. For example, one can perhaps imagine that economics departments largely interact (transact) with the kinds of non-academic organisations which are likely destinations for graduates of such departments (e.g. companies, think tanks, civil servants), leading to similar boundary transactions and transaction costs as was the case with several of the engineering departments (and Formal science departments more generally) in my study.</w:t>
      </w:r>
      <w:r w:rsidR="0041457B" w:rsidRPr="00082C0D">
        <w:rPr>
          <w:sz w:val="24"/>
          <w:szCs w:val="24"/>
        </w:rPr>
        <w:t xml:space="preserve"> </w:t>
      </w:r>
      <w:r w:rsidR="002C11A2" w:rsidRPr="00082C0D">
        <w:rPr>
          <w:sz w:val="24"/>
          <w:szCs w:val="24"/>
        </w:rPr>
        <w:t xml:space="preserve">For another example, a </w:t>
      </w:r>
      <w:r w:rsidR="003D4FC7" w:rsidRPr="00082C0D">
        <w:rPr>
          <w:sz w:val="24"/>
          <w:szCs w:val="24"/>
        </w:rPr>
        <w:t xml:space="preserve">key distinguishing characteristic </w:t>
      </w:r>
      <w:r w:rsidR="00F67625" w:rsidRPr="00082C0D">
        <w:rPr>
          <w:sz w:val="24"/>
          <w:szCs w:val="24"/>
        </w:rPr>
        <w:t>curiosity-inspired Basic disciplines in m</w:t>
      </w:r>
      <w:r w:rsidR="003D4FC7" w:rsidRPr="00082C0D">
        <w:rPr>
          <w:sz w:val="24"/>
          <w:szCs w:val="24"/>
        </w:rPr>
        <w:t>y sample was the way in which they became interlinked with powerful governmental and industry actors with stakes and resources to mobilise science and technology towards a range of national interests.</w:t>
      </w:r>
      <w:r w:rsidR="00F67625" w:rsidRPr="00082C0D">
        <w:rPr>
          <w:sz w:val="24"/>
          <w:szCs w:val="24"/>
        </w:rPr>
        <w:t xml:space="preserve"> One may conjecture a parallel between here with a more understanding-focused, curiosity-inspired AHSS discipline such as history, whereby academic historians and national and international actors share an interest in shaping historical narratives of relevance to political debates.</w:t>
      </w:r>
    </w:p>
    <w:p w14:paraId="0EBF9A97" w14:textId="113C0449" w:rsidR="00023561" w:rsidRPr="00082C0D" w:rsidRDefault="00F67625" w:rsidP="00F67625">
      <w:pPr>
        <w:tabs>
          <w:tab w:val="left" w:pos="1503"/>
        </w:tabs>
        <w:spacing w:after="120" w:line="360" w:lineRule="auto"/>
        <w:rPr>
          <w:sz w:val="24"/>
          <w:szCs w:val="24"/>
        </w:rPr>
      </w:pPr>
      <w:r w:rsidRPr="00082C0D">
        <w:rPr>
          <w:sz w:val="24"/>
          <w:szCs w:val="24"/>
        </w:rPr>
        <w:t>Clearly, it would take detailed empirical analysis of specific bodies of AHSS research to tease out the key interplays of power and control and the role of boundary transactions</w:t>
      </w:r>
      <w:r w:rsidR="005B3C15" w:rsidRPr="00082C0D">
        <w:rPr>
          <w:sz w:val="24"/>
          <w:szCs w:val="24"/>
        </w:rPr>
        <w:t xml:space="preserve">, and this is a task for </w:t>
      </w:r>
      <w:r w:rsidRPr="00082C0D">
        <w:rPr>
          <w:sz w:val="24"/>
          <w:szCs w:val="24"/>
        </w:rPr>
        <w:t xml:space="preserve">future research. In the remainder of this chapter, </w:t>
      </w:r>
      <w:r w:rsidR="00163BB2" w:rsidRPr="00082C0D">
        <w:rPr>
          <w:sz w:val="24"/>
          <w:szCs w:val="24"/>
        </w:rPr>
        <w:t xml:space="preserve">I will conclude the </w:t>
      </w:r>
      <w:r w:rsidRPr="00082C0D">
        <w:rPr>
          <w:sz w:val="24"/>
          <w:szCs w:val="24"/>
        </w:rPr>
        <w:t xml:space="preserve">thesis </w:t>
      </w:r>
      <w:r w:rsidR="00163BB2" w:rsidRPr="00082C0D">
        <w:rPr>
          <w:sz w:val="24"/>
          <w:szCs w:val="24"/>
        </w:rPr>
        <w:t xml:space="preserve">by </w:t>
      </w:r>
      <w:r w:rsidR="00EF0100" w:rsidRPr="00082C0D">
        <w:rPr>
          <w:sz w:val="24"/>
          <w:szCs w:val="24"/>
        </w:rPr>
        <w:t>draw</w:t>
      </w:r>
      <w:r w:rsidR="00163BB2" w:rsidRPr="00082C0D">
        <w:rPr>
          <w:sz w:val="24"/>
          <w:szCs w:val="24"/>
        </w:rPr>
        <w:t>ing</w:t>
      </w:r>
      <w:r w:rsidR="00EF0100" w:rsidRPr="00082C0D">
        <w:rPr>
          <w:sz w:val="24"/>
          <w:szCs w:val="24"/>
        </w:rPr>
        <w:t xml:space="preserve"> upon the full range of findings and insights </w:t>
      </w:r>
      <w:r w:rsidR="00163BB2" w:rsidRPr="00082C0D">
        <w:rPr>
          <w:sz w:val="24"/>
          <w:szCs w:val="24"/>
        </w:rPr>
        <w:t>to discuss</w:t>
      </w:r>
      <w:r w:rsidR="00EF0100" w:rsidRPr="00082C0D">
        <w:rPr>
          <w:sz w:val="24"/>
          <w:szCs w:val="24"/>
        </w:rPr>
        <w:t xml:space="preserve"> </w:t>
      </w:r>
      <w:r w:rsidR="00D5009F" w:rsidRPr="00082C0D">
        <w:rPr>
          <w:sz w:val="24"/>
          <w:szCs w:val="24"/>
        </w:rPr>
        <w:t>the implications of the research</w:t>
      </w:r>
      <w:r w:rsidR="00487256" w:rsidRPr="00082C0D">
        <w:rPr>
          <w:sz w:val="24"/>
          <w:szCs w:val="24"/>
        </w:rPr>
        <w:t xml:space="preserve"> for academic boundaries and for those who have a stake in them, particularly academics themselves</w:t>
      </w:r>
      <w:r w:rsidRPr="00082C0D">
        <w:rPr>
          <w:sz w:val="24"/>
          <w:szCs w:val="24"/>
        </w:rPr>
        <w:t>, notwithstanding the limitations I have discussed</w:t>
      </w:r>
      <w:r w:rsidR="00487256" w:rsidRPr="00082C0D">
        <w:rPr>
          <w:sz w:val="24"/>
          <w:szCs w:val="24"/>
        </w:rPr>
        <w:t>.</w:t>
      </w:r>
    </w:p>
    <w:p w14:paraId="13E753A1" w14:textId="37E3016F" w:rsidR="005B0C7D" w:rsidRDefault="005B0C7D" w:rsidP="009928C1">
      <w:pPr>
        <w:pStyle w:val="Heading2"/>
      </w:pPr>
      <w:bookmarkStart w:id="225" w:name="_Toc31702000"/>
      <w:r w:rsidRPr="00082C0D">
        <w:t>Findings</w:t>
      </w:r>
      <w:bookmarkEnd w:id="225"/>
    </w:p>
    <w:p w14:paraId="2FFBC83D" w14:textId="5217C159" w:rsidR="007778E7" w:rsidRPr="005B0C7D" w:rsidRDefault="007778E7" w:rsidP="007778E7">
      <w:pPr>
        <w:spacing w:after="120" w:line="360" w:lineRule="auto"/>
      </w:pPr>
      <w:r>
        <w:rPr>
          <w:sz w:val="24"/>
          <w:szCs w:val="24"/>
        </w:rPr>
        <w:t>In response to the overarching question about the balance of ‘power’ and ‘control’ over the organisation, activities and societal relations associated with the sampled</w:t>
      </w:r>
      <w:r w:rsidR="001B4AFA">
        <w:rPr>
          <w:sz w:val="24"/>
          <w:szCs w:val="24"/>
        </w:rPr>
        <w:t xml:space="preserve"> STEMM</w:t>
      </w:r>
      <w:r>
        <w:rPr>
          <w:sz w:val="24"/>
          <w:szCs w:val="24"/>
        </w:rPr>
        <w:t xml:space="preserve"> research, I find evidence that this predominantly lies within academia. The analysis highlights the significant power that academic institutions continue to hold over the boundaries of who counts as legitimate producers of academic knowledge, with the doctoral degree continuing to be the key qualification for induction into a class of stewards over academic knowledge. In this sense, what gets to count as ‘academic knowledge’ is, to a large extent, simply that which attracts the interest of sufficiently academically qualified individuals</w:t>
      </w:r>
      <w:r w:rsidR="00B65782">
        <w:rPr>
          <w:sz w:val="24"/>
          <w:szCs w:val="24"/>
        </w:rPr>
        <w:t xml:space="preserve"> who work with</w:t>
      </w:r>
      <w:r>
        <w:rPr>
          <w:sz w:val="24"/>
          <w:szCs w:val="24"/>
        </w:rPr>
        <w:t xml:space="preserve">in, or in collaboration with, academic institutions. The study </w:t>
      </w:r>
      <w:r w:rsidR="0028683C">
        <w:rPr>
          <w:sz w:val="24"/>
          <w:szCs w:val="24"/>
        </w:rPr>
        <w:t>also serves as a</w:t>
      </w:r>
      <w:r>
        <w:rPr>
          <w:sz w:val="24"/>
          <w:szCs w:val="24"/>
        </w:rPr>
        <w:t xml:space="preserve"> reminder of </w:t>
      </w:r>
      <w:r w:rsidR="00E90EC4">
        <w:rPr>
          <w:sz w:val="24"/>
          <w:szCs w:val="24"/>
        </w:rPr>
        <w:t xml:space="preserve">the </w:t>
      </w:r>
      <w:r>
        <w:rPr>
          <w:sz w:val="24"/>
          <w:szCs w:val="24"/>
        </w:rPr>
        <w:t>predominance of traditional forms of communicating</w:t>
      </w:r>
      <w:r w:rsidR="00CD11EB">
        <w:rPr>
          <w:sz w:val="24"/>
          <w:szCs w:val="24"/>
        </w:rPr>
        <w:t xml:space="preserve"> research</w:t>
      </w:r>
      <w:r>
        <w:rPr>
          <w:sz w:val="24"/>
          <w:szCs w:val="24"/>
        </w:rPr>
        <w:t xml:space="preserve"> knowledge via academic journals, patents, technical reports and technical guidelines targeted at the scientific community </w:t>
      </w:r>
      <w:r w:rsidR="00AB6F2A">
        <w:rPr>
          <w:sz w:val="24"/>
          <w:szCs w:val="24"/>
        </w:rPr>
        <w:t xml:space="preserve">– </w:t>
      </w:r>
      <w:r>
        <w:rPr>
          <w:sz w:val="24"/>
          <w:szCs w:val="24"/>
        </w:rPr>
        <w:t>albeit that the ‘scientific community’ does sometimes extend beyond those employed by universities to include non-academics</w:t>
      </w:r>
      <w:r w:rsidR="00AB6F2A">
        <w:rPr>
          <w:sz w:val="24"/>
          <w:szCs w:val="24"/>
        </w:rPr>
        <w:t>, but normally only those that hold</w:t>
      </w:r>
      <w:r>
        <w:rPr>
          <w:sz w:val="24"/>
          <w:szCs w:val="24"/>
        </w:rPr>
        <w:t xml:space="preserve"> doctorates and </w:t>
      </w:r>
      <w:r w:rsidR="00AB6F2A">
        <w:rPr>
          <w:sz w:val="24"/>
          <w:szCs w:val="24"/>
        </w:rPr>
        <w:t xml:space="preserve">have </w:t>
      </w:r>
      <w:r>
        <w:rPr>
          <w:sz w:val="24"/>
          <w:szCs w:val="24"/>
        </w:rPr>
        <w:t xml:space="preserve">close continuing links to academia. </w:t>
      </w:r>
    </w:p>
    <w:p w14:paraId="12D103B7" w14:textId="13F3711E" w:rsidR="0079671B" w:rsidRDefault="009C40D8" w:rsidP="009C40D8">
      <w:pPr>
        <w:spacing w:after="120" w:line="360" w:lineRule="auto"/>
        <w:rPr>
          <w:sz w:val="24"/>
          <w:szCs w:val="24"/>
        </w:rPr>
      </w:pPr>
      <w:r>
        <w:rPr>
          <w:sz w:val="24"/>
          <w:szCs w:val="24"/>
        </w:rPr>
        <w:t>However, analysis also revealed significant tensions in the power and control over academic boundaries and boundary transactions, emphasising that the reproduction of academic boundaries should be considered inherently contested and contingent rather than guaranteed.</w:t>
      </w:r>
      <w:r w:rsidR="007C0BC2">
        <w:rPr>
          <w:sz w:val="24"/>
          <w:szCs w:val="24"/>
        </w:rPr>
        <w:t xml:space="preserve"> I shall highlight these tensions in the following two sections.</w:t>
      </w:r>
    </w:p>
    <w:p w14:paraId="77884258" w14:textId="2488753C" w:rsidR="0079671B" w:rsidRDefault="0079671B" w:rsidP="0079671B">
      <w:pPr>
        <w:pStyle w:val="Heading3"/>
      </w:pPr>
      <w:bookmarkStart w:id="226" w:name="_Toc31702001"/>
      <w:r>
        <w:t>Tensions in boundary reproduction: Non-academic sources of power and control of over science</w:t>
      </w:r>
      <w:bookmarkEnd w:id="226"/>
    </w:p>
    <w:p w14:paraId="66D466AF" w14:textId="63118D8B" w:rsidR="00B20EDA" w:rsidRDefault="00111E48" w:rsidP="009C40D8">
      <w:pPr>
        <w:spacing w:after="120" w:line="360" w:lineRule="auto"/>
        <w:rPr>
          <w:color w:val="000000"/>
          <w:sz w:val="24"/>
          <w:szCs w:val="24"/>
        </w:rPr>
      </w:pPr>
      <w:r>
        <w:rPr>
          <w:sz w:val="24"/>
          <w:szCs w:val="24"/>
        </w:rPr>
        <w:t>A</w:t>
      </w:r>
      <w:r w:rsidR="009C40D8">
        <w:rPr>
          <w:sz w:val="24"/>
          <w:szCs w:val="24"/>
        </w:rPr>
        <w:t xml:space="preserve">cademic research frequently links to and depends upon systems </w:t>
      </w:r>
      <w:r w:rsidR="007065A4">
        <w:rPr>
          <w:sz w:val="24"/>
          <w:szCs w:val="24"/>
        </w:rPr>
        <w:t xml:space="preserve">which are largely </w:t>
      </w:r>
      <w:r w:rsidR="009C40D8">
        <w:rPr>
          <w:sz w:val="24"/>
          <w:szCs w:val="24"/>
        </w:rPr>
        <w:t xml:space="preserve">beyond its control, such as the </w:t>
      </w:r>
      <w:r w:rsidR="00A43861">
        <w:rPr>
          <w:sz w:val="24"/>
          <w:szCs w:val="24"/>
        </w:rPr>
        <w:t xml:space="preserve">wider </w:t>
      </w:r>
      <w:r w:rsidR="009C40D8">
        <w:rPr>
          <w:sz w:val="24"/>
          <w:szCs w:val="24"/>
        </w:rPr>
        <w:t xml:space="preserve">‘technoscientific’ system </w:t>
      </w:r>
      <w:r w:rsidR="009C40D8">
        <w:rPr>
          <w:sz w:val="24"/>
          <w:szCs w:val="24"/>
        </w:rPr>
        <w:fldChar w:fldCharType="begin"/>
      </w:r>
      <w:r w:rsidR="009C40D8">
        <w:rPr>
          <w:sz w:val="24"/>
          <w:szCs w:val="24"/>
        </w:rPr>
        <w:instrText xml:space="preserve"> ADDIN EN.CITE &lt;EndNote&gt;&lt;Cite&gt;&lt;Author&gt;Leydesdorff&lt;/Author&gt;&lt;Year&gt;2012&lt;/Year&gt;&lt;IDText&gt;The Triple Helix, Quadruple Helix, …, and an N -Tuple of Helices: Explanatory Models for Analyzing the Knowledge-Based Economy?&lt;/IDText&gt;&lt;DisplayText&gt;(Leydesdorff, 2012)&lt;/DisplayText&gt;&lt;record&gt;&lt;keywords&gt;&lt;keyword&gt;Triple Helix&lt;/keyword&gt;&lt;keyword&gt;-Tuple helices&lt;/keyword&gt;&lt;keyword&gt;Innovation system&lt;/keyword&gt;&lt;keyword&gt;Overlay&lt;/keyword&gt;&lt;keyword&gt;Model&lt;/keyword&gt;&lt;keyword&gt;Measurement&lt;/keyword&gt;&lt;/keywords&gt;&lt;isbn&gt;1868-7865&lt;/isbn&gt;&lt;titles&gt;&lt;title&gt;The Triple Helix, Quadruple Helix, …, and an N -Tuple of Helices: Explanatory Models for Analyzing the Knowledge-Based Economy?&lt;/title&gt;&lt;secondary-title&gt;Journal of the Knowledge Economy&lt;/secondary-title&gt;&lt;/titles&gt;&lt;pages&gt;25-35&lt;/pages&gt;&lt;number&gt;1&lt;/number&gt;&lt;contributors&gt;&lt;authors&gt;&lt;author&gt;Leydesdorff, Loet&lt;/author&gt;&lt;/authors&gt;&lt;/contributors&gt;&lt;added-date format="utc"&gt;1545318859&lt;/added-date&gt;&lt;pub-location&gt;Boston&lt;/pub-location&gt;&lt;ref-type name="Journal Article"&gt;17&lt;/ref-type&gt;&lt;dates&gt;&lt;year&gt;2012&lt;/year&gt;&lt;/dates&gt;&lt;rec-number&gt;7693&lt;/rec-number&gt;&lt;last-updated-date format="utc"&gt;1545318859&lt;/last-updated-date&gt;&lt;electronic-resource-num&gt;10.1007/s13132-011-0049-4&lt;/electronic-resource-num&gt;&lt;volume&gt;3&lt;/volume&gt;&lt;/record&gt;&lt;/Cite&gt;&lt;/EndNote&gt;</w:instrText>
      </w:r>
      <w:r w:rsidR="009C40D8">
        <w:rPr>
          <w:sz w:val="24"/>
          <w:szCs w:val="24"/>
        </w:rPr>
        <w:fldChar w:fldCharType="separate"/>
      </w:r>
      <w:r w:rsidR="009C40D8">
        <w:rPr>
          <w:noProof/>
          <w:sz w:val="24"/>
          <w:szCs w:val="24"/>
        </w:rPr>
        <w:t>(Leydesdorff, 2012)</w:t>
      </w:r>
      <w:r w:rsidR="009C40D8">
        <w:rPr>
          <w:sz w:val="24"/>
          <w:szCs w:val="24"/>
        </w:rPr>
        <w:fldChar w:fldCharType="end"/>
      </w:r>
      <w:r w:rsidR="00A43861">
        <w:rPr>
          <w:sz w:val="24"/>
          <w:szCs w:val="24"/>
        </w:rPr>
        <w:t>. Although</w:t>
      </w:r>
      <w:r w:rsidR="009C40D8">
        <w:rPr>
          <w:sz w:val="24"/>
          <w:szCs w:val="24"/>
        </w:rPr>
        <w:t xml:space="preserve"> technological innovations developed in an academic context are driven, from the academic’s point of view, by the goal to attain new powers of observation, data-collection and analysis than previously possible, the</w:t>
      </w:r>
      <w:r w:rsidR="00FA73FB">
        <w:rPr>
          <w:sz w:val="24"/>
          <w:szCs w:val="24"/>
        </w:rPr>
        <w:t xml:space="preserve"> </w:t>
      </w:r>
      <w:r w:rsidR="009C40D8">
        <w:rPr>
          <w:sz w:val="24"/>
          <w:szCs w:val="24"/>
        </w:rPr>
        <w:t xml:space="preserve">support and legitimation </w:t>
      </w:r>
      <w:r w:rsidR="00FA73FB">
        <w:rPr>
          <w:sz w:val="24"/>
          <w:szCs w:val="24"/>
        </w:rPr>
        <w:t xml:space="preserve">essential for resourcing such research </w:t>
      </w:r>
      <w:r w:rsidR="009C40D8">
        <w:rPr>
          <w:sz w:val="24"/>
          <w:szCs w:val="24"/>
        </w:rPr>
        <w:t xml:space="preserve">derives primarily not from the scientific objectives per se, but because the resultant technologies are valuable to broader attempts, amongst various political, military, industrial, civil and social networks </w:t>
      </w:r>
      <w:r w:rsidR="009C40D8">
        <w:rPr>
          <w:sz w:val="24"/>
          <w:szCs w:val="24"/>
        </w:rPr>
        <w:fldChar w:fldCharType="begin"/>
      </w:r>
      <w:r w:rsidR="009C40D8">
        <w:rPr>
          <w:sz w:val="24"/>
          <w:szCs w:val="24"/>
        </w:rPr>
        <w:instrText xml:space="preserve"> ADDIN EN.CITE &lt;EndNote&gt;&lt;Cite&gt;&lt;Author&gt;Latour&lt;/Author&gt;&lt;Year&gt;1987&lt;/Year&gt;&lt;IDText&gt;Science in action: how to follow scientists and engineers through society&lt;/IDText&gt;&lt;DisplayText&gt;(Latour, 1987)&lt;/DisplayText&gt;&lt;record&gt;&lt;keywords&gt;&lt;keyword&gt;Science -- Social aspects&lt;/keyword&gt;&lt;keyword&gt;Technology -- Social aspects&lt;/keyword&gt;&lt;keyword&gt;Science -- History&lt;/keyword&gt;&lt;keyword&gt;Science -- Philosophy&lt;/keyword&gt;&lt;keyword&gt;Normal science&lt;/keyword&gt;&lt;keyword&gt;Philosophy of science&lt;/keyword&gt;&lt;keyword&gt;Science and society&lt;/keyword&gt;&lt;keyword&gt;Sociology of science&lt;/keyword&gt;&lt;/keywords&gt;&lt;titles&gt;&lt;title&gt;Science in action: how to follow scientists and engineers through society&lt;/title&gt;&lt;/titles&gt;&lt;contributors&gt;&lt;authors&gt;&lt;author&gt;Latour, Bruno&lt;/author&gt;&lt;/authors&gt;&lt;/contributors&gt;&lt;added-date format="utc"&gt;1542827653&lt;/added-date&gt;&lt;pub-location&gt;Cambridge, Mass.&lt;/pub-location&gt;&lt;ref-type name="Book"&gt;6&lt;/ref-type&gt;&lt;dates&gt;&lt;year&gt;1987&lt;/year&gt;&lt;/dates&gt;&lt;rec-number&gt;7684&lt;/rec-number&gt;&lt;publisher&gt;Harvard University Press&lt;/publisher&gt;&lt;last-updated-date format="utc"&gt;1542827676&lt;/last-updated-date&gt;&lt;/record&gt;&lt;/Cite&gt;&lt;/EndNote&gt;</w:instrText>
      </w:r>
      <w:r w:rsidR="009C40D8">
        <w:rPr>
          <w:sz w:val="24"/>
          <w:szCs w:val="24"/>
        </w:rPr>
        <w:fldChar w:fldCharType="separate"/>
      </w:r>
      <w:r w:rsidR="009C40D8">
        <w:rPr>
          <w:noProof/>
          <w:sz w:val="24"/>
          <w:szCs w:val="24"/>
        </w:rPr>
        <w:t>(Latour, 1987)</w:t>
      </w:r>
      <w:r w:rsidR="009C40D8">
        <w:rPr>
          <w:sz w:val="24"/>
          <w:szCs w:val="24"/>
        </w:rPr>
        <w:fldChar w:fldCharType="end"/>
      </w:r>
      <w:r w:rsidR="009C40D8">
        <w:rPr>
          <w:sz w:val="24"/>
          <w:szCs w:val="24"/>
        </w:rPr>
        <w:t xml:space="preserve"> </w:t>
      </w:r>
      <w:r w:rsidR="009C40D8" w:rsidRPr="002A2655">
        <w:rPr>
          <w:color w:val="000000"/>
          <w:sz w:val="24"/>
          <w:szCs w:val="24"/>
        </w:rPr>
        <w:t xml:space="preserve">to “control” </w:t>
      </w:r>
      <w:r w:rsidR="009C40D8" w:rsidRPr="002A2655">
        <w:rPr>
          <w:color w:val="000000"/>
          <w:sz w:val="24"/>
          <w:szCs w:val="24"/>
        </w:rPr>
        <w:fldChar w:fldCharType="begin"/>
      </w:r>
      <w:r w:rsidR="009C40D8">
        <w:rPr>
          <w:color w:val="000000"/>
          <w:sz w:val="24"/>
          <w:szCs w:val="24"/>
        </w:rPr>
        <w:instrText xml:space="preserve"> ADDIN EN.CITE &lt;EndNote&gt;&lt;Cite&gt;&lt;Author&gt;Bensaude-Vincent&lt;/Author&gt;&lt;Year&gt;2011&lt;/Year&gt;&lt;IDText&gt;Matters of Interest: The Objects of Research in Science and Technoscience&lt;/IDText&gt;&lt;Pages&gt;366&lt;/Pages&gt;&lt;DisplayText&gt;(Bensaude-Vincent et al., 2011, p. 366)&lt;/DisplayText&gt;&lt;record&gt;&lt;keywords&gt;&lt;keyword&gt;Ontology&lt;/keyword&gt;&lt;keyword&gt;Research objects&lt;/keyword&gt;&lt;keyword&gt;Technoscience&lt;/keyword&gt;&lt;keyword&gt;Dispositions&lt;/keyword&gt;&lt;keyword&gt;Affordances&lt;/keyword&gt;&lt;keyword&gt;Philosophy of scientific experimentation&lt;/keyword&gt;&lt;/keywords&gt;&lt;isbn&gt;0925-4560&lt;/isbn&gt;&lt;titles&gt;&lt;title&gt;Matters of Interest: The Objects of Research in Science and Technoscience&lt;/title&gt;&lt;secondary-title&gt;Journal for General Philosophy of Science&lt;/secondary-title&gt;&lt;/titles&gt;&lt;pages&gt;365-383&lt;/pages&gt;&lt;number&gt;2&lt;/number&gt;&lt;contributors&gt;&lt;authors&gt;&lt;author&gt;Bensaude-Vincent, Bernadette&lt;/author&gt;&lt;author&gt;Loeve, Sacha&lt;/author&gt;&lt;author&gt;Nordmann, Alfred&lt;/author&gt;&lt;author&gt;Schwarz, Astrid&lt;/author&gt;&lt;/authors&gt;&lt;/contributors&gt;&lt;added-date format="utc"&gt;1542813302&lt;/added-date&gt;&lt;pub-location&gt;Dordrecht&lt;/pub-location&gt;&lt;ref-type name="Journal Article"&gt;17&lt;/ref-type&gt;&lt;dates&gt;&lt;year&gt;2011&lt;/year&gt;&lt;/dates&gt;&lt;rec-number&gt;7682&lt;/rec-number&gt;&lt;last-updated-date format="utc"&gt;1542813302&lt;/last-updated-date&gt;&lt;electronic-resource-num&gt;10.1007/s10838-011-9172-y&lt;/electronic-resource-num&gt;&lt;volume&gt;42&lt;/volume&gt;&lt;/record&gt;&lt;/Cite&gt;&lt;/EndNote&gt;</w:instrText>
      </w:r>
      <w:r w:rsidR="009C40D8" w:rsidRPr="002A2655">
        <w:rPr>
          <w:color w:val="000000"/>
          <w:sz w:val="24"/>
          <w:szCs w:val="24"/>
        </w:rPr>
        <w:fldChar w:fldCharType="separate"/>
      </w:r>
      <w:r w:rsidR="009C40D8">
        <w:rPr>
          <w:noProof/>
          <w:color w:val="000000"/>
          <w:sz w:val="24"/>
          <w:szCs w:val="24"/>
        </w:rPr>
        <w:t>(Bensaude-Vincent et al., 2011, p. 366)</w:t>
      </w:r>
      <w:r w:rsidR="009C40D8" w:rsidRPr="002A2655">
        <w:rPr>
          <w:color w:val="000000"/>
          <w:sz w:val="24"/>
          <w:szCs w:val="24"/>
        </w:rPr>
        <w:fldChar w:fldCharType="end"/>
      </w:r>
      <w:r w:rsidR="009C40D8" w:rsidRPr="002A2655">
        <w:rPr>
          <w:color w:val="000000"/>
          <w:sz w:val="24"/>
          <w:szCs w:val="24"/>
        </w:rPr>
        <w:t xml:space="preserve"> and “construct” </w:t>
      </w:r>
      <w:r w:rsidR="009C40D8" w:rsidRPr="002A2655">
        <w:rPr>
          <w:color w:val="000000"/>
          <w:sz w:val="24"/>
          <w:szCs w:val="24"/>
        </w:rPr>
        <w:fldChar w:fldCharType="begin"/>
      </w:r>
      <w:r w:rsidR="009C40D8" w:rsidRPr="002A2655">
        <w:rPr>
          <w:color w:val="000000"/>
          <w:sz w:val="24"/>
          <w:szCs w:val="24"/>
        </w:rPr>
        <w:instrText xml:space="preserve"> ADDIN EN.CITE &lt;EndNote&gt;&lt;Cite&gt;&lt;Author&gt;Schmidt&lt;/Author&gt;&lt;Year&gt;2011&lt;/Year&gt;&lt;IDText&gt;Toward an epistemology of nano- technosciences&lt;/IDText&gt;&lt;Pages&gt;104&lt;/Pages&gt;&lt;DisplayText&gt;(Schmidt, 2011, p. 104)&lt;/DisplayText&gt;&lt;record&gt;&lt;keywords&gt;&lt;keyword&gt;Prevalence Studies (Epidemiology) -- Analysis&lt;/keyword&gt;&lt;keyword&gt;Prevalence Studies (Epidemiology) -- Investigations&lt;/keyword&gt;&lt;/keywords&gt;&lt;isbn&gt;1615-6609&lt;/isbn&gt;&lt;titles&gt;&lt;title&gt;Toward an epistemology of nano- technosciences&lt;/title&gt;&lt;secondary-title&gt;International Journal of Ethics of Science and Technology Assessment&lt;/secondary-title&gt;&lt;/titles&gt;&lt;pages&gt;103-124&lt;/pages&gt;&lt;number&gt;2&lt;/number&gt;&lt;contributors&gt;&lt;authors&gt;&lt;author&gt;Schmidt, Jan&lt;/author&gt;&lt;/authors&gt;&lt;/contributors&gt;&lt;added-date format="utc"&gt;1542813857&lt;/added-date&gt;&lt;pub-location&gt;Berlin/Heidelberg&lt;/pub-location&gt;&lt;ref-type name="Journal Article"&gt;17&lt;/ref-type&gt;&lt;dates&gt;&lt;year&gt;2011&lt;/year&gt;&lt;/dates&gt;&lt;rec-number&gt;7683&lt;/rec-number&gt;&lt;last-updated-date format="utc"&gt;1542813857&lt;/last-updated-date&gt;&lt;electronic-resource-num&gt;10.1007/s10202-011-0104-z&lt;/electronic-resource-num&gt;&lt;volume&gt;8&lt;/volume&gt;&lt;/record&gt;&lt;/Cite&gt;&lt;/EndNote&gt;</w:instrText>
      </w:r>
      <w:r w:rsidR="009C40D8" w:rsidRPr="002A2655">
        <w:rPr>
          <w:color w:val="000000"/>
          <w:sz w:val="24"/>
          <w:szCs w:val="24"/>
        </w:rPr>
        <w:fldChar w:fldCharType="separate"/>
      </w:r>
      <w:r w:rsidR="009C40D8" w:rsidRPr="002A2655">
        <w:rPr>
          <w:noProof/>
          <w:color w:val="000000"/>
          <w:sz w:val="24"/>
          <w:szCs w:val="24"/>
        </w:rPr>
        <w:t>(Schmidt, 2011, p. 104)</w:t>
      </w:r>
      <w:r w:rsidR="009C40D8" w:rsidRPr="002A2655">
        <w:rPr>
          <w:color w:val="000000"/>
          <w:sz w:val="24"/>
          <w:szCs w:val="24"/>
        </w:rPr>
        <w:fldChar w:fldCharType="end"/>
      </w:r>
      <w:r w:rsidR="009C40D8" w:rsidRPr="002A2655">
        <w:rPr>
          <w:color w:val="000000"/>
          <w:sz w:val="24"/>
          <w:szCs w:val="24"/>
        </w:rPr>
        <w:t xml:space="preserve"> the world in which we (desire) to live</w:t>
      </w:r>
      <w:r w:rsidR="009C40D8">
        <w:rPr>
          <w:color w:val="000000"/>
          <w:sz w:val="24"/>
          <w:szCs w:val="24"/>
        </w:rPr>
        <w:t xml:space="preserve">. </w:t>
      </w:r>
      <w:r w:rsidR="00D6430C">
        <w:rPr>
          <w:color w:val="000000"/>
          <w:sz w:val="24"/>
          <w:szCs w:val="24"/>
        </w:rPr>
        <w:t>This situation describes well many of the BoRs in my research</w:t>
      </w:r>
      <w:r w:rsidR="00A32F0C">
        <w:rPr>
          <w:color w:val="000000"/>
          <w:sz w:val="24"/>
          <w:szCs w:val="24"/>
        </w:rPr>
        <w:t xml:space="preserve"> sampled</w:t>
      </w:r>
      <w:r w:rsidR="00D6430C">
        <w:rPr>
          <w:color w:val="000000"/>
          <w:sz w:val="24"/>
          <w:szCs w:val="24"/>
        </w:rPr>
        <w:t xml:space="preserve"> from Basic disciplines (mathematics, biology, chemistry and physics)</w:t>
      </w:r>
      <w:r w:rsidR="00204BA2">
        <w:rPr>
          <w:color w:val="000000"/>
          <w:sz w:val="24"/>
          <w:szCs w:val="24"/>
        </w:rPr>
        <w:t xml:space="preserve">, </w:t>
      </w:r>
      <w:r w:rsidR="000806DB">
        <w:rPr>
          <w:color w:val="000000"/>
          <w:sz w:val="24"/>
          <w:szCs w:val="24"/>
        </w:rPr>
        <w:t>where</w:t>
      </w:r>
      <w:r w:rsidR="00204BA2">
        <w:rPr>
          <w:color w:val="000000"/>
          <w:sz w:val="24"/>
          <w:szCs w:val="24"/>
        </w:rPr>
        <w:t xml:space="preserve"> these external sources of ‘power’ and ‘control’ over science </w:t>
      </w:r>
      <w:r w:rsidR="000806DB">
        <w:rPr>
          <w:color w:val="000000"/>
          <w:sz w:val="24"/>
          <w:szCs w:val="24"/>
        </w:rPr>
        <w:t xml:space="preserve">became </w:t>
      </w:r>
      <w:r w:rsidR="00204BA2">
        <w:rPr>
          <w:color w:val="000000"/>
          <w:sz w:val="24"/>
          <w:szCs w:val="24"/>
        </w:rPr>
        <w:t xml:space="preserve">manifest in the relatively high levels of ‘boundary spanning’ scientists </w:t>
      </w:r>
      <w:r w:rsidR="000806DB">
        <w:rPr>
          <w:color w:val="000000"/>
          <w:sz w:val="24"/>
          <w:szCs w:val="24"/>
        </w:rPr>
        <w:t>associated with</w:t>
      </w:r>
      <w:r w:rsidR="00204BA2">
        <w:rPr>
          <w:color w:val="000000"/>
          <w:sz w:val="24"/>
          <w:szCs w:val="24"/>
        </w:rPr>
        <w:t xml:space="preserve"> these BoRs who had significant expertise and experience in both academia and industry (see discussion</w:t>
      </w:r>
      <w:r w:rsidR="00204BA2" w:rsidRPr="00204BA2">
        <w:rPr>
          <w:color w:val="000000"/>
          <w:sz w:val="24"/>
          <w:szCs w:val="24"/>
        </w:rPr>
        <w:t xml:space="preserve"> around </w:t>
      </w:r>
      <w:r w:rsidR="00204BA2" w:rsidRPr="00204BA2">
        <w:rPr>
          <w:color w:val="000000"/>
          <w:sz w:val="24"/>
          <w:szCs w:val="24"/>
        </w:rPr>
        <w:fldChar w:fldCharType="begin"/>
      </w:r>
      <w:r w:rsidR="00204BA2" w:rsidRPr="00204BA2">
        <w:rPr>
          <w:color w:val="000000"/>
          <w:sz w:val="24"/>
          <w:szCs w:val="24"/>
        </w:rPr>
        <w:instrText xml:space="preserve"> REF _Ref11836344 \h </w:instrText>
      </w:r>
      <w:r w:rsidR="00204BA2">
        <w:rPr>
          <w:color w:val="000000"/>
          <w:sz w:val="24"/>
          <w:szCs w:val="24"/>
        </w:rPr>
        <w:instrText xml:space="preserve"> \* MERGEFORMAT </w:instrText>
      </w:r>
      <w:r w:rsidR="00204BA2" w:rsidRPr="00204BA2">
        <w:rPr>
          <w:color w:val="000000"/>
          <w:sz w:val="24"/>
          <w:szCs w:val="24"/>
        </w:rPr>
      </w:r>
      <w:r w:rsidR="00204BA2" w:rsidRPr="00204BA2">
        <w:rPr>
          <w:color w:val="000000"/>
          <w:sz w:val="24"/>
          <w:szCs w:val="24"/>
        </w:rPr>
        <w:fldChar w:fldCharType="separate"/>
      </w:r>
      <w:r w:rsidR="0011424E" w:rsidRPr="0011424E">
        <w:rPr>
          <w:sz w:val="24"/>
          <w:szCs w:val="24"/>
        </w:rPr>
        <w:t xml:space="preserve">Figure </w:t>
      </w:r>
      <w:r w:rsidR="0011424E" w:rsidRPr="0011424E">
        <w:rPr>
          <w:noProof/>
          <w:sz w:val="24"/>
          <w:szCs w:val="24"/>
        </w:rPr>
        <w:t>16</w:t>
      </w:r>
      <w:r w:rsidR="00204BA2" w:rsidRPr="00204BA2">
        <w:rPr>
          <w:color w:val="000000"/>
          <w:sz w:val="24"/>
          <w:szCs w:val="24"/>
        </w:rPr>
        <w:fldChar w:fldCharType="end"/>
      </w:r>
      <w:r w:rsidR="00204BA2" w:rsidRPr="00204BA2">
        <w:rPr>
          <w:color w:val="000000"/>
          <w:sz w:val="24"/>
          <w:szCs w:val="24"/>
        </w:rPr>
        <w:t>).</w:t>
      </w:r>
      <w:r w:rsidR="00204BA2">
        <w:rPr>
          <w:color w:val="000000"/>
          <w:sz w:val="24"/>
          <w:szCs w:val="24"/>
        </w:rPr>
        <w:t xml:space="preserve"> </w:t>
      </w:r>
    </w:p>
    <w:p w14:paraId="44151316" w14:textId="3F25D9E5" w:rsidR="009C40D8" w:rsidRDefault="009C40D8" w:rsidP="009C40D8">
      <w:pPr>
        <w:spacing w:after="120" w:line="360" w:lineRule="auto"/>
        <w:rPr>
          <w:sz w:val="24"/>
          <w:szCs w:val="24"/>
        </w:rPr>
      </w:pPr>
      <w:r>
        <w:rPr>
          <w:color w:val="000000"/>
          <w:sz w:val="24"/>
          <w:szCs w:val="24"/>
        </w:rPr>
        <w:t xml:space="preserve">Also largely beyond academic control is the system of ‘mode 2’ knowledge production (Gibbons et al., 1994). </w:t>
      </w:r>
      <w:r>
        <w:rPr>
          <w:sz w:val="24"/>
          <w:szCs w:val="24"/>
        </w:rPr>
        <w:t>It is now more than two decades since the prevalence of ‘mode 2’ research started provoking concerns of a post-academic science (Ziman, 1996). Regardless of one’s view on this assessment,</w:t>
      </w:r>
      <w:r>
        <w:rPr>
          <w:color w:val="000000"/>
          <w:sz w:val="24"/>
          <w:szCs w:val="24"/>
        </w:rPr>
        <w:t xml:space="preserve"> ‘mode 2’ forms of knowledge production –</w:t>
      </w:r>
      <w:r>
        <w:rPr>
          <w:sz w:val="24"/>
          <w:szCs w:val="24"/>
          <w:lang w:eastAsia="zh-TW"/>
        </w:rPr>
        <w:t xml:space="preserve"> “transdisciplinary and ... organized around problems that are defined by the context of use” (McNie et al., 2016, p. 888) – pose significant challenges to academia’s </w:t>
      </w:r>
      <w:r w:rsidR="00A61777">
        <w:rPr>
          <w:sz w:val="24"/>
          <w:szCs w:val="24"/>
          <w:lang w:eastAsia="zh-TW"/>
        </w:rPr>
        <w:t>perceived ‘</w:t>
      </w:r>
      <w:r>
        <w:rPr>
          <w:sz w:val="24"/>
          <w:szCs w:val="24"/>
          <w:lang w:eastAsia="zh-TW"/>
        </w:rPr>
        <w:t>natural</w:t>
      </w:r>
      <w:r w:rsidR="00A61777">
        <w:rPr>
          <w:sz w:val="24"/>
          <w:szCs w:val="24"/>
          <w:lang w:eastAsia="zh-TW"/>
        </w:rPr>
        <w:t>’</w:t>
      </w:r>
      <w:r>
        <w:rPr>
          <w:sz w:val="24"/>
          <w:szCs w:val="24"/>
          <w:lang w:eastAsia="zh-TW"/>
        </w:rPr>
        <w:t xml:space="preserve"> or preferred mode</w:t>
      </w:r>
      <w:r w:rsidR="005451F4">
        <w:rPr>
          <w:sz w:val="24"/>
          <w:szCs w:val="24"/>
          <w:lang w:eastAsia="zh-TW"/>
        </w:rPr>
        <w:t xml:space="preserve">, </w:t>
      </w:r>
      <w:r>
        <w:rPr>
          <w:sz w:val="24"/>
          <w:szCs w:val="24"/>
          <w:lang w:eastAsia="zh-TW"/>
        </w:rPr>
        <w:t>governed by rule</w:t>
      </w:r>
      <w:r w:rsidR="005451F4">
        <w:rPr>
          <w:sz w:val="24"/>
          <w:szCs w:val="24"/>
          <w:lang w:eastAsia="zh-TW"/>
        </w:rPr>
        <w:t>s</w:t>
      </w:r>
      <w:r>
        <w:rPr>
          <w:sz w:val="24"/>
          <w:szCs w:val="24"/>
          <w:lang w:eastAsia="zh-TW"/>
        </w:rPr>
        <w:t xml:space="preserve"> derived internally from academia, anchored primarily in disciplinary communities and driven to advance the reach and generalisability of disciplinary theory. They also challenge the criteria for reliable and prestigious knowledge. </w:t>
      </w:r>
      <w:r>
        <w:rPr>
          <w:iCs/>
          <w:sz w:val="24"/>
          <w:szCs w:val="24"/>
        </w:rPr>
        <w:t xml:space="preserve">Under </w:t>
      </w:r>
      <w:r w:rsidR="005451F4">
        <w:rPr>
          <w:iCs/>
          <w:sz w:val="24"/>
          <w:szCs w:val="24"/>
        </w:rPr>
        <w:t>m</w:t>
      </w:r>
      <w:r>
        <w:rPr>
          <w:iCs/>
          <w:sz w:val="24"/>
          <w:szCs w:val="24"/>
        </w:rPr>
        <w:t xml:space="preserve">ode 2, it is no longer sufficient that epistemologies be scientifically </w:t>
      </w:r>
      <w:r>
        <w:rPr>
          <w:sz w:val="24"/>
          <w:szCs w:val="24"/>
        </w:rPr>
        <w:t>“</w:t>
      </w:r>
      <w:r w:rsidRPr="00575705">
        <w:rPr>
          <w:iCs/>
          <w:sz w:val="24"/>
          <w:szCs w:val="24"/>
        </w:rPr>
        <w:t>reliable...; knowledge also needs to be ‘socially robust’</w:t>
      </w:r>
      <w:r>
        <w:rPr>
          <w:sz w:val="24"/>
          <w:szCs w:val="24"/>
        </w:rPr>
        <w:t xml:space="preserve">, because its validity is no longer determined solely, or predominantly, by narrowly circumscribed scientific communities, but by much wider communities of engagement comprising knowledge producers, disseminators, traders, and users” </w:t>
      </w:r>
      <w:r>
        <w:rPr>
          <w:sz w:val="24"/>
          <w:szCs w:val="24"/>
        </w:rPr>
        <w:fldChar w:fldCharType="begin"/>
      </w:r>
      <w:r>
        <w:rPr>
          <w:sz w:val="24"/>
          <w:szCs w:val="24"/>
        </w:rPr>
        <w:instrText xml:space="preserve"> ADDIN EN.CITE &lt;EndNote&gt;&lt;Cite&gt;&lt;Author&gt;Nowotny&lt;/Author&gt;&lt;Year&gt;2003&lt;/Year&gt;&lt;IDText&gt;Introduction: &amp;apos;Mode 2&amp;apos; revisited: the new production of knowledge&lt;/IDText&gt;&lt;Pages&gt;191-192&lt;/Pages&gt;&lt;DisplayText&gt;(Nowotny et al., 2003, pp. 191-192)&lt;/DisplayText&gt;&lt;record&gt;&lt;keywords&gt;&lt;keyword&gt;Science&lt;/keyword&gt;&lt;keyword&gt;Knowledge&lt;/keyword&gt;&lt;keyword&gt;Knowledge Management&lt;/keyword&gt;&lt;keyword&gt;Scientific Research&lt;/keyword&gt;&lt;keyword&gt;Scientific Discoveries&lt;/keyword&gt;&lt;keyword&gt;Scientific Communities&lt;/keyword&gt;&lt;keyword&gt;Sociology of Science&lt;/keyword&gt;&lt;keyword&gt;Sociology of Knowledge&lt;/keyword&gt;&lt;keyword&gt;Philosophy of Science&lt;/keyword&gt;&lt;keyword&gt;Sociology&lt;/keyword&gt;&lt;/keywords&gt;&lt;isbn&gt;0026-4695&lt;/isbn&gt;&lt;titles&gt;&lt;title&gt;Introduction: &amp;apos;Mode 2&amp;apos; revisited: the new production of knowledge&lt;/title&gt;&lt;secondary-title&gt;Minerva&lt;/secondary-title&gt;&lt;/titles&gt;&lt;pages&gt;179-194&lt;/pages&gt;&lt;number&gt;3&lt;/number&gt;&lt;contributors&gt;&lt;authors&gt;&lt;author&gt;Nowotny, Helga&lt;/author&gt;&lt;author&gt;Scott, Peter&lt;/author&gt;&lt;author&gt;Gibbons, Michael&lt;/author&gt;&lt;/authors&gt;&lt;/contributors&gt;&lt;added-date format="utc"&gt;1529380888&lt;/added-date&gt;&lt;ref-type name="Journal Article"&gt;17&lt;/ref-type&gt;&lt;dates&gt;&lt;year&gt;2003&lt;/year&gt;&lt;/dates&gt;&lt;rec-number&gt;7563&lt;/rec-number&gt;&lt;last-updated-date format="utc"&gt;1529380888&lt;/last-updated-date&gt;&lt;volume&gt;xli&lt;/volume&gt;&lt;/record&gt;&lt;/Cite&gt;&lt;/EndNote&gt;</w:instrText>
      </w:r>
      <w:r>
        <w:rPr>
          <w:sz w:val="24"/>
          <w:szCs w:val="24"/>
        </w:rPr>
        <w:fldChar w:fldCharType="separate"/>
      </w:r>
      <w:r>
        <w:rPr>
          <w:noProof/>
          <w:sz w:val="24"/>
          <w:szCs w:val="24"/>
        </w:rPr>
        <w:t>(Nowotny et al., 2003, pp. 191-192)</w:t>
      </w:r>
      <w:r>
        <w:rPr>
          <w:sz w:val="24"/>
          <w:szCs w:val="24"/>
        </w:rPr>
        <w:fldChar w:fldCharType="end"/>
      </w:r>
      <w:r>
        <w:rPr>
          <w:sz w:val="24"/>
          <w:szCs w:val="24"/>
        </w:rPr>
        <w:t>.</w:t>
      </w:r>
      <w:r w:rsidR="00306B28">
        <w:rPr>
          <w:sz w:val="24"/>
          <w:szCs w:val="24"/>
        </w:rPr>
        <w:t xml:space="preserve"> In</w:t>
      </w:r>
      <w:r w:rsidR="00CF1699">
        <w:rPr>
          <w:sz w:val="24"/>
          <w:szCs w:val="24"/>
        </w:rPr>
        <w:t>deed,</w:t>
      </w:r>
      <w:r w:rsidR="00306B28">
        <w:rPr>
          <w:sz w:val="24"/>
          <w:szCs w:val="24"/>
        </w:rPr>
        <w:t xml:space="preserve"> the BoRs I sampled from Applied disciplines (e.g. engineering, materials science and medicine)</w:t>
      </w:r>
      <w:r w:rsidR="00CF1699">
        <w:rPr>
          <w:sz w:val="24"/>
          <w:szCs w:val="24"/>
        </w:rPr>
        <w:t xml:space="preserve"> displayed significant, sometimes even </w:t>
      </w:r>
      <w:r w:rsidR="0066514C">
        <w:rPr>
          <w:sz w:val="24"/>
          <w:szCs w:val="24"/>
        </w:rPr>
        <w:t xml:space="preserve">quite </w:t>
      </w:r>
      <w:r w:rsidR="00CF1699">
        <w:rPr>
          <w:sz w:val="24"/>
          <w:szCs w:val="24"/>
        </w:rPr>
        <w:t>extreme ‘mode 2’ characteristics</w:t>
      </w:r>
      <w:r w:rsidR="00905604">
        <w:rPr>
          <w:sz w:val="24"/>
          <w:szCs w:val="24"/>
        </w:rPr>
        <w:t>,</w:t>
      </w:r>
      <w:r w:rsidR="00CF1699">
        <w:rPr>
          <w:sz w:val="24"/>
          <w:szCs w:val="24"/>
        </w:rPr>
        <w:t xml:space="preserve"> in terms of prioritising the use and impact of research over the theoretical relevance or depth of understanding achieved by research. </w:t>
      </w:r>
      <w:r w:rsidR="00905604">
        <w:rPr>
          <w:sz w:val="24"/>
          <w:szCs w:val="24"/>
        </w:rPr>
        <w:t>In many of these BoRs,</w:t>
      </w:r>
      <w:r w:rsidR="00CF1699">
        <w:rPr>
          <w:sz w:val="24"/>
          <w:szCs w:val="24"/>
        </w:rPr>
        <w:t xml:space="preserve"> scientific expertise and effort </w:t>
      </w:r>
      <w:r w:rsidR="00905604">
        <w:rPr>
          <w:sz w:val="24"/>
          <w:szCs w:val="24"/>
        </w:rPr>
        <w:t>wa</w:t>
      </w:r>
      <w:r w:rsidR="00CF1699">
        <w:rPr>
          <w:sz w:val="24"/>
          <w:szCs w:val="24"/>
        </w:rPr>
        <w:t>s co-ordinated around the integrating principle of collaborating to find transdisciplinary solutions to localised social, economic and technological problems</w:t>
      </w:r>
      <w:r w:rsidR="00905604">
        <w:rPr>
          <w:sz w:val="24"/>
          <w:szCs w:val="24"/>
        </w:rPr>
        <w:t>, rather than around the integrating principle of advancing disciplinary knowledge.</w:t>
      </w:r>
    </w:p>
    <w:p w14:paraId="18DC0246" w14:textId="7AE7D47C" w:rsidR="00273F18" w:rsidRPr="00273F18" w:rsidRDefault="005F0EF0" w:rsidP="009C40D8">
      <w:pPr>
        <w:spacing w:after="120" w:line="360" w:lineRule="auto"/>
        <w:rPr>
          <w:iCs/>
          <w:sz w:val="24"/>
          <w:szCs w:val="24"/>
        </w:rPr>
      </w:pPr>
      <w:r w:rsidRPr="00A30D68">
        <w:rPr>
          <w:iCs/>
          <w:sz w:val="24"/>
          <w:szCs w:val="24"/>
        </w:rPr>
        <w:t xml:space="preserve">These insights highlight that </w:t>
      </w:r>
      <w:r w:rsidR="00273F18" w:rsidRPr="00A30D68">
        <w:rPr>
          <w:iCs/>
          <w:sz w:val="24"/>
          <w:szCs w:val="24"/>
        </w:rPr>
        <w:t xml:space="preserve">academia, although arguably the core institution of science, does not hold a monopoly over science. Rather, there are significant </w:t>
      </w:r>
      <w:r w:rsidR="00273F18" w:rsidRPr="00A30D68">
        <w:rPr>
          <w:i/>
          <w:iCs/>
          <w:sz w:val="24"/>
          <w:szCs w:val="24"/>
        </w:rPr>
        <w:t>non-academic sources of ‘power’ and ‘control’ over the scientific system</w:t>
      </w:r>
      <w:r w:rsidR="00273F18" w:rsidRPr="00A30D68">
        <w:rPr>
          <w:iCs/>
          <w:sz w:val="24"/>
          <w:szCs w:val="24"/>
        </w:rPr>
        <w:t>, and there are significant interdependencies, interactions and flows of influence between the objectives, interests and activities of academic and non-academic scientific institutions and stakeholders.</w:t>
      </w:r>
      <w:r w:rsidR="00273F18">
        <w:rPr>
          <w:iCs/>
          <w:sz w:val="24"/>
          <w:szCs w:val="24"/>
        </w:rPr>
        <w:t xml:space="preserve">  </w:t>
      </w:r>
    </w:p>
    <w:p w14:paraId="778A01BD" w14:textId="4198E242" w:rsidR="009C40D8" w:rsidRDefault="009C40D8" w:rsidP="005B0C7D">
      <w:pPr>
        <w:pStyle w:val="Heading3"/>
      </w:pPr>
      <w:bookmarkStart w:id="227" w:name="_Toc31702002"/>
      <w:r>
        <w:t>Tensions in boundary reproduction: Variation and imbalance in internal sources of power</w:t>
      </w:r>
      <w:bookmarkEnd w:id="227"/>
    </w:p>
    <w:p w14:paraId="0471AC32" w14:textId="4365C52A" w:rsidR="009C40D8" w:rsidRPr="00A159DA" w:rsidRDefault="009C40D8" w:rsidP="009C40D8">
      <w:pPr>
        <w:spacing w:after="120" w:line="360" w:lineRule="auto"/>
        <w:rPr>
          <w:sz w:val="24"/>
          <w:szCs w:val="24"/>
        </w:rPr>
      </w:pPr>
      <w:r w:rsidRPr="00A159DA">
        <w:rPr>
          <w:sz w:val="24"/>
          <w:szCs w:val="24"/>
        </w:rPr>
        <w:t>Another source of tension derives from the variations in the experience of academic research across dimensions of disciplinary and institutional context. For example, BoRs from what I referred to as ‘elite’ departments</w:t>
      </w:r>
      <w:r w:rsidR="001F5E17">
        <w:rPr>
          <w:sz w:val="24"/>
          <w:szCs w:val="24"/>
        </w:rPr>
        <w:t xml:space="preserve"> (those which achieved a high Overall rating in REF2014 </w:t>
      </w:r>
      <w:r w:rsidR="001F5E17">
        <w:rPr>
          <w:i/>
          <w:iCs/>
          <w:sz w:val="24"/>
          <w:szCs w:val="24"/>
        </w:rPr>
        <w:t xml:space="preserve">and </w:t>
      </w:r>
      <w:r w:rsidR="001F5E17">
        <w:rPr>
          <w:sz w:val="24"/>
          <w:szCs w:val="24"/>
        </w:rPr>
        <w:t>which are based in ‘prestigious’ universities, as defined in Chapter 3)</w:t>
      </w:r>
      <w:r w:rsidRPr="00A159DA">
        <w:rPr>
          <w:sz w:val="24"/>
          <w:szCs w:val="24"/>
        </w:rPr>
        <w:t xml:space="preserve"> often exhibited different kinds of boundary transactions than those from ‘non-elite’ (comprising the categories of ‘more’ and ‘less’ prestigious) departments. The focus in ‘elite’ contexts was often on </w:t>
      </w:r>
      <w:r w:rsidR="00477A6E">
        <w:rPr>
          <w:sz w:val="24"/>
          <w:szCs w:val="24"/>
        </w:rPr>
        <w:t>boundary transactions which took the form of</w:t>
      </w:r>
      <w:r w:rsidRPr="00A159DA">
        <w:rPr>
          <w:sz w:val="24"/>
          <w:szCs w:val="24"/>
        </w:rPr>
        <w:t xml:space="preserve"> ‘use-oriented outputs’ (‘boundary objects’) which had immediate applicability for users, </w:t>
      </w:r>
      <w:r w:rsidR="001F5E17">
        <w:rPr>
          <w:sz w:val="24"/>
          <w:szCs w:val="24"/>
        </w:rPr>
        <w:t>and</w:t>
      </w:r>
      <w:r w:rsidRPr="00A159DA">
        <w:rPr>
          <w:sz w:val="24"/>
          <w:szCs w:val="24"/>
        </w:rPr>
        <w:t xml:space="preserve"> they tended to exhibit fewer examples of the more interpersonal forms of boundary transaction such as ‘outreach’ and ‘collaboration’ (in the form of co-authorship). Similarly, there was also variation by branch of science. For example, </w:t>
      </w:r>
      <w:r w:rsidR="006F2D5D">
        <w:rPr>
          <w:sz w:val="24"/>
          <w:szCs w:val="24"/>
        </w:rPr>
        <w:t>F</w:t>
      </w:r>
      <w:r w:rsidRPr="00A159DA">
        <w:rPr>
          <w:sz w:val="24"/>
          <w:szCs w:val="24"/>
        </w:rPr>
        <w:t>ormal scientists</w:t>
      </w:r>
      <w:r w:rsidR="009928C1">
        <w:rPr>
          <w:sz w:val="24"/>
          <w:szCs w:val="24"/>
        </w:rPr>
        <w:t xml:space="preserve"> (</w:t>
      </w:r>
      <w:r w:rsidR="00827B96">
        <w:rPr>
          <w:sz w:val="24"/>
          <w:szCs w:val="24"/>
        </w:rPr>
        <w:t>i.e., mathematically-based disciplines such as informatics and much engineering)</w:t>
      </w:r>
      <w:r w:rsidRPr="00A159DA">
        <w:rPr>
          <w:sz w:val="24"/>
          <w:szCs w:val="24"/>
        </w:rPr>
        <w:t xml:space="preserve"> typically faced far fewer boundary challenges because they almost exclusively transact with external actors who have PhDs and have maintained </w:t>
      </w:r>
      <w:r w:rsidR="006F2D5D">
        <w:rPr>
          <w:sz w:val="24"/>
          <w:szCs w:val="24"/>
        </w:rPr>
        <w:t xml:space="preserve">significant links with academia and, arguably, retained </w:t>
      </w:r>
      <w:r w:rsidRPr="00A159DA">
        <w:rPr>
          <w:sz w:val="24"/>
          <w:szCs w:val="24"/>
        </w:rPr>
        <w:t xml:space="preserve">something of </w:t>
      </w:r>
      <w:r w:rsidR="006F2D5D">
        <w:rPr>
          <w:sz w:val="24"/>
          <w:szCs w:val="24"/>
        </w:rPr>
        <w:t>an</w:t>
      </w:r>
      <w:r w:rsidRPr="00A159DA">
        <w:rPr>
          <w:sz w:val="24"/>
          <w:szCs w:val="24"/>
        </w:rPr>
        <w:t xml:space="preserve"> </w:t>
      </w:r>
      <w:r w:rsidR="006F2D5D">
        <w:rPr>
          <w:sz w:val="24"/>
          <w:szCs w:val="24"/>
        </w:rPr>
        <w:t>‘</w:t>
      </w:r>
      <w:r w:rsidRPr="00A159DA">
        <w:rPr>
          <w:sz w:val="24"/>
          <w:szCs w:val="24"/>
        </w:rPr>
        <w:t>academic identity</w:t>
      </w:r>
      <w:r w:rsidR="006F2D5D">
        <w:rPr>
          <w:sz w:val="24"/>
          <w:szCs w:val="24"/>
        </w:rPr>
        <w:t>’</w:t>
      </w:r>
      <w:r w:rsidRPr="00A159DA">
        <w:rPr>
          <w:sz w:val="24"/>
          <w:szCs w:val="24"/>
        </w:rPr>
        <w:t>, therefore greatly easing transactions</w:t>
      </w:r>
      <w:r w:rsidR="006F2D5D">
        <w:rPr>
          <w:sz w:val="24"/>
          <w:szCs w:val="24"/>
        </w:rPr>
        <w:t>. By contrast, L</w:t>
      </w:r>
      <w:r w:rsidRPr="00A159DA">
        <w:rPr>
          <w:sz w:val="24"/>
          <w:szCs w:val="24"/>
        </w:rPr>
        <w:t xml:space="preserve">ife scientists </w:t>
      </w:r>
      <w:r w:rsidR="009928C1">
        <w:rPr>
          <w:sz w:val="24"/>
          <w:szCs w:val="24"/>
        </w:rPr>
        <w:t>(</w:t>
      </w:r>
      <w:r w:rsidR="00827B96">
        <w:rPr>
          <w:sz w:val="24"/>
          <w:szCs w:val="24"/>
        </w:rPr>
        <w:t xml:space="preserve">e.g. </w:t>
      </w:r>
      <w:r w:rsidR="009928C1">
        <w:rPr>
          <w:sz w:val="24"/>
          <w:szCs w:val="24"/>
        </w:rPr>
        <w:t>biolog</w:t>
      </w:r>
      <w:r w:rsidR="00827B96">
        <w:rPr>
          <w:sz w:val="24"/>
          <w:szCs w:val="24"/>
        </w:rPr>
        <w:t>y</w:t>
      </w:r>
      <w:r w:rsidR="009928C1">
        <w:rPr>
          <w:sz w:val="24"/>
          <w:szCs w:val="24"/>
        </w:rPr>
        <w:t xml:space="preserve"> and medicine) </w:t>
      </w:r>
      <w:r w:rsidRPr="00A159DA">
        <w:rPr>
          <w:sz w:val="24"/>
          <w:szCs w:val="24"/>
        </w:rPr>
        <w:t xml:space="preserve">faced greater boundary transaction challenges as they interacted with a broader range of actors, most of whom do not have a shared academic background or </w:t>
      </w:r>
      <w:r w:rsidR="00CE4251">
        <w:rPr>
          <w:sz w:val="24"/>
          <w:szCs w:val="24"/>
        </w:rPr>
        <w:t xml:space="preserve">shared </w:t>
      </w:r>
      <w:r w:rsidRPr="00A159DA">
        <w:rPr>
          <w:sz w:val="24"/>
          <w:szCs w:val="24"/>
        </w:rPr>
        <w:t xml:space="preserve">understanding of scientific issues. </w:t>
      </w:r>
    </w:p>
    <w:p w14:paraId="691FD0C3" w14:textId="7D2053D2" w:rsidR="008A3796" w:rsidRDefault="009C40D8" w:rsidP="009C40D8">
      <w:pPr>
        <w:spacing w:before="120" w:after="120" w:line="360" w:lineRule="auto"/>
        <w:rPr>
          <w:sz w:val="24"/>
          <w:szCs w:val="24"/>
        </w:rPr>
      </w:pPr>
      <w:r w:rsidRPr="00A159DA">
        <w:rPr>
          <w:sz w:val="24"/>
          <w:szCs w:val="24"/>
        </w:rPr>
        <w:t xml:space="preserve">From one perspective, the main lesson from analysis of such variations is that they can best be understood as different manifestations of similar underpinning structures and forces. That is, as I have argued, there is a tension inherent in the distinct ‘identity’ of the bounded or ‘insulated’ university (Bernstein, 2000) and this is simply part of an ongoing and necessary interplay between the academia’s pursuit for both autonomy and legitimacy (B. R. Clark, 1985, 1987), which plays out differently in different contexts. However, the variations are not neutral but reveal an internal source of tension in the reproduction of boundaries. This is most apparent </w:t>
      </w:r>
      <w:r w:rsidR="00A75061">
        <w:rPr>
          <w:sz w:val="24"/>
          <w:szCs w:val="24"/>
        </w:rPr>
        <w:t xml:space="preserve">in </w:t>
      </w:r>
      <w:r w:rsidRPr="00A159DA">
        <w:rPr>
          <w:sz w:val="24"/>
          <w:szCs w:val="24"/>
        </w:rPr>
        <w:t xml:space="preserve">the observed variation between different institutional contexts in terms of prestige and reputation. </w:t>
      </w:r>
      <w:r w:rsidR="00827B96">
        <w:rPr>
          <w:sz w:val="24"/>
          <w:szCs w:val="24"/>
        </w:rPr>
        <w:t>‘Elite’</w:t>
      </w:r>
      <w:r w:rsidRPr="00A159DA">
        <w:rPr>
          <w:rFonts w:eastAsia="MalgunNew Roman"/>
          <w:sz w:val="24"/>
          <w:szCs w:val="24"/>
        </w:rPr>
        <w:t xml:space="preserve"> institutional contexts were found to be associated with a greater ability to resist pressures to engage in boundary transactions which disagree with their own sense of what is appropriate, valued or worthwhile</w:t>
      </w:r>
      <w:r w:rsidR="00827B96">
        <w:rPr>
          <w:rFonts w:eastAsia="MalgunNew Roman"/>
          <w:sz w:val="24"/>
          <w:szCs w:val="24"/>
        </w:rPr>
        <w:t>, exhibiting significant ‘power’ and ‘control’</w:t>
      </w:r>
      <w:r w:rsidRPr="00A159DA">
        <w:rPr>
          <w:rFonts w:eastAsia="MalgunNew Roman"/>
          <w:sz w:val="24"/>
          <w:szCs w:val="24"/>
        </w:rPr>
        <w:t xml:space="preserve">. By contrast, </w:t>
      </w:r>
      <w:r w:rsidR="00827B96">
        <w:rPr>
          <w:rFonts w:eastAsia="MalgunNew Roman"/>
          <w:sz w:val="24"/>
          <w:szCs w:val="24"/>
        </w:rPr>
        <w:t xml:space="preserve">‘non-elite’ </w:t>
      </w:r>
      <w:r w:rsidRPr="00A159DA">
        <w:rPr>
          <w:rFonts w:eastAsia="MalgunNew Roman"/>
          <w:sz w:val="24"/>
          <w:szCs w:val="24"/>
        </w:rPr>
        <w:t>universities were found to engage in boundary transactions which pose greater challenges to their academic identity and values and/or which involve transmitting knowledge in new, more user-oriented ways</w:t>
      </w:r>
      <w:r w:rsidR="00827B96">
        <w:rPr>
          <w:rFonts w:eastAsia="MalgunNew Roman"/>
          <w:sz w:val="24"/>
          <w:szCs w:val="24"/>
        </w:rPr>
        <w:t>, exhibiting less control over boundary transactions</w:t>
      </w:r>
      <w:r w:rsidRPr="00A159DA">
        <w:rPr>
          <w:rFonts w:eastAsia="MalgunNew Roman"/>
          <w:sz w:val="24"/>
          <w:szCs w:val="24"/>
        </w:rPr>
        <w:t>.</w:t>
      </w:r>
      <w:r w:rsidRPr="00A159DA">
        <w:rPr>
          <w:sz w:val="24"/>
          <w:szCs w:val="24"/>
        </w:rPr>
        <w:t xml:space="preserve"> This suggests that the effects of external forces challenging academic boundaries may be being mediated by differential distributions of power within academia, so that </w:t>
      </w:r>
      <w:r w:rsidR="00827B96">
        <w:rPr>
          <w:sz w:val="24"/>
          <w:szCs w:val="24"/>
        </w:rPr>
        <w:t>‘elite’</w:t>
      </w:r>
      <w:r w:rsidRPr="00A159DA">
        <w:rPr>
          <w:sz w:val="24"/>
          <w:szCs w:val="24"/>
        </w:rPr>
        <w:t xml:space="preserve"> institutions feel the effects less strongly. </w:t>
      </w:r>
      <w:r w:rsidR="005210F1">
        <w:rPr>
          <w:sz w:val="24"/>
          <w:szCs w:val="24"/>
        </w:rPr>
        <w:t>T</w:t>
      </w:r>
      <w:r w:rsidRPr="00A159DA">
        <w:rPr>
          <w:sz w:val="24"/>
          <w:szCs w:val="24"/>
        </w:rPr>
        <w:t>he reproduction of boundaries</w:t>
      </w:r>
      <w:r w:rsidR="005210F1">
        <w:rPr>
          <w:sz w:val="24"/>
          <w:szCs w:val="24"/>
        </w:rPr>
        <w:t xml:space="preserve"> therefore</w:t>
      </w:r>
      <w:r w:rsidRPr="00A159DA">
        <w:rPr>
          <w:sz w:val="24"/>
          <w:szCs w:val="24"/>
        </w:rPr>
        <w:t xml:space="preserve"> appears more uncertain from the perspective of less powerful institutions</w:t>
      </w:r>
      <w:r w:rsidR="00D5781D">
        <w:rPr>
          <w:sz w:val="24"/>
          <w:szCs w:val="24"/>
        </w:rPr>
        <w:t xml:space="preserve">. </w:t>
      </w:r>
    </w:p>
    <w:p w14:paraId="7B775FE6" w14:textId="20264914" w:rsidR="009C40D8" w:rsidRPr="009C40D8" w:rsidRDefault="009C40D8" w:rsidP="009C40D8">
      <w:pPr>
        <w:spacing w:before="120" w:after="120" w:line="360" w:lineRule="auto"/>
        <w:rPr>
          <w:sz w:val="24"/>
          <w:szCs w:val="24"/>
        </w:rPr>
      </w:pPr>
      <w:r w:rsidRPr="00A159DA">
        <w:rPr>
          <w:sz w:val="24"/>
          <w:szCs w:val="24"/>
        </w:rPr>
        <w:t>However,</w:t>
      </w:r>
      <w:r w:rsidR="00047FCF">
        <w:rPr>
          <w:sz w:val="24"/>
          <w:szCs w:val="24"/>
        </w:rPr>
        <w:t xml:space="preserve"> as has been highlighted throughout the analysis and earlier in the present chapter, boundary challenges are faced by all institutions, however p</w:t>
      </w:r>
      <w:r w:rsidR="00775AB1">
        <w:rPr>
          <w:sz w:val="24"/>
          <w:szCs w:val="24"/>
        </w:rPr>
        <w:t>restigious and powerful</w:t>
      </w:r>
      <w:r w:rsidR="00775AB1">
        <w:rPr>
          <w:rStyle w:val="FootnoteReference"/>
          <w:sz w:val="24"/>
          <w:szCs w:val="24"/>
        </w:rPr>
        <w:footnoteReference w:id="26"/>
      </w:r>
      <w:r w:rsidR="005E580A">
        <w:rPr>
          <w:sz w:val="24"/>
          <w:szCs w:val="24"/>
        </w:rPr>
        <w:t xml:space="preserve">. </w:t>
      </w:r>
      <w:r w:rsidRPr="00A159DA">
        <w:rPr>
          <w:sz w:val="24"/>
          <w:szCs w:val="24"/>
        </w:rPr>
        <w:t>It is on th</w:t>
      </w:r>
      <w:r w:rsidR="00167D86">
        <w:rPr>
          <w:sz w:val="24"/>
          <w:szCs w:val="24"/>
        </w:rPr>
        <w:t>e</w:t>
      </w:r>
      <w:r w:rsidRPr="00A159DA">
        <w:rPr>
          <w:sz w:val="24"/>
          <w:szCs w:val="24"/>
        </w:rPr>
        <w:t xml:space="preserve"> basis</w:t>
      </w:r>
      <w:r w:rsidR="00167D86">
        <w:rPr>
          <w:sz w:val="24"/>
          <w:szCs w:val="24"/>
        </w:rPr>
        <w:t xml:space="preserve"> of there being a general challenge to academia that</w:t>
      </w:r>
      <w:r w:rsidRPr="00A159DA">
        <w:rPr>
          <w:sz w:val="24"/>
          <w:szCs w:val="24"/>
        </w:rPr>
        <w:t xml:space="preserve"> I will </w:t>
      </w:r>
      <w:r w:rsidR="00167D86">
        <w:rPr>
          <w:sz w:val="24"/>
          <w:szCs w:val="24"/>
        </w:rPr>
        <w:t xml:space="preserve">proceed with discussion of the </w:t>
      </w:r>
      <w:r w:rsidRPr="00A159DA">
        <w:rPr>
          <w:sz w:val="24"/>
          <w:szCs w:val="24"/>
        </w:rPr>
        <w:t>wider implications of the study</w:t>
      </w:r>
      <w:r w:rsidR="00C8616F">
        <w:rPr>
          <w:sz w:val="24"/>
          <w:szCs w:val="24"/>
        </w:rPr>
        <w:t xml:space="preserve"> in the final section of this chapter</w:t>
      </w:r>
      <w:r w:rsidRPr="00A159DA">
        <w:rPr>
          <w:sz w:val="24"/>
          <w:szCs w:val="24"/>
        </w:rPr>
        <w:t>.</w:t>
      </w:r>
      <w:r w:rsidR="00167D86">
        <w:rPr>
          <w:sz w:val="24"/>
          <w:szCs w:val="24"/>
        </w:rPr>
        <w:t xml:space="preserve"> </w:t>
      </w:r>
      <w:r w:rsidR="00047FCF">
        <w:rPr>
          <w:sz w:val="24"/>
          <w:szCs w:val="24"/>
        </w:rPr>
        <w:t>First though, I will discuss some of the theoretical implications</w:t>
      </w:r>
      <w:r w:rsidR="00606B62">
        <w:rPr>
          <w:sz w:val="24"/>
          <w:szCs w:val="24"/>
        </w:rPr>
        <w:t xml:space="preserve"> of my analysis, focusing on </w:t>
      </w:r>
      <w:r w:rsidR="00047FCF">
        <w:rPr>
          <w:sz w:val="24"/>
          <w:szCs w:val="24"/>
        </w:rPr>
        <w:t xml:space="preserve">mechanisms and underpinning structures which help to explain my findings. </w:t>
      </w:r>
    </w:p>
    <w:p w14:paraId="71982F1D" w14:textId="3D0F6D40" w:rsidR="004B56C5" w:rsidRDefault="0067265C" w:rsidP="005B0C7D">
      <w:pPr>
        <w:pStyle w:val="Heading3"/>
      </w:pPr>
      <w:bookmarkStart w:id="228" w:name="_Toc31702003"/>
      <w:r>
        <w:t>Boundary m</w:t>
      </w:r>
      <w:r w:rsidR="003C1CEE">
        <w:t xml:space="preserve">echanisms </w:t>
      </w:r>
      <w:r w:rsidR="00256651">
        <w:t xml:space="preserve">and </w:t>
      </w:r>
      <w:r w:rsidR="00506376">
        <w:t xml:space="preserve">underpinning </w:t>
      </w:r>
      <w:r w:rsidR="00256651">
        <w:t>structures</w:t>
      </w:r>
      <w:bookmarkEnd w:id="228"/>
    </w:p>
    <w:p w14:paraId="62C3CA86" w14:textId="397A467A" w:rsidR="00B17EB1" w:rsidRDefault="0029563E" w:rsidP="00B17EB1">
      <w:pPr>
        <w:spacing w:after="120" w:line="360" w:lineRule="auto"/>
        <w:rPr>
          <w:sz w:val="24"/>
          <w:szCs w:val="24"/>
        </w:rPr>
      </w:pPr>
      <w:r>
        <w:rPr>
          <w:sz w:val="24"/>
          <w:szCs w:val="24"/>
        </w:rPr>
        <w:t xml:space="preserve">A literature review pointed me towards five main forms of boundary </w:t>
      </w:r>
      <w:r w:rsidR="006C37A6">
        <w:rPr>
          <w:sz w:val="24"/>
          <w:szCs w:val="24"/>
        </w:rPr>
        <w:t>transaction,</w:t>
      </w:r>
      <w:r>
        <w:rPr>
          <w:sz w:val="24"/>
          <w:szCs w:val="24"/>
        </w:rPr>
        <w:t xml:space="preserve"> and I found these suitable to capture and classify the boundary transactions identified in my sample of research.</w:t>
      </w:r>
      <w:r w:rsidR="00933C6A">
        <w:rPr>
          <w:sz w:val="24"/>
          <w:szCs w:val="24"/>
        </w:rPr>
        <w:t xml:space="preserve"> Th</w:t>
      </w:r>
      <w:r w:rsidR="001956AB">
        <w:rPr>
          <w:sz w:val="24"/>
          <w:szCs w:val="24"/>
        </w:rPr>
        <w:t>ese include</w:t>
      </w:r>
      <w:r w:rsidR="00C91367">
        <w:rPr>
          <w:sz w:val="24"/>
          <w:szCs w:val="24"/>
        </w:rPr>
        <w:t>d</w:t>
      </w:r>
      <w:r w:rsidR="001956AB">
        <w:rPr>
          <w:sz w:val="24"/>
          <w:szCs w:val="24"/>
        </w:rPr>
        <w:t xml:space="preserve"> </w:t>
      </w:r>
      <w:r w:rsidR="00933C6A">
        <w:rPr>
          <w:sz w:val="24"/>
          <w:szCs w:val="24"/>
        </w:rPr>
        <w:t xml:space="preserve">‘outreach’, ‘collaboration’, </w:t>
      </w:r>
      <w:r w:rsidR="00BB2FF8">
        <w:rPr>
          <w:sz w:val="24"/>
          <w:szCs w:val="24"/>
        </w:rPr>
        <w:t>‘use-focused output’</w:t>
      </w:r>
      <w:r w:rsidR="00933C6A">
        <w:rPr>
          <w:sz w:val="24"/>
          <w:szCs w:val="24"/>
        </w:rPr>
        <w:t>, ‘boundary structure</w:t>
      </w:r>
      <w:r w:rsidR="00A9455F">
        <w:rPr>
          <w:sz w:val="24"/>
          <w:szCs w:val="24"/>
        </w:rPr>
        <w:t>s</w:t>
      </w:r>
      <w:r w:rsidR="00933C6A">
        <w:rPr>
          <w:sz w:val="24"/>
          <w:szCs w:val="24"/>
        </w:rPr>
        <w:t xml:space="preserve">’ and </w:t>
      </w:r>
      <w:r w:rsidR="00BB2FF8">
        <w:rPr>
          <w:sz w:val="24"/>
          <w:szCs w:val="24"/>
        </w:rPr>
        <w:t>‘boundary-spanner</w:t>
      </w:r>
      <w:r w:rsidR="000D6BB2">
        <w:rPr>
          <w:sz w:val="24"/>
          <w:szCs w:val="24"/>
        </w:rPr>
        <w:t>s</w:t>
      </w:r>
      <w:r w:rsidR="00BB2FF8">
        <w:rPr>
          <w:sz w:val="24"/>
          <w:szCs w:val="24"/>
        </w:rPr>
        <w:t>’</w:t>
      </w:r>
      <w:r w:rsidR="00DD39FC">
        <w:rPr>
          <w:sz w:val="24"/>
          <w:szCs w:val="24"/>
        </w:rPr>
        <w:t xml:space="preserve"> (Chau et al., 2017; W.C. Clark et al., 2011; Hoffman, 2011; Vakkuri, 2004)</w:t>
      </w:r>
      <w:r w:rsidR="00933C6A">
        <w:rPr>
          <w:sz w:val="24"/>
          <w:szCs w:val="24"/>
        </w:rPr>
        <w:t>.</w:t>
      </w:r>
      <w:r w:rsidR="00BB18B8">
        <w:rPr>
          <w:sz w:val="24"/>
          <w:szCs w:val="24"/>
        </w:rPr>
        <w:t xml:space="preserve"> </w:t>
      </w:r>
      <w:r w:rsidR="00635313">
        <w:rPr>
          <w:sz w:val="24"/>
          <w:szCs w:val="24"/>
        </w:rPr>
        <w:t xml:space="preserve">Analysis </w:t>
      </w:r>
      <w:r w:rsidR="00066C71">
        <w:rPr>
          <w:sz w:val="24"/>
          <w:szCs w:val="24"/>
        </w:rPr>
        <w:t xml:space="preserve">revealed </w:t>
      </w:r>
      <w:r w:rsidR="00B80321">
        <w:rPr>
          <w:sz w:val="24"/>
          <w:szCs w:val="24"/>
        </w:rPr>
        <w:t>a nuanced and complex role for boundary transactions</w:t>
      </w:r>
      <w:r w:rsidR="00634ACE">
        <w:rPr>
          <w:sz w:val="24"/>
          <w:szCs w:val="24"/>
        </w:rPr>
        <w:t>. As well as</w:t>
      </w:r>
      <w:r w:rsidR="005B2698">
        <w:rPr>
          <w:sz w:val="24"/>
          <w:szCs w:val="24"/>
        </w:rPr>
        <w:t xml:space="preserve"> involving a crossing, loosening and opening up of boundaries</w:t>
      </w:r>
      <w:r w:rsidR="00D26437">
        <w:rPr>
          <w:sz w:val="24"/>
          <w:szCs w:val="24"/>
        </w:rPr>
        <w:t xml:space="preserve"> (Henkel, 2004)</w:t>
      </w:r>
      <w:r w:rsidR="005B2698">
        <w:rPr>
          <w:sz w:val="24"/>
          <w:szCs w:val="24"/>
        </w:rPr>
        <w:t xml:space="preserve">, I found that they often also served </w:t>
      </w:r>
      <w:r w:rsidR="003323E6">
        <w:rPr>
          <w:sz w:val="24"/>
          <w:szCs w:val="24"/>
        </w:rPr>
        <w:t xml:space="preserve">to sustain </w:t>
      </w:r>
      <w:r w:rsidR="005B2698">
        <w:rPr>
          <w:sz w:val="24"/>
          <w:szCs w:val="24"/>
        </w:rPr>
        <w:t>and potentially reproduce</w:t>
      </w:r>
      <w:r w:rsidR="003323E6">
        <w:rPr>
          <w:sz w:val="24"/>
          <w:szCs w:val="24"/>
        </w:rPr>
        <w:t xml:space="preserve"> </w:t>
      </w:r>
      <w:r w:rsidR="00400D9C">
        <w:rPr>
          <w:sz w:val="24"/>
          <w:szCs w:val="24"/>
        </w:rPr>
        <w:t>academic boundaries</w:t>
      </w:r>
      <w:r w:rsidR="0068659A">
        <w:rPr>
          <w:sz w:val="24"/>
          <w:szCs w:val="24"/>
        </w:rPr>
        <w:t>.</w:t>
      </w:r>
      <w:r w:rsidR="00400D9C">
        <w:rPr>
          <w:sz w:val="24"/>
          <w:szCs w:val="24"/>
        </w:rPr>
        <w:t xml:space="preserve"> </w:t>
      </w:r>
      <w:r w:rsidR="00B17EB1">
        <w:rPr>
          <w:sz w:val="24"/>
          <w:szCs w:val="24"/>
        </w:rPr>
        <w:t xml:space="preserve">Indeed, the boundary transactions associated with my sampled </w:t>
      </w:r>
      <w:r w:rsidR="00196B2D">
        <w:rPr>
          <w:sz w:val="24"/>
          <w:szCs w:val="24"/>
        </w:rPr>
        <w:t>BoRs</w:t>
      </w:r>
      <w:r w:rsidR="00B17EB1">
        <w:rPr>
          <w:sz w:val="24"/>
          <w:szCs w:val="24"/>
        </w:rPr>
        <w:t xml:space="preserve"> were found to tend more towards the reproduction of boundaries than their weakening. </w:t>
      </w:r>
    </w:p>
    <w:p w14:paraId="49A2F216" w14:textId="3F5543D0" w:rsidR="00AE2664" w:rsidRDefault="00B061D6" w:rsidP="00FF1DB9">
      <w:pPr>
        <w:spacing w:after="120" w:line="360" w:lineRule="auto"/>
        <w:rPr>
          <w:sz w:val="24"/>
          <w:szCs w:val="24"/>
        </w:rPr>
      </w:pPr>
      <w:r>
        <w:rPr>
          <w:sz w:val="24"/>
          <w:szCs w:val="24"/>
        </w:rPr>
        <w:t>For example, although</w:t>
      </w:r>
      <w:r w:rsidR="00BB18B8">
        <w:rPr>
          <w:sz w:val="24"/>
          <w:szCs w:val="24"/>
        </w:rPr>
        <w:t xml:space="preserve"> ‘transdisciplinary </w:t>
      </w:r>
      <w:r w:rsidR="00284AF9">
        <w:rPr>
          <w:sz w:val="24"/>
          <w:szCs w:val="24"/>
        </w:rPr>
        <w:t>structures’</w:t>
      </w:r>
      <w:r w:rsidR="002966FD">
        <w:rPr>
          <w:sz w:val="24"/>
          <w:szCs w:val="24"/>
        </w:rPr>
        <w:t xml:space="preserve"> (a form of ‘boundary structure’)</w:t>
      </w:r>
      <w:r w:rsidR="00DF1A04">
        <w:rPr>
          <w:sz w:val="24"/>
          <w:szCs w:val="24"/>
        </w:rPr>
        <w:t xml:space="preserve"> </w:t>
      </w:r>
      <w:r w:rsidR="003B7F84">
        <w:rPr>
          <w:sz w:val="24"/>
          <w:szCs w:val="24"/>
        </w:rPr>
        <w:t xml:space="preserve">are </w:t>
      </w:r>
      <w:r w:rsidR="002475AF">
        <w:rPr>
          <w:sz w:val="24"/>
          <w:szCs w:val="24"/>
        </w:rPr>
        <w:t xml:space="preserve">problem-focused and </w:t>
      </w:r>
      <w:r w:rsidR="003B7F84">
        <w:rPr>
          <w:sz w:val="24"/>
          <w:szCs w:val="24"/>
        </w:rPr>
        <w:t>normally</w:t>
      </w:r>
      <w:r w:rsidR="00DF1A04">
        <w:rPr>
          <w:sz w:val="24"/>
          <w:szCs w:val="24"/>
        </w:rPr>
        <w:t xml:space="preserve"> somewhat separated from traditional disciplinary </w:t>
      </w:r>
      <w:r w:rsidR="002475AF">
        <w:rPr>
          <w:sz w:val="24"/>
          <w:szCs w:val="24"/>
        </w:rPr>
        <w:t>departments</w:t>
      </w:r>
      <w:r w:rsidR="003B7F84">
        <w:rPr>
          <w:sz w:val="24"/>
          <w:szCs w:val="24"/>
        </w:rPr>
        <w:t>, they</w:t>
      </w:r>
      <w:r w:rsidR="000875DC">
        <w:rPr>
          <w:sz w:val="24"/>
          <w:szCs w:val="24"/>
        </w:rPr>
        <w:t xml:space="preserve"> </w:t>
      </w:r>
      <w:r w:rsidR="00D75DFA">
        <w:rPr>
          <w:sz w:val="24"/>
          <w:szCs w:val="24"/>
        </w:rPr>
        <w:t xml:space="preserve">often fulfilled </w:t>
      </w:r>
      <w:r w:rsidR="005D0141">
        <w:rPr>
          <w:sz w:val="24"/>
          <w:szCs w:val="24"/>
        </w:rPr>
        <w:t>their boundary transaction function largely by conducting academic research in a</w:t>
      </w:r>
      <w:r w:rsidR="00D75DFA">
        <w:rPr>
          <w:sz w:val="24"/>
          <w:szCs w:val="24"/>
        </w:rPr>
        <w:t xml:space="preserve"> more</w:t>
      </w:r>
      <w:r w:rsidR="009D0C65">
        <w:rPr>
          <w:sz w:val="24"/>
          <w:szCs w:val="24"/>
        </w:rPr>
        <w:t xml:space="preserve"> </w:t>
      </w:r>
      <w:r w:rsidR="00D75DFA">
        <w:rPr>
          <w:sz w:val="24"/>
          <w:szCs w:val="24"/>
        </w:rPr>
        <w:t>or</w:t>
      </w:r>
      <w:r w:rsidR="009D0C65">
        <w:rPr>
          <w:sz w:val="24"/>
          <w:szCs w:val="24"/>
        </w:rPr>
        <w:t xml:space="preserve"> </w:t>
      </w:r>
      <w:r w:rsidR="00D75DFA">
        <w:rPr>
          <w:sz w:val="24"/>
          <w:szCs w:val="24"/>
        </w:rPr>
        <w:t>less traditional way</w:t>
      </w:r>
      <w:r w:rsidR="000875DC">
        <w:rPr>
          <w:sz w:val="24"/>
          <w:szCs w:val="24"/>
        </w:rPr>
        <w:t>.</w:t>
      </w:r>
      <w:r w:rsidR="00D23278">
        <w:rPr>
          <w:sz w:val="24"/>
          <w:szCs w:val="24"/>
        </w:rPr>
        <w:t xml:space="preserve"> </w:t>
      </w:r>
      <w:r w:rsidR="002F5B4B">
        <w:rPr>
          <w:sz w:val="24"/>
          <w:szCs w:val="24"/>
        </w:rPr>
        <w:t>Moreover,</w:t>
      </w:r>
      <w:r w:rsidR="00C95E9F">
        <w:rPr>
          <w:sz w:val="24"/>
          <w:szCs w:val="24"/>
        </w:rPr>
        <w:t xml:space="preserve"> </w:t>
      </w:r>
      <w:r w:rsidR="00FC2C15">
        <w:rPr>
          <w:sz w:val="24"/>
          <w:szCs w:val="24"/>
        </w:rPr>
        <w:t xml:space="preserve">research </w:t>
      </w:r>
      <w:r w:rsidR="00692D14">
        <w:rPr>
          <w:sz w:val="24"/>
          <w:szCs w:val="24"/>
        </w:rPr>
        <w:t>collaborations with non-academic organisations</w:t>
      </w:r>
      <w:r w:rsidR="002F5B4B">
        <w:rPr>
          <w:sz w:val="24"/>
          <w:szCs w:val="24"/>
        </w:rPr>
        <w:t xml:space="preserve"> </w:t>
      </w:r>
      <w:r w:rsidR="002A51A7">
        <w:rPr>
          <w:sz w:val="24"/>
          <w:szCs w:val="24"/>
        </w:rPr>
        <w:t>might be expected to occur mostly when the research was ‘close to market’ or application, with little need for underpinning research</w:t>
      </w:r>
      <w:r w:rsidR="0059434C">
        <w:rPr>
          <w:sz w:val="24"/>
          <w:szCs w:val="24"/>
        </w:rPr>
        <w:t>; h</w:t>
      </w:r>
      <w:r w:rsidR="002A51A7">
        <w:rPr>
          <w:sz w:val="24"/>
          <w:szCs w:val="24"/>
        </w:rPr>
        <w:t xml:space="preserve">owever, my analysis found that collaborative research </w:t>
      </w:r>
      <w:r w:rsidR="002F5B4B">
        <w:rPr>
          <w:sz w:val="24"/>
          <w:szCs w:val="24"/>
        </w:rPr>
        <w:t xml:space="preserve">often occurred at the </w:t>
      </w:r>
      <w:r w:rsidR="002A51A7">
        <w:rPr>
          <w:sz w:val="24"/>
          <w:szCs w:val="24"/>
        </w:rPr>
        <w:t>early</w:t>
      </w:r>
      <w:r w:rsidR="002F5B4B">
        <w:rPr>
          <w:sz w:val="24"/>
          <w:szCs w:val="24"/>
        </w:rPr>
        <w:t xml:space="preserve"> stages of</w:t>
      </w:r>
      <w:r w:rsidR="005E5110">
        <w:rPr>
          <w:sz w:val="24"/>
          <w:szCs w:val="24"/>
        </w:rPr>
        <w:t xml:space="preserve"> research</w:t>
      </w:r>
      <w:r w:rsidR="002F5B4B">
        <w:rPr>
          <w:sz w:val="24"/>
          <w:szCs w:val="24"/>
        </w:rPr>
        <w:t>,</w:t>
      </w:r>
      <w:r w:rsidR="00E64F5B">
        <w:rPr>
          <w:sz w:val="24"/>
          <w:szCs w:val="24"/>
        </w:rPr>
        <w:t xml:space="preserve"> suggesting that </w:t>
      </w:r>
      <w:r w:rsidR="002F5B4B">
        <w:rPr>
          <w:sz w:val="24"/>
          <w:szCs w:val="24"/>
        </w:rPr>
        <w:t>such</w:t>
      </w:r>
      <w:r w:rsidR="00CD4ADB">
        <w:rPr>
          <w:sz w:val="24"/>
          <w:szCs w:val="24"/>
        </w:rPr>
        <w:t xml:space="preserve"> boundary</w:t>
      </w:r>
      <w:r w:rsidR="002F1F69">
        <w:rPr>
          <w:sz w:val="24"/>
          <w:szCs w:val="24"/>
        </w:rPr>
        <w:t xml:space="preserve"> </w:t>
      </w:r>
      <w:r w:rsidR="002A51A7">
        <w:rPr>
          <w:sz w:val="24"/>
          <w:szCs w:val="24"/>
        </w:rPr>
        <w:t>transactions</w:t>
      </w:r>
      <w:r w:rsidR="00E64F5B">
        <w:rPr>
          <w:sz w:val="24"/>
          <w:szCs w:val="24"/>
        </w:rPr>
        <w:t xml:space="preserve"> are not merely about </w:t>
      </w:r>
      <w:r w:rsidR="0094592C">
        <w:rPr>
          <w:sz w:val="24"/>
          <w:szCs w:val="24"/>
        </w:rPr>
        <w:t xml:space="preserve">instrumental </w:t>
      </w:r>
      <w:r w:rsidR="00163181">
        <w:rPr>
          <w:sz w:val="24"/>
          <w:szCs w:val="24"/>
        </w:rPr>
        <w:t>transactions</w:t>
      </w:r>
      <w:r w:rsidR="00E64F5B">
        <w:rPr>
          <w:sz w:val="24"/>
          <w:szCs w:val="24"/>
        </w:rPr>
        <w:t xml:space="preserve"> to score a ‘quick’ impact</w:t>
      </w:r>
      <w:r w:rsidR="002A51A7">
        <w:rPr>
          <w:sz w:val="24"/>
          <w:szCs w:val="24"/>
        </w:rPr>
        <w:t>.</w:t>
      </w:r>
      <w:r w:rsidR="00942D7B">
        <w:rPr>
          <w:sz w:val="24"/>
          <w:szCs w:val="24"/>
        </w:rPr>
        <w:t xml:space="preserve"> Rather, they </w:t>
      </w:r>
      <w:r w:rsidR="00A026E3">
        <w:rPr>
          <w:sz w:val="24"/>
          <w:szCs w:val="24"/>
        </w:rPr>
        <w:t xml:space="preserve">indicate that non-academic scientists </w:t>
      </w:r>
      <w:r w:rsidR="006B3B79">
        <w:rPr>
          <w:sz w:val="24"/>
          <w:szCs w:val="24"/>
        </w:rPr>
        <w:t xml:space="preserve">often </w:t>
      </w:r>
      <w:r w:rsidR="00A915C2">
        <w:rPr>
          <w:sz w:val="24"/>
          <w:szCs w:val="24"/>
        </w:rPr>
        <w:t>provide</w:t>
      </w:r>
      <w:r w:rsidR="006B3B79">
        <w:rPr>
          <w:sz w:val="24"/>
          <w:szCs w:val="24"/>
        </w:rPr>
        <w:t xml:space="preserve"> academic scientists with </w:t>
      </w:r>
      <w:r w:rsidR="000C5A67">
        <w:rPr>
          <w:sz w:val="24"/>
          <w:szCs w:val="24"/>
        </w:rPr>
        <w:t>the precise ingredients</w:t>
      </w:r>
      <w:r w:rsidR="006B3B79">
        <w:rPr>
          <w:sz w:val="24"/>
          <w:szCs w:val="24"/>
        </w:rPr>
        <w:t xml:space="preserve">, such as long-term intellectual problems, </w:t>
      </w:r>
      <w:r w:rsidR="00A026E3">
        <w:rPr>
          <w:sz w:val="24"/>
          <w:szCs w:val="24"/>
        </w:rPr>
        <w:t>data, expertise and funding, that are essential to</w:t>
      </w:r>
      <w:r w:rsidR="001150DA">
        <w:rPr>
          <w:sz w:val="24"/>
          <w:szCs w:val="24"/>
        </w:rPr>
        <w:t xml:space="preserve"> academia reproducing its position as both a distinct, and distinctly valuable, knowledge institution</w:t>
      </w:r>
      <w:r w:rsidR="00466E55">
        <w:rPr>
          <w:sz w:val="24"/>
          <w:szCs w:val="24"/>
        </w:rPr>
        <w:t>.</w:t>
      </w:r>
      <w:r w:rsidR="008D0812">
        <w:rPr>
          <w:sz w:val="24"/>
          <w:szCs w:val="24"/>
        </w:rPr>
        <w:t xml:space="preserve"> </w:t>
      </w:r>
      <w:r w:rsidR="002A51A7">
        <w:rPr>
          <w:sz w:val="24"/>
          <w:szCs w:val="24"/>
        </w:rPr>
        <w:t xml:space="preserve">Boundary transactions also often contributed not only to </w:t>
      </w:r>
      <w:r w:rsidR="00F90FC5">
        <w:rPr>
          <w:sz w:val="24"/>
          <w:szCs w:val="24"/>
        </w:rPr>
        <w:t xml:space="preserve">an </w:t>
      </w:r>
      <w:r w:rsidR="002A51A7">
        <w:rPr>
          <w:sz w:val="24"/>
          <w:szCs w:val="24"/>
        </w:rPr>
        <w:t xml:space="preserve">‘impact agenda’, </w:t>
      </w:r>
      <w:r w:rsidR="00CA42BB">
        <w:rPr>
          <w:sz w:val="24"/>
          <w:szCs w:val="24"/>
        </w:rPr>
        <w:t xml:space="preserve">but also contributed to ongoing academic research. For example, </w:t>
      </w:r>
      <w:r w:rsidR="00F90FC5">
        <w:rPr>
          <w:sz w:val="24"/>
          <w:szCs w:val="24"/>
        </w:rPr>
        <w:t xml:space="preserve">the same </w:t>
      </w:r>
      <w:r w:rsidR="00D93F4E">
        <w:rPr>
          <w:sz w:val="24"/>
          <w:szCs w:val="24"/>
        </w:rPr>
        <w:t xml:space="preserve">‘use-oriented’ outputs </w:t>
      </w:r>
      <w:r w:rsidR="00F90FC5">
        <w:rPr>
          <w:sz w:val="24"/>
          <w:szCs w:val="24"/>
        </w:rPr>
        <w:t xml:space="preserve">that were delivered to </w:t>
      </w:r>
      <w:r w:rsidR="002A51A7">
        <w:rPr>
          <w:sz w:val="24"/>
          <w:szCs w:val="24"/>
        </w:rPr>
        <w:t>non-academic</w:t>
      </w:r>
      <w:r w:rsidR="00F90FC5">
        <w:rPr>
          <w:sz w:val="24"/>
          <w:szCs w:val="24"/>
        </w:rPr>
        <w:t xml:space="preserve"> contexts</w:t>
      </w:r>
      <w:r w:rsidR="002A51A7">
        <w:rPr>
          <w:sz w:val="24"/>
          <w:szCs w:val="24"/>
        </w:rPr>
        <w:t xml:space="preserve"> </w:t>
      </w:r>
      <w:r w:rsidR="00F90FC5">
        <w:rPr>
          <w:sz w:val="24"/>
          <w:szCs w:val="24"/>
        </w:rPr>
        <w:t>of application often were also used in ongoing</w:t>
      </w:r>
      <w:r w:rsidR="00D93F4E">
        <w:rPr>
          <w:sz w:val="24"/>
          <w:szCs w:val="24"/>
        </w:rPr>
        <w:t xml:space="preserve"> academic research. </w:t>
      </w:r>
      <w:r w:rsidR="00F90FC5">
        <w:rPr>
          <w:sz w:val="24"/>
          <w:szCs w:val="24"/>
        </w:rPr>
        <w:t xml:space="preserve">Similarly, </w:t>
      </w:r>
      <w:r w:rsidR="00DC18DF">
        <w:rPr>
          <w:sz w:val="24"/>
          <w:szCs w:val="24"/>
        </w:rPr>
        <w:t xml:space="preserve">‘outreach’ activities </w:t>
      </w:r>
      <w:r w:rsidR="00F90FC5">
        <w:rPr>
          <w:sz w:val="24"/>
          <w:szCs w:val="24"/>
        </w:rPr>
        <w:t>often</w:t>
      </w:r>
      <w:r w:rsidR="00DC18DF">
        <w:rPr>
          <w:sz w:val="24"/>
          <w:szCs w:val="24"/>
        </w:rPr>
        <w:t xml:space="preserve"> served not only </w:t>
      </w:r>
      <w:r w:rsidR="0015280F">
        <w:rPr>
          <w:sz w:val="24"/>
          <w:szCs w:val="24"/>
        </w:rPr>
        <w:t>th</w:t>
      </w:r>
      <w:r w:rsidR="00CE3223">
        <w:rPr>
          <w:sz w:val="24"/>
          <w:szCs w:val="24"/>
        </w:rPr>
        <w:t>e</w:t>
      </w:r>
      <w:r w:rsidR="00DC18DF">
        <w:rPr>
          <w:sz w:val="24"/>
          <w:szCs w:val="24"/>
        </w:rPr>
        <w:t xml:space="preserve"> ‘third’ mission</w:t>
      </w:r>
      <w:r w:rsidR="00CE3223">
        <w:rPr>
          <w:sz w:val="24"/>
          <w:szCs w:val="24"/>
        </w:rPr>
        <w:t xml:space="preserve"> that has come to be associated with outreach and engagement</w:t>
      </w:r>
      <w:r w:rsidR="00DC18DF">
        <w:rPr>
          <w:sz w:val="24"/>
          <w:szCs w:val="24"/>
        </w:rPr>
        <w:t xml:space="preserve">, but also directly </w:t>
      </w:r>
      <w:r w:rsidR="0003783F">
        <w:rPr>
          <w:sz w:val="24"/>
          <w:szCs w:val="24"/>
        </w:rPr>
        <w:t xml:space="preserve">contributed to </w:t>
      </w:r>
      <w:r w:rsidR="007B5EB7">
        <w:rPr>
          <w:sz w:val="24"/>
          <w:szCs w:val="24"/>
        </w:rPr>
        <w:t xml:space="preserve">one or both of </w:t>
      </w:r>
      <w:r w:rsidR="00DC18DF">
        <w:rPr>
          <w:sz w:val="24"/>
          <w:szCs w:val="24"/>
        </w:rPr>
        <w:t>universit</w:t>
      </w:r>
      <w:r w:rsidR="007B5EB7">
        <w:rPr>
          <w:sz w:val="24"/>
          <w:szCs w:val="24"/>
        </w:rPr>
        <w:t xml:space="preserve">ies’ </w:t>
      </w:r>
      <w:r w:rsidR="00DC18DF">
        <w:rPr>
          <w:sz w:val="24"/>
          <w:szCs w:val="24"/>
        </w:rPr>
        <w:t xml:space="preserve">traditional missions of research </w:t>
      </w:r>
      <w:r w:rsidR="007B5EB7">
        <w:rPr>
          <w:sz w:val="24"/>
          <w:szCs w:val="24"/>
        </w:rPr>
        <w:t>and</w:t>
      </w:r>
      <w:r w:rsidR="00DC18DF">
        <w:rPr>
          <w:sz w:val="24"/>
          <w:szCs w:val="24"/>
        </w:rPr>
        <w:t xml:space="preserve"> teaching. </w:t>
      </w:r>
    </w:p>
    <w:p w14:paraId="3254258C" w14:textId="17B238A2" w:rsidR="00847FDB" w:rsidRDefault="00C23A19" w:rsidP="009E263B">
      <w:pPr>
        <w:spacing w:after="120" w:line="360" w:lineRule="auto"/>
        <w:rPr>
          <w:sz w:val="24"/>
          <w:szCs w:val="24"/>
        </w:rPr>
      </w:pPr>
      <w:r>
        <w:rPr>
          <w:sz w:val="24"/>
          <w:szCs w:val="24"/>
        </w:rPr>
        <w:t>In short,</w:t>
      </w:r>
      <w:r w:rsidR="000C2D32">
        <w:rPr>
          <w:sz w:val="24"/>
          <w:szCs w:val="24"/>
        </w:rPr>
        <w:t xml:space="preserve"> </w:t>
      </w:r>
      <w:r w:rsidR="00F90FC5">
        <w:rPr>
          <w:sz w:val="24"/>
          <w:szCs w:val="24"/>
        </w:rPr>
        <w:t>boundary transactions were found to</w:t>
      </w:r>
      <w:r w:rsidR="003038EF">
        <w:rPr>
          <w:sz w:val="24"/>
          <w:szCs w:val="24"/>
        </w:rPr>
        <w:t xml:space="preserve"> </w:t>
      </w:r>
      <w:r w:rsidR="000C2D32">
        <w:rPr>
          <w:sz w:val="24"/>
          <w:szCs w:val="24"/>
        </w:rPr>
        <w:t xml:space="preserve">involve </w:t>
      </w:r>
      <w:r w:rsidR="005D763A">
        <w:rPr>
          <w:sz w:val="24"/>
          <w:szCs w:val="24"/>
        </w:rPr>
        <w:t xml:space="preserve">not only </w:t>
      </w:r>
      <w:r w:rsidR="000C2D32">
        <w:rPr>
          <w:sz w:val="24"/>
          <w:szCs w:val="24"/>
        </w:rPr>
        <w:t>crossing academic boundaries</w:t>
      </w:r>
      <w:r w:rsidR="00A915C2">
        <w:rPr>
          <w:sz w:val="24"/>
          <w:szCs w:val="24"/>
        </w:rPr>
        <w:t xml:space="preserve"> and advancing the interests and objectives of those beyond these boundaries</w:t>
      </w:r>
      <w:r w:rsidR="005D763A">
        <w:rPr>
          <w:sz w:val="24"/>
          <w:szCs w:val="24"/>
        </w:rPr>
        <w:t xml:space="preserve">, but also, and simultaneously, </w:t>
      </w:r>
      <w:r w:rsidR="00AE2664">
        <w:rPr>
          <w:sz w:val="24"/>
          <w:szCs w:val="24"/>
        </w:rPr>
        <w:t xml:space="preserve">they furnished </w:t>
      </w:r>
      <w:r w:rsidR="000C2D32">
        <w:rPr>
          <w:sz w:val="24"/>
          <w:szCs w:val="24"/>
        </w:rPr>
        <w:t xml:space="preserve">universities with various inputs and </w:t>
      </w:r>
      <w:r w:rsidR="002F575B">
        <w:rPr>
          <w:sz w:val="24"/>
          <w:szCs w:val="24"/>
        </w:rPr>
        <w:t>‘</w:t>
      </w:r>
      <w:r w:rsidR="000C2D32">
        <w:rPr>
          <w:sz w:val="24"/>
          <w:szCs w:val="24"/>
        </w:rPr>
        <w:t>capitals</w:t>
      </w:r>
      <w:r w:rsidR="002F575B">
        <w:rPr>
          <w:sz w:val="24"/>
          <w:szCs w:val="24"/>
        </w:rPr>
        <w:t>’</w:t>
      </w:r>
      <w:r w:rsidR="000C2D32">
        <w:rPr>
          <w:sz w:val="24"/>
          <w:szCs w:val="24"/>
        </w:rPr>
        <w:t xml:space="preserve"> </w:t>
      </w:r>
      <w:r w:rsidR="005D03C7">
        <w:rPr>
          <w:sz w:val="24"/>
          <w:szCs w:val="24"/>
        </w:rPr>
        <w:t xml:space="preserve">which </w:t>
      </w:r>
      <w:r w:rsidR="005D763A">
        <w:rPr>
          <w:sz w:val="24"/>
          <w:szCs w:val="24"/>
        </w:rPr>
        <w:t xml:space="preserve">are essential to the maintenance </w:t>
      </w:r>
      <w:r w:rsidR="000C2D32">
        <w:rPr>
          <w:sz w:val="24"/>
          <w:szCs w:val="24"/>
        </w:rPr>
        <w:t>and reproduction of academic boundarie</w:t>
      </w:r>
      <w:r w:rsidR="007127D1">
        <w:rPr>
          <w:sz w:val="24"/>
          <w:szCs w:val="24"/>
        </w:rPr>
        <w:t xml:space="preserve">s. </w:t>
      </w:r>
      <w:r w:rsidR="005D763A">
        <w:rPr>
          <w:sz w:val="24"/>
          <w:szCs w:val="24"/>
        </w:rPr>
        <w:t>A</w:t>
      </w:r>
      <w:r w:rsidR="007127D1">
        <w:rPr>
          <w:sz w:val="24"/>
          <w:szCs w:val="24"/>
        </w:rPr>
        <w:t xml:space="preserve">ddressing </w:t>
      </w:r>
      <w:r w:rsidR="00A022A5">
        <w:rPr>
          <w:sz w:val="24"/>
          <w:szCs w:val="24"/>
        </w:rPr>
        <w:t>externally generated</w:t>
      </w:r>
      <w:r w:rsidR="007127D1">
        <w:rPr>
          <w:sz w:val="24"/>
          <w:szCs w:val="24"/>
        </w:rPr>
        <w:t xml:space="preserve"> objectives and interests is not</w:t>
      </w:r>
      <w:r w:rsidR="005D763A">
        <w:rPr>
          <w:sz w:val="24"/>
          <w:szCs w:val="24"/>
        </w:rPr>
        <w:t xml:space="preserve"> therefore</w:t>
      </w:r>
      <w:r w:rsidR="007127D1">
        <w:rPr>
          <w:sz w:val="24"/>
          <w:szCs w:val="24"/>
        </w:rPr>
        <w:t xml:space="preserve"> necessarily incompatible with advancing academic objectives and interests</w:t>
      </w:r>
      <w:r w:rsidR="003249D4">
        <w:rPr>
          <w:sz w:val="24"/>
          <w:szCs w:val="24"/>
        </w:rPr>
        <w:t xml:space="preserve">; </w:t>
      </w:r>
      <w:r w:rsidR="008F2928">
        <w:rPr>
          <w:sz w:val="24"/>
          <w:szCs w:val="24"/>
        </w:rPr>
        <w:t>crossing academic boundaries does not necessarily imply weakening academic boundaries</w:t>
      </w:r>
      <w:r w:rsidR="00580E5E">
        <w:rPr>
          <w:sz w:val="24"/>
          <w:szCs w:val="24"/>
        </w:rPr>
        <w:t>. I</w:t>
      </w:r>
      <w:r w:rsidR="003249D4">
        <w:rPr>
          <w:sz w:val="24"/>
          <w:szCs w:val="24"/>
        </w:rPr>
        <w:t xml:space="preserve">ndeed, taking control over boundary transactions is key to reproduction of boundaries, as </w:t>
      </w:r>
      <w:r w:rsidR="00227D69">
        <w:rPr>
          <w:sz w:val="24"/>
          <w:szCs w:val="24"/>
        </w:rPr>
        <w:t>boundary transactions can</w:t>
      </w:r>
      <w:r w:rsidR="003249D4">
        <w:rPr>
          <w:sz w:val="24"/>
          <w:szCs w:val="24"/>
        </w:rPr>
        <w:t xml:space="preserve"> serve to display academia’s distinctive value whilst enacting its distinctive </w:t>
      </w:r>
      <w:r w:rsidR="00BF71F0">
        <w:rPr>
          <w:sz w:val="24"/>
          <w:szCs w:val="24"/>
        </w:rPr>
        <w:t>identity</w:t>
      </w:r>
      <w:r w:rsidR="00185E16">
        <w:rPr>
          <w:sz w:val="24"/>
          <w:szCs w:val="24"/>
        </w:rPr>
        <w:t xml:space="preserve">, trajectory and </w:t>
      </w:r>
      <w:r w:rsidR="00BF71F0">
        <w:rPr>
          <w:sz w:val="24"/>
          <w:szCs w:val="24"/>
        </w:rPr>
        <w:t>mode of operation</w:t>
      </w:r>
      <w:r w:rsidR="002F66FB">
        <w:rPr>
          <w:sz w:val="24"/>
          <w:szCs w:val="24"/>
        </w:rPr>
        <w:t xml:space="preserve"> (Bernstein, 2000)</w:t>
      </w:r>
      <w:r w:rsidR="003249D4">
        <w:rPr>
          <w:sz w:val="24"/>
          <w:szCs w:val="24"/>
        </w:rPr>
        <w:t>.</w:t>
      </w:r>
    </w:p>
    <w:p w14:paraId="3206D8FC" w14:textId="052BB949" w:rsidR="00395202" w:rsidRDefault="00E80A76" w:rsidP="00542D7B">
      <w:pPr>
        <w:spacing w:after="120" w:line="360" w:lineRule="auto"/>
        <w:rPr>
          <w:sz w:val="24"/>
          <w:szCs w:val="24"/>
        </w:rPr>
      </w:pPr>
      <w:r>
        <w:rPr>
          <w:sz w:val="24"/>
          <w:szCs w:val="24"/>
        </w:rPr>
        <w:t>From the critical realist metatheoretical framework adopted, this was conceptualised as a surface-level finding that</w:t>
      </w:r>
      <w:r w:rsidR="0015371C">
        <w:rPr>
          <w:sz w:val="24"/>
          <w:szCs w:val="24"/>
        </w:rPr>
        <w:t xml:space="preserve"> warranted further explanation.</w:t>
      </w:r>
      <w:r w:rsidR="00DC5A12">
        <w:rPr>
          <w:sz w:val="24"/>
          <w:szCs w:val="24"/>
        </w:rPr>
        <w:t xml:space="preserve"> I posited certain underpinning structures and mechanisms that transcend the specific contexts and strategies associated </w:t>
      </w:r>
      <w:r w:rsidR="00542D7B">
        <w:rPr>
          <w:sz w:val="24"/>
          <w:szCs w:val="24"/>
        </w:rPr>
        <w:t xml:space="preserve">with the specific sample of research studied, </w:t>
      </w:r>
      <w:r w:rsidR="00DC5A12">
        <w:rPr>
          <w:sz w:val="24"/>
          <w:szCs w:val="24"/>
        </w:rPr>
        <w:t xml:space="preserve">and which </w:t>
      </w:r>
      <w:r w:rsidR="00542D7B">
        <w:rPr>
          <w:sz w:val="24"/>
          <w:szCs w:val="24"/>
        </w:rPr>
        <w:t xml:space="preserve">can be said to </w:t>
      </w:r>
      <w:r w:rsidR="00DC5A12">
        <w:rPr>
          <w:sz w:val="24"/>
          <w:szCs w:val="24"/>
        </w:rPr>
        <w:t xml:space="preserve">act upon universities and their research-related </w:t>
      </w:r>
      <w:r w:rsidR="00542D7B">
        <w:rPr>
          <w:sz w:val="24"/>
          <w:szCs w:val="24"/>
        </w:rPr>
        <w:t>roles, activities</w:t>
      </w:r>
      <w:r w:rsidR="00DC5A12">
        <w:rPr>
          <w:sz w:val="24"/>
          <w:szCs w:val="24"/>
        </w:rPr>
        <w:t xml:space="preserve"> and interactions with wider society</w:t>
      </w:r>
      <w:r w:rsidR="00542D7B">
        <w:rPr>
          <w:sz w:val="24"/>
          <w:szCs w:val="24"/>
        </w:rPr>
        <w:t xml:space="preserve">. The first of these was </w:t>
      </w:r>
      <w:r w:rsidR="00DC5A12">
        <w:rPr>
          <w:sz w:val="24"/>
          <w:szCs w:val="24"/>
        </w:rPr>
        <w:t xml:space="preserve">the educational </w:t>
      </w:r>
      <w:r w:rsidR="006D0405">
        <w:rPr>
          <w:sz w:val="24"/>
          <w:szCs w:val="24"/>
        </w:rPr>
        <w:t xml:space="preserve">function </w:t>
      </w:r>
      <w:r w:rsidR="00B3654F">
        <w:rPr>
          <w:sz w:val="24"/>
          <w:szCs w:val="24"/>
        </w:rPr>
        <w:t>of universitie</w:t>
      </w:r>
      <w:r w:rsidR="004A0B18">
        <w:rPr>
          <w:sz w:val="24"/>
          <w:szCs w:val="24"/>
        </w:rPr>
        <w:t>s. Graduates, especially doctoral graduates, who bring their advanced academic training and skills into non-academic knowledge-intensive sectors</w:t>
      </w:r>
      <w:r w:rsidR="00133178">
        <w:rPr>
          <w:sz w:val="24"/>
          <w:szCs w:val="24"/>
        </w:rPr>
        <w:t>, constitute, in my framework, a form of boundary transaction (I classify this under the ‘boundary-spanner’ category)</w:t>
      </w:r>
      <w:r w:rsidR="00CB55AD">
        <w:rPr>
          <w:sz w:val="24"/>
          <w:szCs w:val="24"/>
        </w:rPr>
        <w:t xml:space="preserve">. All forms and instances of boundary transaction potentially operate more towards reproducing </w:t>
      </w:r>
      <w:r w:rsidR="00CB55AD">
        <w:rPr>
          <w:i/>
          <w:sz w:val="24"/>
          <w:szCs w:val="24"/>
        </w:rPr>
        <w:t xml:space="preserve">or </w:t>
      </w:r>
      <w:r w:rsidR="00CB55AD">
        <w:rPr>
          <w:sz w:val="24"/>
          <w:szCs w:val="24"/>
        </w:rPr>
        <w:t>weakening academic boundarie</w:t>
      </w:r>
      <w:r w:rsidR="00E0404F">
        <w:rPr>
          <w:sz w:val="24"/>
          <w:szCs w:val="24"/>
        </w:rPr>
        <w:t>s</w:t>
      </w:r>
      <w:r w:rsidR="00CB55AD">
        <w:rPr>
          <w:sz w:val="24"/>
          <w:szCs w:val="24"/>
        </w:rPr>
        <w:t>. For example, although, by bringing valued academically-derived skills and training into a non-academic workplace, graduates are contributing to legitimacy of universities’ function as knowledge-transmitting institutions, it may also be possible that advanced training of students is so geared towards specific sectors or companies that the balance of control over this transaction shifts away from the academic institution</w:t>
      </w:r>
      <w:r w:rsidR="0007003E">
        <w:rPr>
          <w:sz w:val="24"/>
          <w:szCs w:val="24"/>
        </w:rPr>
        <w:t xml:space="preserve">. However, the long-term effect of increasing numbers of </w:t>
      </w:r>
      <w:r w:rsidR="00253498">
        <w:rPr>
          <w:sz w:val="24"/>
          <w:szCs w:val="24"/>
        </w:rPr>
        <w:t>academically trained</w:t>
      </w:r>
      <w:r w:rsidR="0007003E">
        <w:rPr>
          <w:sz w:val="24"/>
          <w:szCs w:val="24"/>
        </w:rPr>
        <w:t xml:space="preserve"> graduates entering non-academic workplaces constitutes an underpinning reality shaping the context for all future interactions and transactions between academia and other knowledge-intensive sectors. An appropriate metaphor might be the </w:t>
      </w:r>
      <w:r w:rsidR="0007003E">
        <w:rPr>
          <w:i/>
          <w:sz w:val="24"/>
          <w:szCs w:val="24"/>
        </w:rPr>
        <w:t xml:space="preserve">extension </w:t>
      </w:r>
      <w:r w:rsidR="0007003E">
        <w:rPr>
          <w:sz w:val="24"/>
          <w:szCs w:val="24"/>
        </w:rPr>
        <w:t>of academia’s boundaries into these other sectors, as (doctoral) graduates bri</w:t>
      </w:r>
      <w:r w:rsidR="00BB24FB">
        <w:rPr>
          <w:sz w:val="24"/>
          <w:szCs w:val="24"/>
        </w:rPr>
        <w:t xml:space="preserve">ng </w:t>
      </w:r>
      <w:r w:rsidR="00300806">
        <w:rPr>
          <w:sz w:val="24"/>
          <w:szCs w:val="24"/>
        </w:rPr>
        <w:t>their academic skills,</w:t>
      </w:r>
      <w:r w:rsidR="00902FAE">
        <w:rPr>
          <w:sz w:val="24"/>
          <w:szCs w:val="24"/>
        </w:rPr>
        <w:t xml:space="preserve"> approaches,</w:t>
      </w:r>
      <w:r w:rsidR="00BB24FB">
        <w:rPr>
          <w:sz w:val="24"/>
          <w:szCs w:val="24"/>
        </w:rPr>
        <w:t xml:space="preserve"> </w:t>
      </w:r>
      <w:r w:rsidR="00D24B79">
        <w:rPr>
          <w:sz w:val="24"/>
          <w:szCs w:val="24"/>
        </w:rPr>
        <w:t xml:space="preserve">contacts </w:t>
      </w:r>
      <w:r w:rsidR="00300806">
        <w:rPr>
          <w:sz w:val="24"/>
          <w:szCs w:val="24"/>
        </w:rPr>
        <w:t xml:space="preserve">and </w:t>
      </w:r>
      <w:r w:rsidR="00BB24FB">
        <w:rPr>
          <w:sz w:val="24"/>
          <w:szCs w:val="24"/>
        </w:rPr>
        <w:t>inclination</w:t>
      </w:r>
      <w:r w:rsidR="00825F3F">
        <w:rPr>
          <w:sz w:val="24"/>
          <w:szCs w:val="24"/>
        </w:rPr>
        <w:t>s</w:t>
      </w:r>
      <w:r w:rsidR="00BB24FB">
        <w:rPr>
          <w:sz w:val="24"/>
          <w:szCs w:val="24"/>
        </w:rPr>
        <w:t xml:space="preserve"> </w:t>
      </w:r>
      <w:r w:rsidR="00300806">
        <w:rPr>
          <w:sz w:val="24"/>
          <w:szCs w:val="24"/>
        </w:rPr>
        <w:t>into non-academic contexts of application</w:t>
      </w:r>
      <w:r w:rsidR="00B24603">
        <w:rPr>
          <w:sz w:val="24"/>
          <w:szCs w:val="24"/>
        </w:rPr>
        <w:t>. In this perspective, academia is creating opportunities for itself to develop, expand, generate new sources of research revenue and</w:t>
      </w:r>
      <w:r w:rsidR="009D349D">
        <w:rPr>
          <w:sz w:val="24"/>
          <w:szCs w:val="24"/>
        </w:rPr>
        <w:t xml:space="preserve"> </w:t>
      </w:r>
      <w:r w:rsidR="00B850E3">
        <w:rPr>
          <w:sz w:val="24"/>
          <w:szCs w:val="24"/>
        </w:rPr>
        <w:t>scientifically challenging</w:t>
      </w:r>
      <w:r w:rsidR="009D349D">
        <w:rPr>
          <w:sz w:val="24"/>
          <w:szCs w:val="24"/>
        </w:rPr>
        <w:t xml:space="preserve"> problems</w:t>
      </w:r>
      <w:r w:rsidR="00B24603">
        <w:rPr>
          <w:sz w:val="24"/>
          <w:szCs w:val="24"/>
        </w:rPr>
        <w:t xml:space="preserve">, and </w:t>
      </w:r>
      <w:r w:rsidR="00D84F64">
        <w:rPr>
          <w:sz w:val="24"/>
          <w:szCs w:val="24"/>
        </w:rPr>
        <w:t>at the same time ensuring that r</w:t>
      </w:r>
      <w:r w:rsidR="00B24603">
        <w:rPr>
          <w:sz w:val="24"/>
          <w:szCs w:val="24"/>
        </w:rPr>
        <w:t>elevant contexts of application are populated by like-minded individuals</w:t>
      </w:r>
      <w:r w:rsidR="00005212">
        <w:rPr>
          <w:sz w:val="24"/>
          <w:szCs w:val="24"/>
        </w:rPr>
        <w:t xml:space="preserve"> and have the ‘absorptive capacity’</w:t>
      </w:r>
      <w:r w:rsidR="00E85D3D">
        <w:rPr>
          <w:sz w:val="24"/>
          <w:szCs w:val="24"/>
        </w:rPr>
        <w:t xml:space="preserve"> </w:t>
      </w:r>
      <w:r w:rsidR="00E85D3D">
        <w:rPr>
          <w:sz w:val="24"/>
          <w:szCs w:val="24"/>
        </w:rPr>
        <w:fldChar w:fldCharType="begin"/>
      </w:r>
      <w:r w:rsidR="00E85D3D">
        <w:rPr>
          <w:sz w:val="24"/>
          <w:szCs w:val="24"/>
        </w:rPr>
        <w:instrText xml:space="preserve"> ADDIN EN.CITE &lt;EndNote&gt;&lt;Cite&gt;&lt;Author&gt;Bishop&lt;/Author&gt;&lt;Year&gt;2011&lt;/Year&gt;&lt;IDText&gt;Gaining from interactions with universities: Multiple methods for nurturing absorptive capacity&lt;/IDText&gt;&lt;DisplayText&gt;(Bishop et al., 2011)&lt;/DisplayText&gt;&lt;record&gt;&lt;dates&gt;&lt;pub-dates&gt;&lt;date&gt;Feb&lt;/date&gt;&lt;/pub-dates&gt;&lt;year&gt;2011&lt;/year&gt;&lt;/dates&gt;&lt;urls&gt;&lt;related-urls&gt;&lt;url&gt;&amp;lt;Go to ISI&amp;gt;://WOS:000286910500004&lt;/url&gt;&lt;/related-urls&gt;&lt;/urls&gt;&lt;isbn&gt;0048-7333&lt;/isbn&gt;&lt;titles&gt;&lt;title&gt;Gaining from interactions with universities: Multiple methods for nurturing absorptive capacity&lt;/title&gt;&lt;secondary-title&gt;Research Policy&lt;/secondary-title&gt;&lt;/titles&gt;&lt;pages&gt;30-40&lt;/pages&gt;&lt;number&gt;1&lt;/number&gt;&lt;contributors&gt;&lt;authors&gt;&lt;author&gt;Bishop, Kate&lt;/author&gt;&lt;author&gt;D&amp;apos;Este, Pablo&lt;/author&gt;&lt;author&gt;Neely, Andy&lt;/author&gt;&lt;/authors&gt;&lt;/contributors&gt;&lt;added-date format="utc"&gt;1469230284&lt;/added-date&gt;&lt;ref-type name="Journal Article"&gt;17&lt;/ref-type&gt;&lt;rec-number&gt;726&lt;/rec-number&gt;&lt;last-updated-date format="utc"&gt;1469230334&lt;/last-updated-date&gt;&lt;accession-num&gt;WOS:000286910500004&lt;/accession-num&gt;&lt;electronic-resource-num&gt;10.1016/j.respol.2010.09.009&lt;/electronic-resource-num&gt;&lt;volume&gt;40&lt;/volume&gt;&lt;/record&gt;&lt;/Cite&gt;&lt;/EndNote&gt;</w:instrText>
      </w:r>
      <w:r w:rsidR="00E85D3D">
        <w:rPr>
          <w:sz w:val="24"/>
          <w:szCs w:val="24"/>
        </w:rPr>
        <w:fldChar w:fldCharType="separate"/>
      </w:r>
      <w:r w:rsidR="00E85D3D">
        <w:rPr>
          <w:noProof/>
          <w:sz w:val="24"/>
          <w:szCs w:val="24"/>
        </w:rPr>
        <w:t>(Bishop et al., 2011)</w:t>
      </w:r>
      <w:r w:rsidR="00E85D3D">
        <w:rPr>
          <w:sz w:val="24"/>
          <w:szCs w:val="24"/>
        </w:rPr>
        <w:fldChar w:fldCharType="end"/>
      </w:r>
      <w:r w:rsidR="00005212">
        <w:rPr>
          <w:sz w:val="24"/>
          <w:szCs w:val="24"/>
        </w:rPr>
        <w:t xml:space="preserve"> to be able to demand, apply, and occasionally collaborate on academic research</w:t>
      </w:r>
      <w:r w:rsidR="00B24603">
        <w:rPr>
          <w:sz w:val="24"/>
          <w:szCs w:val="24"/>
        </w:rPr>
        <w:t xml:space="preserve">. </w:t>
      </w:r>
      <w:r w:rsidR="00395202">
        <w:rPr>
          <w:sz w:val="24"/>
          <w:szCs w:val="24"/>
        </w:rPr>
        <w:t xml:space="preserve">This results in conditions which are conducive to enabling academia to engage in boundary transactions. </w:t>
      </w:r>
    </w:p>
    <w:p w14:paraId="4CB4AD5D" w14:textId="36BBDBDB" w:rsidR="006C1696" w:rsidRDefault="006C1696" w:rsidP="009E263B">
      <w:pPr>
        <w:spacing w:after="120" w:line="360" w:lineRule="auto"/>
        <w:rPr>
          <w:sz w:val="24"/>
          <w:szCs w:val="24"/>
        </w:rPr>
      </w:pPr>
      <w:r>
        <w:rPr>
          <w:sz w:val="24"/>
          <w:szCs w:val="24"/>
        </w:rPr>
        <w:t xml:space="preserve">Second, I highlighted academia’s central internal trajectory, </w:t>
      </w:r>
      <w:r w:rsidR="0090002D">
        <w:rPr>
          <w:sz w:val="24"/>
          <w:szCs w:val="24"/>
        </w:rPr>
        <w:t xml:space="preserve">or what Durkheim (2013) calls the university’s </w:t>
      </w:r>
      <w:r w:rsidR="005E11F7">
        <w:rPr>
          <w:sz w:val="24"/>
          <w:szCs w:val="24"/>
        </w:rPr>
        <w:t>“</w:t>
      </w:r>
      <w:r w:rsidR="005E11F7">
        <w:rPr>
          <w:i/>
          <w:sz w:val="24"/>
          <w:szCs w:val="24"/>
        </w:rPr>
        <w:t>sui generis</w:t>
      </w:r>
      <w:r w:rsidR="000441F3">
        <w:rPr>
          <w:sz w:val="24"/>
          <w:szCs w:val="24"/>
        </w:rPr>
        <w:t xml:space="preserve"> </w:t>
      </w:r>
      <w:r w:rsidR="005E11F7">
        <w:rPr>
          <w:sz w:val="24"/>
          <w:szCs w:val="24"/>
        </w:rPr>
        <w:t>… identity</w:t>
      </w:r>
      <w:r w:rsidR="00706157">
        <w:rPr>
          <w:sz w:val="24"/>
          <w:szCs w:val="24"/>
        </w:rPr>
        <w:t>”</w:t>
      </w:r>
      <w:r w:rsidR="005E11F7">
        <w:rPr>
          <w:sz w:val="24"/>
          <w:szCs w:val="24"/>
        </w:rPr>
        <w:t xml:space="preserve"> </w:t>
      </w:r>
      <w:r w:rsidR="00706157">
        <w:rPr>
          <w:sz w:val="24"/>
          <w:szCs w:val="24"/>
        </w:rPr>
        <w:t>and</w:t>
      </w:r>
      <w:r w:rsidR="000441F3">
        <w:rPr>
          <w:sz w:val="24"/>
          <w:szCs w:val="24"/>
        </w:rPr>
        <w:t xml:space="preserve"> “ideal …</w:t>
      </w:r>
      <w:r w:rsidR="005E11F7">
        <w:rPr>
          <w:sz w:val="24"/>
          <w:szCs w:val="24"/>
        </w:rPr>
        <w:t xml:space="preserve"> destiny”</w:t>
      </w:r>
      <w:r w:rsidR="002F75F2">
        <w:rPr>
          <w:sz w:val="24"/>
          <w:szCs w:val="24"/>
        </w:rPr>
        <w:t xml:space="preserve">, that is, to incorporate in its domain “a plurality </w:t>
      </w:r>
      <w:r w:rsidR="002F75F2" w:rsidRPr="00EB45DD">
        <w:rPr>
          <w:sz w:val="24"/>
          <w:szCs w:val="24"/>
          <w:lang w:eastAsia="ko-KR"/>
        </w:rPr>
        <w:t>or even the totality of the branches of human learning</w:t>
      </w:r>
      <w:r w:rsidR="00463C41">
        <w:rPr>
          <w:sz w:val="24"/>
          <w:szCs w:val="24"/>
          <w:lang w:eastAsia="ko-KR"/>
        </w:rPr>
        <w:t>”</w:t>
      </w:r>
      <w:r w:rsidR="005E11F7">
        <w:rPr>
          <w:sz w:val="24"/>
          <w:szCs w:val="24"/>
        </w:rPr>
        <w:t xml:space="preserve"> (p. 93, original emphasis). </w:t>
      </w:r>
      <w:r w:rsidR="00522648">
        <w:rPr>
          <w:sz w:val="24"/>
          <w:szCs w:val="24"/>
        </w:rPr>
        <w:t xml:space="preserve">Because of this trajectory, academia is constantly open to novel ways of </w:t>
      </w:r>
      <w:r w:rsidR="00522648">
        <w:rPr>
          <w:i/>
          <w:sz w:val="24"/>
          <w:szCs w:val="24"/>
        </w:rPr>
        <w:t>objectifying</w:t>
      </w:r>
      <w:r w:rsidR="00522648">
        <w:rPr>
          <w:sz w:val="24"/>
          <w:szCs w:val="24"/>
        </w:rPr>
        <w:t xml:space="preserve"> the </w:t>
      </w:r>
      <w:r w:rsidR="008B7C04">
        <w:rPr>
          <w:sz w:val="24"/>
          <w:szCs w:val="24"/>
        </w:rPr>
        <w:t>world</w:t>
      </w:r>
      <w:r w:rsidR="00522648">
        <w:rPr>
          <w:sz w:val="24"/>
          <w:szCs w:val="24"/>
        </w:rPr>
        <w:t>, that is, of making ever</w:t>
      </w:r>
      <w:r w:rsidR="00541273">
        <w:rPr>
          <w:sz w:val="24"/>
          <w:szCs w:val="24"/>
        </w:rPr>
        <w:t xml:space="preserve"> </w:t>
      </w:r>
      <w:r w:rsidR="00522648">
        <w:rPr>
          <w:sz w:val="24"/>
          <w:szCs w:val="24"/>
        </w:rPr>
        <w:t xml:space="preserve">more </w:t>
      </w:r>
      <w:r w:rsidR="00253498">
        <w:rPr>
          <w:sz w:val="24"/>
          <w:szCs w:val="24"/>
        </w:rPr>
        <w:t>finely classified</w:t>
      </w:r>
      <w:r w:rsidR="00522648">
        <w:rPr>
          <w:sz w:val="24"/>
          <w:szCs w:val="24"/>
        </w:rPr>
        <w:t xml:space="preserve"> natural phenomena objects of academic knowledge. This trajectory links up with and finds synergies with ‘challenges’ facing humanity, for example around issues of health, the environment and technolog</w:t>
      </w:r>
      <w:r w:rsidR="00EE33FD">
        <w:rPr>
          <w:sz w:val="24"/>
          <w:szCs w:val="24"/>
        </w:rPr>
        <w:t xml:space="preserve">y. </w:t>
      </w:r>
      <w:r w:rsidR="00823E7A">
        <w:rPr>
          <w:sz w:val="24"/>
          <w:szCs w:val="24"/>
        </w:rPr>
        <w:t>When n</w:t>
      </w:r>
      <w:r w:rsidR="00EE33FD">
        <w:rPr>
          <w:sz w:val="24"/>
          <w:szCs w:val="24"/>
        </w:rPr>
        <w:t>ew inter/multidisciplinary sub-fields which aim to advance fundamental understanding of issues which are of inherent relevance to certain groups, such as fields of marine mammalogy, psychopharmacology, conservation ecology, or systems engineering (to take some examples from my own sampled research)</w:t>
      </w:r>
      <w:r w:rsidR="00823E7A">
        <w:rPr>
          <w:sz w:val="24"/>
          <w:szCs w:val="24"/>
        </w:rPr>
        <w:t xml:space="preserve">, coalesce into dedicated research units or centres or departments, these can be understood as forms of boundary transaction (which I have called ‘boundary structures’) in that they </w:t>
      </w:r>
      <w:r w:rsidR="00C05DEC">
        <w:rPr>
          <w:sz w:val="24"/>
          <w:szCs w:val="24"/>
        </w:rPr>
        <w:t xml:space="preserve">are statements of academia’s commitment to contributing to non-academic issues. But it is simultaneously a mechanism through which academia is enacting its inherent trajectory. The internalising of non-academic issues into academic structures therefore is an important mechanism for the reproduction of academic boundaries. </w:t>
      </w:r>
    </w:p>
    <w:p w14:paraId="257626C7" w14:textId="754414CF" w:rsidR="009D61E2" w:rsidRDefault="00C05DEC" w:rsidP="009E263B">
      <w:pPr>
        <w:spacing w:after="120" w:line="360" w:lineRule="auto"/>
        <w:rPr>
          <w:iCs/>
          <w:sz w:val="24"/>
          <w:szCs w:val="24"/>
        </w:rPr>
      </w:pPr>
      <w:r>
        <w:rPr>
          <w:sz w:val="24"/>
          <w:szCs w:val="24"/>
        </w:rPr>
        <w:t>Third, I argued that there is a sense in which the notion of an ‘academic identity’, which transcends any particular definition of this term, constitutes an underpinning reality contributing to the reproduction of academic boundaries</w:t>
      </w:r>
      <w:r w:rsidR="00F75403">
        <w:rPr>
          <w:sz w:val="24"/>
          <w:szCs w:val="24"/>
        </w:rPr>
        <w:t xml:space="preserve"> – indeed, the ambiguity and open-endedness of the concept is part of its strength.</w:t>
      </w:r>
      <w:r>
        <w:rPr>
          <w:sz w:val="24"/>
          <w:szCs w:val="24"/>
        </w:rPr>
        <w:t xml:space="preserve"> </w:t>
      </w:r>
      <w:r w:rsidR="00567FB4">
        <w:rPr>
          <w:sz w:val="24"/>
          <w:szCs w:val="24"/>
        </w:rPr>
        <w:t xml:space="preserve">There were two main strands to </w:t>
      </w:r>
      <w:r w:rsidR="00F75403">
        <w:rPr>
          <w:sz w:val="24"/>
          <w:szCs w:val="24"/>
        </w:rPr>
        <w:t>my argument regarding academic identity</w:t>
      </w:r>
      <w:r w:rsidR="00567FB4">
        <w:rPr>
          <w:sz w:val="24"/>
          <w:szCs w:val="24"/>
        </w:rPr>
        <w:t xml:space="preserve">. </w:t>
      </w:r>
      <w:r w:rsidR="009D61E2">
        <w:rPr>
          <w:sz w:val="24"/>
          <w:szCs w:val="24"/>
        </w:rPr>
        <w:t>First, ‘a</w:t>
      </w:r>
      <w:r w:rsidR="009D61E2">
        <w:rPr>
          <w:iCs/>
          <w:sz w:val="24"/>
          <w:szCs w:val="24"/>
        </w:rPr>
        <w:t xml:space="preserve">cademic identity’ </w:t>
      </w:r>
      <w:r w:rsidR="00F75403">
        <w:rPr>
          <w:iCs/>
          <w:sz w:val="24"/>
          <w:szCs w:val="24"/>
        </w:rPr>
        <w:t>emerged as a powerful but</w:t>
      </w:r>
      <w:r w:rsidR="009D61E2">
        <w:rPr>
          <w:iCs/>
          <w:sz w:val="24"/>
          <w:szCs w:val="24"/>
        </w:rPr>
        <w:t xml:space="preserve"> loosely-defined concept such that heterogeneous academics can use their own sense of their academic identity as motivation to overcome internal and external challenges to achieve diverse boundary-transacting objectives, so that boundary transactions are a way for the enactment and realisation of their academic identities and goals. Second, many non-academic actors and stakeholders perceive ‘academic identity’ to be imbued with a credibility which they see as important to informing decisions in non-academic contexts. </w:t>
      </w:r>
      <w:r w:rsidR="00F52965">
        <w:rPr>
          <w:iCs/>
          <w:sz w:val="24"/>
          <w:szCs w:val="24"/>
        </w:rPr>
        <w:t>This meant that key actors in non-academic contexts, who were recipients of or partners in academia’s boundary transactions, were generally ready to accept academic input, if not to actively seek it out.</w:t>
      </w:r>
      <w:r w:rsidR="00DE244F">
        <w:rPr>
          <w:iCs/>
          <w:sz w:val="24"/>
          <w:szCs w:val="24"/>
        </w:rPr>
        <w:t xml:space="preserve"> Although beyond the empirical scope of my research, academia’s values of autonomy, criticality and objectivity are presumably key to this external perception, and this perception in turn is conducive to enabling boundary transactions. </w:t>
      </w:r>
    </w:p>
    <w:p w14:paraId="4FDF2E34" w14:textId="361456D4" w:rsidR="00542D7B" w:rsidRDefault="00542D7B" w:rsidP="009E263B">
      <w:pPr>
        <w:spacing w:after="120" w:line="360" w:lineRule="auto"/>
        <w:rPr>
          <w:iCs/>
          <w:sz w:val="24"/>
          <w:szCs w:val="24"/>
        </w:rPr>
      </w:pPr>
      <w:r>
        <w:rPr>
          <w:iCs/>
          <w:sz w:val="24"/>
          <w:szCs w:val="24"/>
        </w:rPr>
        <w:t xml:space="preserve">Lastly, and as </w:t>
      </w:r>
      <w:r w:rsidR="002D083F">
        <w:rPr>
          <w:iCs/>
          <w:sz w:val="24"/>
          <w:szCs w:val="24"/>
        </w:rPr>
        <w:t xml:space="preserve">discussed earlier in </w:t>
      </w:r>
      <w:r w:rsidR="00544728">
        <w:rPr>
          <w:iCs/>
          <w:sz w:val="24"/>
          <w:szCs w:val="24"/>
        </w:rPr>
        <w:t>the chapter as one of the key tensions identified</w:t>
      </w:r>
      <w:r>
        <w:rPr>
          <w:iCs/>
          <w:sz w:val="24"/>
          <w:szCs w:val="24"/>
        </w:rPr>
        <w:t xml:space="preserve">, was the fact that academia, although arguably the core institution of science, does not hold a monopoly over science. Rather, </w:t>
      </w:r>
      <w:r w:rsidR="00E53350">
        <w:rPr>
          <w:iCs/>
          <w:sz w:val="24"/>
          <w:szCs w:val="24"/>
        </w:rPr>
        <w:t xml:space="preserve">there are significant </w:t>
      </w:r>
      <w:r w:rsidR="00E53350" w:rsidRPr="002D083F">
        <w:rPr>
          <w:i/>
          <w:iCs/>
          <w:sz w:val="24"/>
          <w:szCs w:val="24"/>
        </w:rPr>
        <w:t xml:space="preserve">non-academic sources of </w:t>
      </w:r>
      <w:r w:rsidRPr="002D083F">
        <w:rPr>
          <w:i/>
          <w:iCs/>
          <w:sz w:val="24"/>
          <w:szCs w:val="24"/>
        </w:rPr>
        <w:t>‘power’ and ‘control’ over the scientific system</w:t>
      </w:r>
      <w:r w:rsidR="00E53350">
        <w:rPr>
          <w:iCs/>
          <w:sz w:val="24"/>
          <w:szCs w:val="24"/>
        </w:rPr>
        <w:t>, and the</w:t>
      </w:r>
      <w:r w:rsidR="002D083F">
        <w:rPr>
          <w:iCs/>
          <w:sz w:val="24"/>
          <w:szCs w:val="24"/>
        </w:rPr>
        <w:t>re are significant interdependencies</w:t>
      </w:r>
      <w:r w:rsidR="009C16BF">
        <w:rPr>
          <w:iCs/>
          <w:sz w:val="24"/>
          <w:szCs w:val="24"/>
        </w:rPr>
        <w:t>,</w:t>
      </w:r>
      <w:r w:rsidR="002D083F">
        <w:rPr>
          <w:iCs/>
          <w:sz w:val="24"/>
          <w:szCs w:val="24"/>
        </w:rPr>
        <w:t xml:space="preserve"> interactions</w:t>
      </w:r>
      <w:r w:rsidR="009C16BF">
        <w:rPr>
          <w:iCs/>
          <w:sz w:val="24"/>
          <w:szCs w:val="24"/>
        </w:rPr>
        <w:t xml:space="preserve"> and flows of influence</w:t>
      </w:r>
      <w:r w:rsidR="002D083F">
        <w:rPr>
          <w:iCs/>
          <w:sz w:val="24"/>
          <w:szCs w:val="24"/>
        </w:rPr>
        <w:t xml:space="preserve"> between the</w:t>
      </w:r>
      <w:r w:rsidR="00E53350">
        <w:rPr>
          <w:iCs/>
          <w:sz w:val="24"/>
          <w:szCs w:val="24"/>
        </w:rPr>
        <w:t xml:space="preserve"> objectives, interests and activities of academic and non-academic scientific </w:t>
      </w:r>
      <w:r w:rsidR="002D083F">
        <w:rPr>
          <w:iCs/>
          <w:sz w:val="24"/>
          <w:szCs w:val="24"/>
        </w:rPr>
        <w:t>institutions</w:t>
      </w:r>
      <w:r w:rsidR="00007B5E">
        <w:rPr>
          <w:iCs/>
          <w:sz w:val="24"/>
          <w:szCs w:val="24"/>
        </w:rPr>
        <w:t xml:space="preserve"> and stakeholders, such as governments, military and industrial actors</w:t>
      </w:r>
      <w:r w:rsidR="002D083F">
        <w:rPr>
          <w:iCs/>
          <w:sz w:val="24"/>
          <w:szCs w:val="24"/>
        </w:rPr>
        <w:t>.</w:t>
      </w:r>
      <w:r w:rsidR="00546880">
        <w:rPr>
          <w:iCs/>
          <w:sz w:val="24"/>
          <w:szCs w:val="24"/>
        </w:rPr>
        <w:t xml:space="preserve">  </w:t>
      </w:r>
    </w:p>
    <w:p w14:paraId="61CAB684" w14:textId="6EB79E6C" w:rsidR="008738DC" w:rsidRDefault="008738DC" w:rsidP="004B63E7">
      <w:pPr>
        <w:pStyle w:val="Heading2"/>
        <w:spacing w:before="0"/>
      </w:pPr>
      <w:bookmarkStart w:id="229" w:name="_Toc31702004"/>
      <w:r>
        <w:t>Implications</w:t>
      </w:r>
      <w:bookmarkEnd w:id="229"/>
      <w:r w:rsidR="001D12CD">
        <w:t xml:space="preserve"> </w:t>
      </w:r>
    </w:p>
    <w:p w14:paraId="5C6CB39A" w14:textId="4745E7DA" w:rsidR="00D078C6" w:rsidRPr="003327E6" w:rsidRDefault="00D078C6" w:rsidP="004B63E7">
      <w:pPr>
        <w:pStyle w:val="Heading3"/>
      </w:pPr>
      <w:bookmarkStart w:id="230" w:name="_Toc31702005"/>
      <w:r>
        <w:t>Here to stay?</w:t>
      </w:r>
      <w:r w:rsidR="003327E6">
        <w:t xml:space="preserve"> The necessity of boundary transactions and </w:t>
      </w:r>
      <w:r w:rsidR="003327E6">
        <w:rPr>
          <w:i/>
          <w:iCs/>
        </w:rPr>
        <w:t xml:space="preserve">some form </w:t>
      </w:r>
      <w:r w:rsidR="003327E6">
        <w:t>of ‘impact agenda’</w:t>
      </w:r>
      <w:bookmarkEnd w:id="230"/>
    </w:p>
    <w:p w14:paraId="75476783" w14:textId="468E4684" w:rsidR="001C0639" w:rsidRDefault="00C623C5" w:rsidP="00D078C6">
      <w:pPr>
        <w:spacing w:after="120" w:line="360" w:lineRule="auto"/>
        <w:rPr>
          <w:sz w:val="24"/>
          <w:szCs w:val="24"/>
        </w:rPr>
      </w:pPr>
      <w:r>
        <w:rPr>
          <w:sz w:val="24"/>
          <w:szCs w:val="24"/>
        </w:rPr>
        <w:t xml:space="preserve">In the Introduction, I wrote that my research would inform not only analytical debates about the extent to which non-academic objectives </w:t>
      </w:r>
      <w:r>
        <w:rPr>
          <w:i/>
          <w:sz w:val="24"/>
          <w:szCs w:val="24"/>
        </w:rPr>
        <w:t xml:space="preserve">are </w:t>
      </w:r>
      <w:r>
        <w:rPr>
          <w:sz w:val="24"/>
          <w:szCs w:val="24"/>
        </w:rPr>
        <w:t xml:space="preserve">influencing academic research and reshaping or weakening academic boundaries, but also normative debates about the extent to which this </w:t>
      </w:r>
      <w:r>
        <w:rPr>
          <w:i/>
          <w:sz w:val="24"/>
          <w:szCs w:val="24"/>
        </w:rPr>
        <w:t xml:space="preserve">should </w:t>
      </w:r>
      <w:r>
        <w:rPr>
          <w:sz w:val="24"/>
          <w:szCs w:val="24"/>
        </w:rPr>
        <w:t xml:space="preserve">occur. My findings </w:t>
      </w:r>
      <w:r w:rsidR="00D82D84">
        <w:rPr>
          <w:sz w:val="24"/>
          <w:szCs w:val="24"/>
        </w:rPr>
        <w:t>imply</w:t>
      </w:r>
      <w:r>
        <w:rPr>
          <w:sz w:val="24"/>
          <w:szCs w:val="24"/>
        </w:rPr>
        <w:t xml:space="preserve"> that those concerned about </w:t>
      </w:r>
      <w:r w:rsidR="00350CE0">
        <w:rPr>
          <w:sz w:val="24"/>
          <w:szCs w:val="24"/>
        </w:rPr>
        <w:t>academic boundaries and the pressures that academic institutions and researchers are under to cross, reshape and potentially weaken them, must also ack</w:t>
      </w:r>
      <w:r>
        <w:rPr>
          <w:sz w:val="24"/>
          <w:szCs w:val="24"/>
        </w:rPr>
        <w:t xml:space="preserve">nowledge that boundary transactions also often function to reproduce academic boundaries and to furnish universities with the </w:t>
      </w:r>
      <w:r w:rsidR="003477BB">
        <w:rPr>
          <w:sz w:val="24"/>
          <w:szCs w:val="24"/>
        </w:rPr>
        <w:t>resources</w:t>
      </w:r>
      <w:r>
        <w:rPr>
          <w:sz w:val="24"/>
          <w:szCs w:val="24"/>
        </w:rPr>
        <w:t xml:space="preserve"> to achieve this</w:t>
      </w:r>
      <w:r w:rsidR="00810AFF">
        <w:rPr>
          <w:sz w:val="24"/>
          <w:szCs w:val="24"/>
        </w:rPr>
        <w:t xml:space="preserve">. Moreover, </w:t>
      </w:r>
      <w:r w:rsidR="00D82D84">
        <w:rPr>
          <w:sz w:val="24"/>
          <w:szCs w:val="24"/>
        </w:rPr>
        <w:t>the impact agenda is a manifestation of necessary tensions or paradoxes associated with the academic enterprise</w:t>
      </w:r>
      <w:r w:rsidR="001423FD">
        <w:rPr>
          <w:sz w:val="24"/>
          <w:szCs w:val="24"/>
        </w:rPr>
        <w:t>.</w:t>
      </w:r>
      <w:r w:rsidR="00D82D84">
        <w:rPr>
          <w:sz w:val="24"/>
          <w:szCs w:val="24"/>
        </w:rPr>
        <w:t xml:space="preserve"> </w:t>
      </w:r>
      <w:r w:rsidR="001C0639">
        <w:rPr>
          <w:sz w:val="24"/>
          <w:szCs w:val="24"/>
        </w:rPr>
        <w:t xml:space="preserve">Structures and processes such as academic-industry partnerships, transdisciplinary or problem-centred research centres, outreach missions, knowledge transfer offices, etc., are manifestations of </w:t>
      </w:r>
      <w:r w:rsidR="001C0639">
        <w:rPr>
          <w:i/>
          <w:sz w:val="24"/>
          <w:szCs w:val="24"/>
        </w:rPr>
        <w:t xml:space="preserve">necessary </w:t>
      </w:r>
      <w:r w:rsidR="001C0639">
        <w:rPr>
          <w:sz w:val="24"/>
          <w:szCs w:val="24"/>
        </w:rPr>
        <w:t xml:space="preserve">boundary tensions. From this perspective, the immediate policy context </w:t>
      </w:r>
      <w:r w:rsidR="00B1126B">
        <w:rPr>
          <w:sz w:val="24"/>
          <w:szCs w:val="24"/>
        </w:rPr>
        <w:t xml:space="preserve">of the ‘impact agenda’ </w:t>
      </w:r>
      <w:r w:rsidR="001C0639">
        <w:rPr>
          <w:sz w:val="24"/>
          <w:szCs w:val="24"/>
        </w:rPr>
        <w:t xml:space="preserve">is largely a construct or a symptom of broader interplays of power and control, in which the </w:t>
      </w:r>
      <w:r w:rsidR="00B1126B">
        <w:rPr>
          <w:sz w:val="24"/>
          <w:szCs w:val="24"/>
        </w:rPr>
        <w:t>university</w:t>
      </w:r>
      <w:r w:rsidR="00B44640">
        <w:rPr>
          <w:sz w:val="24"/>
          <w:szCs w:val="24"/>
        </w:rPr>
        <w:t xml:space="preserve"> will always be only </w:t>
      </w:r>
      <w:r w:rsidR="00B44640">
        <w:rPr>
          <w:i/>
          <w:iCs/>
          <w:sz w:val="24"/>
          <w:szCs w:val="24"/>
        </w:rPr>
        <w:t xml:space="preserve">relatively </w:t>
      </w:r>
      <w:r w:rsidR="00B44640">
        <w:rPr>
          <w:sz w:val="24"/>
          <w:szCs w:val="24"/>
        </w:rPr>
        <w:t xml:space="preserve">autonomous and bounded, </w:t>
      </w:r>
      <w:r w:rsidR="00065468">
        <w:rPr>
          <w:sz w:val="24"/>
          <w:szCs w:val="24"/>
        </w:rPr>
        <w:t>such that the university</w:t>
      </w:r>
      <w:r w:rsidR="00260EE4">
        <w:rPr>
          <w:sz w:val="24"/>
          <w:szCs w:val="24"/>
        </w:rPr>
        <w:t xml:space="preserve"> must necessarily</w:t>
      </w:r>
      <w:r w:rsidR="00B1126B">
        <w:rPr>
          <w:sz w:val="24"/>
          <w:szCs w:val="24"/>
        </w:rPr>
        <w:t xml:space="preserve"> share power and control (albeit not necessarily evenly) </w:t>
      </w:r>
      <w:r w:rsidR="00260EE4">
        <w:rPr>
          <w:sz w:val="24"/>
          <w:szCs w:val="24"/>
        </w:rPr>
        <w:t xml:space="preserve">over the strength and shape of its boundaries, and the direction and nature of its activities, </w:t>
      </w:r>
      <w:r w:rsidR="00B1126B">
        <w:rPr>
          <w:sz w:val="24"/>
          <w:szCs w:val="24"/>
        </w:rPr>
        <w:t>with other stakeholders</w:t>
      </w:r>
      <w:r w:rsidR="00260EE4">
        <w:rPr>
          <w:sz w:val="24"/>
          <w:szCs w:val="24"/>
        </w:rPr>
        <w:t xml:space="preserve"> (perhaps inevitably with the State, predominantly)</w:t>
      </w:r>
      <w:r w:rsidR="00B1126B">
        <w:rPr>
          <w:sz w:val="24"/>
          <w:szCs w:val="24"/>
        </w:rPr>
        <w:t xml:space="preserve">. </w:t>
      </w:r>
      <w:r w:rsidR="008A70A0">
        <w:rPr>
          <w:sz w:val="24"/>
          <w:szCs w:val="24"/>
        </w:rPr>
        <w:t xml:space="preserve">This analysis suggests that boundary transactions, and even some form of ‘impact agenda’, are here to stay. </w:t>
      </w:r>
    </w:p>
    <w:p w14:paraId="654998FB" w14:textId="77547321" w:rsidR="003040BB" w:rsidRDefault="003040BB" w:rsidP="00D078C6">
      <w:pPr>
        <w:spacing w:after="120" w:line="360" w:lineRule="auto"/>
        <w:rPr>
          <w:sz w:val="24"/>
          <w:szCs w:val="24"/>
        </w:rPr>
      </w:pPr>
      <w:r>
        <w:rPr>
          <w:sz w:val="24"/>
          <w:szCs w:val="24"/>
        </w:rPr>
        <w:t xml:space="preserve">Having said that, my study acknowledges that the precise manifestation of these </w:t>
      </w:r>
      <w:r w:rsidR="003C2E63">
        <w:rPr>
          <w:sz w:val="24"/>
          <w:szCs w:val="24"/>
        </w:rPr>
        <w:t xml:space="preserve">necessary </w:t>
      </w:r>
      <w:r>
        <w:rPr>
          <w:sz w:val="24"/>
          <w:szCs w:val="24"/>
        </w:rPr>
        <w:t xml:space="preserve">tensions </w:t>
      </w:r>
      <w:r w:rsidR="003C2E63">
        <w:rPr>
          <w:sz w:val="24"/>
          <w:szCs w:val="24"/>
        </w:rPr>
        <w:t>is</w:t>
      </w:r>
      <w:r>
        <w:rPr>
          <w:sz w:val="24"/>
          <w:szCs w:val="24"/>
        </w:rPr>
        <w:t xml:space="preserve"> conditioned by </w:t>
      </w:r>
      <w:r w:rsidR="008A70A0">
        <w:rPr>
          <w:sz w:val="24"/>
          <w:szCs w:val="24"/>
        </w:rPr>
        <w:t>both local contexts (i.e. of specific disciplines and departments) and by broader interplays of power and control over (academic) science. The specific context of the ‘impact agenda’ and the way it is taken up by the academic sector can be understood as a particular manifestation of a distinct configuration of micro- and macro-level contexts interacting selectively on the academic sector</w:t>
      </w:r>
      <w:r w:rsidR="003C2E63">
        <w:rPr>
          <w:sz w:val="24"/>
          <w:szCs w:val="24"/>
        </w:rPr>
        <w:t xml:space="preserve">. </w:t>
      </w:r>
      <w:r w:rsidR="008A70A0">
        <w:rPr>
          <w:sz w:val="24"/>
          <w:szCs w:val="24"/>
        </w:rPr>
        <w:t xml:space="preserve">Therefore, while on the one hand my analysis has some restrictive implications for current debates – namely, that it is unrealistic and probably self-defeating to seek to halt academia’s boundary transactions with wider society and to imagine a time where there is no form of ‘impact agenda’ – it also provides a grounding for ongoing and imaginative debate about what forms these should </w:t>
      </w:r>
      <w:r w:rsidR="008A70A0" w:rsidRPr="008A70A0">
        <w:rPr>
          <w:sz w:val="24"/>
          <w:szCs w:val="24"/>
        </w:rPr>
        <w:t xml:space="preserve">take. That is, </w:t>
      </w:r>
      <w:r w:rsidR="00D82D84" w:rsidRPr="008A70A0">
        <w:rPr>
          <w:sz w:val="24"/>
          <w:szCs w:val="24"/>
        </w:rPr>
        <w:t xml:space="preserve">the current manifestation and institutionalisation of </w:t>
      </w:r>
      <w:r w:rsidR="008A70A0" w:rsidRPr="008A70A0">
        <w:rPr>
          <w:sz w:val="24"/>
          <w:szCs w:val="24"/>
        </w:rPr>
        <w:t>‘</w:t>
      </w:r>
      <w:r w:rsidR="00D82D84" w:rsidRPr="008A70A0">
        <w:rPr>
          <w:sz w:val="24"/>
          <w:szCs w:val="24"/>
        </w:rPr>
        <w:t>impact</w:t>
      </w:r>
      <w:r w:rsidR="008A70A0" w:rsidRPr="008A70A0">
        <w:rPr>
          <w:sz w:val="24"/>
          <w:szCs w:val="24"/>
        </w:rPr>
        <w:t>’</w:t>
      </w:r>
      <w:r w:rsidR="00D82D84" w:rsidRPr="008A70A0">
        <w:rPr>
          <w:sz w:val="24"/>
          <w:szCs w:val="24"/>
        </w:rPr>
        <w:t xml:space="preserve"> should be interrogated</w:t>
      </w:r>
      <w:r w:rsidR="00F65CB5">
        <w:rPr>
          <w:sz w:val="24"/>
          <w:szCs w:val="24"/>
        </w:rPr>
        <w:t xml:space="preserve">, critiqued and, </w:t>
      </w:r>
      <w:r w:rsidR="00CD4CF2">
        <w:rPr>
          <w:sz w:val="24"/>
          <w:szCs w:val="24"/>
        </w:rPr>
        <w:t>I would argue,</w:t>
      </w:r>
      <w:r w:rsidR="00F65CB5">
        <w:rPr>
          <w:sz w:val="24"/>
          <w:szCs w:val="24"/>
        </w:rPr>
        <w:t xml:space="preserve"> </w:t>
      </w:r>
      <w:r w:rsidR="00D82D84" w:rsidRPr="008A70A0">
        <w:rPr>
          <w:sz w:val="24"/>
          <w:szCs w:val="24"/>
        </w:rPr>
        <w:t>resisted.</w:t>
      </w:r>
      <w:r w:rsidR="00D5630C" w:rsidRPr="008A70A0">
        <w:rPr>
          <w:sz w:val="24"/>
          <w:szCs w:val="24"/>
        </w:rPr>
        <w:t xml:space="preserve"> </w:t>
      </w:r>
    </w:p>
    <w:p w14:paraId="459FA317" w14:textId="63489740" w:rsidR="00CD0DD4" w:rsidRPr="00FD3DD0" w:rsidRDefault="00FD3DD0" w:rsidP="00FD3DD0">
      <w:pPr>
        <w:pStyle w:val="Heading3"/>
      </w:pPr>
      <w:bookmarkStart w:id="231" w:name="_Toc31702006"/>
      <w:r w:rsidRPr="00FD3DD0">
        <w:t>Challenging the impact agenda</w:t>
      </w:r>
      <w:r w:rsidR="00A64B75">
        <w:t>: mismanagement and ‘misrecognition’</w:t>
      </w:r>
      <w:bookmarkEnd w:id="231"/>
    </w:p>
    <w:p w14:paraId="4E444477" w14:textId="1B95D0F1" w:rsidR="00C623C5" w:rsidRPr="009256C5" w:rsidRDefault="00E641CA" w:rsidP="00D82D84">
      <w:pPr>
        <w:spacing w:after="120" w:line="360" w:lineRule="auto"/>
        <w:rPr>
          <w:sz w:val="24"/>
          <w:szCs w:val="24"/>
        </w:rPr>
      </w:pPr>
      <w:r>
        <w:rPr>
          <w:sz w:val="24"/>
          <w:szCs w:val="24"/>
        </w:rPr>
        <w:t>The UK ‘impact agenda’, institutionalised mainly in REF2014, is neither the only nor the optimal manifestation of the necessity of academia’s boundary transactions with wider society</w:t>
      </w:r>
      <w:r w:rsidR="00D82D84">
        <w:rPr>
          <w:sz w:val="24"/>
          <w:szCs w:val="24"/>
        </w:rPr>
        <w:t xml:space="preserve">. </w:t>
      </w:r>
      <w:r w:rsidR="00C623C5">
        <w:rPr>
          <w:sz w:val="24"/>
          <w:szCs w:val="24"/>
        </w:rPr>
        <w:t>Th</w:t>
      </w:r>
      <w:r w:rsidR="00D82D84">
        <w:rPr>
          <w:sz w:val="24"/>
          <w:szCs w:val="24"/>
        </w:rPr>
        <w:t xml:space="preserve">e </w:t>
      </w:r>
      <w:r w:rsidR="00C623C5">
        <w:rPr>
          <w:sz w:val="24"/>
          <w:szCs w:val="24"/>
        </w:rPr>
        <w:t xml:space="preserve">excessive pressure </w:t>
      </w:r>
      <w:r w:rsidR="00D82D84">
        <w:rPr>
          <w:sz w:val="24"/>
          <w:szCs w:val="24"/>
        </w:rPr>
        <w:t>associated with the</w:t>
      </w:r>
      <w:r w:rsidR="00C623C5">
        <w:rPr>
          <w:sz w:val="24"/>
          <w:szCs w:val="24"/>
        </w:rPr>
        <w:t xml:space="preserve"> UK impact agenda came through at a personal level in my research through participant interviews. Although most </w:t>
      </w:r>
      <w:r w:rsidR="00D82D84">
        <w:rPr>
          <w:sz w:val="24"/>
          <w:szCs w:val="24"/>
        </w:rPr>
        <w:t xml:space="preserve">participants </w:t>
      </w:r>
      <w:r w:rsidR="00C623C5">
        <w:rPr>
          <w:sz w:val="24"/>
          <w:szCs w:val="24"/>
        </w:rPr>
        <w:t xml:space="preserve">felt passionately about having an impact on society through their research, and despite having benefited from success in the impact element of </w:t>
      </w:r>
      <w:r w:rsidR="00C623C5" w:rsidRPr="00A003FF">
        <w:rPr>
          <w:sz w:val="24"/>
          <w:szCs w:val="24"/>
        </w:rPr>
        <w:t xml:space="preserve">REF2014, most talked about REF impact critically. They saw it as placing unnecessary administrative burdens on universities and their staff and inappropriate expectations upon many fields of research to generate relatively narrowly and </w:t>
      </w:r>
      <w:r w:rsidR="00A022A5" w:rsidRPr="00A003FF">
        <w:rPr>
          <w:sz w:val="24"/>
          <w:szCs w:val="24"/>
        </w:rPr>
        <w:t>instrumentally defined</w:t>
      </w:r>
      <w:r w:rsidR="00C623C5" w:rsidRPr="00A003FF">
        <w:rPr>
          <w:sz w:val="24"/>
          <w:szCs w:val="24"/>
        </w:rPr>
        <w:t xml:space="preserve"> ‘impact’ data. Most</w:t>
      </w:r>
      <w:r w:rsidR="00C808E6">
        <w:rPr>
          <w:sz w:val="24"/>
          <w:szCs w:val="24"/>
        </w:rPr>
        <w:t xml:space="preserve"> participants</w:t>
      </w:r>
      <w:r w:rsidR="00C623C5" w:rsidRPr="00A003FF">
        <w:rPr>
          <w:sz w:val="24"/>
          <w:szCs w:val="24"/>
        </w:rPr>
        <w:t xml:space="preserve"> felt that their own topics of research and approaches to engaging potential collaborators and users ‘just so happened’ to coincide with what was valued in REF2014,</w:t>
      </w:r>
      <w:r w:rsidR="00C623C5">
        <w:rPr>
          <w:sz w:val="24"/>
          <w:szCs w:val="24"/>
        </w:rPr>
        <w:t xml:space="preserve"> but none, when asked, felt that this was something that all researchers and research fields </w:t>
      </w:r>
      <w:r w:rsidR="00D82D84">
        <w:rPr>
          <w:sz w:val="24"/>
          <w:szCs w:val="24"/>
        </w:rPr>
        <w:t>shoul</w:t>
      </w:r>
      <w:r w:rsidR="00C623C5">
        <w:rPr>
          <w:sz w:val="24"/>
          <w:szCs w:val="24"/>
        </w:rPr>
        <w:t xml:space="preserve">d </w:t>
      </w:r>
      <w:r w:rsidR="00D82D84">
        <w:rPr>
          <w:sz w:val="24"/>
          <w:szCs w:val="24"/>
        </w:rPr>
        <w:t xml:space="preserve">be expected to </w:t>
      </w:r>
      <w:r w:rsidR="00C623C5">
        <w:rPr>
          <w:sz w:val="24"/>
          <w:szCs w:val="24"/>
        </w:rPr>
        <w:t xml:space="preserve">aim for or be evaluated on. </w:t>
      </w:r>
      <w:r w:rsidR="00A754E8">
        <w:rPr>
          <w:sz w:val="24"/>
          <w:szCs w:val="24"/>
        </w:rPr>
        <w:t>To a large extent, these issues can be thought of as mismanagement in terms of the pressures that universities place on their own researchers to address the impact agenda</w:t>
      </w:r>
      <w:r w:rsidR="002D487D">
        <w:rPr>
          <w:sz w:val="24"/>
          <w:szCs w:val="24"/>
        </w:rPr>
        <w:t xml:space="preserve"> in </w:t>
      </w:r>
      <w:r w:rsidR="00A022A5">
        <w:rPr>
          <w:sz w:val="24"/>
          <w:szCs w:val="24"/>
        </w:rPr>
        <w:t>narrowly defined</w:t>
      </w:r>
      <w:r w:rsidR="002D487D">
        <w:rPr>
          <w:sz w:val="24"/>
          <w:szCs w:val="24"/>
        </w:rPr>
        <w:t xml:space="preserve"> ways.</w:t>
      </w:r>
    </w:p>
    <w:p w14:paraId="301A35BD" w14:textId="55F90A2F" w:rsidR="000E307D" w:rsidRDefault="00A754E8" w:rsidP="00BC4F5E">
      <w:pPr>
        <w:spacing w:after="120" w:line="360" w:lineRule="auto"/>
        <w:rPr>
          <w:sz w:val="24"/>
          <w:szCs w:val="24"/>
        </w:rPr>
      </w:pPr>
      <w:r>
        <w:rPr>
          <w:sz w:val="24"/>
          <w:szCs w:val="24"/>
        </w:rPr>
        <w:t>More fundamentally,</w:t>
      </w:r>
      <w:r w:rsidR="002D487D">
        <w:rPr>
          <w:sz w:val="24"/>
          <w:szCs w:val="24"/>
        </w:rPr>
        <w:t xml:space="preserve"> the whole approach to the assessment of impact as institutionalised in the REF</w:t>
      </w:r>
      <w:r>
        <w:rPr>
          <w:sz w:val="24"/>
          <w:szCs w:val="24"/>
        </w:rPr>
        <w:t xml:space="preserve"> appears to be</w:t>
      </w:r>
      <w:r w:rsidR="002D487D">
        <w:rPr>
          <w:sz w:val="24"/>
          <w:szCs w:val="24"/>
        </w:rPr>
        <w:t>, at least in part,</w:t>
      </w:r>
      <w:r>
        <w:rPr>
          <w:sz w:val="24"/>
          <w:szCs w:val="24"/>
        </w:rPr>
        <w:t xml:space="preserve"> a case of </w:t>
      </w:r>
      <w:r w:rsidR="00C623C5">
        <w:rPr>
          <w:sz w:val="24"/>
          <w:szCs w:val="24"/>
        </w:rPr>
        <w:t>‘misrecognition’ (</w:t>
      </w:r>
      <w:r w:rsidR="00C771A3">
        <w:rPr>
          <w:sz w:val="24"/>
          <w:szCs w:val="24"/>
        </w:rPr>
        <w:t xml:space="preserve">Bernstein, 2000, </w:t>
      </w:r>
      <w:r w:rsidR="00C623C5">
        <w:rPr>
          <w:sz w:val="24"/>
          <w:szCs w:val="24"/>
        </w:rPr>
        <w:t>p. 53). Misrecognition is where actions</w:t>
      </w:r>
      <w:r w:rsidR="003B1F50">
        <w:rPr>
          <w:sz w:val="24"/>
          <w:szCs w:val="24"/>
        </w:rPr>
        <w:t xml:space="preserve"> or decisions, including policy decisions, are predicated</w:t>
      </w:r>
      <w:r w:rsidR="00C623C5">
        <w:rPr>
          <w:sz w:val="24"/>
          <w:szCs w:val="24"/>
        </w:rPr>
        <w:t xml:space="preserve"> upon a</w:t>
      </w:r>
      <w:r w:rsidR="00624E51">
        <w:rPr>
          <w:sz w:val="24"/>
          <w:szCs w:val="24"/>
        </w:rPr>
        <w:t xml:space="preserve"> solely</w:t>
      </w:r>
      <w:r w:rsidR="00C623C5">
        <w:rPr>
          <w:sz w:val="24"/>
          <w:szCs w:val="24"/>
        </w:rPr>
        <w:t xml:space="preserve"> “functional analysis of what is taken to be the underlying features necessary” to “perform” (Bernstein, 2000, p. 53) or achieve a certain task or objective, such that the </w:t>
      </w:r>
      <w:r w:rsidR="00525176">
        <w:rPr>
          <w:sz w:val="24"/>
          <w:szCs w:val="24"/>
        </w:rPr>
        <w:t>decision making process</w:t>
      </w:r>
      <w:r w:rsidR="00C623C5">
        <w:rPr>
          <w:sz w:val="24"/>
          <w:szCs w:val="24"/>
        </w:rPr>
        <w:t xml:space="preserve"> fails to recognise and take account of the complex sociocultural context underpinning a given outcome. </w:t>
      </w:r>
      <w:r w:rsidR="008A4442">
        <w:rPr>
          <w:sz w:val="24"/>
          <w:szCs w:val="24"/>
        </w:rPr>
        <w:t>The impact agenda</w:t>
      </w:r>
      <w:r w:rsidR="007D60CC">
        <w:rPr>
          <w:sz w:val="24"/>
          <w:szCs w:val="24"/>
        </w:rPr>
        <w:t>,</w:t>
      </w:r>
      <w:r w:rsidR="008A4442">
        <w:rPr>
          <w:sz w:val="24"/>
          <w:szCs w:val="24"/>
        </w:rPr>
        <w:t xml:space="preserve"> as currently institutionalised</w:t>
      </w:r>
      <w:r w:rsidR="007D60CC">
        <w:rPr>
          <w:sz w:val="24"/>
          <w:szCs w:val="24"/>
        </w:rPr>
        <w:t>,</w:t>
      </w:r>
      <w:r w:rsidR="008A4442">
        <w:rPr>
          <w:sz w:val="24"/>
          <w:szCs w:val="24"/>
        </w:rPr>
        <w:t xml:space="preserve"> attempts to steer researchers to </w:t>
      </w:r>
      <w:r w:rsidR="00C623C5">
        <w:rPr>
          <w:sz w:val="24"/>
          <w:szCs w:val="24"/>
        </w:rPr>
        <w:t xml:space="preserve">‘perform’ impact </w:t>
      </w:r>
      <w:r w:rsidR="008A4442">
        <w:rPr>
          <w:sz w:val="24"/>
          <w:szCs w:val="24"/>
        </w:rPr>
        <w:t>effectively. The</w:t>
      </w:r>
      <w:r w:rsidR="00C623C5">
        <w:rPr>
          <w:sz w:val="24"/>
          <w:szCs w:val="24"/>
        </w:rPr>
        <w:t xml:space="preserve"> ‘misrecognition’ </w:t>
      </w:r>
      <w:r w:rsidR="008A4442">
        <w:rPr>
          <w:sz w:val="24"/>
          <w:szCs w:val="24"/>
        </w:rPr>
        <w:t>takes the form o</w:t>
      </w:r>
      <w:r w:rsidR="00C623C5">
        <w:rPr>
          <w:sz w:val="24"/>
          <w:szCs w:val="24"/>
        </w:rPr>
        <w:t xml:space="preserve">f an </w:t>
      </w:r>
      <w:r w:rsidR="00CC0D73">
        <w:rPr>
          <w:sz w:val="24"/>
          <w:szCs w:val="24"/>
        </w:rPr>
        <w:t>assumption</w:t>
      </w:r>
      <w:r w:rsidR="008A4442">
        <w:rPr>
          <w:sz w:val="24"/>
          <w:szCs w:val="24"/>
        </w:rPr>
        <w:t>, which is implied within much policy</w:t>
      </w:r>
      <w:r w:rsidR="0005637B">
        <w:rPr>
          <w:sz w:val="24"/>
          <w:szCs w:val="24"/>
        </w:rPr>
        <w:t xml:space="preserve"> and discourse</w:t>
      </w:r>
      <w:r w:rsidR="008A4442">
        <w:rPr>
          <w:sz w:val="24"/>
          <w:szCs w:val="24"/>
        </w:rPr>
        <w:t xml:space="preserve"> across the academic sector (even if it is not fully held </w:t>
      </w:r>
      <w:r w:rsidR="006E4745">
        <w:rPr>
          <w:sz w:val="24"/>
          <w:szCs w:val="24"/>
        </w:rPr>
        <w:t xml:space="preserve">and endorsed </w:t>
      </w:r>
      <w:r w:rsidR="008A4442">
        <w:rPr>
          <w:sz w:val="24"/>
          <w:szCs w:val="24"/>
        </w:rPr>
        <w:t>by</w:t>
      </w:r>
      <w:r w:rsidR="006E4745">
        <w:rPr>
          <w:sz w:val="24"/>
          <w:szCs w:val="24"/>
        </w:rPr>
        <w:t xml:space="preserve"> specific</w:t>
      </w:r>
      <w:r w:rsidR="008A4442">
        <w:rPr>
          <w:sz w:val="24"/>
          <w:szCs w:val="24"/>
        </w:rPr>
        <w:t xml:space="preserve"> individuals),</w:t>
      </w:r>
      <w:r w:rsidR="00CC0D73">
        <w:rPr>
          <w:sz w:val="24"/>
          <w:szCs w:val="24"/>
        </w:rPr>
        <w:t xml:space="preserve"> that research </w:t>
      </w:r>
      <w:r w:rsidR="008A4442">
        <w:rPr>
          <w:sz w:val="24"/>
          <w:szCs w:val="24"/>
        </w:rPr>
        <w:t xml:space="preserve">can </w:t>
      </w:r>
      <w:r w:rsidR="008550C1">
        <w:rPr>
          <w:sz w:val="24"/>
          <w:szCs w:val="24"/>
        </w:rPr>
        <w:t>achieve or ‘perform’ impact</w:t>
      </w:r>
      <w:r w:rsidR="008A4442">
        <w:rPr>
          <w:sz w:val="24"/>
          <w:szCs w:val="24"/>
        </w:rPr>
        <w:t xml:space="preserve"> </w:t>
      </w:r>
      <w:r w:rsidR="00CC0D73">
        <w:rPr>
          <w:sz w:val="24"/>
          <w:szCs w:val="24"/>
        </w:rPr>
        <w:t>simply</w:t>
      </w:r>
      <w:r w:rsidR="008A4442">
        <w:rPr>
          <w:sz w:val="24"/>
          <w:szCs w:val="24"/>
        </w:rPr>
        <w:t xml:space="preserve"> by complying</w:t>
      </w:r>
      <w:r w:rsidR="00CC0D73">
        <w:rPr>
          <w:sz w:val="24"/>
          <w:szCs w:val="24"/>
        </w:rPr>
        <w:t xml:space="preserve"> with so-called ‘best practice’ or with the</w:t>
      </w:r>
      <w:r w:rsidR="00C623C5">
        <w:rPr>
          <w:sz w:val="24"/>
          <w:szCs w:val="24"/>
        </w:rPr>
        <w:t xml:space="preserve"> values espoused by the REF and wider policy discourse. </w:t>
      </w:r>
      <w:r w:rsidR="00CC0D73">
        <w:rPr>
          <w:sz w:val="24"/>
          <w:szCs w:val="24"/>
        </w:rPr>
        <w:t xml:space="preserve">These assumptions </w:t>
      </w:r>
      <w:r w:rsidR="00774034">
        <w:rPr>
          <w:sz w:val="24"/>
          <w:szCs w:val="24"/>
        </w:rPr>
        <w:t>risk</w:t>
      </w:r>
      <w:r w:rsidR="00CC0D73">
        <w:rPr>
          <w:sz w:val="24"/>
          <w:szCs w:val="24"/>
        </w:rPr>
        <w:t xml:space="preserve"> f</w:t>
      </w:r>
      <w:r w:rsidR="00C623C5">
        <w:rPr>
          <w:sz w:val="24"/>
          <w:szCs w:val="24"/>
        </w:rPr>
        <w:t>ail</w:t>
      </w:r>
      <w:r w:rsidR="00774034">
        <w:rPr>
          <w:sz w:val="24"/>
          <w:szCs w:val="24"/>
        </w:rPr>
        <w:t>ing</w:t>
      </w:r>
      <w:r w:rsidR="00C623C5">
        <w:rPr>
          <w:sz w:val="24"/>
          <w:szCs w:val="24"/>
        </w:rPr>
        <w:t xml:space="preserve"> to </w:t>
      </w:r>
      <w:r w:rsidR="00CC0D73">
        <w:rPr>
          <w:sz w:val="24"/>
          <w:szCs w:val="24"/>
        </w:rPr>
        <w:t>understand (</w:t>
      </w:r>
      <w:r w:rsidR="008A4442">
        <w:rPr>
          <w:sz w:val="24"/>
          <w:szCs w:val="24"/>
        </w:rPr>
        <w:t xml:space="preserve">to </w:t>
      </w:r>
      <w:r w:rsidR="00CC0D73">
        <w:rPr>
          <w:sz w:val="24"/>
          <w:szCs w:val="24"/>
        </w:rPr>
        <w:t>‘recognise’)</w:t>
      </w:r>
      <w:r w:rsidR="00C623C5">
        <w:rPr>
          <w:sz w:val="24"/>
          <w:szCs w:val="24"/>
        </w:rPr>
        <w:t xml:space="preserve"> the contextual specificity</w:t>
      </w:r>
      <w:r w:rsidR="00CC0D73">
        <w:rPr>
          <w:sz w:val="24"/>
          <w:szCs w:val="24"/>
        </w:rPr>
        <w:t xml:space="preserve"> underpinning ‘impact’</w:t>
      </w:r>
      <w:r w:rsidR="00C623C5">
        <w:rPr>
          <w:sz w:val="24"/>
          <w:szCs w:val="24"/>
        </w:rPr>
        <w:t xml:space="preserve">, </w:t>
      </w:r>
      <w:r w:rsidR="00CC0D73">
        <w:rPr>
          <w:sz w:val="24"/>
          <w:szCs w:val="24"/>
        </w:rPr>
        <w:t xml:space="preserve">which is </w:t>
      </w:r>
      <w:r w:rsidR="00C623C5">
        <w:rPr>
          <w:sz w:val="24"/>
          <w:szCs w:val="24"/>
        </w:rPr>
        <w:t xml:space="preserve">comprised of complex institutional, epistemic and sociocultural elements, as well as idiosyncratic personal and interpersonal elements, in which a given </w:t>
      </w:r>
      <w:r w:rsidR="00CC0D73">
        <w:rPr>
          <w:sz w:val="24"/>
          <w:szCs w:val="24"/>
        </w:rPr>
        <w:t>set of boundary transactions</w:t>
      </w:r>
      <w:r w:rsidR="00C623C5">
        <w:rPr>
          <w:sz w:val="24"/>
          <w:szCs w:val="24"/>
        </w:rPr>
        <w:t xml:space="preserve"> came to be seen as an appropriate, legitimate</w:t>
      </w:r>
      <w:r w:rsidR="00CC0D73">
        <w:rPr>
          <w:sz w:val="24"/>
          <w:szCs w:val="24"/>
        </w:rPr>
        <w:t xml:space="preserve">, authentic and </w:t>
      </w:r>
      <w:r w:rsidR="00C623C5">
        <w:rPr>
          <w:sz w:val="24"/>
          <w:szCs w:val="24"/>
        </w:rPr>
        <w:t xml:space="preserve">worthwhile way forward for those involved. One of the main reasons for my qualitative approach and relatively small sample was to capture some of these contextual elements, and to show that boundary transactions must be </w:t>
      </w:r>
      <w:r w:rsidR="00C623C5">
        <w:rPr>
          <w:i/>
          <w:sz w:val="24"/>
          <w:szCs w:val="24"/>
        </w:rPr>
        <w:t xml:space="preserve">recognised </w:t>
      </w:r>
      <w:r w:rsidR="00C623C5">
        <w:rPr>
          <w:sz w:val="24"/>
          <w:szCs w:val="24"/>
        </w:rPr>
        <w:t xml:space="preserve">as part of the necessary tension of the academic endeavour, and that they can therefore occasionally be productive tensions. This is as opposed to the alternative possibility, that boundary transactions be </w:t>
      </w:r>
      <w:r w:rsidR="00C623C5">
        <w:rPr>
          <w:i/>
          <w:sz w:val="24"/>
          <w:szCs w:val="24"/>
        </w:rPr>
        <w:t xml:space="preserve">misrecognised </w:t>
      </w:r>
      <w:r w:rsidR="00C623C5">
        <w:rPr>
          <w:sz w:val="24"/>
          <w:szCs w:val="24"/>
        </w:rPr>
        <w:t xml:space="preserve">as merely a way to </w:t>
      </w:r>
      <w:r w:rsidR="00CC0D73">
        <w:rPr>
          <w:sz w:val="24"/>
          <w:szCs w:val="24"/>
        </w:rPr>
        <w:t>‘</w:t>
      </w:r>
      <w:r w:rsidR="00C623C5">
        <w:rPr>
          <w:sz w:val="24"/>
          <w:szCs w:val="24"/>
        </w:rPr>
        <w:t>perform</w:t>
      </w:r>
      <w:r w:rsidR="00CC0D73">
        <w:rPr>
          <w:sz w:val="24"/>
          <w:szCs w:val="24"/>
        </w:rPr>
        <w:t>’</w:t>
      </w:r>
      <w:r w:rsidR="00C623C5">
        <w:rPr>
          <w:sz w:val="24"/>
          <w:szCs w:val="24"/>
        </w:rPr>
        <w:t xml:space="preserve"> </w:t>
      </w:r>
      <w:r w:rsidR="00DE129C">
        <w:rPr>
          <w:sz w:val="24"/>
          <w:szCs w:val="24"/>
        </w:rPr>
        <w:t>i</w:t>
      </w:r>
      <w:r w:rsidR="00C623C5">
        <w:rPr>
          <w:sz w:val="24"/>
          <w:szCs w:val="24"/>
        </w:rPr>
        <w:t xml:space="preserve">mpact. An appropriate recognition of boundary transactions can result in their contributing constructively to the academic endeavour, to academic identities and academic boundaries. </w:t>
      </w:r>
    </w:p>
    <w:p w14:paraId="751344D9" w14:textId="7A4ECF67" w:rsidR="00F16B5C" w:rsidRDefault="00A062E1" w:rsidP="00BC4F5E">
      <w:pPr>
        <w:pStyle w:val="Heading3"/>
      </w:pPr>
      <w:bookmarkStart w:id="232" w:name="_Toc31702007"/>
      <w:r>
        <w:t>‘Entrepreneurial’</w:t>
      </w:r>
      <w:r w:rsidR="00F92D0E">
        <w:t>?</w:t>
      </w:r>
      <w:r>
        <w:t xml:space="preserve"> ‘</w:t>
      </w:r>
      <w:r w:rsidR="003D4224">
        <w:t>E</w:t>
      </w:r>
      <w:r>
        <w:t>cological’? Towar</w:t>
      </w:r>
      <w:r w:rsidR="007E79F0">
        <w:t>d</w:t>
      </w:r>
      <w:r>
        <w:t>s a “boundary-creating self-conception for the university”</w:t>
      </w:r>
      <w:bookmarkEnd w:id="232"/>
    </w:p>
    <w:p w14:paraId="351D6134" w14:textId="77777777" w:rsidR="00E526CE" w:rsidRDefault="00867C22" w:rsidP="00BC4F5E">
      <w:pPr>
        <w:pStyle w:val="NormalWeb"/>
        <w:spacing w:before="0" w:beforeAutospacing="0" w:after="120" w:afterAutospacing="0" w:line="360" w:lineRule="auto"/>
      </w:pPr>
      <w:r>
        <w:t>B.R. Clark’s (1998) proposed</w:t>
      </w:r>
      <w:r w:rsidR="003776CB">
        <w:t xml:space="preserve"> twenty-first century</w:t>
      </w:r>
      <w:r>
        <w:t xml:space="preserve"> solution to </w:t>
      </w:r>
      <w:r w:rsidR="00E04AE3">
        <w:t xml:space="preserve">instilling an appropriate recognition of and approach to boundary transactions </w:t>
      </w:r>
      <w:r>
        <w:t xml:space="preserve">was </w:t>
      </w:r>
      <w:r w:rsidR="00BB0577">
        <w:t>the ‘entrepreneurial university’</w:t>
      </w:r>
      <w:r w:rsidR="00E04AE3">
        <w:t xml:space="preserve">. This </w:t>
      </w:r>
      <w:r w:rsidR="00BB0577">
        <w:t>would</w:t>
      </w:r>
      <w:r w:rsidR="007D10D2">
        <w:t xml:space="preserve"> institute “a state of continuous change</w:t>
      </w:r>
      <w:r w:rsidR="007408CA">
        <w:t>” in order to respond</w:t>
      </w:r>
      <w:r w:rsidR="007D10D2">
        <w:t xml:space="preserve"> and </w:t>
      </w:r>
      <w:r w:rsidR="007408CA">
        <w:t>“</w:t>
      </w:r>
      <w:r w:rsidR="007D10D2">
        <w:t xml:space="preserve">adapt effectively to a changing society” </w:t>
      </w:r>
      <w:r w:rsidR="00D3750E">
        <w:t xml:space="preserve">(B. R. Clark, 2004, p. </w:t>
      </w:r>
      <w:r w:rsidR="00317980">
        <w:t>357).</w:t>
      </w:r>
      <w:r w:rsidR="008D7B54">
        <w:t xml:space="preserve"> </w:t>
      </w:r>
      <w:r w:rsidR="00E04AE3">
        <w:t>B. R. Clark (2004)</w:t>
      </w:r>
      <w:r w:rsidR="00A526FB">
        <w:t xml:space="preserve"> pointed</w:t>
      </w:r>
      <w:r w:rsidR="002D7AFE">
        <w:t xml:space="preserve"> optimistically</w:t>
      </w:r>
      <w:r w:rsidR="00D90863">
        <w:t xml:space="preserve"> forward</w:t>
      </w:r>
      <w:r w:rsidR="00A526FB">
        <w:t xml:space="preserve"> to </w:t>
      </w:r>
      <w:r w:rsidR="00563A29">
        <w:t xml:space="preserve">the </w:t>
      </w:r>
      <w:r w:rsidR="00E04AE3">
        <w:t>prevalence</w:t>
      </w:r>
      <w:r w:rsidR="00563A29">
        <w:t xml:space="preserve"> of a type of university</w:t>
      </w:r>
      <w:r w:rsidR="00A526FB">
        <w:t xml:space="preserve"> inspired by competition</w:t>
      </w:r>
      <w:r w:rsidR="00D24810">
        <w:t xml:space="preserve"> and moved by revenue-generation</w:t>
      </w:r>
      <w:r w:rsidR="00A526FB">
        <w:t xml:space="preserve"> but </w:t>
      </w:r>
      <w:r w:rsidR="00BF5F2A">
        <w:t xml:space="preserve">simultaneously </w:t>
      </w:r>
      <w:r w:rsidR="00A526FB">
        <w:t xml:space="preserve">comfortable with </w:t>
      </w:r>
      <w:r w:rsidR="00D24810">
        <w:t>“cross-subsidizing ... ‘useless’ things” which contribute to “</w:t>
      </w:r>
      <w:r w:rsidR="00A526FB">
        <w:t xml:space="preserve">cultivation and transmission of a cultural heritage as well as to economic progress” (p. 358). </w:t>
      </w:r>
    </w:p>
    <w:p w14:paraId="42029EE5" w14:textId="77777777" w:rsidR="00E526CE" w:rsidRDefault="00E04AE3" w:rsidP="00BC4F5E">
      <w:pPr>
        <w:pStyle w:val="NormalWeb"/>
        <w:spacing w:before="0" w:beforeAutospacing="0" w:after="120" w:afterAutospacing="0" w:line="360" w:lineRule="auto"/>
      </w:pPr>
      <w:r>
        <w:t>Barnett (2017), w</w:t>
      </w:r>
      <w:r w:rsidR="0000200A">
        <w:t>ith the benefit of nearly tw</w:t>
      </w:r>
      <w:r w:rsidR="00BB0577">
        <w:t>o decades</w:t>
      </w:r>
      <w:r w:rsidR="0000200A">
        <w:t xml:space="preserve">’ </w:t>
      </w:r>
      <w:r w:rsidR="00BF5F2A">
        <w:t>experience</w:t>
      </w:r>
      <w:r w:rsidR="0000200A">
        <w:t xml:space="preserve"> of the </w:t>
      </w:r>
      <w:r w:rsidR="00563A29">
        <w:t xml:space="preserve">challenges facing universities in the </w:t>
      </w:r>
      <w:r w:rsidR="0000200A">
        <w:t>twenty-first century</w:t>
      </w:r>
      <w:r w:rsidR="00BB0577">
        <w:t xml:space="preserve">, </w:t>
      </w:r>
      <w:r w:rsidR="00C53E32">
        <w:t xml:space="preserve">and adopting </w:t>
      </w:r>
      <w:r w:rsidR="00BB0577">
        <w:t>a</w:t>
      </w:r>
      <w:r w:rsidR="00BF5F2A">
        <w:t xml:space="preserve"> more combative</w:t>
      </w:r>
      <w:r w:rsidR="00BB0577">
        <w:t xml:space="preserve"> mode of </w:t>
      </w:r>
      <w:r w:rsidR="00C53E32">
        <w:t>“fend[ing] for” (</w:t>
      </w:r>
      <w:r>
        <w:t xml:space="preserve">Barnett, 2017, </w:t>
      </w:r>
      <w:r w:rsidR="00C53E32">
        <w:t>p. 157)</w:t>
      </w:r>
      <w:r w:rsidR="00BB0577">
        <w:rPr>
          <w:i/>
        </w:rPr>
        <w:t xml:space="preserve"> </w:t>
      </w:r>
      <w:r w:rsidR="00BB0577">
        <w:t>rather than</w:t>
      </w:r>
      <w:r w:rsidR="002327A9">
        <w:t xml:space="preserve"> merely</w:t>
      </w:r>
      <w:r w:rsidR="00BB0577">
        <w:t xml:space="preserve"> </w:t>
      </w:r>
      <w:r w:rsidR="00EE5CC2">
        <w:t xml:space="preserve">“offer[ing] a brief for” (Clark, 2004, p. 17) </w:t>
      </w:r>
      <w:r w:rsidR="00563A29">
        <w:t>the</w:t>
      </w:r>
      <w:r w:rsidR="00EE5CC2">
        <w:t xml:space="preserve"> twenty-first </w:t>
      </w:r>
      <w:r w:rsidR="00624F09">
        <w:t>centur</w:t>
      </w:r>
      <w:r w:rsidR="00BB0577">
        <w:t>y</w:t>
      </w:r>
      <w:r w:rsidR="00563A29">
        <w:t xml:space="preserve"> university</w:t>
      </w:r>
      <w:r w:rsidR="00BB0577">
        <w:t xml:space="preserve">, </w:t>
      </w:r>
      <w:r w:rsidR="00E56FB6">
        <w:t xml:space="preserve">aims to instil a greater sense of morality and ‘[u]rgency’ </w:t>
      </w:r>
      <w:r w:rsidR="005724F6">
        <w:t>by demanding what he calls an</w:t>
      </w:r>
      <w:r w:rsidR="00E56FB6">
        <w:t xml:space="preserve"> ‘ecological university’</w:t>
      </w:r>
      <w:r w:rsidR="00FB4994">
        <w:t xml:space="preserve"> (</w:t>
      </w:r>
      <w:r>
        <w:t xml:space="preserve">Barnett, 2017, </w:t>
      </w:r>
      <w:r w:rsidR="00FB4994">
        <w:t>p. 1)</w:t>
      </w:r>
      <w:r w:rsidR="00FF07E9">
        <w:t xml:space="preserve">. </w:t>
      </w:r>
      <w:r w:rsidR="00D674C4">
        <w:t xml:space="preserve">In this conception, academia’s “self-reproduction” and “self-interest” must be grounded on a “reciprocity” between universities and wider society (Barnett, 2017, pp. 47, 145). </w:t>
      </w:r>
    </w:p>
    <w:p w14:paraId="461F15B2" w14:textId="1BCDC2EA" w:rsidR="002F6BAD" w:rsidRDefault="00FB0908" w:rsidP="00BC4F5E">
      <w:pPr>
        <w:pStyle w:val="NormalWeb"/>
        <w:spacing w:before="0" w:beforeAutospacing="0" w:after="120" w:afterAutospacing="0" w:line="360" w:lineRule="auto"/>
      </w:pPr>
      <w:r>
        <w:t>The “idea of the ecological university can be seen as a contender with that of the entrepreneurial university” in that</w:t>
      </w:r>
      <w:r w:rsidR="00923B9A">
        <w:t xml:space="preserve">, in addition to acknowledging the need to contribute to wider society, it is also </w:t>
      </w:r>
      <w:r>
        <w:t>“grounded in a sense of the large forces that are destabilizing the university and steering it in certain pernicious directions”</w:t>
      </w:r>
      <w:r w:rsidR="00980EAB">
        <w:t xml:space="preserve"> (Barnett, 2017, p. 171</w:t>
      </w:r>
      <w:r w:rsidR="00923B9A">
        <w:t>). It is therefore</w:t>
      </w:r>
      <w:r w:rsidR="00D757F8">
        <w:t xml:space="preserve"> underpinned by a “Bhaskarian”</w:t>
      </w:r>
      <w:r w:rsidR="00980EAB">
        <w:t xml:space="preserve"> </w:t>
      </w:r>
      <w:r w:rsidR="00D757F8">
        <w:fldChar w:fldCharType="begin"/>
      </w:r>
      <w:r w:rsidR="00997CD5">
        <w:instrText xml:space="preserve"> ADDIN EN.CITE &lt;EndNote&gt;&lt;Cite ExcludeAuth="1" ExcludeYear="1"&gt;&lt;Author&gt;Bhaskar&lt;/Author&gt;&lt;Year&gt;2008&lt;/Year&gt;&lt;IDText&gt;A realist theory of science&lt;/IDText&gt;&lt;DisplayText&gt;(e.g. Bhaskar, 2000, 2008; Barnett, 2017, p. 85)&lt;/DisplayText&gt;&lt;record&gt;&lt;keywords&gt;&lt;keyword&gt;Science -- Philosophy&lt;/keyword&gt;&lt;/keywords&gt;&lt;titles&gt;&lt;title&gt;A realist theory of science&lt;/title&gt;&lt;/titles&gt;&lt;contributors&gt;&lt;authors&gt;&lt;author&gt;Bhaskar, Roy&lt;/author&gt;&lt;/authors&gt;&lt;/contributors&gt;&lt;edition&gt;Rev. ed.&lt;/edition&gt;&lt;added-date format="utc"&gt;1560438816&lt;/added-date&gt;&lt;pub-location&gt;London&lt;/pub-location&gt;&lt;ref-type name="Book"&gt;6&lt;/ref-type&gt;&lt;dates&gt;&lt;year&gt;2008&lt;/year&gt;&lt;/dates&gt;&lt;rec-number&gt;8390&lt;/rec-number&gt;&lt;publisher&gt;Routledge&lt;/publisher&gt;&lt;last-updated-date format="utc"&gt;1560438860&lt;/last-updated-date&gt;&lt;/record&gt;&lt;/Cite&gt;&lt;Cite&gt;&lt;Author&gt;Bhaskar&lt;/Author&gt;&lt;Year&gt;2000&lt;/Year&gt;&lt;IDText&gt;From east to west: odyssey of a soul&lt;/IDText&gt;&lt;Prefix&gt;e.g. &lt;/Prefix&gt;&lt;Suffix&gt;`, 2008`; Barnett`, 2017`, p. 85&lt;/Suffix&gt;&lt;record&gt;&lt;keywords&gt;&lt;keyword&gt;Religion -- Philosophy&lt;/keyword&gt;&lt;keyword&gt;Critical realism&lt;/keyword&gt;&lt;keyword&gt;Philosophy, Comparative&lt;/keyword&gt;&lt;keyword&gt;Self-realization&lt;/keyword&gt;&lt;keyword&gt;Ethics&lt;/keyword&gt;&lt;keyword&gt;Satisfaction&lt;/keyword&gt;&lt;keyword&gt;Success&lt;/keyword&gt;&lt;keyword&gt;Philosophy, Modern&lt;/keyword&gt;&lt;keyword&gt;Realism&lt;/keyword&gt;&lt;keyword&gt;Electronic books&lt;/keyword&gt;&lt;/keywords&gt;&lt;titles&gt;&lt;title&gt;From east to west: odyssey of a soul&lt;/title&gt;&lt;/titles&gt;&lt;contributors&gt;&lt;authors&gt;&lt;author&gt;Bhaskar, Roy&lt;/author&gt;&lt;/authors&gt;&lt;/contributors&gt;&lt;added-date format="utc"&gt;1560439711&lt;/added-date&gt;&lt;pub-location&gt;London&lt;/pub-location&gt;&lt;ref-type name="Book"&gt;6&lt;/ref-type&gt;&lt;dates&gt;&lt;year&gt;2000&lt;/year&gt;&lt;/dates&gt;&lt;rec-number&gt;8391&lt;/rec-number&gt;&lt;publisher&gt;Routledge&lt;/publisher&gt;&lt;last-updated-date format="utc"&gt;1560439790&lt;/last-updated-date&gt;&lt;/record&gt;&lt;/Cite&gt;&lt;/EndNote&gt;</w:instrText>
      </w:r>
      <w:r w:rsidR="00D757F8">
        <w:fldChar w:fldCharType="separate"/>
      </w:r>
      <w:r w:rsidR="00997CD5">
        <w:rPr>
          <w:noProof/>
        </w:rPr>
        <w:t>(e.g. Bhaskar, 2000, 2008; Barnett, 2017, p. 85)</w:t>
      </w:r>
      <w:r w:rsidR="00D757F8">
        <w:fldChar w:fldCharType="end"/>
      </w:r>
      <w:r>
        <w:t xml:space="preserve"> </w:t>
      </w:r>
      <w:r w:rsidR="00815B42">
        <w:t>sense of “the</w:t>
      </w:r>
      <w:r w:rsidR="00D674C4">
        <w:t xml:space="preserve"> </w:t>
      </w:r>
      <w:r w:rsidR="00815B42">
        <w:t xml:space="preserve">deep </w:t>
      </w:r>
      <w:r w:rsidR="00FF07E9">
        <w:t>‘generative mechanisms</w:t>
      </w:r>
      <w:r w:rsidR="005C46F7">
        <w:t>’</w:t>
      </w:r>
      <w:r w:rsidR="00FF07E9">
        <w:t xml:space="preserve"> </w:t>
      </w:r>
      <w:r w:rsidR="00815B42">
        <w:t xml:space="preserve">... that underlie the dominant institutions ... which hold the forces of power” (Barnett, 2017, p. 159). </w:t>
      </w:r>
      <w:r w:rsidR="00AD1723">
        <w:t xml:space="preserve">These are the kind of underpinning ‘mechanisms’ and structures which I have </w:t>
      </w:r>
      <w:r w:rsidR="00EB64E6">
        <w:t>sought</w:t>
      </w:r>
      <w:r w:rsidR="00AD1723">
        <w:t xml:space="preserve"> to uncover in my study; they are those which shape the distribution of power within academia as well as those which shape the context and direction of academia from the outside. </w:t>
      </w:r>
      <w:r w:rsidR="0037377F">
        <w:t>From this perspective, governmental policies a</w:t>
      </w:r>
      <w:r w:rsidR="00DE21B5">
        <w:t xml:space="preserve">nd academic leadership are important forces of power, </w:t>
      </w:r>
      <w:r w:rsidR="0037377F">
        <w:t>but they are also themselves symptomatic of broader</w:t>
      </w:r>
      <w:r w:rsidR="00DE21B5">
        <w:t xml:space="preserve"> </w:t>
      </w:r>
      <w:r w:rsidR="0037377F">
        <w:t>forces such as those associated with ‘technoscience’ and ‘mode 2’, which transcend any specific government, policy, economy or academic sector</w:t>
      </w:r>
      <w:r w:rsidR="00DE21B5">
        <w:t xml:space="preserve">, </w:t>
      </w:r>
      <w:r w:rsidR="00404860">
        <w:t>institution</w:t>
      </w:r>
      <w:r w:rsidR="00DE21B5">
        <w:t xml:space="preserve"> or actor</w:t>
      </w:r>
      <w:r w:rsidR="00404860">
        <w:t>.</w:t>
      </w:r>
      <w:r w:rsidR="00DE21B5">
        <w:t xml:space="preserve"> </w:t>
      </w:r>
    </w:p>
    <w:p w14:paraId="0E6B95CD" w14:textId="28A1E873" w:rsidR="000F4D66" w:rsidRDefault="00DE21B5" w:rsidP="006C45AE">
      <w:pPr>
        <w:pStyle w:val="NormalWeb"/>
        <w:spacing w:before="120" w:beforeAutospacing="0" w:after="120" w:afterAutospacing="0" w:line="360" w:lineRule="auto"/>
      </w:pPr>
      <w:r>
        <w:t xml:space="preserve">My underpinning philosophy, theoretical framework, and my findings, therefore share much in common with Barnett’s (2017) vision. </w:t>
      </w:r>
      <w:r w:rsidR="002B11CB">
        <w:t>Another thing</w:t>
      </w:r>
      <w:r>
        <w:t xml:space="preserve"> it shares is </w:t>
      </w:r>
      <w:r w:rsidR="002F6BAD">
        <w:t>“a measure of</w:t>
      </w:r>
      <w:r>
        <w:t xml:space="preserve"> optimism</w:t>
      </w:r>
      <w:r w:rsidR="002F6BAD">
        <w:t>” (Barnett, 2017, p. 171)</w:t>
      </w:r>
      <w:r w:rsidR="0066454B">
        <w:t>. T</w:t>
      </w:r>
      <w:r>
        <w:t>hat the most immediate challenges facing universities and academics</w:t>
      </w:r>
      <w:r w:rsidR="00672082">
        <w:t xml:space="preserve">, that is, those </w:t>
      </w:r>
      <w:r>
        <w:t xml:space="preserve">associated with </w:t>
      </w:r>
      <w:r w:rsidR="00672082">
        <w:t>institutional</w:t>
      </w:r>
      <w:r>
        <w:t xml:space="preserve"> management and national policies</w:t>
      </w:r>
      <w:r w:rsidR="00672082">
        <w:t>,</w:t>
      </w:r>
      <w:r>
        <w:t xml:space="preserve"> are seen as </w:t>
      </w:r>
      <w:r w:rsidRPr="00672082">
        <w:rPr>
          <w:i/>
        </w:rPr>
        <w:t>surface-level</w:t>
      </w:r>
      <w:r>
        <w:t xml:space="preserve"> forces</w:t>
      </w:r>
      <w:r w:rsidR="00672082">
        <w:t>,</w:t>
      </w:r>
      <w:r>
        <w:t xml:space="preserve"> highlights that they can and should be challenged and, if necessary, resisted on grounds of protecting the long-term reproduction of academia as a distinct and distinctly valuable institution. </w:t>
      </w:r>
      <w:r w:rsidR="00404860">
        <w:t>In particular, t</w:t>
      </w:r>
      <w:r w:rsidR="00864CA6">
        <w:t>he i</w:t>
      </w:r>
      <w:r w:rsidR="00D64377">
        <w:t>mpact agenda can be criticised</w:t>
      </w:r>
      <w:r w:rsidR="00C11784">
        <w:t xml:space="preserve"> precisely because </w:t>
      </w:r>
      <w:r w:rsidR="000F4D66">
        <w:t>the notion of ‘impact’</w:t>
      </w:r>
      <w:r w:rsidR="00C11784">
        <w:t xml:space="preserve"> ignores the “reciprocity” </w:t>
      </w:r>
      <w:r w:rsidR="000F4D66">
        <w:t xml:space="preserve">(Barnett, 2017, p. 145) </w:t>
      </w:r>
      <w:r w:rsidR="00F87F45">
        <w:t xml:space="preserve">essential to effective, authentic, and </w:t>
      </w:r>
      <w:r w:rsidR="006865E0">
        <w:t>sustainable</w:t>
      </w:r>
      <w:r w:rsidR="00C11784">
        <w:t xml:space="preserve"> </w:t>
      </w:r>
      <w:r w:rsidR="000F4D66">
        <w:t>boundary transaction</w:t>
      </w:r>
      <w:r w:rsidR="002C3032">
        <w:t>s</w:t>
      </w:r>
      <w:r w:rsidR="000F4D66">
        <w:t xml:space="preserve">: </w:t>
      </w:r>
    </w:p>
    <w:p w14:paraId="5ABF4AA6" w14:textId="2BDA5801" w:rsidR="00C11784" w:rsidRDefault="000F4D66" w:rsidP="00CE5CDB">
      <w:pPr>
        <w:pStyle w:val="NormalWeb"/>
        <w:spacing w:before="120" w:beforeAutospacing="0" w:after="120" w:afterAutospacing="0"/>
        <w:ind w:left="720"/>
      </w:pPr>
      <w:r>
        <w:t>“</w:t>
      </w:r>
      <w:r w:rsidR="003021C8">
        <w:t xml:space="preserve">Impact has no time for reciprocity. ... </w:t>
      </w:r>
      <w:r>
        <w:t>It</w:t>
      </w:r>
      <w:r w:rsidR="00F87F45">
        <w:t xml:space="preserve"> </w:t>
      </w:r>
      <w:r w:rsidR="00311ECB">
        <w:t xml:space="preserve">conjures an </w:t>
      </w:r>
      <w:r w:rsidR="00311ECB">
        <w:rPr>
          <w:i/>
          <w:iCs/>
        </w:rPr>
        <w:t xml:space="preserve">instrumental </w:t>
      </w:r>
      <w:r w:rsidR="00311ECB">
        <w:t>form of engagement</w:t>
      </w:r>
      <w:r w:rsidR="0048403D">
        <w:t xml:space="preserve"> </w:t>
      </w:r>
      <w:r w:rsidR="00311ECB">
        <w:t xml:space="preserve">... </w:t>
      </w:r>
      <w:r w:rsidR="0048403D">
        <w:t>[with]</w:t>
      </w:r>
      <w:r w:rsidR="00311ECB">
        <w:t xml:space="preserve"> </w:t>
      </w:r>
      <w:r w:rsidR="00C11784">
        <w:t>no sense of entanglement, of two entities being to some degree entwined with each other... Quite the reverse: this is a connectivity that is devoid of a relationship. ... It is evident that the language of impact has to be not merely abandoned, but sharply repudiated” (Barnett, 2017, pp. 144-145</w:t>
      </w:r>
      <w:r w:rsidR="00311ECB">
        <w:t>, original emphasis</w:t>
      </w:r>
      <w:r w:rsidR="00C11784">
        <w:t xml:space="preserve">).  </w:t>
      </w:r>
    </w:p>
    <w:p w14:paraId="42E07161" w14:textId="28983C01" w:rsidR="006F1643" w:rsidRDefault="0020587A" w:rsidP="00CF4FBE">
      <w:pPr>
        <w:spacing w:after="120" w:line="360" w:lineRule="auto"/>
      </w:pPr>
      <w:r w:rsidRPr="002B1A57">
        <w:rPr>
          <w:sz w:val="24"/>
          <w:szCs w:val="24"/>
        </w:rPr>
        <w:t xml:space="preserve">While my analysis </w:t>
      </w:r>
      <w:r w:rsidR="00642A91" w:rsidRPr="002B1A57">
        <w:rPr>
          <w:sz w:val="24"/>
          <w:szCs w:val="24"/>
        </w:rPr>
        <w:t>may be less virulent towards</w:t>
      </w:r>
      <w:r w:rsidRPr="002B1A57">
        <w:rPr>
          <w:sz w:val="24"/>
          <w:szCs w:val="24"/>
        </w:rPr>
        <w:t xml:space="preserve"> ‘impact’</w:t>
      </w:r>
      <w:r w:rsidR="00A90430" w:rsidRPr="002B1A57">
        <w:rPr>
          <w:sz w:val="24"/>
          <w:szCs w:val="24"/>
        </w:rPr>
        <w:t xml:space="preserve"> and </w:t>
      </w:r>
      <w:r w:rsidR="00B77853" w:rsidRPr="002B1A57">
        <w:rPr>
          <w:sz w:val="24"/>
          <w:szCs w:val="24"/>
        </w:rPr>
        <w:t>the ‘impact agenda’</w:t>
      </w:r>
      <w:r w:rsidRPr="002B1A57">
        <w:rPr>
          <w:sz w:val="24"/>
          <w:szCs w:val="24"/>
        </w:rPr>
        <w:t xml:space="preserve"> than Barnett’s, </w:t>
      </w:r>
      <w:r w:rsidR="00642A91" w:rsidRPr="002B1A57">
        <w:rPr>
          <w:sz w:val="24"/>
          <w:szCs w:val="24"/>
        </w:rPr>
        <w:t xml:space="preserve">his normative vision </w:t>
      </w:r>
      <w:r w:rsidR="00E04AE3" w:rsidRPr="002B1A57">
        <w:rPr>
          <w:sz w:val="24"/>
          <w:szCs w:val="24"/>
        </w:rPr>
        <w:t xml:space="preserve">is helpful in articulating empowering implications from my research. </w:t>
      </w:r>
      <w:r w:rsidR="002B1A57" w:rsidRPr="002B1A57">
        <w:rPr>
          <w:sz w:val="24"/>
          <w:szCs w:val="24"/>
        </w:rPr>
        <w:t>Th</w:t>
      </w:r>
      <w:r w:rsidR="003C7FE1">
        <w:rPr>
          <w:sz w:val="24"/>
          <w:szCs w:val="24"/>
        </w:rPr>
        <w:t>e main implication</w:t>
      </w:r>
      <w:r w:rsidR="006B15CF">
        <w:rPr>
          <w:sz w:val="24"/>
          <w:szCs w:val="24"/>
        </w:rPr>
        <w:t>s</w:t>
      </w:r>
      <w:r w:rsidR="0084178B">
        <w:rPr>
          <w:sz w:val="24"/>
          <w:szCs w:val="24"/>
        </w:rPr>
        <w:t xml:space="preserve"> along these lines</w:t>
      </w:r>
      <w:r w:rsidR="006B15CF">
        <w:rPr>
          <w:sz w:val="24"/>
          <w:szCs w:val="24"/>
        </w:rPr>
        <w:t xml:space="preserve"> are: </w:t>
      </w:r>
      <w:r w:rsidR="002B1A57" w:rsidRPr="002B1A57">
        <w:rPr>
          <w:sz w:val="24"/>
          <w:szCs w:val="24"/>
        </w:rPr>
        <w:t xml:space="preserve">the need for academic institutions and those employed by them to acknowledge that there </w:t>
      </w:r>
      <w:r w:rsidR="00A50DE6">
        <w:rPr>
          <w:sz w:val="24"/>
          <w:szCs w:val="24"/>
        </w:rPr>
        <w:t>are tensions and uncertainties</w:t>
      </w:r>
      <w:r w:rsidR="002B1A57" w:rsidRPr="002B1A57">
        <w:rPr>
          <w:sz w:val="24"/>
          <w:szCs w:val="24"/>
        </w:rPr>
        <w:t xml:space="preserve"> to the reproduction of academia as</w:t>
      </w:r>
      <w:r w:rsidR="002B1A57">
        <w:rPr>
          <w:sz w:val="24"/>
          <w:szCs w:val="24"/>
        </w:rPr>
        <w:t xml:space="preserve"> a central and autonomous knowledge institution</w:t>
      </w:r>
      <w:r w:rsidR="006B15CF">
        <w:rPr>
          <w:sz w:val="24"/>
          <w:szCs w:val="24"/>
        </w:rPr>
        <w:t>;</w:t>
      </w:r>
      <w:r w:rsidR="002B1A57">
        <w:rPr>
          <w:sz w:val="24"/>
          <w:szCs w:val="24"/>
        </w:rPr>
        <w:t xml:space="preserve"> to reflect on and strive for a </w:t>
      </w:r>
      <w:r w:rsidR="002B1A57" w:rsidRPr="00EF371F">
        <w:rPr>
          <w:sz w:val="24"/>
          <w:szCs w:val="24"/>
        </w:rPr>
        <w:t xml:space="preserve">“boundary-creating self-conception for the university” </w:t>
      </w:r>
      <w:r w:rsidR="002B1A57" w:rsidRPr="00EF371F">
        <w:rPr>
          <w:color w:val="000000" w:themeColor="text1"/>
          <w:sz w:val="24"/>
          <w:szCs w:val="24"/>
        </w:rPr>
        <w:fldChar w:fldCharType="begin"/>
      </w:r>
      <w:r w:rsidR="002B1A57">
        <w:rPr>
          <w:color w:val="000000" w:themeColor="text1"/>
          <w:sz w:val="24"/>
          <w:szCs w:val="24"/>
        </w:rPr>
        <w:instrText xml:space="preserve"> ADDIN EN.CITE &lt;EndNote&gt;&lt;Cite&gt;&lt;Author&gt;Considine&lt;/Author&gt;&lt;Year&gt;2006&lt;/Year&gt;&lt;IDText&gt;Theorizing the University as a Cultural System: Distinctions, Identities, Emergencies&lt;/IDText&gt;&lt;Pages&gt;269&lt;/Pages&gt;&lt;DisplayText&gt;(Considine, 2006, p. 269)&lt;/DisplayText&gt;&lt;record&gt;&lt;keywords&gt;&lt;keyword&gt;Higher Education&lt;/keyword&gt;&lt;keyword&gt;Universities&lt;/keyword&gt;&lt;keyword&gt;Institutional Mission&lt;/keyword&gt;&lt;keyword&gt;Organizational Culture&lt;/keyword&gt;&lt;keyword&gt;Institutional Characteristics&lt;/keyword&gt;&lt;keyword&gt;Systems Analysis&lt;/keyword&gt;&lt;keyword&gt;Institutional Environment&lt;/keyword&gt;&lt;keyword&gt;Goal Determination&lt;/keyword&gt;&lt;/keywords&gt;&lt;isbn&gt;0013-2004&lt;/isbn&gt;&lt;titles&gt;&lt;title&gt;Theorizing the University as a Cultural System: Distinctions, Identities, Emergencies&lt;/title&gt;&lt;secondary-title&gt;Educational Theory&lt;/secondary-title&gt;&lt;/titles&gt;&lt;pages&gt;255-270&lt;/pages&gt;&lt;number&gt;3&lt;/number&gt;&lt;contributors&gt;&lt;authors&gt;&lt;author&gt;Considine, Mark&lt;/author&gt;&lt;/authors&gt;&lt;/contributors&gt;&lt;added-date format="utc"&gt;1517697223&lt;/added-date&gt;&lt;pub-location&gt;Malden, USA&lt;/pub-location&gt;&lt;ref-type name="Journal Article"&gt;17&lt;/ref-type&gt;&lt;dates&gt;&lt;year&gt;2006&lt;/year&gt;&lt;/dates&gt;&lt;rec-number&gt;7326&lt;/rec-number&gt;&lt;last-updated-date format="utc"&gt;1522230349&lt;/last-updated-date&gt;&lt;electronic-resource-num&gt;10.1111/j.1741-5446.2006.00231.x&lt;/electronic-resource-num&gt;&lt;volume&gt;56&lt;/volume&gt;&lt;/record&gt;&lt;/Cite&gt;&lt;/EndNote&gt;</w:instrText>
      </w:r>
      <w:r w:rsidR="002B1A57" w:rsidRPr="00EF371F">
        <w:rPr>
          <w:color w:val="000000" w:themeColor="text1"/>
          <w:sz w:val="24"/>
          <w:szCs w:val="24"/>
        </w:rPr>
        <w:fldChar w:fldCharType="separate"/>
      </w:r>
      <w:r w:rsidR="002B1A57">
        <w:rPr>
          <w:noProof/>
          <w:color w:val="000000" w:themeColor="text1"/>
          <w:sz w:val="24"/>
          <w:szCs w:val="24"/>
        </w:rPr>
        <w:t>(Considine, 2006, p. 269)</w:t>
      </w:r>
      <w:r w:rsidR="002B1A57" w:rsidRPr="00EF371F">
        <w:rPr>
          <w:color w:val="000000" w:themeColor="text1"/>
          <w:sz w:val="24"/>
          <w:szCs w:val="24"/>
        </w:rPr>
        <w:fldChar w:fldCharType="end"/>
      </w:r>
      <w:r w:rsidR="002B1A57">
        <w:rPr>
          <w:sz w:val="24"/>
          <w:szCs w:val="24"/>
        </w:rPr>
        <w:t xml:space="preserve"> which empowers them to take ownership over boundary transactions</w:t>
      </w:r>
      <w:r w:rsidR="006B15CF">
        <w:rPr>
          <w:sz w:val="24"/>
          <w:szCs w:val="24"/>
        </w:rPr>
        <w:t>;</w:t>
      </w:r>
      <w:r w:rsidR="002B1A57">
        <w:rPr>
          <w:sz w:val="24"/>
          <w:szCs w:val="24"/>
        </w:rPr>
        <w:t xml:space="preserve"> a</w:t>
      </w:r>
      <w:r w:rsidR="002B1A57" w:rsidRPr="00945721">
        <w:rPr>
          <w:sz w:val="24"/>
          <w:szCs w:val="24"/>
        </w:rPr>
        <w:t>nd</w:t>
      </w:r>
      <w:r w:rsidR="002B1A57">
        <w:rPr>
          <w:sz w:val="24"/>
          <w:szCs w:val="24"/>
        </w:rPr>
        <w:t xml:space="preserve"> to be willing</w:t>
      </w:r>
      <w:r w:rsidR="002B1A57" w:rsidRPr="00945721">
        <w:rPr>
          <w:sz w:val="24"/>
          <w:szCs w:val="24"/>
        </w:rPr>
        <w:t xml:space="preserve"> “to engage in boundary work aimed at demarcating the proper scope of university pursuits”</w:t>
      </w:r>
      <w:r w:rsidR="002B1A57">
        <w:rPr>
          <w:sz w:val="24"/>
          <w:szCs w:val="24"/>
        </w:rPr>
        <w:t xml:space="preserve"> </w:t>
      </w:r>
      <w:r w:rsidR="002B1A57">
        <w:rPr>
          <w:sz w:val="24"/>
          <w:szCs w:val="24"/>
        </w:rPr>
        <w:fldChar w:fldCharType="begin"/>
      </w:r>
      <w:r w:rsidR="002B1A57">
        <w:rPr>
          <w:sz w:val="24"/>
          <w:szCs w:val="24"/>
        </w:rPr>
        <w:instrText xml:space="preserve"> ADDIN EN.CITE &lt;EndNote&gt;&lt;Cite&gt;&lt;Author&gt;Nickolai&lt;/Author&gt;&lt;Year&gt;2012&lt;/Year&gt;&lt;IDText&gt;Can a Knowledge Sanctuary also be an Economic Engine? The Marketization of Higher Education as Institutional Boundary Work&lt;/IDText&gt;&lt;Pages&gt;206&lt;/Pages&gt;&lt;DisplayText&gt;(Nickolai et al., 2012, p. 206)&lt;/DisplayText&gt;&lt;record&gt;&lt;keywords&gt;&lt;keyword&gt;Higher Education&lt;/keyword&gt;&lt;keyword&gt;Knowledge&lt;/keyword&gt;&lt;keyword&gt;College Students&lt;/keyword&gt;&lt;keyword&gt;Learning&lt;/keyword&gt;&lt;keyword&gt;Students&lt;/keyword&gt;&lt;keyword&gt;Markets&lt;/keyword&gt;&lt;keyword&gt;Values&lt;/keyword&gt;&lt;keyword&gt;Organizational Structure&lt;/keyword&gt;&lt;keyword&gt;Cultural Groups&lt;/keyword&gt;&lt;keyword&gt;Complex Organization&lt;/keyword&gt;&lt;keyword&gt;Bureaucratic Structure/Organizational Sociology&lt;/keyword&gt;&lt;keyword&gt;Article&lt;/keyword&gt;&lt;/keywords&gt;&lt;isbn&gt;1751-9020&lt;/isbn&gt;&lt;titles&gt;&lt;title&gt;Can a Knowledge Sanctuary also be an Economic Engine? The Marketization of Higher Education as Institutional Boundary Work&lt;/title&gt;&lt;/titles&gt;&lt;pages&gt;205-218&lt;/pages&gt;&lt;contributors&gt;&lt;authors&gt;&lt;author&gt;Nickolai, Daniel H.&lt;/author&gt;&lt;author&gt;Hoffman, Steve G.&lt;/author&gt;&lt;author&gt;Trautner, Mary Nell&lt;/author&gt;&lt;/authors&gt;&lt;/contributors&gt;&lt;added-date format="utc"&gt;1523374074&lt;/added-date&gt;&lt;pub-location&gt;Oxford, UK&lt;/pub-location&gt;&lt;ref-type name="Generic"&gt;13&lt;/ref-type&gt;&lt;dates&gt;&lt;year&gt;2012&lt;/year&gt;&lt;/dates&gt;&lt;rec-number&gt;7470&lt;/rec-number&gt;&lt;last-updated-date format="utc"&gt;1523374074&lt;/last-updated-date&gt;&lt;electronic-resource-num&gt;10.1111/j.1751-9020.2011.00449.x&lt;/electronic-resource-num&gt;&lt;volume&gt;6&lt;/volume&gt;&lt;/record&gt;&lt;/Cite&gt;&lt;/EndNote&gt;</w:instrText>
      </w:r>
      <w:r w:rsidR="002B1A57">
        <w:rPr>
          <w:sz w:val="24"/>
          <w:szCs w:val="24"/>
        </w:rPr>
        <w:fldChar w:fldCharType="separate"/>
      </w:r>
      <w:r w:rsidR="002B1A57">
        <w:rPr>
          <w:noProof/>
          <w:sz w:val="24"/>
          <w:szCs w:val="24"/>
        </w:rPr>
        <w:t>(Nickolai et al., 2012, p. 206)</w:t>
      </w:r>
      <w:r w:rsidR="002B1A57">
        <w:rPr>
          <w:sz w:val="24"/>
          <w:szCs w:val="24"/>
        </w:rPr>
        <w:fldChar w:fldCharType="end"/>
      </w:r>
      <w:r w:rsidR="002B1A57">
        <w:rPr>
          <w:sz w:val="24"/>
          <w:szCs w:val="24"/>
        </w:rPr>
        <w:t>.</w:t>
      </w:r>
      <w:r w:rsidR="006B15CF">
        <w:rPr>
          <w:sz w:val="24"/>
          <w:szCs w:val="24"/>
        </w:rPr>
        <w:t xml:space="preserve"> The point is not to come to a unanimous or final ‘self-conception’ or notion of the university’s ‘proper scope’, but to take responsibility for reflecting on and working towards these values</w:t>
      </w:r>
      <w:r w:rsidR="00672082">
        <w:rPr>
          <w:sz w:val="24"/>
          <w:szCs w:val="24"/>
        </w:rPr>
        <w:t>,</w:t>
      </w:r>
      <w:r w:rsidR="006B15CF">
        <w:rPr>
          <w:sz w:val="24"/>
          <w:szCs w:val="24"/>
        </w:rPr>
        <w:t xml:space="preserve"> however defined, individually and collectively. </w:t>
      </w:r>
      <w:r w:rsidR="00882FC2">
        <w:rPr>
          <w:sz w:val="24"/>
          <w:szCs w:val="24"/>
        </w:rPr>
        <w:t>T</w:t>
      </w:r>
      <w:r w:rsidR="002B1A57">
        <w:rPr>
          <w:sz w:val="24"/>
          <w:szCs w:val="24"/>
        </w:rPr>
        <w:t xml:space="preserve">he alternative is that national policies and institutional management priorities </w:t>
      </w:r>
      <w:r w:rsidR="002B1A57" w:rsidRPr="00C352A1">
        <w:rPr>
          <w:sz w:val="24"/>
          <w:szCs w:val="24"/>
        </w:rPr>
        <w:t xml:space="preserve">which misalign with these values </w:t>
      </w:r>
      <w:r w:rsidR="00F4442A">
        <w:rPr>
          <w:sz w:val="24"/>
          <w:szCs w:val="24"/>
        </w:rPr>
        <w:t>will be free to “reshape ... university boundaries</w:t>
      </w:r>
      <w:r w:rsidR="00582745">
        <w:rPr>
          <w:sz w:val="24"/>
          <w:szCs w:val="24"/>
        </w:rPr>
        <w:t xml:space="preserve">” </w:t>
      </w:r>
      <w:r w:rsidR="0031135D">
        <w:rPr>
          <w:sz w:val="24"/>
          <w:szCs w:val="24"/>
        </w:rPr>
        <w:t xml:space="preserve">narrowly and </w:t>
      </w:r>
      <w:r w:rsidR="002350F1">
        <w:rPr>
          <w:sz w:val="24"/>
          <w:szCs w:val="24"/>
        </w:rPr>
        <w:t>instrumentally, as a mechanism to</w:t>
      </w:r>
      <w:r w:rsidR="00582745">
        <w:rPr>
          <w:sz w:val="24"/>
          <w:szCs w:val="24"/>
        </w:rPr>
        <w:t xml:space="preserve"> “</w:t>
      </w:r>
      <w:r w:rsidR="002B1A57" w:rsidRPr="00C352A1">
        <w:rPr>
          <w:sz w:val="24"/>
          <w:szCs w:val="24"/>
        </w:rPr>
        <w:t>repurpose universities as drivers of a global knowledge economy”</w:t>
      </w:r>
      <w:r w:rsidR="002B1A57">
        <w:rPr>
          <w:sz w:val="24"/>
          <w:szCs w:val="24"/>
        </w:rPr>
        <w:t xml:space="preserve"> </w:t>
      </w:r>
      <w:r w:rsidR="002B1A57" w:rsidRPr="00E40049">
        <w:rPr>
          <w:sz w:val="24"/>
          <w:szCs w:val="24"/>
        </w:rPr>
        <w:fldChar w:fldCharType="begin"/>
      </w:r>
      <w:r w:rsidR="00F4442A">
        <w:rPr>
          <w:sz w:val="24"/>
          <w:szCs w:val="24"/>
        </w:rPr>
        <w:instrText xml:space="preserve"> ADDIN EN.CITE &lt;EndNote&gt;&lt;Cite&gt;&lt;Author&gt;Wright&lt;/Author&gt;&lt;Year&gt;2016&lt;/Year&gt;&lt;IDText&gt;Universities in a knowledge economy or ecology? Policy, contestation and abjection&lt;/IDText&gt;&lt;Pages&gt;61`, 71&lt;/Pages&gt;&lt;DisplayText&gt;(Wright, 2016, pp. 61, 71)&lt;/DisplayText&gt;&lt;record&gt;&lt;keywords&gt;&lt;keyword&gt;Article&lt;/keyword&gt;&lt;keyword&gt;Nthropology Of Policy&lt;/keyword&gt;&lt;keyword&gt;University Reform&lt;/keyword&gt;&lt;keyword&gt;Global Knowledge Economy&lt;/keyword&gt;&lt;keyword&gt;Substantive Ecology&lt;/keyword&gt;&lt;keyword&gt;Freedom&lt;/keyword&gt;&lt;keyword&gt;Contestation&lt;/keyword&gt;&lt;keyword&gt;Leadership&lt;/keyword&gt;&lt;/keywords&gt;&lt;isbn&gt;1946-0171&lt;/isbn&gt;&lt;titles&gt;&lt;title&gt;Universities in a knowledge economy or ecology? Policy, contestation and abjection&lt;/title&gt;&lt;secondary-title&gt;Critical Policy Studies&lt;/secondary-title&gt;&lt;/titles&gt;&lt;pages&gt;59-78&lt;/pages&gt;&lt;number&gt;1&lt;/number&gt;&lt;contributors&gt;&lt;authors&gt;&lt;author&gt;Wright, Susan&lt;/author&gt;&lt;/authors&gt;&lt;/contributors&gt;&lt;added-date format="utc"&gt;1523192048&lt;/added-date&gt;&lt;ref-type name="Journal Article"&gt;17&lt;/ref-type&gt;&lt;dates&gt;&lt;year&gt;2016&lt;/year&gt;&lt;/dates&gt;&lt;rec-number&gt;7461&lt;/rec-number&gt;&lt;publisher&gt;Routledge&lt;/publisher&gt;&lt;last-updated-date format="utc"&gt;1523192048&lt;/last-updated-date&gt;&lt;electronic-resource-num&gt;10.1080/19460171.2016.1142457&lt;/electronic-resource-num&gt;&lt;volume&gt;10&lt;/volume&gt;&lt;/record&gt;&lt;/Cite&gt;&lt;/EndNote&gt;</w:instrText>
      </w:r>
      <w:r w:rsidR="002B1A57" w:rsidRPr="00E40049">
        <w:rPr>
          <w:sz w:val="24"/>
          <w:szCs w:val="24"/>
        </w:rPr>
        <w:fldChar w:fldCharType="separate"/>
      </w:r>
      <w:r w:rsidR="00F4442A">
        <w:rPr>
          <w:noProof/>
          <w:sz w:val="24"/>
          <w:szCs w:val="24"/>
        </w:rPr>
        <w:t>(Wright, 2016, pp. 61, 71)</w:t>
      </w:r>
      <w:r w:rsidR="002B1A57" w:rsidRPr="00E40049">
        <w:rPr>
          <w:sz w:val="24"/>
          <w:szCs w:val="24"/>
        </w:rPr>
        <w:fldChar w:fldCharType="end"/>
      </w:r>
      <w:r w:rsidR="002B1A57">
        <w:rPr>
          <w:sz w:val="24"/>
          <w:szCs w:val="24"/>
        </w:rPr>
        <w:t xml:space="preserve"> without due regard for the</w:t>
      </w:r>
      <w:r w:rsidR="002350F1">
        <w:rPr>
          <w:sz w:val="24"/>
          <w:szCs w:val="24"/>
        </w:rPr>
        <w:t>ir long-term integrity</w:t>
      </w:r>
      <w:r w:rsidR="000D24F0">
        <w:rPr>
          <w:sz w:val="24"/>
          <w:szCs w:val="24"/>
        </w:rPr>
        <w:t>, reproduction and potential</w:t>
      </w:r>
      <w:r w:rsidR="00291F6E">
        <w:rPr>
          <w:sz w:val="24"/>
          <w:szCs w:val="24"/>
        </w:rPr>
        <w:t xml:space="preserve"> for producing and sharing world-changing ideas and innovations</w:t>
      </w:r>
      <w:r w:rsidR="00F93A3F">
        <w:rPr>
          <w:sz w:val="24"/>
          <w:szCs w:val="24"/>
        </w:rPr>
        <w:t xml:space="preserve">. </w:t>
      </w:r>
      <w:r w:rsidR="002350F1">
        <w:rPr>
          <w:sz w:val="24"/>
          <w:szCs w:val="24"/>
        </w:rPr>
        <w:t xml:space="preserve"> </w:t>
      </w:r>
      <w:r w:rsidR="006F1643">
        <w:br w:type="page"/>
      </w:r>
    </w:p>
    <w:p w14:paraId="5816B1FB" w14:textId="54744F5E" w:rsidR="003B52F3" w:rsidRDefault="002F47E8" w:rsidP="002F47E8">
      <w:pPr>
        <w:pStyle w:val="Heading1"/>
      </w:pPr>
      <w:bookmarkStart w:id="233" w:name="_Toc31702008"/>
      <w:r>
        <w:t>References</w:t>
      </w:r>
      <w:bookmarkEnd w:id="233"/>
    </w:p>
    <w:p w14:paraId="4B015F26" w14:textId="336FFE44" w:rsidR="00883B69" w:rsidRPr="00883B69" w:rsidRDefault="00233012" w:rsidP="00883B69">
      <w:pPr>
        <w:pStyle w:val="EndNoteBibliography"/>
        <w:spacing w:after="0"/>
        <w:ind w:left="720" w:hanging="720"/>
      </w:pPr>
      <w:r>
        <w:rPr>
          <w:sz w:val="24"/>
        </w:rPr>
        <w:fldChar w:fldCharType="begin"/>
      </w:r>
      <w:r w:rsidR="003B52F3" w:rsidRPr="00E07380">
        <w:rPr>
          <w:sz w:val="24"/>
        </w:rPr>
        <w:instrText xml:space="preserve"> ADDIN EN.REFLIST </w:instrText>
      </w:r>
      <w:r>
        <w:rPr>
          <w:sz w:val="24"/>
        </w:rPr>
        <w:fldChar w:fldCharType="separate"/>
      </w:r>
      <w:r w:rsidR="00883B69" w:rsidRPr="00883B69">
        <w:t xml:space="preserve">Abreu, M., Grinevich, V., Hughes, A., &amp; Kitson, M. (2009). </w:t>
      </w:r>
      <w:r w:rsidR="00883B69" w:rsidRPr="00883B69">
        <w:rPr>
          <w:i/>
        </w:rPr>
        <w:t>Knowledge Exchange between Academics and the Business, Public and Third Sectors</w:t>
      </w:r>
      <w:r w:rsidR="00883B69" w:rsidRPr="00883B69">
        <w:t xml:space="preserve">. Retrieved from University of Cambridge, Judge Business School: </w:t>
      </w:r>
      <w:hyperlink r:id="rId19" w:history="1">
        <w:r w:rsidR="00883B69" w:rsidRPr="00883B69">
          <w:rPr>
            <w:rStyle w:val="Hyperlink"/>
          </w:rPr>
          <w:t>https://www.jbs.cam.ac.uk/fileadmin/user_upload/centre-for-business-research/downloads/special-reports/specialreport-knowledgeexchangeacademics.pdf</w:t>
        </w:r>
      </w:hyperlink>
    </w:p>
    <w:p w14:paraId="3CA6486F" w14:textId="77777777" w:rsidR="00883B69" w:rsidRPr="00883B69" w:rsidRDefault="00883B69" w:rsidP="00883B69">
      <w:pPr>
        <w:pStyle w:val="EndNoteBibliography"/>
        <w:spacing w:after="0"/>
        <w:ind w:left="720" w:hanging="720"/>
      </w:pPr>
      <w:r w:rsidRPr="00883B69">
        <w:t xml:space="preserve">Adkins, B. (2009). PhD Pedagogy and the Changing Knowledge Landscapes of Universities. </w:t>
      </w:r>
      <w:r w:rsidRPr="00883B69">
        <w:rPr>
          <w:i/>
        </w:rPr>
        <w:t>Higher Education Research and Development, 28</w:t>
      </w:r>
      <w:r w:rsidRPr="00883B69">
        <w:t>(2), 165-177. doi:10.1080/07294360902725041</w:t>
      </w:r>
    </w:p>
    <w:p w14:paraId="6C750D1F" w14:textId="6A7A3857" w:rsidR="00883B69" w:rsidRPr="00883B69" w:rsidRDefault="00883B69" w:rsidP="00883B69">
      <w:pPr>
        <w:pStyle w:val="EndNoteBibliography"/>
        <w:spacing w:after="0"/>
        <w:ind w:left="720" w:hanging="720"/>
      </w:pPr>
      <w:r w:rsidRPr="00883B69">
        <w:t xml:space="preserve">Akker, W. v. d. (2017). </w:t>
      </w:r>
      <w:r w:rsidRPr="00883B69">
        <w:rPr>
          <w:i/>
        </w:rPr>
        <w:t>Productive interactions: societal impact of academic research in the knowledge society</w:t>
      </w:r>
      <w:r w:rsidRPr="00883B69">
        <w:t xml:space="preserve">. Retrieved from </w:t>
      </w:r>
      <w:hyperlink r:id="rId20" w:history="1">
        <w:r w:rsidRPr="00883B69">
          <w:rPr>
            <w:rStyle w:val="Hyperlink"/>
          </w:rPr>
          <w:t>http://www.leru.org/files/publications/LERU_Position_Paper_Societal_Impact.pdf</w:t>
        </w:r>
      </w:hyperlink>
    </w:p>
    <w:p w14:paraId="3877B46B" w14:textId="77777777" w:rsidR="00883B69" w:rsidRPr="00883B69" w:rsidRDefault="00883B69" w:rsidP="00883B69">
      <w:pPr>
        <w:pStyle w:val="EndNoteBibliography"/>
        <w:spacing w:after="0"/>
        <w:ind w:left="720" w:hanging="720"/>
      </w:pPr>
      <w:r w:rsidRPr="00883B69">
        <w:t xml:space="preserve">Al-Tabbaa, O., &amp; Ankrah, S. (2016). Social capital to facilitate ‘ engineered’ university– industry collaboration for technology transfer: A dynamic perspective. </w:t>
      </w:r>
      <w:r w:rsidRPr="00883B69">
        <w:rPr>
          <w:i/>
        </w:rPr>
        <w:t>Technological Forecasting &amp; Social Change, 104</w:t>
      </w:r>
      <w:r w:rsidRPr="00883B69">
        <w:t>, 1-15. doi:10.1016/j.techfore.2015.11.027</w:t>
      </w:r>
    </w:p>
    <w:p w14:paraId="104730FD" w14:textId="77777777" w:rsidR="00883B69" w:rsidRPr="00883B69" w:rsidRDefault="00883B69" w:rsidP="00883B69">
      <w:pPr>
        <w:pStyle w:val="EndNoteBibliography"/>
        <w:spacing w:after="0"/>
        <w:ind w:left="720" w:hanging="720"/>
      </w:pPr>
      <w:r w:rsidRPr="00883B69">
        <w:t xml:space="preserve">Archer, L. (2008). The new neoliberal subjects? Young/er academics’ constructions of professional identity. </w:t>
      </w:r>
      <w:r w:rsidRPr="00883B69">
        <w:rPr>
          <w:i/>
        </w:rPr>
        <w:t>Journal of Education Policy, 23</w:t>
      </w:r>
      <w:r w:rsidRPr="00883B69">
        <w:t>(3), 265-285. doi:10.1080/02680930701754047</w:t>
      </w:r>
    </w:p>
    <w:p w14:paraId="67BD5FA5" w14:textId="77777777" w:rsidR="00883B69" w:rsidRPr="00883B69" w:rsidRDefault="00883B69" w:rsidP="00883B69">
      <w:pPr>
        <w:pStyle w:val="EndNoteBibliography"/>
        <w:spacing w:after="0"/>
        <w:ind w:left="720" w:hanging="720"/>
      </w:pPr>
      <w:r w:rsidRPr="00883B69">
        <w:t xml:space="preserve">Atkinson, P., &amp; Coffey, A. (2004). Analysing documentary realities. In D. Silverman (Ed.), </w:t>
      </w:r>
      <w:r w:rsidRPr="00883B69">
        <w:rPr>
          <w:i/>
        </w:rPr>
        <w:t>Qualitative research: theory, method and practice</w:t>
      </w:r>
      <w:r w:rsidRPr="00883B69">
        <w:t xml:space="preserve"> (2nd ed.). London: SAGE.</w:t>
      </w:r>
    </w:p>
    <w:p w14:paraId="338C1941" w14:textId="77777777" w:rsidR="00883B69" w:rsidRPr="00883B69" w:rsidRDefault="00883B69" w:rsidP="00883B69">
      <w:pPr>
        <w:pStyle w:val="EndNoteBibliography"/>
        <w:spacing w:after="0"/>
        <w:ind w:left="720" w:hanging="720"/>
      </w:pPr>
      <w:r w:rsidRPr="00883B69">
        <w:t xml:space="preserve">Babones, S. (2016). Interpretive Quantitative Methods for the Social Sciences. </w:t>
      </w:r>
      <w:r w:rsidRPr="00883B69">
        <w:rPr>
          <w:i/>
        </w:rPr>
        <w:t>Sociology, 50</w:t>
      </w:r>
      <w:r w:rsidRPr="00883B69">
        <w:t>(3), 453-469. doi:10.1177/0038038515583637</w:t>
      </w:r>
    </w:p>
    <w:p w14:paraId="203E9A4C" w14:textId="77777777" w:rsidR="00883B69" w:rsidRPr="00883B69" w:rsidRDefault="00883B69" w:rsidP="00883B69">
      <w:pPr>
        <w:pStyle w:val="EndNoteBibliography"/>
        <w:spacing w:after="0"/>
        <w:ind w:left="720" w:hanging="720"/>
      </w:pPr>
      <w:r w:rsidRPr="00883B69">
        <w:t xml:space="preserve">Bacevic, J. (2017). Beyond the Third Mission: Toward an Actor-Based Account of Universities' Relationship with Society. In H. Ergül &amp; S. Coşar (Eds.), </w:t>
      </w:r>
      <w:r w:rsidRPr="00883B69">
        <w:rPr>
          <w:i/>
        </w:rPr>
        <w:t>Universities in the  neoliberal  era : academic cultures and critical perspectives</w:t>
      </w:r>
      <w:r w:rsidRPr="00883B69">
        <w:t>. London: Palgrave Macmillan.</w:t>
      </w:r>
    </w:p>
    <w:p w14:paraId="602AA3D2" w14:textId="77777777" w:rsidR="00883B69" w:rsidRPr="00883B69" w:rsidRDefault="00883B69" w:rsidP="00883B69">
      <w:pPr>
        <w:pStyle w:val="EndNoteBibliography"/>
        <w:spacing w:after="0"/>
        <w:ind w:left="720" w:hanging="720"/>
      </w:pPr>
      <w:r w:rsidRPr="00883B69">
        <w:t xml:space="preserve">Bacevic, J. (2018). With or without U? Assemblage theory and (de)territorialising the university. </w:t>
      </w:r>
      <w:r w:rsidRPr="00883B69">
        <w:rPr>
          <w:i/>
        </w:rPr>
        <w:t>Globalisation, Societies and Education</w:t>
      </w:r>
      <w:r w:rsidRPr="00883B69">
        <w:t>, 1-14. doi:10.1080/14767724.2018.1498323</w:t>
      </w:r>
    </w:p>
    <w:p w14:paraId="6292091A" w14:textId="77777777" w:rsidR="00883B69" w:rsidRPr="00883B69" w:rsidRDefault="00883B69" w:rsidP="00883B69">
      <w:pPr>
        <w:pStyle w:val="EndNoteBibliography"/>
        <w:spacing w:after="0"/>
        <w:ind w:left="720" w:hanging="720"/>
      </w:pPr>
      <w:r w:rsidRPr="00883B69">
        <w:t xml:space="preserve">Bansal, P., Bertels, S., Ewart, T., MacConnachie, P., &amp; O'Brien, J. (2012). Bridging the research-practice gap. </w:t>
      </w:r>
      <w:r w:rsidRPr="00883B69">
        <w:rPr>
          <w:i/>
        </w:rPr>
        <w:t>Academy of Management Perspectives, 26</w:t>
      </w:r>
      <w:r w:rsidRPr="00883B69">
        <w:t>(1), 73-92. doi:10.5465/amp.2011.0140</w:t>
      </w:r>
    </w:p>
    <w:p w14:paraId="5B72F80F" w14:textId="77777777" w:rsidR="00883B69" w:rsidRPr="00883B69" w:rsidRDefault="00883B69" w:rsidP="00883B69">
      <w:pPr>
        <w:pStyle w:val="EndNoteBibliography"/>
        <w:spacing w:after="0"/>
        <w:ind w:left="720" w:hanging="720"/>
      </w:pPr>
      <w:r w:rsidRPr="00883B69">
        <w:t xml:space="preserve">Barnett, R. (2017). </w:t>
      </w:r>
      <w:r w:rsidRPr="00883B69">
        <w:rPr>
          <w:i/>
        </w:rPr>
        <w:t>The Ecological University: A Feasible Utopia</w:t>
      </w:r>
      <w:r w:rsidRPr="00883B69">
        <w:t>. London: Routledge.</w:t>
      </w:r>
    </w:p>
    <w:p w14:paraId="01C93247" w14:textId="77777777" w:rsidR="00883B69" w:rsidRPr="00883B69" w:rsidRDefault="00883B69" w:rsidP="00883B69">
      <w:pPr>
        <w:pStyle w:val="EndNoteBibliography"/>
        <w:spacing w:after="0"/>
        <w:ind w:left="720" w:hanging="720"/>
      </w:pPr>
      <w:r w:rsidRPr="00883B69">
        <w:t xml:space="preserve">Barry, A., &amp; Born, G. (Eds.). (2013). </w:t>
      </w:r>
      <w:r w:rsidRPr="00883B69">
        <w:rPr>
          <w:i/>
        </w:rPr>
        <w:t>Interdisciplinarity: reconfigurations of the social and natural sciences</w:t>
      </w:r>
      <w:r w:rsidRPr="00883B69">
        <w:t>. London: Routledge.</w:t>
      </w:r>
    </w:p>
    <w:p w14:paraId="2572A75E" w14:textId="77777777" w:rsidR="00883B69" w:rsidRPr="00883B69" w:rsidRDefault="00883B69" w:rsidP="00883B69">
      <w:pPr>
        <w:pStyle w:val="EndNoteBibliography"/>
        <w:spacing w:after="0"/>
        <w:ind w:left="720" w:hanging="720"/>
      </w:pPr>
      <w:r w:rsidRPr="00883B69">
        <w:t xml:space="preserve">Barry, A., Born, G., &amp; Weszkalnys, G. (2008). Logics of interdisciplinarity. </w:t>
      </w:r>
      <w:r w:rsidRPr="00883B69">
        <w:rPr>
          <w:i/>
        </w:rPr>
        <w:t>Economy and Society, 37</w:t>
      </w:r>
      <w:r w:rsidRPr="00883B69">
        <w:t>(1), 20-49. doi:10.1080/03085140701760841</w:t>
      </w:r>
    </w:p>
    <w:p w14:paraId="0CB0DB87" w14:textId="77777777" w:rsidR="00883B69" w:rsidRPr="00883B69" w:rsidRDefault="00883B69" w:rsidP="00883B69">
      <w:pPr>
        <w:pStyle w:val="EndNoteBibliography"/>
        <w:spacing w:after="0"/>
        <w:ind w:left="720" w:hanging="720"/>
      </w:pPr>
      <w:r w:rsidRPr="00883B69">
        <w:t xml:space="preserve">Beck, J. (2002). The Sacred and the Profane in Recent Struggles to Promote Official Pedagogic Identities. </w:t>
      </w:r>
      <w:r w:rsidRPr="00883B69">
        <w:rPr>
          <w:i/>
        </w:rPr>
        <w:t>British Journal of Sociology of Education, 23</w:t>
      </w:r>
      <w:r w:rsidRPr="00883B69">
        <w:t>(4), 617-626. doi:10.1080/0142569022000038468</w:t>
      </w:r>
    </w:p>
    <w:p w14:paraId="50B7AF56" w14:textId="77777777" w:rsidR="00883B69" w:rsidRPr="00883B69" w:rsidRDefault="00883B69" w:rsidP="00883B69">
      <w:pPr>
        <w:pStyle w:val="EndNoteBibliography"/>
        <w:spacing w:after="0"/>
        <w:ind w:left="720" w:hanging="720"/>
      </w:pPr>
      <w:r w:rsidRPr="00883B69">
        <w:t xml:space="preserve">Beck, J., &amp; Young, M. F. D. (2005). The assault on the professions and the restructuring of academic and professional identities: a Bernsteinian analysis. </w:t>
      </w:r>
      <w:r w:rsidRPr="00883B69">
        <w:rPr>
          <w:i/>
        </w:rPr>
        <w:t>British Journal of Sociology of Education, 26</w:t>
      </w:r>
      <w:r w:rsidRPr="00883B69">
        <w:t>(2), 183-197. doi:10.1080/0142569042000294165</w:t>
      </w:r>
    </w:p>
    <w:p w14:paraId="53981F27" w14:textId="77777777" w:rsidR="00883B69" w:rsidRPr="00883B69" w:rsidRDefault="00883B69" w:rsidP="00883B69">
      <w:pPr>
        <w:pStyle w:val="EndNoteBibliography"/>
        <w:spacing w:after="0"/>
        <w:ind w:left="720" w:hanging="720"/>
      </w:pPr>
      <w:r w:rsidRPr="00883B69">
        <w:t xml:space="preserve">Ben-David, J. (1971). </w:t>
      </w:r>
      <w:r w:rsidRPr="00883B69">
        <w:rPr>
          <w:i/>
        </w:rPr>
        <w:t>The scientist's role in society: a comparative study</w:t>
      </w:r>
      <w:r w:rsidRPr="00883B69">
        <w:t>. Englewood Cliffs: Prentice-Hall.</w:t>
      </w:r>
    </w:p>
    <w:p w14:paraId="72B12316" w14:textId="77777777" w:rsidR="00883B69" w:rsidRPr="00883B69" w:rsidRDefault="00883B69" w:rsidP="00883B69">
      <w:pPr>
        <w:pStyle w:val="EndNoteBibliography"/>
        <w:spacing w:after="0"/>
        <w:ind w:left="720" w:hanging="720"/>
      </w:pPr>
      <w:r w:rsidRPr="00883B69">
        <w:t xml:space="preserve">Ben-David, J. (1977). </w:t>
      </w:r>
      <w:r w:rsidRPr="00883B69">
        <w:rPr>
          <w:i/>
        </w:rPr>
        <w:t>Centres of Learning: Britain, France, Germany, United States</w:t>
      </w:r>
      <w:r w:rsidRPr="00883B69">
        <w:t>. New York: McGraw Hill.</w:t>
      </w:r>
    </w:p>
    <w:p w14:paraId="4B0E341A" w14:textId="77777777" w:rsidR="00883B69" w:rsidRPr="00883B69" w:rsidRDefault="00883B69" w:rsidP="00883B69">
      <w:pPr>
        <w:pStyle w:val="EndNoteBibliography"/>
        <w:spacing w:after="0"/>
        <w:ind w:left="720" w:hanging="720"/>
      </w:pPr>
      <w:r w:rsidRPr="00883B69">
        <w:t xml:space="preserve">Ben-David, J., &amp; Zloczower, A. (1962). Universities and Academic Systems in Modern Societies. </w:t>
      </w:r>
      <w:r w:rsidRPr="00883B69">
        <w:rPr>
          <w:i/>
        </w:rPr>
        <w:t>Archives of European Sociology, 3</w:t>
      </w:r>
      <w:r w:rsidRPr="00883B69">
        <w:t>(1), 45-84. doi:10.1017/S0003975600000527</w:t>
      </w:r>
    </w:p>
    <w:p w14:paraId="0372892A" w14:textId="77777777" w:rsidR="00883B69" w:rsidRPr="00883B69" w:rsidRDefault="00883B69" w:rsidP="00883B69">
      <w:pPr>
        <w:pStyle w:val="EndNoteBibliography"/>
        <w:spacing w:after="0"/>
        <w:ind w:left="720" w:hanging="720"/>
      </w:pPr>
      <w:r w:rsidRPr="00883B69">
        <w:t xml:space="preserve">Benneworth, P., &amp; Charles, D. (2013). University-Community Engagement in the Wider Policy Environment. In P. Benneworth (Ed.), </w:t>
      </w:r>
      <w:r w:rsidRPr="00883B69">
        <w:rPr>
          <w:i/>
        </w:rPr>
        <w:t>University engagement with socially excluded communities</w:t>
      </w:r>
      <w:r w:rsidRPr="00883B69">
        <w:t>. Dordrecht: Springer.</w:t>
      </w:r>
    </w:p>
    <w:p w14:paraId="0CDB08B6" w14:textId="77777777" w:rsidR="00883B69" w:rsidRPr="00883B69" w:rsidRDefault="00883B69" w:rsidP="00883B69">
      <w:pPr>
        <w:pStyle w:val="EndNoteBibliography"/>
        <w:spacing w:after="0"/>
        <w:ind w:left="720" w:hanging="720"/>
      </w:pPr>
      <w:r w:rsidRPr="00883B69">
        <w:t xml:space="preserve">Benneworth, P., De Boer, H., &amp; Jongbloed, B. (2015). Between good intentions and urgent stakeholder pressures: institutionalizing the universities' third mission in the Swedish context. </w:t>
      </w:r>
      <w:r w:rsidRPr="00883B69">
        <w:rPr>
          <w:i/>
        </w:rPr>
        <w:t>European Journal of Higher Education, 5</w:t>
      </w:r>
      <w:r w:rsidRPr="00883B69">
        <w:t>(3), 1-17. doi:10.1080/21568235.2015.1044549</w:t>
      </w:r>
    </w:p>
    <w:p w14:paraId="67D42658" w14:textId="77777777" w:rsidR="00883B69" w:rsidRPr="00883B69" w:rsidRDefault="00883B69" w:rsidP="00883B69">
      <w:pPr>
        <w:pStyle w:val="EndNoteBibliography"/>
        <w:spacing w:after="0"/>
        <w:ind w:left="720" w:hanging="720"/>
      </w:pPr>
      <w:r w:rsidRPr="00883B69">
        <w:t xml:space="preserve">Bensaude-Vincent, B., Loeve, S., Nordmann, A., &amp; Schwarz, A. (2011). Matters of Interest: The Objects of Research in Science and Technoscience. </w:t>
      </w:r>
      <w:r w:rsidRPr="00883B69">
        <w:rPr>
          <w:i/>
        </w:rPr>
        <w:t>Journal for General Philosophy of Science, 42</w:t>
      </w:r>
      <w:r w:rsidRPr="00883B69">
        <w:t>(2), 365-383. doi:10.1007/s10838-011-9172-y</w:t>
      </w:r>
    </w:p>
    <w:p w14:paraId="7030F9FF" w14:textId="77777777" w:rsidR="00883B69" w:rsidRPr="00883B69" w:rsidRDefault="00883B69" w:rsidP="00883B69">
      <w:pPr>
        <w:pStyle w:val="EndNoteBibliography"/>
        <w:spacing w:after="0"/>
        <w:ind w:left="720" w:hanging="720"/>
      </w:pPr>
      <w:r w:rsidRPr="00883B69">
        <w:t xml:space="preserve">Bernstein, B. (1971). On the Classification and Framing of Educational Knowledge. In M. Young (Ed.), </w:t>
      </w:r>
      <w:r w:rsidRPr="00883B69">
        <w:rPr>
          <w:i/>
        </w:rPr>
        <w:t>Knowledge and control: new directions for the sociology of education</w:t>
      </w:r>
      <w:r w:rsidRPr="00883B69">
        <w:t>. London: Collier-Macmillan.</w:t>
      </w:r>
    </w:p>
    <w:p w14:paraId="1B11747F" w14:textId="77777777" w:rsidR="00883B69" w:rsidRPr="00883B69" w:rsidRDefault="00883B69" w:rsidP="00883B69">
      <w:pPr>
        <w:pStyle w:val="EndNoteBibliography"/>
        <w:spacing w:after="0"/>
        <w:ind w:left="720" w:hanging="720"/>
      </w:pPr>
      <w:r w:rsidRPr="00883B69">
        <w:t xml:space="preserve">Bernstein, B. (2000). </w:t>
      </w:r>
      <w:r w:rsidRPr="00883B69">
        <w:rPr>
          <w:i/>
        </w:rPr>
        <w:t>Pedagogy, symbolic control, and identity: Theory, research, critique</w:t>
      </w:r>
      <w:r w:rsidRPr="00883B69">
        <w:t xml:space="preserve"> (2nd ed.). Oxford: Rowman &amp; Littlefield.</w:t>
      </w:r>
    </w:p>
    <w:p w14:paraId="1F87B338" w14:textId="77777777" w:rsidR="00883B69" w:rsidRPr="00883B69" w:rsidRDefault="00883B69" w:rsidP="00883B69">
      <w:pPr>
        <w:pStyle w:val="EndNoteBibliography"/>
        <w:spacing w:after="0"/>
        <w:ind w:left="720" w:hanging="720"/>
      </w:pPr>
      <w:r w:rsidRPr="00883B69">
        <w:t xml:space="preserve">Bernstein, B. (2001). Symbolic control: Issues of empirical description of agencies and agents. </w:t>
      </w:r>
      <w:r w:rsidRPr="00883B69">
        <w:rPr>
          <w:i/>
        </w:rPr>
        <w:t>International Journal of Social Research Methodology, 4</w:t>
      </w:r>
      <w:r w:rsidRPr="00883B69">
        <w:t>(1), 21-33. doi:10.1080/13645570118017</w:t>
      </w:r>
    </w:p>
    <w:p w14:paraId="4706941E" w14:textId="77777777" w:rsidR="00883B69" w:rsidRPr="00883B69" w:rsidRDefault="00883B69" w:rsidP="00883B69">
      <w:pPr>
        <w:pStyle w:val="EndNoteBibliography"/>
        <w:spacing w:after="0"/>
        <w:ind w:left="720" w:hanging="720"/>
      </w:pPr>
      <w:r w:rsidRPr="00883B69">
        <w:t xml:space="preserve">Bernstein, B. (2003/1990). </w:t>
      </w:r>
      <w:r w:rsidRPr="00883B69">
        <w:rPr>
          <w:i/>
        </w:rPr>
        <w:t>Class, Codes and Control Volume IV: The Structuring of Pedagogic Discourse</w:t>
      </w:r>
      <w:r w:rsidRPr="00883B69">
        <w:t>. London: Routledge.</w:t>
      </w:r>
    </w:p>
    <w:p w14:paraId="2A285CF2" w14:textId="77777777" w:rsidR="00883B69" w:rsidRPr="00883B69" w:rsidRDefault="00883B69" w:rsidP="00883B69">
      <w:pPr>
        <w:pStyle w:val="EndNoteBibliography"/>
        <w:spacing w:after="0"/>
        <w:ind w:left="720" w:hanging="720"/>
      </w:pPr>
      <w:r w:rsidRPr="00883B69">
        <w:t xml:space="preserve">Bessant, S. E. F., &amp; Robinson, Z. P. (2019). Rating and rewarding higher education for sustainable development research within the marketised higher education context: experiences from English universities. </w:t>
      </w:r>
      <w:r w:rsidRPr="00883B69">
        <w:rPr>
          <w:i/>
        </w:rPr>
        <w:t>Environmental education research.</w:t>
      </w:r>
      <w:r w:rsidRPr="00883B69">
        <w:t>, 1-18. doi:10.1080/13504622.2018.1542488</w:t>
      </w:r>
    </w:p>
    <w:p w14:paraId="15B3DEB6" w14:textId="77777777" w:rsidR="00883B69" w:rsidRPr="00883B69" w:rsidRDefault="00883B69" w:rsidP="00883B69">
      <w:pPr>
        <w:pStyle w:val="EndNoteBibliography"/>
        <w:spacing w:after="0"/>
        <w:ind w:left="720" w:hanging="720"/>
      </w:pPr>
      <w:r w:rsidRPr="00883B69">
        <w:t xml:space="preserve">Bhaskar, R. (1998a). Philosophy and scientific realism. In M. S. Archer, R. Bhaskar, A. Collier, T. Lawson, &amp; A. Norrie (Eds.), </w:t>
      </w:r>
      <w:r w:rsidRPr="00883B69">
        <w:rPr>
          <w:i/>
        </w:rPr>
        <w:t>Critical realism: essential readings</w:t>
      </w:r>
      <w:r w:rsidRPr="00883B69">
        <w:t xml:space="preserve"> (pp. 16-47). London: Routledge.</w:t>
      </w:r>
    </w:p>
    <w:p w14:paraId="615C1DC2" w14:textId="77777777" w:rsidR="00883B69" w:rsidRPr="00883B69" w:rsidRDefault="00883B69" w:rsidP="00883B69">
      <w:pPr>
        <w:pStyle w:val="EndNoteBibliography"/>
        <w:spacing w:after="0"/>
        <w:ind w:left="720" w:hanging="720"/>
      </w:pPr>
      <w:r w:rsidRPr="00883B69">
        <w:t xml:space="preserve">Bhaskar, R. (1998b). </w:t>
      </w:r>
      <w:r w:rsidRPr="00883B69">
        <w:rPr>
          <w:i/>
        </w:rPr>
        <w:t>The possibility of naturalism: a philosophical critique of the contemporary human sciences</w:t>
      </w:r>
      <w:r w:rsidRPr="00883B69">
        <w:t xml:space="preserve"> (3rd ed.). London: Routledge.</w:t>
      </w:r>
    </w:p>
    <w:p w14:paraId="47DB18D0" w14:textId="77777777" w:rsidR="00883B69" w:rsidRPr="00883B69" w:rsidRDefault="00883B69" w:rsidP="00883B69">
      <w:pPr>
        <w:pStyle w:val="EndNoteBibliography"/>
        <w:spacing w:after="0"/>
        <w:ind w:left="720" w:hanging="720"/>
      </w:pPr>
      <w:r w:rsidRPr="00883B69">
        <w:t xml:space="preserve">Bhaskar, R. (2000). </w:t>
      </w:r>
      <w:r w:rsidRPr="00883B69">
        <w:rPr>
          <w:i/>
        </w:rPr>
        <w:t>From east to west: odyssey of a soul</w:t>
      </w:r>
      <w:r w:rsidRPr="00883B69">
        <w:t>. London: Routledge.</w:t>
      </w:r>
    </w:p>
    <w:p w14:paraId="68A40213" w14:textId="77777777" w:rsidR="00883B69" w:rsidRPr="00883B69" w:rsidRDefault="00883B69" w:rsidP="00883B69">
      <w:pPr>
        <w:pStyle w:val="EndNoteBibliography"/>
        <w:spacing w:after="0"/>
        <w:ind w:left="720" w:hanging="720"/>
      </w:pPr>
      <w:r w:rsidRPr="00883B69">
        <w:t xml:space="preserve">Bhaskar, R. (2008). </w:t>
      </w:r>
      <w:r w:rsidRPr="00883B69">
        <w:rPr>
          <w:i/>
        </w:rPr>
        <w:t>A realist theory of science</w:t>
      </w:r>
      <w:r w:rsidRPr="00883B69">
        <w:t xml:space="preserve"> (Rev. ed. ed.). London: Routledge.</w:t>
      </w:r>
    </w:p>
    <w:p w14:paraId="05EA9CAB" w14:textId="77777777" w:rsidR="00883B69" w:rsidRPr="00883B69" w:rsidRDefault="00883B69" w:rsidP="00883B69">
      <w:pPr>
        <w:pStyle w:val="EndNoteBibliography"/>
        <w:spacing w:after="0"/>
        <w:ind w:left="720" w:hanging="720"/>
      </w:pPr>
      <w:r w:rsidRPr="00883B69">
        <w:t xml:space="preserve">Bhaskar, R. (2010). Contexts of interdisciplinarity: interdisciplinarity and climate change. In R. Bhaskar, C. Frank, K. G. Hoyer, P. Næss, &amp; J. Parker (Eds.), </w:t>
      </w:r>
      <w:r w:rsidRPr="00883B69">
        <w:rPr>
          <w:i/>
        </w:rPr>
        <w:t>Interdisciplinarity and climate change: transforming knowledge and practice for our global future</w:t>
      </w:r>
      <w:r w:rsidRPr="00883B69">
        <w:t>: Routledge.</w:t>
      </w:r>
    </w:p>
    <w:p w14:paraId="1CAEFEEF" w14:textId="77777777" w:rsidR="00883B69" w:rsidRPr="00883B69" w:rsidRDefault="00883B69" w:rsidP="00883B69">
      <w:pPr>
        <w:pStyle w:val="EndNoteBibliography"/>
        <w:spacing w:after="0"/>
        <w:ind w:left="720" w:hanging="720"/>
      </w:pPr>
      <w:r w:rsidRPr="00883B69">
        <w:t xml:space="preserve">Biglan, A. (1973). Relationships between subject matter characteristics and the structure and output of university departments. </w:t>
      </w:r>
      <w:r w:rsidRPr="00883B69">
        <w:rPr>
          <w:i/>
        </w:rPr>
        <w:t>Journal of Applied Psychology, 57</w:t>
      </w:r>
      <w:r w:rsidRPr="00883B69">
        <w:t>(3), 204-213. doi:10.1037/h0034699</w:t>
      </w:r>
    </w:p>
    <w:p w14:paraId="68FF34D9" w14:textId="77777777" w:rsidR="00883B69" w:rsidRPr="00883B69" w:rsidRDefault="00883B69" w:rsidP="00883B69">
      <w:pPr>
        <w:pStyle w:val="EndNoteBibliography"/>
        <w:spacing w:after="0"/>
        <w:ind w:left="720" w:hanging="720"/>
      </w:pPr>
      <w:r w:rsidRPr="00883B69">
        <w:t xml:space="preserve">Bishop, K., D'Este, P., &amp; Neely, A. (2011). Gaining from interactions with universities: Multiple methods for nurturing absorptive capacity. </w:t>
      </w:r>
      <w:r w:rsidRPr="00883B69">
        <w:rPr>
          <w:i/>
        </w:rPr>
        <w:t>Research Policy, 40</w:t>
      </w:r>
      <w:r w:rsidRPr="00883B69">
        <w:t>(1), 30-40. doi:10.1016/j.respol.2010.09.009</w:t>
      </w:r>
    </w:p>
    <w:p w14:paraId="394573DE" w14:textId="77777777" w:rsidR="00883B69" w:rsidRPr="00883B69" w:rsidRDefault="00883B69" w:rsidP="00883B69">
      <w:pPr>
        <w:pStyle w:val="EndNoteBibliography"/>
        <w:spacing w:after="0"/>
        <w:ind w:left="720" w:hanging="720"/>
      </w:pPr>
      <w:r w:rsidRPr="00883B69">
        <w:t xml:space="preserve">Bleiklie, I. (1998). Justifying the Evaluative State: New Public Management Ideals in Higher Education. </w:t>
      </w:r>
      <w:r w:rsidRPr="00883B69">
        <w:rPr>
          <w:i/>
        </w:rPr>
        <w:t>Journal of Public Affairs Education, 4</w:t>
      </w:r>
      <w:r w:rsidRPr="00883B69">
        <w:t xml:space="preserve">(2), 87-100. </w:t>
      </w:r>
    </w:p>
    <w:p w14:paraId="6DE72EF2" w14:textId="77777777" w:rsidR="00883B69" w:rsidRPr="00883B69" w:rsidRDefault="00883B69" w:rsidP="00883B69">
      <w:pPr>
        <w:pStyle w:val="EndNoteBibliography"/>
        <w:spacing w:after="0"/>
        <w:ind w:left="720" w:hanging="720"/>
      </w:pPr>
      <w:r w:rsidRPr="00883B69">
        <w:t>Bloor, D. (2005). Durkheim and Mauss Revisited: Classification and the Sociology of Knowledge. In D. N. Levine, N. Stehr, &amp; M. Meja (Eds.), (pp. 67-92).</w:t>
      </w:r>
    </w:p>
    <w:p w14:paraId="1614FC3C" w14:textId="77777777" w:rsidR="00883B69" w:rsidRPr="00883B69" w:rsidRDefault="00883B69" w:rsidP="00883B69">
      <w:pPr>
        <w:pStyle w:val="EndNoteBibliography"/>
        <w:spacing w:after="0"/>
        <w:ind w:left="720" w:hanging="720"/>
      </w:pPr>
      <w:r w:rsidRPr="00883B69">
        <w:t xml:space="preserve">Boliver, V. (2015). Are there distinctive clusters of higher and lower status universities in the UK? </w:t>
      </w:r>
      <w:r w:rsidRPr="00883B69">
        <w:rPr>
          <w:i/>
        </w:rPr>
        <w:t>Oxford Review of Education, 41</w:t>
      </w:r>
      <w:r w:rsidRPr="00883B69">
        <w:t>(5), 608-627. doi:10.1080/03054985.2015.1082905</w:t>
      </w:r>
    </w:p>
    <w:p w14:paraId="164BCC46" w14:textId="77777777" w:rsidR="00883B69" w:rsidRPr="00883B69" w:rsidRDefault="00883B69" w:rsidP="00883B69">
      <w:pPr>
        <w:pStyle w:val="EndNoteBibliography"/>
        <w:spacing w:after="0"/>
        <w:ind w:left="720" w:hanging="720"/>
      </w:pPr>
      <w:r w:rsidRPr="00883B69">
        <w:t xml:space="preserve">Bourdieu, P. (1975). The specificity of the scientific field and the social conditions of the progress of reason. </w:t>
      </w:r>
      <w:r w:rsidRPr="00883B69">
        <w:rPr>
          <w:i/>
        </w:rPr>
        <w:t>Sociology of Science, 14</w:t>
      </w:r>
      <w:r w:rsidRPr="00883B69">
        <w:t>, 19-47. doi:10.1177/053901847501400602</w:t>
      </w:r>
    </w:p>
    <w:p w14:paraId="2F340D40" w14:textId="77777777" w:rsidR="00883B69" w:rsidRPr="00883B69" w:rsidRDefault="00883B69" w:rsidP="00883B69">
      <w:pPr>
        <w:pStyle w:val="EndNoteBibliography"/>
        <w:spacing w:after="0"/>
        <w:ind w:left="720" w:hanging="720"/>
      </w:pPr>
      <w:r w:rsidRPr="00883B69">
        <w:t xml:space="preserve">Brennan, J., Papatsiba, V., Sousa, S. B., &amp; Hoffman, D. (2016). Diversity of Higher Education Institutions in Networked Knowledge Societies: A Comparative Examination. In D. M. Hoffman &amp; J. Välimaa (Eds.), </w:t>
      </w:r>
      <w:r w:rsidRPr="00883B69">
        <w:rPr>
          <w:i/>
        </w:rPr>
        <w:t>Re-becoming universities?: higher education institutions in networked knowledge societies</w:t>
      </w:r>
      <w:r w:rsidRPr="00883B69">
        <w:t>. Dordrecht: Springer.</w:t>
      </w:r>
    </w:p>
    <w:p w14:paraId="46B104EC" w14:textId="77777777" w:rsidR="00883B69" w:rsidRPr="00883B69" w:rsidRDefault="00883B69" w:rsidP="00883B69">
      <w:pPr>
        <w:pStyle w:val="EndNoteBibliography"/>
        <w:spacing w:after="0"/>
        <w:ind w:left="720" w:hanging="720"/>
      </w:pPr>
      <w:r w:rsidRPr="00883B69">
        <w:t xml:space="preserve">Bresnen, M., &amp; Burrell, G. (2013). Journals à la mode? Twenty years of living alongside Mode 2 and the new production of knowledge. </w:t>
      </w:r>
      <w:r w:rsidRPr="00883B69">
        <w:rPr>
          <w:i/>
        </w:rPr>
        <w:t>Organization, 20</w:t>
      </w:r>
      <w:r w:rsidRPr="00883B69">
        <w:t>(1), 25-37. doi:10.1177/1350508412460992</w:t>
      </w:r>
    </w:p>
    <w:p w14:paraId="4CEE5394" w14:textId="6DD03FF0" w:rsidR="00883B69" w:rsidRPr="00883B69" w:rsidRDefault="00883B69" w:rsidP="00883B69">
      <w:pPr>
        <w:pStyle w:val="EndNoteBibliography"/>
        <w:spacing w:after="0"/>
        <w:ind w:left="720" w:hanging="720"/>
      </w:pPr>
      <w:r w:rsidRPr="00883B69">
        <w:t xml:space="preserve">British Psychological Society. (2008). </w:t>
      </w:r>
      <w:r w:rsidRPr="00883B69">
        <w:rPr>
          <w:i/>
        </w:rPr>
        <w:t>Response to the Department of Health consultation:  Consultation on the Future of Tobacco Control   </w:t>
      </w:r>
      <w:r w:rsidRPr="00883B69">
        <w:t xml:space="preserve">Retrieved from </w:t>
      </w:r>
      <w:hyperlink r:id="rId21" w:history="1">
        <w:r w:rsidRPr="00883B69">
          <w:rPr>
            <w:rStyle w:val="Hyperlink"/>
          </w:rPr>
          <w:t>http://www.smokefreeaction.org.uk/consultation-response/responses/ASH_DH_Consultation_tobacco_control_final.pdf</w:t>
        </w:r>
      </w:hyperlink>
    </w:p>
    <w:p w14:paraId="6F50F8DE" w14:textId="77777777" w:rsidR="00883B69" w:rsidRPr="00883B69" w:rsidRDefault="00883B69" w:rsidP="00883B69">
      <w:pPr>
        <w:pStyle w:val="EndNoteBibliography"/>
        <w:spacing w:after="0"/>
        <w:ind w:left="720" w:hanging="720"/>
      </w:pPr>
      <w:r w:rsidRPr="00883B69">
        <w:t xml:space="preserve">Bruner, J. S. (2003). </w:t>
      </w:r>
      <w:r w:rsidRPr="00883B69">
        <w:rPr>
          <w:i/>
        </w:rPr>
        <w:t>Making stories: law, literature, life</w:t>
      </w:r>
      <w:r w:rsidRPr="00883B69">
        <w:t>. Cambridge, Mass.: Harvard University Press.</w:t>
      </w:r>
    </w:p>
    <w:p w14:paraId="298819B1" w14:textId="77777777" w:rsidR="00883B69" w:rsidRPr="00883B69" w:rsidRDefault="00883B69" w:rsidP="00883B69">
      <w:pPr>
        <w:pStyle w:val="EndNoteBibliography"/>
        <w:spacing w:after="0"/>
        <w:ind w:left="720" w:hanging="720"/>
      </w:pPr>
      <w:r w:rsidRPr="00883B69">
        <w:t xml:space="preserve">Burnham, P., Lutz, K. G., Grant, W., &amp; Layton-Henry, Z. (2008). </w:t>
      </w:r>
      <w:r w:rsidRPr="00883B69">
        <w:rPr>
          <w:i/>
        </w:rPr>
        <w:t>Research methods in politics</w:t>
      </w:r>
      <w:r w:rsidRPr="00883B69">
        <w:t xml:space="preserve"> (2nd ed.). Basingstoke: Palgrave Macmillan.</w:t>
      </w:r>
    </w:p>
    <w:p w14:paraId="3FC36002" w14:textId="77777777" w:rsidR="00883B69" w:rsidRPr="00883B69" w:rsidRDefault="00883B69" w:rsidP="00883B69">
      <w:pPr>
        <w:pStyle w:val="EndNoteBibliography"/>
        <w:spacing w:after="0"/>
        <w:ind w:left="720" w:hanging="720"/>
      </w:pPr>
      <w:r w:rsidRPr="00883B69">
        <w:t xml:space="preserve">Cantwell, B. (2015). Laboratory Management, Academic Production, and the Building Blocks of Academic Capitalism. </w:t>
      </w:r>
      <w:r w:rsidRPr="00883B69">
        <w:rPr>
          <w:i/>
        </w:rPr>
        <w:t>Higher Education: The International Journal of Higher Education Research, 70</w:t>
      </w:r>
      <w:r w:rsidRPr="00883B69">
        <w:t>(3), 487-502. doi:10.1007/s10734-014-9851-9</w:t>
      </w:r>
    </w:p>
    <w:p w14:paraId="4F5B2B4A" w14:textId="77777777" w:rsidR="00883B69" w:rsidRPr="00883B69" w:rsidRDefault="00883B69" w:rsidP="00883B69">
      <w:pPr>
        <w:pStyle w:val="EndNoteBibliography"/>
        <w:spacing w:after="0"/>
        <w:ind w:left="720" w:hanging="720"/>
      </w:pPr>
      <w:r w:rsidRPr="00883B69">
        <w:t xml:space="preserve">Cell, J. W. (1982). </w:t>
      </w:r>
      <w:r w:rsidRPr="00883B69">
        <w:rPr>
          <w:i/>
        </w:rPr>
        <w:t>The Highest Stage of White Supremacy: The Origins of Segregation in South Africa and the American South</w:t>
      </w:r>
      <w:r w:rsidRPr="00883B69">
        <w:t>: Cambridge University Press.</w:t>
      </w:r>
    </w:p>
    <w:p w14:paraId="1146CCD1" w14:textId="77777777" w:rsidR="00883B69" w:rsidRPr="00883B69" w:rsidRDefault="00883B69" w:rsidP="00883B69">
      <w:pPr>
        <w:pStyle w:val="EndNoteBibliography"/>
        <w:spacing w:after="0"/>
        <w:ind w:left="720" w:hanging="720"/>
      </w:pPr>
      <w:r w:rsidRPr="00883B69">
        <w:t xml:space="preserve">Centre for Educational Research and Innovation. (1982). </w:t>
      </w:r>
      <w:r w:rsidRPr="00883B69">
        <w:rPr>
          <w:i/>
        </w:rPr>
        <w:t>The University and the Community: The Problems of Changing Relationships</w:t>
      </w:r>
      <w:r w:rsidRPr="00883B69">
        <w:t>. Paris: Organisation for Economic Co-operation and Development.</w:t>
      </w:r>
    </w:p>
    <w:p w14:paraId="0F914994" w14:textId="77777777" w:rsidR="00883B69" w:rsidRPr="00883B69" w:rsidRDefault="00883B69" w:rsidP="00883B69">
      <w:pPr>
        <w:pStyle w:val="EndNoteBibliography"/>
        <w:spacing w:after="0"/>
        <w:ind w:left="720" w:hanging="720"/>
      </w:pPr>
      <w:r w:rsidRPr="00883B69">
        <w:t xml:space="preserve">Cervantes, M. (2017). Higher Education Institutions in the Knowledge Triangle. </w:t>
      </w:r>
      <w:r w:rsidRPr="00883B69">
        <w:rPr>
          <w:i/>
        </w:rPr>
        <w:t>Foresight and STI Governance, 11</w:t>
      </w:r>
      <w:r w:rsidRPr="00883B69">
        <w:t>(2), 27-42. doi:10.17323/2500-2597.2017.2.27.42</w:t>
      </w:r>
    </w:p>
    <w:p w14:paraId="2AE6D3A9" w14:textId="77777777" w:rsidR="00883B69" w:rsidRPr="00883B69" w:rsidRDefault="00883B69" w:rsidP="00883B69">
      <w:pPr>
        <w:pStyle w:val="EndNoteBibliography"/>
        <w:spacing w:after="0"/>
        <w:ind w:left="720" w:hanging="720"/>
      </w:pPr>
      <w:r w:rsidRPr="00883B69">
        <w:t xml:space="preserve">Chau, V. S., Gilman, M., &amp; Serbanica, C. (2017). Aligning university–industry interactions: The role of boundary spanning in intellectual capital transfer. </w:t>
      </w:r>
      <w:r w:rsidRPr="00883B69">
        <w:rPr>
          <w:i/>
        </w:rPr>
        <w:t>Technological Forecasting &amp; Social Change, 123</w:t>
      </w:r>
      <w:r w:rsidRPr="00883B69">
        <w:t>(C), 199-209. doi:10.1016/j.techfore.2016.03.013</w:t>
      </w:r>
    </w:p>
    <w:p w14:paraId="1989297A" w14:textId="77777777" w:rsidR="00883B69" w:rsidRPr="00883B69" w:rsidRDefault="00883B69" w:rsidP="00883B69">
      <w:pPr>
        <w:pStyle w:val="EndNoteBibliography"/>
        <w:spacing w:after="0"/>
        <w:ind w:left="720" w:hanging="720"/>
      </w:pPr>
      <w:r w:rsidRPr="00883B69">
        <w:t xml:space="preserve">Chowdhury, G., Koya, K., Philipson, P., &amp; Dorta-González, P. (2016). Measuring the Impact of Research: Lessons from the UK’s Research Excellence Framework 2014. </w:t>
      </w:r>
      <w:r w:rsidRPr="00883B69">
        <w:rPr>
          <w:i/>
        </w:rPr>
        <w:t>PLoS ONE, 11</w:t>
      </w:r>
      <w:r w:rsidRPr="00883B69">
        <w:t>(6). doi:10.1371/journal.pone.0156978</w:t>
      </w:r>
    </w:p>
    <w:p w14:paraId="7887828B" w14:textId="77777777" w:rsidR="00883B69" w:rsidRPr="00883B69" w:rsidRDefault="00883B69" w:rsidP="00883B69">
      <w:pPr>
        <w:pStyle w:val="EndNoteBibliography"/>
        <w:spacing w:after="0"/>
        <w:ind w:left="720" w:hanging="720"/>
      </w:pPr>
      <w:r w:rsidRPr="00883B69">
        <w:t xml:space="preserve">Chubb, J. (2017). </w:t>
      </w:r>
      <w:r w:rsidRPr="00883B69">
        <w:rPr>
          <w:i/>
        </w:rPr>
        <w:t>Instrumentalism and Epistemic Responsibility: Researchers and the Impact Agenda in the UK and Australia.</w:t>
      </w:r>
      <w:r w:rsidRPr="00883B69">
        <w:t xml:space="preserve"> (PhD thesis). University of York, York. </w:t>
      </w:r>
    </w:p>
    <w:p w14:paraId="7287EC19" w14:textId="77777777" w:rsidR="00883B69" w:rsidRPr="00883B69" w:rsidRDefault="00883B69" w:rsidP="00883B69">
      <w:pPr>
        <w:pStyle w:val="EndNoteBibliography"/>
        <w:spacing w:after="0"/>
        <w:ind w:left="720" w:hanging="720"/>
      </w:pPr>
      <w:r w:rsidRPr="00883B69">
        <w:t xml:space="preserve">Chubb, J., &amp; Watermeyer, R. (2017). Artifice or integrity in the marketization of research impact? Investigating the moral economy of (pathways to) impact statements within research funding proposals in the UK and Australia. </w:t>
      </w:r>
      <w:r w:rsidRPr="00883B69">
        <w:rPr>
          <w:i/>
        </w:rPr>
        <w:t>Studies in Higher Education, 42</w:t>
      </w:r>
      <w:r w:rsidRPr="00883B69">
        <w:t>(12), 2360-2372. doi:10.1080/03075079.2016.1144182</w:t>
      </w:r>
    </w:p>
    <w:p w14:paraId="0A8B03A4" w14:textId="77777777" w:rsidR="00883B69" w:rsidRPr="00883B69" w:rsidRDefault="00883B69" w:rsidP="00883B69">
      <w:pPr>
        <w:pStyle w:val="EndNoteBibliography"/>
        <w:spacing w:after="0"/>
        <w:ind w:left="720" w:hanging="720"/>
      </w:pPr>
      <w:r w:rsidRPr="00883B69">
        <w:t xml:space="preserve">Chubb, J., Watermeyer, R., &amp; Wakeling, P. (2017). Fear and loathing in the academy? The role of emotion in response to an impact agenda in the UK and Australia. </w:t>
      </w:r>
      <w:r w:rsidRPr="00883B69">
        <w:rPr>
          <w:i/>
        </w:rPr>
        <w:t>Higher Education Research &amp; Development, 36</w:t>
      </w:r>
      <w:r w:rsidRPr="00883B69">
        <w:t>(3), 555-568. doi:10.1080/07294360.2017.1288709</w:t>
      </w:r>
    </w:p>
    <w:p w14:paraId="246C1D2D" w14:textId="77777777" w:rsidR="00883B69" w:rsidRPr="00883B69" w:rsidRDefault="00883B69" w:rsidP="00883B69">
      <w:pPr>
        <w:pStyle w:val="EndNoteBibliography"/>
        <w:spacing w:after="0"/>
        <w:ind w:left="720" w:hanging="720"/>
      </w:pPr>
      <w:r w:rsidRPr="00883B69">
        <w:t xml:space="preserve">Clark, B. R. (1972). The Organizational Saga in Higher Education. </w:t>
      </w:r>
      <w:r w:rsidRPr="00883B69">
        <w:rPr>
          <w:i/>
        </w:rPr>
        <w:t>Administrative Science Quarterly, 17</w:t>
      </w:r>
      <w:r w:rsidRPr="00883B69">
        <w:t>(2), 178-184. doi:10.2307/2393952</w:t>
      </w:r>
    </w:p>
    <w:p w14:paraId="68AEF6B4" w14:textId="77777777" w:rsidR="00883B69" w:rsidRPr="00883B69" w:rsidRDefault="00883B69" w:rsidP="00883B69">
      <w:pPr>
        <w:pStyle w:val="EndNoteBibliography"/>
        <w:spacing w:after="0"/>
        <w:ind w:left="720" w:hanging="720"/>
      </w:pPr>
      <w:r w:rsidRPr="00883B69">
        <w:t xml:space="preserve">Clark, B. R. (1983). </w:t>
      </w:r>
      <w:r w:rsidRPr="00883B69">
        <w:rPr>
          <w:i/>
        </w:rPr>
        <w:t>The higher education system: academic organisation in cross-national perspective</w:t>
      </w:r>
      <w:r w:rsidRPr="00883B69">
        <w:t>. London: University of California Press.</w:t>
      </w:r>
    </w:p>
    <w:p w14:paraId="4A0488C9" w14:textId="77777777" w:rsidR="00883B69" w:rsidRPr="00883B69" w:rsidRDefault="00883B69" w:rsidP="00883B69">
      <w:pPr>
        <w:pStyle w:val="EndNoteBibliography"/>
        <w:spacing w:after="0"/>
        <w:ind w:left="720" w:hanging="720"/>
      </w:pPr>
      <w:r w:rsidRPr="00883B69">
        <w:t xml:space="preserve">Clark, B. R. (1984). </w:t>
      </w:r>
      <w:r w:rsidRPr="00883B69">
        <w:rPr>
          <w:i/>
        </w:rPr>
        <w:t>Perspectives on higher education: eight disciplinary and comparative views</w:t>
      </w:r>
      <w:r w:rsidRPr="00883B69">
        <w:t>. London: University of California Press.</w:t>
      </w:r>
    </w:p>
    <w:p w14:paraId="240CE3E0" w14:textId="6931CE53" w:rsidR="00883B69" w:rsidRPr="00883B69" w:rsidRDefault="00883B69" w:rsidP="00883B69">
      <w:pPr>
        <w:pStyle w:val="EndNoteBibliography"/>
        <w:spacing w:after="0"/>
        <w:ind w:left="720" w:hanging="720"/>
      </w:pPr>
      <w:r w:rsidRPr="00883B69">
        <w:t xml:space="preserve">Clark, B. R. (1987). </w:t>
      </w:r>
      <w:r w:rsidRPr="00883B69">
        <w:rPr>
          <w:i/>
        </w:rPr>
        <w:t>The Academic Life. Small Worlds, Different Worlds. A Carnegie Foundation Special Report</w:t>
      </w:r>
      <w:r w:rsidRPr="00883B69">
        <w:t xml:space="preserve"> (0931050324). Retrieved from </w:t>
      </w:r>
      <w:hyperlink r:id="rId22" w:history="1">
        <w:r w:rsidRPr="00883B69">
          <w:rPr>
            <w:rStyle w:val="Hyperlink"/>
          </w:rPr>
          <w:t>https://eric.ed.gov/?id=ED299902</w:t>
        </w:r>
      </w:hyperlink>
    </w:p>
    <w:p w14:paraId="099B16EC" w14:textId="77777777" w:rsidR="00883B69" w:rsidRPr="00883B69" w:rsidRDefault="00883B69" w:rsidP="00883B69">
      <w:pPr>
        <w:pStyle w:val="EndNoteBibliography"/>
        <w:spacing w:after="0"/>
        <w:ind w:left="720" w:hanging="720"/>
      </w:pPr>
      <w:r w:rsidRPr="00883B69">
        <w:t xml:space="preserve">Clark, B. R. (1989). The Academic Life: Small Worlds, Different Worlds. </w:t>
      </w:r>
      <w:r w:rsidRPr="00883B69">
        <w:rPr>
          <w:i/>
        </w:rPr>
        <w:t>Educational Researcher, 18</w:t>
      </w:r>
      <w:r w:rsidRPr="00883B69">
        <w:t>(5), 4-8. doi:10.3102/0013189X018005004</w:t>
      </w:r>
    </w:p>
    <w:p w14:paraId="3978AB74" w14:textId="77777777" w:rsidR="00883B69" w:rsidRPr="00883B69" w:rsidRDefault="00883B69" w:rsidP="00883B69">
      <w:pPr>
        <w:pStyle w:val="EndNoteBibliography"/>
        <w:spacing w:after="0"/>
        <w:ind w:left="720" w:hanging="720"/>
      </w:pPr>
      <w:r w:rsidRPr="00883B69">
        <w:t xml:space="preserve">Clark, B. R. (1995). </w:t>
      </w:r>
      <w:r w:rsidRPr="00883B69">
        <w:rPr>
          <w:i/>
        </w:rPr>
        <w:t>Places of inquiry: research and advanced education in modern universities</w:t>
      </w:r>
      <w:r w:rsidRPr="00883B69">
        <w:t>. London: University of California Press.</w:t>
      </w:r>
    </w:p>
    <w:p w14:paraId="3AC8198F" w14:textId="77777777" w:rsidR="00883B69" w:rsidRPr="00883B69" w:rsidRDefault="00883B69" w:rsidP="00883B69">
      <w:pPr>
        <w:pStyle w:val="EndNoteBibliography"/>
        <w:spacing w:after="0"/>
        <w:ind w:left="720" w:hanging="720"/>
      </w:pPr>
      <w:r w:rsidRPr="00883B69">
        <w:t xml:space="preserve">Clark, B. R. (1998). </w:t>
      </w:r>
      <w:r w:rsidRPr="00883B69">
        <w:rPr>
          <w:i/>
        </w:rPr>
        <w:t>Creating entrepreneurial universities: organizational pathways of transformation</w:t>
      </w:r>
      <w:r w:rsidRPr="00883B69">
        <w:t>. Oxford: Pergamon Press.</w:t>
      </w:r>
    </w:p>
    <w:p w14:paraId="0D4EE324" w14:textId="77777777" w:rsidR="00883B69" w:rsidRPr="00883B69" w:rsidRDefault="00883B69" w:rsidP="00883B69">
      <w:pPr>
        <w:pStyle w:val="EndNoteBibliography"/>
        <w:spacing w:after="0"/>
        <w:ind w:left="720" w:hanging="720"/>
      </w:pPr>
      <w:r w:rsidRPr="00883B69">
        <w:t xml:space="preserve">Clark, B. R. (2004a). Delineating the Character of the Entrepreneurial University. </w:t>
      </w:r>
      <w:r w:rsidRPr="00883B69">
        <w:rPr>
          <w:i/>
        </w:rPr>
        <w:t>Higher Education Policy, 17</w:t>
      </w:r>
      <w:r w:rsidRPr="00883B69">
        <w:t>(4), 355. doi:10.1057/palgrave.hep.8300062</w:t>
      </w:r>
    </w:p>
    <w:p w14:paraId="7FE714AE" w14:textId="77777777" w:rsidR="00883B69" w:rsidRPr="00883B69" w:rsidRDefault="00883B69" w:rsidP="00883B69">
      <w:pPr>
        <w:pStyle w:val="EndNoteBibliography"/>
        <w:spacing w:after="0"/>
        <w:ind w:left="720" w:hanging="720"/>
      </w:pPr>
      <w:r w:rsidRPr="00883B69">
        <w:t xml:space="preserve">Clark, B. R. (2004b). </w:t>
      </w:r>
      <w:r w:rsidRPr="00883B69">
        <w:rPr>
          <w:i/>
        </w:rPr>
        <w:t>Sustaining change in universities: continuities in case studies and concepts</w:t>
      </w:r>
      <w:r w:rsidRPr="00883B69">
        <w:t>. Maidenhead: Open University Press.</w:t>
      </w:r>
    </w:p>
    <w:p w14:paraId="36593A6F" w14:textId="77777777" w:rsidR="00883B69" w:rsidRPr="00883B69" w:rsidRDefault="00883B69" w:rsidP="00883B69">
      <w:pPr>
        <w:pStyle w:val="EndNoteBibliography"/>
        <w:spacing w:after="0"/>
        <w:ind w:left="720" w:hanging="720"/>
      </w:pPr>
      <w:r w:rsidRPr="00883B69">
        <w:t xml:space="preserve">Clark, B. R. (2008). Differentiation and Integration of the Academic Profession. In B. R. Clark &amp; A. Clark (Eds.), </w:t>
      </w:r>
      <w:r w:rsidRPr="00883B69">
        <w:rPr>
          <w:i/>
        </w:rPr>
        <w:t>On Higher Education: Selected Writings, 1956-2006</w:t>
      </w:r>
      <w:r w:rsidRPr="00883B69">
        <w:t>. Baltimore: Johns Hopkins University Press.</w:t>
      </w:r>
    </w:p>
    <w:p w14:paraId="093F2123" w14:textId="77777777" w:rsidR="00883B69" w:rsidRPr="00883B69" w:rsidRDefault="00883B69" w:rsidP="00883B69">
      <w:pPr>
        <w:pStyle w:val="EndNoteBibliography"/>
        <w:spacing w:after="0"/>
        <w:ind w:left="720" w:hanging="720"/>
      </w:pPr>
      <w:r w:rsidRPr="00883B69">
        <w:t xml:space="preserve">Clark, B. R. (2008/1961). Organizational adaptations and precarious values. In B. R. Clark &amp; A. Clark (Eds.), </w:t>
      </w:r>
      <w:r w:rsidRPr="00883B69">
        <w:rPr>
          <w:i/>
        </w:rPr>
        <w:t>On Higher Education: Selected Writings, 1956-2006</w:t>
      </w:r>
      <w:r w:rsidRPr="00883B69">
        <w:t>. Baltimore: Johns Hopkins University Press.</w:t>
      </w:r>
    </w:p>
    <w:p w14:paraId="4BFC15AD" w14:textId="77777777" w:rsidR="00883B69" w:rsidRPr="00883B69" w:rsidRDefault="00883B69" w:rsidP="00883B69">
      <w:pPr>
        <w:pStyle w:val="EndNoteBibliography"/>
        <w:spacing w:after="0"/>
        <w:ind w:left="720" w:hanging="720"/>
      </w:pPr>
      <w:r w:rsidRPr="00883B69">
        <w:t xml:space="preserve">Clark, W. C., Tomich, T. P., van Noordwijk, M., Guston, D., Catacutan, D., Dickson, N. M., &amp; Mcnie, E. (2016). Boundary work for sustainable development: Natural resource management at the Consultative Group on International Agricultural Research (CGIAR). </w:t>
      </w:r>
      <w:r w:rsidRPr="00883B69">
        <w:rPr>
          <w:i/>
        </w:rPr>
        <w:t>Proceedings of the National Academy of Sciences, 113</w:t>
      </w:r>
      <w:r w:rsidRPr="00883B69">
        <w:t>(17), 4615. doi:10.1073/pnas.0900231108</w:t>
      </w:r>
    </w:p>
    <w:p w14:paraId="2B3683C8" w14:textId="77777777" w:rsidR="00883B69" w:rsidRPr="00883B69" w:rsidRDefault="00883B69" w:rsidP="00883B69">
      <w:pPr>
        <w:pStyle w:val="EndNoteBibliography"/>
        <w:spacing w:after="0"/>
        <w:ind w:left="720" w:hanging="720"/>
      </w:pPr>
      <w:r w:rsidRPr="00883B69">
        <w:t xml:space="preserve">Coad, A., Cowlin, M., Nightingale, P., Pellegrino, G., Savona, M., &amp; Siepel, J. (2014). </w:t>
      </w:r>
      <w:r w:rsidRPr="00883B69">
        <w:rPr>
          <w:i/>
        </w:rPr>
        <w:t>UK Innovation Survey: Innovative Firms and Growth</w:t>
      </w:r>
      <w:r w:rsidRPr="00883B69">
        <w:t>.</w:t>
      </w:r>
    </w:p>
    <w:p w14:paraId="495A4C3B" w14:textId="36C534F9" w:rsidR="00883B69" w:rsidRPr="00883B69" w:rsidRDefault="00883B69" w:rsidP="00883B69">
      <w:pPr>
        <w:pStyle w:val="EndNoteBibliography"/>
        <w:spacing w:after="0"/>
        <w:ind w:left="720" w:hanging="720"/>
      </w:pPr>
      <w:r w:rsidRPr="00883B69">
        <w:t xml:space="preserve">Committee of Vice Chancellors and Principals. (1985). </w:t>
      </w:r>
      <w:r w:rsidRPr="00883B69">
        <w:rPr>
          <w:i/>
        </w:rPr>
        <w:t>Report of the Steering Committee for Efficiency Studies in Universities. The Jarratt Report (1985)</w:t>
      </w:r>
      <w:r w:rsidRPr="00883B69">
        <w:t xml:space="preserve">. Retrieved from London: </w:t>
      </w:r>
      <w:hyperlink r:id="rId23" w:history="1">
        <w:r w:rsidRPr="00883B69">
          <w:rPr>
            <w:rStyle w:val="Hyperlink"/>
          </w:rPr>
          <w:t>http://www.educationengland.org.uk/documents/jarratt1985/index.html</w:t>
        </w:r>
      </w:hyperlink>
    </w:p>
    <w:p w14:paraId="2771B015" w14:textId="77777777" w:rsidR="00883B69" w:rsidRPr="00883B69" w:rsidRDefault="00883B69" w:rsidP="00883B69">
      <w:pPr>
        <w:pStyle w:val="EndNoteBibliography"/>
        <w:spacing w:after="0"/>
        <w:ind w:left="720" w:hanging="720"/>
      </w:pPr>
      <w:r w:rsidRPr="00883B69">
        <w:t xml:space="preserve">Considine, M. (2006). Theorizing the University as a Cultural System: Distinctions, Identities, Emergencies. </w:t>
      </w:r>
      <w:r w:rsidRPr="00883B69">
        <w:rPr>
          <w:i/>
        </w:rPr>
        <w:t>Educational Theory, 56</w:t>
      </w:r>
      <w:r w:rsidRPr="00883B69">
        <w:t>(3), 255-270. doi:10.1111/j.1741-5446.2006.00231.x</w:t>
      </w:r>
    </w:p>
    <w:p w14:paraId="06D4A335" w14:textId="77777777" w:rsidR="00883B69" w:rsidRPr="00883B69" w:rsidRDefault="00883B69" w:rsidP="00883B69">
      <w:pPr>
        <w:pStyle w:val="EndNoteBibliography"/>
        <w:spacing w:after="0"/>
        <w:ind w:left="720" w:hanging="720"/>
      </w:pPr>
      <w:r w:rsidRPr="00883B69">
        <w:t xml:space="preserve">Contandriopoulos, D., Lemire, M., Denis, J. L., &amp; Tremblay, E. (2010). Knowledge Exchange Processes in Organizations and Policy Arenas: A Narrative Systematic Review of the Literature. </w:t>
      </w:r>
      <w:r w:rsidRPr="00883B69">
        <w:rPr>
          <w:i/>
        </w:rPr>
        <w:t>Milbank Quarterly, 88</w:t>
      </w:r>
      <w:r w:rsidRPr="00883B69">
        <w:t>(4), 444-483. doi:10.1111/j.1468-0009.2010.00608.x</w:t>
      </w:r>
    </w:p>
    <w:p w14:paraId="7870DBEA" w14:textId="77777777" w:rsidR="00883B69" w:rsidRPr="00883B69" w:rsidRDefault="00883B69" w:rsidP="00883B69">
      <w:pPr>
        <w:pStyle w:val="EndNoteBibliography"/>
        <w:spacing w:after="0"/>
        <w:ind w:left="720" w:hanging="720"/>
      </w:pPr>
      <w:r w:rsidRPr="00883B69">
        <w:t xml:space="preserve">Cooper, M. H. (2009). Commercialization of the University and Problem Choice by Academic Biological Scientists. </w:t>
      </w:r>
      <w:r w:rsidRPr="00883B69">
        <w:rPr>
          <w:i/>
        </w:rPr>
        <w:t>Science, Technology, &amp; Human Values, 34</w:t>
      </w:r>
      <w:r w:rsidRPr="00883B69">
        <w:t>(5), 629-653. doi:10.1177/0162243908329379</w:t>
      </w:r>
    </w:p>
    <w:p w14:paraId="53F4C08F" w14:textId="77777777" w:rsidR="00883B69" w:rsidRPr="00883B69" w:rsidRDefault="00883B69" w:rsidP="00883B69">
      <w:pPr>
        <w:pStyle w:val="EndNoteBibliography"/>
        <w:spacing w:after="0"/>
        <w:ind w:left="720" w:hanging="720"/>
      </w:pPr>
      <w:r w:rsidRPr="00883B69">
        <w:t xml:space="preserve">Cordner, A. (2015). Strategic Science Translation and Environmental Controversies. </w:t>
      </w:r>
      <w:r w:rsidRPr="00883B69">
        <w:rPr>
          <w:i/>
        </w:rPr>
        <w:t>Science, Technology, &amp; Human Values, 40</w:t>
      </w:r>
      <w:r w:rsidRPr="00883B69">
        <w:t>(6), 915-938. doi:10.1177/0162243915584164</w:t>
      </w:r>
    </w:p>
    <w:p w14:paraId="68E2BC31" w14:textId="77777777" w:rsidR="00883B69" w:rsidRPr="00883B69" w:rsidRDefault="00883B69" w:rsidP="00883B69">
      <w:pPr>
        <w:pStyle w:val="EndNoteBibliography"/>
        <w:spacing w:after="0"/>
        <w:ind w:left="720" w:hanging="720"/>
      </w:pPr>
      <w:r w:rsidRPr="00883B69">
        <w:t xml:space="preserve">Danermark, B., Ekstrom, M., Jakobsen, L., &amp; Karlsson, J. C. (2002). </w:t>
      </w:r>
      <w:r w:rsidRPr="00883B69">
        <w:rPr>
          <w:i/>
        </w:rPr>
        <w:t>Explaining society: critical realism in the social sciences</w:t>
      </w:r>
      <w:r w:rsidRPr="00883B69">
        <w:t>. London: Routledge.</w:t>
      </w:r>
    </w:p>
    <w:p w14:paraId="75AC5610" w14:textId="77777777" w:rsidR="00883B69" w:rsidRPr="00883B69" w:rsidRDefault="00883B69" w:rsidP="00883B69">
      <w:pPr>
        <w:pStyle w:val="EndNoteBibliography"/>
        <w:spacing w:after="0"/>
        <w:ind w:left="720" w:hanging="720"/>
      </w:pPr>
      <w:r w:rsidRPr="00883B69">
        <w:t>de Jong, S., Barker, K., Cox, D., Sveinsdottir, T., &amp; Van den Besselaar, P. (2013). Understanding Societal Impact Through Studying Productive Interactions. Working paper 1304. In: Rethenau Institut.</w:t>
      </w:r>
    </w:p>
    <w:p w14:paraId="020465BA" w14:textId="77777777" w:rsidR="00883B69" w:rsidRPr="00883B69" w:rsidRDefault="00883B69" w:rsidP="00883B69">
      <w:pPr>
        <w:pStyle w:val="EndNoteBibliography"/>
        <w:spacing w:after="0"/>
        <w:ind w:left="720" w:hanging="720"/>
      </w:pPr>
      <w:r w:rsidRPr="00883B69">
        <w:t xml:space="preserve">Deem, R. (2004). The Knowledge Worker, the Manager‐academic and the Contemporary UK University: New and Old Forms of Public Management? </w:t>
      </w:r>
      <w:r w:rsidRPr="00883B69">
        <w:rPr>
          <w:i/>
        </w:rPr>
        <w:t>Financial Accountability &amp; Management, 20</w:t>
      </w:r>
      <w:r w:rsidRPr="00883B69">
        <w:t>(2), 107-128. doi:10.1111/j.1468-0408.2004.00189.x</w:t>
      </w:r>
    </w:p>
    <w:p w14:paraId="1C616B1E" w14:textId="77777777" w:rsidR="00883B69" w:rsidRPr="00883B69" w:rsidRDefault="00883B69" w:rsidP="00883B69">
      <w:pPr>
        <w:pStyle w:val="EndNoteBibliography"/>
        <w:spacing w:after="0"/>
        <w:ind w:left="720" w:hanging="720"/>
      </w:pPr>
      <w:r w:rsidRPr="00883B69">
        <w:t xml:space="preserve">Deem, R., Hillyard, S., &amp; Reed, M. (2007). </w:t>
      </w:r>
      <w:r w:rsidRPr="00883B69">
        <w:rPr>
          <w:i/>
        </w:rPr>
        <w:t>Knowledge, higher education, and the new managerialism: the changing management of UK universities</w:t>
      </w:r>
      <w:r w:rsidRPr="00883B69">
        <w:t>. Oxford: Oxford University Press.</w:t>
      </w:r>
    </w:p>
    <w:p w14:paraId="072E4275" w14:textId="77777777" w:rsidR="00883B69" w:rsidRPr="00883B69" w:rsidRDefault="00883B69" w:rsidP="00883B69">
      <w:pPr>
        <w:pStyle w:val="EndNoteBibliography"/>
        <w:spacing w:after="0"/>
        <w:ind w:left="720" w:hanging="720"/>
      </w:pPr>
      <w:r w:rsidRPr="00883B69">
        <w:t xml:space="preserve">Denicolo, P. (2014). </w:t>
      </w:r>
      <w:r w:rsidRPr="00883B69">
        <w:rPr>
          <w:i/>
        </w:rPr>
        <w:t>Achieving impact in research</w:t>
      </w:r>
      <w:r w:rsidRPr="00883B69">
        <w:t>: Los Angeles : SAGE, 2014.</w:t>
      </w:r>
    </w:p>
    <w:p w14:paraId="7D013A7D" w14:textId="468E00BC" w:rsidR="00883B69" w:rsidRPr="00883B69" w:rsidRDefault="00883B69" w:rsidP="00883B69">
      <w:pPr>
        <w:pStyle w:val="EndNoteBibliography"/>
        <w:spacing w:after="0"/>
        <w:ind w:left="720" w:hanging="720"/>
      </w:pPr>
      <w:r w:rsidRPr="00883B69">
        <w:t xml:space="preserve">Department for Business Energy &amp; Industrial Strategy. (2017). </w:t>
      </w:r>
      <w:r w:rsidRPr="00883B69">
        <w:rPr>
          <w:i/>
        </w:rPr>
        <w:t>Global Challenges Research Fund (GCRF): how the fund works</w:t>
      </w:r>
      <w:r w:rsidRPr="00883B69">
        <w:t xml:space="preserve">.  Retrieved from </w:t>
      </w:r>
      <w:hyperlink r:id="rId24" w:history="1">
        <w:r w:rsidRPr="00883B69">
          <w:rPr>
            <w:rStyle w:val="Hyperlink"/>
          </w:rPr>
          <w:t>https://www.gov.uk/government/publications/global-challenges-research-fund/global-challenges-research-fund-gcrf-how-the-fund-works</w:t>
        </w:r>
      </w:hyperlink>
    </w:p>
    <w:p w14:paraId="22065FB1" w14:textId="50BF02B0" w:rsidR="00883B69" w:rsidRPr="00883B69" w:rsidRDefault="00883B69" w:rsidP="00883B69">
      <w:pPr>
        <w:pStyle w:val="EndNoteBibliography"/>
        <w:spacing w:after="0"/>
        <w:ind w:left="720" w:hanging="720"/>
      </w:pPr>
      <w:r w:rsidRPr="00883B69">
        <w:t xml:space="preserve">Department for Business Innovation &amp; Skills. (2010). </w:t>
      </w:r>
      <w:r w:rsidRPr="00883B69">
        <w:rPr>
          <w:i/>
        </w:rPr>
        <w:t>UK Research council system: overview of economic impact</w:t>
      </w:r>
      <w:r w:rsidRPr="00883B69">
        <w:t xml:space="preserve">.  Retrieved from </w:t>
      </w:r>
      <w:hyperlink r:id="rId25" w:history="1">
        <w:r w:rsidRPr="00883B69">
          <w:rPr>
            <w:rStyle w:val="Hyperlink"/>
          </w:rPr>
          <w:t>https://www.gov.uk/government/publications/uk-research-council-system-overview-of-economic-impact</w:t>
        </w:r>
      </w:hyperlink>
    </w:p>
    <w:p w14:paraId="479DC752" w14:textId="4AD70456" w:rsidR="00883B69" w:rsidRPr="00883B69" w:rsidRDefault="00883B69" w:rsidP="00883B69">
      <w:pPr>
        <w:pStyle w:val="EndNoteBibliography"/>
        <w:spacing w:after="0"/>
        <w:ind w:left="720" w:hanging="720"/>
      </w:pPr>
      <w:r w:rsidRPr="00883B69">
        <w:t xml:space="preserve">Department for Business Innovation &amp; Skills. (2014). </w:t>
      </w:r>
      <w:r w:rsidRPr="00883B69">
        <w:rPr>
          <w:i/>
        </w:rPr>
        <w:t>Our plan for growth: Science and Innovation - Evidence Paper</w:t>
      </w:r>
      <w:r w:rsidRPr="00883B69">
        <w:t xml:space="preserve">. Retrieved from </w:t>
      </w:r>
      <w:hyperlink r:id="rId26" w:history="1">
        <w:r w:rsidRPr="00883B69">
          <w:rPr>
            <w:rStyle w:val="Hyperlink"/>
          </w:rPr>
          <w:t>https://www.gov.uk/government/publications/our-plan-for-growth-science-and-innovation-evidence</w:t>
        </w:r>
      </w:hyperlink>
    </w:p>
    <w:p w14:paraId="4E02452B" w14:textId="35CE2E62" w:rsidR="00883B69" w:rsidRPr="00883B69" w:rsidRDefault="00883B69" w:rsidP="00883B69">
      <w:pPr>
        <w:pStyle w:val="EndNoteBibliography"/>
        <w:spacing w:after="0"/>
        <w:ind w:left="720" w:hanging="720"/>
      </w:pPr>
      <w:r w:rsidRPr="00883B69">
        <w:t xml:space="preserve">Department for Education &amp; Skills. (2006). </w:t>
      </w:r>
      <w:r w:rsidRPr="00883B69">
        <w:rPr>
          <w:i/>
        </w:rPr>
        <w:t>Reform of higher edcation research assessment and funding. A consultation</w:t>
      </w:r>
      <w:r w:rsidRPr="00883B69">
        <w:t xml:space="preserve">. Retrieved from </w:t>
      </w:r>
      <w:hyperlink r:id="rId27" w:history="1">
        <w:r w:rsidRPr="00883B69">
          <w:rPr>
            <w:rStyle w:val="Hyperlink"/>
          </w:rPr>
          <w:t>http://dera.ioe.ac.uk/6140/</w:t>
        </w:r>
      </w:hyperlink>
    </w:p>
    <w:p w14:paraId="3504B7A9" w14:textId="77777777" w:rsidR="00883B69" w:rsidRPr="00883B69" w:rsidRDefault="00883B69" w:rsidP="00883B69">
      <w:pPr>
        <w:pStyle w:val="EndNoteBibliography"/>
        <w:spacing w:after="0"/>
        <w:ind w:left="720" w:hanging="720"/>
      </w:pPr>
      <w:r w:rsidRPr="00883B69">
        <w:t xml:space="preserve">Derrick, G. (2018). </w:t>
      </w:r>
      <w:r w:rsidRPr="00883B69">
        <w:rPr>
          <w:i/>
        </w:rPr>
        <w:t>The Evaluator's Eye: Impact Assessment and Academic Peer Review</w:t>
      </w:r>
      <w:r w:rsidRPr="00883B69">
        <w:t>: Palgrave Macmillan.</w:t>
      </w:r>
    </w:p>
    <w:p w14:paraId="46EEEB4D" w14:textId="77777777" w:rsidR="00883B69" w:rsidRPr="00883B69" w:rsidRDefault="00883B69" w:rsidP="00883B69">
      <w:pPr>
        <w:pStyle w:val="EndNoteBibliography"/>
        <w:spacing w:after="0"/>
        <w:ind w:left="720" w:hanging="720"/>
      </w:pPr>
      <w:r w:rsidRPr="00883B69">
        <w:t xml:space="preserve">Derrick, G., &amp; Samuel, G. (2016). The Evaluation Scale: Exploring Decisions About Societal Impact in Peer Review Panels. </w:t>
      </w:r>
      <w:r w:rsidRPr="00883B69">
        <w:rPr>
          <w:i/>
        </w:rPr>
        <w:t>A Review of Science, Learning and Policy, 54</w:t>
      </w:r>
      <w:r w:rsidRPr="00883B69">
        <w:t>(1), 75-97. doi:10.1007/s11024-016-9290-0</w:t>
      </w:r>
    </w:p>
    <w:p w14:paraId="673015B2" w14:textId="41D648F5" w:rsidR="00883B69" w:rsidRPr="00883B69" w:rsidRDefault="00883B69" w:rsidP="00883B69">
      <w:pPr>
        <w:pStyle w:val="EndNoteBibliography"/>
        <w:spacing w:after="0"/>
        <w:ind w:left="720" w:hanging="720"/>
      </w:pPr>
      <w:r w:rsidRPr="00883B69">
        <w:t xml:space="preserve">Diamond, A., Ball, C., Vorley, T., Hughes, T., Moreton, R., Howe, P., &amp; Nathwani, T. (2014). </w:t>
      </w:r>
      <w:r w:rsidRPr="00883B69">
        <w:rPr>
          <w:i/>
        </w:rPr>
        <w:t>Impact of Doctoral Careers</w:t>
      </w:r>
      <w:r w:rsidRPr="00883B69">
        <w:t xml:space="preserve">. Retrieved from </w:t>
      </w:r>
      <w:hyperlink r:id="rId28" w:history="1">
        <w:r w:rsidRPr="00883B69">
          <w:rPr>
            <w:rStyle w:val="Hyperlink"/>
          </w:rPr>
          <w:t>http://www.rcuk.ac.uk/publications/reports/impact-of-doctoral-careers/</w:t>
        </w:r>
      </w:hyperlink>
    </w:p>
    <w:p w14:paraId="0A869927" w14:textId="77777777" w:rsidR="00883B69" w:rsidRPr="00883B69" w:rsidRDefault="00883B69" w:rsidP="00883B69">
      <w:pPr>
        <w:pStyle w:val="EndNoteBibliography"/>
        <w:spacing w:after="0"/>
        <w:ind w:left="720" w:hanging="720"/>
      </w:pPr>
      <w:r w:rsidRPr="00883B69">
        <w:t xml:space="preserve">Digital Science, &amp; Science Policy Research Unit. (2016). The Value of Structural Diversity. </w:t>
      </w:r>
    </w:p>
    <w:p w14:paraId="423542E6" w14:textId="77777777" w:rsidR="00883B69" w:rsidRPr="00883B69" w:rsidRDefault="00883B69" w:rsidP="00883B69">
      <w:pPr>
        <w:pStyle w:val="EndNoteBibliography"/>
        <w:spacing w:after="0"/>
        <w:ind w:left="720" w:hanging="720"/>
      </w:pPr>
      <w:r w:rsidRPr="00883B69">
        <w:t xml:space="preserve">Dimaggio, P., &amp; Powell, W. (1983). The iron cage revisited: institutional isomorphism and collective rationality in organizational fields. </w:t>
      </w:r>
      <w:r w:rsidRPr="00883B69">
        <w:rPr>
          <w:i/>
        </w:rPr>
        <w:t>American Sociological Review, 48</w:t>
      </w:r>
      <w:r w:rsidRPr="00883B69">
        <w:t xml:space="preserve">(2), 147-160. </w:t>
      </w:r>
    </w:p>
    <w:p w14:paraId="391E265A" w14:textId="77777777" w:rsidR="00883B69" w:rsidRPr="00883B69" w:rsidRDefault="00883B69" w:rsidP="00883B69">
      <w:pPr>
        <w:pStyle w:val="EndNoteBibliography"/>
        <w:spacing w:after="0"/>
        <w:ind w:left="720" w:hanging="720"/>
      </w:pPr>
      <w:r w:rsidRPr="00883B69">
        <w:t xml:space="preserve">Donovan, C., &amp; Hanney, S. (2011). The ‘ Payback Framework’ explained. </w:t>
      </w:r>
      <w:r w:rsidRPr="00883B69">
        <w:rPr>
          <w:i/>
        </w:rPr>
        <w:t>Research Evaluation, 20</w:t>
      </w:r>
      <w:r w:rsidRPr="00883B69">
        <w:t>(3), 181-183. doi:10.3152/095820211X13118583635756</w:t>
      </w:r>
    </w:p>
    <w:p w14:paraId="51334D50" w14:textId="77777777" w:rsidR="00883B69" w:rsidRPr="00883B69" w:rsidRDefault="00883B69" w:rsidP="00883B69">
      <w:pPr>
        <w:pStyle w:val="EndNoteBibliography"/>
        <w:spacing w:after="0"/>
        <w:ind w:left="720" w:hanging="720"/>
      </w:pPr>
      <w:r w:rsidRPr="00883B69">
        <w:t xml:space="preserve">Douglas, M. (1996). </w:t>
      </w:r>
      <w:r w:rsidRPr="00883B69">
        <w:rPr>
          <w:i/>
        </w:rPr>
        <w:t>Natural Symbols: Explorations in Cosmology</w:t>
      </w:r>
      <w:r w:rsidRPr="00883B69">
        <w:t>. London: Routledge.</w:t>
      </w:r>
    </w:p>
    <w:p w14:paraId="366A4A7B" w14:textId="77777777" w:rsidR="00883B69" w:rsidRPr="00883B69" w:rsidRDefault="00883B69" w:rsidP="00883B69">
      <w:pPr>
        <w:pStyle w:val="EndNoteBibliography"/>
        <w:spacing w:after="0"/>
        <w:ind w:left="720" w:hanging="720"/>
      </w:pPr>
      <w:r w:rsidRPr="00883B69">
        <w:t xml:space="preserve">Durkheim, É. (1915). </w:t>
      </w:r>
      <w:r w:rsidRPr="00883B69">
        <w:rPr>
          <w:i/>
        </w:rPr>
        <w:t>The elementary forms of the religious life</w:t>
      </w:r>
      <w:r w:rsidRPr="00883B69">
        <w:t xml:space="preserve"> (J. W. Swain, Trans.). London: Allen Unwin.</w:t>
      </w:r>
    </w:p>
    <w:p w14:paraId="5129A9C7" w14:textId="77777777" w:rsidR="00883B69" w:rsidRPr="00883B69" w:rsidRDefault="00883B69" w:rsidP="00883B69">
      <w:pPr>
        <w:pStyle w:val="EndNoteBibliography"/>
        <w:spacing w:after="0"/>
        <w:ind w:left="720" w:hanging="720"/>
      </w:pPr>
      <w:r w:rsidRPr="00883B69">
        <w:t xml:space="preserve">Durkheim, É. (2013). </w:t>
      </w:r>
      <w:r w:rsidRPr="00883B69">
        <w:rPr>
          <w:i/>
        </w:rPr>
        <w:t>The Evolution of Educational Thought: Lectures on the formation and development of secondary education in France</w:t>
      </w:r>
      <w:r w:rsidRPr="00883B69">
        <w:t>. Oxon: Routledge.</w:t>
      </w:r>
    </w:p>
    <w:p w14:paraId="63EAFC1F" w14:textId="77777777" w:rsidR="00883B69" w:rsidRPr="00883B69" w:rsidRDefault="00883B69" w:rsidP="00883B69">
      <w:pPr>
        <w:pStyle w:val="EndNoteBibliography"/>
        <w:spacing w:after="0"/>
        <w:ind w:left="720" w:hanging="720"/>
      </w:pPr>
      <w:r w:rsidRPr="00883B69">
        <w:t xml:space="preserve">Durkheim, É., &amp; Mauss, M. (1969). </w:t>
      </w:r>
      <w:r w:rsidRPr="00883B69">
        <w:rPr>
          <w:i/>
        </w:rPr>
        <w:t>Primitive Classification</w:t>
      </w:r>
      <w:r w:rsidRPr="00883B69">
        <w:t xml:space="preserve"> (2nd ed. ed.). London: Cohen and West.</w:t>
      </w:r>
    </w:p>
    <w:p w14:paraId="3B08F635" w14:textId="77777777" w:rsidR="00883B69" w:rsidRPr="00883B69" w:rsidRDefault="00883B69" w:rsidP="00883B69">
      <w:pPr>
        <w:pStyle w:val="EndNoteBibliography"/>
        <w:spacing w:after="0"/>
        <w:ind w:left="720" w:hanging="720"/>
      </w:pPr>
      <w:r w:rsidRPr="00883B69">
        <w:t xml:space="preserve">Elias, N. (1982). Scientific Establishments. In N. Elias, H. Martins, &amp; R. Whitley (Eds.), </w:t>
      </w:r>
      <w:r w:rsidRPr="00883B69">
        <w:rPr>
          <w:i/>
        </w:rPr>
        <w:t>Scientific Establishments and Hierarchies</w:t>
      </w:r>
      <w:r w:rsidRPr="00883B69">
        <w:t>. London: Springer.</w:t>
      </w:r>
    </w:p>
    <w:p w14:paraId="08F18029" w14:textId="77777777" w:rsidR="00883B69" w:rsidRPr="00883B69" w:rsidRDefault="00883B69" w:rsidP="00883B69">
      <w:pPr>
        <w:pStyle w:val="EndNoteBibliography"/>
        <w:spacing w:after="0"/>
        <w:ind w:left="720" w:hanging="720"/>
      </w:pPr>
      <w:r w:rsidRPr="00883B69">
        <w:t xml:space="preserve">Elias, N. (1994). </w:t>
      </w:r>
      <w:r w:rsidRPr="00883B69">
        <w:rPr>
          <w:i/>
        </w:rPr>
        <w:t>The Established and the Outsiders: A Sociological Enquiry into Community Problems</w:t>
      </w:r>
      <w:r w:rsidRPr="00883B69">
        <w:t xml:space="preserve"> (2nd ed. ed.). London: SAGE.</w:t>
      </w:r>
    </w:p>
    <w:p w14:paraId="21D1F430" w14:textId="77777777" w:rsidR="00883B69" w:rsidRPr="00883B69" w:rsidRDefault="00883B69" w:rsidP="00883B69">
      <w:pPr>
        <w:pStyle w:val="EndNoteBibliography"/>
        <w:spacing w:after="0"/>
        <w:ind w:left="720" w:hanging="720"/>
      </w:pPr>
      <w:r w:rsidRPr="00883B69">
        <w:t xml:space="preserve">Etzkowitz, H. (1983). Entrepreneurial scientists and entrepreneurial universities in American academic science. </w:t>
      </w:r>
      <w:r w:rsidRPr="00883B69">
        <w:rPr>
          <w:i/>
        </w:rPr>
        <w:t>A Review of Science, Learning and Policy, 21</w:t>
      </w:r>
      <w:r w:rsidRPr="00883B69">
        <w:t>(2), 198-233. doi:10.1007/BF01097964</w:t>
      </w:r>
    </w:p>
    <w:p w14:paraId="21681A29" w14:textId="77777777" w:rsidR="00883B69" w:rsidRPr="00883B69" w:rsidRDefault="00883B69" w:rsidP="00883B69">
      <w:pPr>
        <w:pStyle w:val="EndNoteBibliography"/>
        <w:spacing w:after="0"/>
        <w:ind w:left="720" w:hanging="720"/>
      </w:pPr>
      <w:r w:rsidRPr="00883B69">
        <w:t xml:space="preserve">Etzkowitz, H. (2008). </w:t>
      </w:r>
      <w:r w:rsidRPr="00883B69">
        <w:rPr>
          <w:i/>
        </w:rPr>
        <w:t>The triple helix: university-industry-government innovation in action</w:t>
      </w:r>
      <w:r w:rsidRPr="00883B69">
        <w:t>. New York: Routledge.</w:t>
      </w:r>
    </w:p>
    <w:p w14:paraId="3D643CF9" w14:textId="77777777" w:rsidR="00883B69" w:rsidRPr="00883B69" w:rsidRDefault="00883B69" w:rsidP="00883B69">
      <w:pPr>
        <w:pStyle w:val="EndNoteBibliography"/>
        <w:spacing w:after="0"/>
        <w:ind w:left="720" w:hanging="720"/>
      </w:pPr>
      <w:r w:rsidRPr="00883B69">
        <w:t xml:space="preserve">Etzkowitz, H. (2013). Anatomy of the entrepreneurial university. </w:t>
      </w:r>
      <w:r w:rsidRPr="00883B69">
        <w:rPr>
          <w:i/>
        </w:rPr>
        <w:t>Social Science Information, 52</w:t>
      </w:r>
      <w:r w:rsidRPr="00883B69">
        <w:t>(3), 486-511. doi:10.1177/0539018413485832</w:t>
      </w:r>
    </w:p>
    <w:p w14:paraId="406A6561" w14:textId="77777777" w:rsidR="00883B69" w:rsidRPr="00883B69" w:rsidRDefault="00883B69" w:rsidP="00883B69">
      <w:pPr>
        <w:pStyle w:val="EndNoteBibliography"/>
        <w:spacing w:after="0"/>
        <w:ind w:left="720" w:hanging="720"/>
      </w:pPr>
      <w:r w:rsidRPr="00883B69">
        <w:t xml:space="preserve">Etzkowitz, H., &amp; Leydesdorff, L. (1995). The Triple Helix--University-industry-government relations: A laboratory for knowledge based economic development. </w:t>
      </w:r>
      <w:r w:rsidRPr="00883B69">
        <w:rPr>
          <w:i/>
        </w:rPr>
        <w:t>EASST review, 14</w:t>
      </w:r>
      <w:r w:rsidRPr="00883B69">
        <w:t xml:space="preserve">(1), 14-19. </w:t>
      </w:r>
    </w:p>
    <w:p w14:paraId="486915BF" w14:textId="77777777" w:rsidR="00883B69" w:rsidRPr="00883B69" w:rsidRDefault="00883B69" w:rsidP="00883B69">
      <w:pPr>
        <w:pStyle w:val="EndNoteBibliography"/>
        <w:spacing w:after="0"/>
        <w:ind w:left="720" w:hanging="720"/>
      </w:pPr>
      <w:r w:rsidRPr="00883B69">
        <w:t xml:space="preserve">Etzkowitz, H., &amp; Leydesdorff, L. (1999). The Future Location of Research and Technology Transfer. </w:t>
      </w:r>
      <w:r w:rsidRPr="00883B69">
        <w:rPr>
          <w:i/>
        </w:rPr>
        <w:t>The Journal of Technology Transfer, 24</w:t>
      </w:r>
      <w:r w:rsidRPr="00883B69">
        <w:t>(2), 111-123. doi:10.1023/A:1007807302841</w:t>
      </w:r>
    </w:p>
    <w:p w14:paraId="3D805953" w14:textId="77777777" w:rsidR="00883B69" w:rsidRPr="00883B69" w:rsidRDefault="00883B69" w:rsidP="00883B69">
      <w:pPr>
        <w:pStyle w:val="EndNoteBibliography"/>
        <w:spacing w:after="0"/>
        <w:ind w:left="720" w:hanging="720"/>
      </w:pPr>
      <w:r w:rsidRPr="00883B69">
        <w:t xml:space="preserve">Etzkowitz, H., Ranga, M., Benner, M., Guaranys, L., Maculan, A. M., &amp; Kneller, R. (2008). Pathways to the entrepreneurial university: towards a global convergence. </w:t>
      </w:r>
      <w:r w:rsidRPr="00883B69">
        <w:rPr>
          <w:i/>
        </w:rPr>
        <w:t>Science and Public Policy, 35</w:t>
      </w:r>
      <w:r w:rsidRPr="00883B69">
        <w:t>(9), 681-695. doi:10.3152/030234208X389701</w:t>
      </w:r>
    </w:p>
    <w:p w14:paraId="2C8FE0A6" w14:textId="77777777" w:rsidR="00883B69" w:rsidRPr="00883B69" w:rsidRDefault="00883B69" w:rsidP="00883B69">
      <w:pPr>
        <w:pStyle w:val="EndNoteBibliography"/>
        <w:spacing w:after="0"/>
        <w:ind w:left="720" w:hanging="720"/>
      </w:pPr>
      <w:r w:rsidRPr="00883B69">
        <w:t xml:space="preserve">Etzkowitz, H., &amp; Viale, R. (2010). Polyvalent Knowledge and the Entrepreneurial University: A Third Academic Revolution? </w:t>
      </w:r>
      <w:r w:rsidRPr="00883B69">
        <w:rPr>
          <w:i/>
        </w:rPr>
        <w:t>Critical Sociology, 36</w:t>
      </w:r>
      <w:r w:rsidRPr="00883B69">
        <w:t>(4), 595-609. doi:10.1177/0896920510365921</w:t>
      </w:r>
    </w:p>
    <w:p w14:paraId="67B80458" w14:textId="77777777" w:rsidR="00883B69" w:rsidRPr="00883B69" w:rsidRDefault="00883B69" w:rsidP="00883B69">
      <w:pPr>
        <w:pStyle w:val="EndNoteBibliography"/>
        <w:spacing w:after="0"/>
        <w:ind w:left="720" w:hanging="720"/>
      </w:pPr>
      <w:r w:rsidRPr="00883B69">
        <w:t xml:space="preserve">Evans, R. (2016). Achieving and evidencing research 'impact'? Tensions and dilemmas from an ethic of care perspective. </w:t>
      </w:r>
      <w:r w:rsidRPr="00883B69">
        <w:rPr>
          <w:i/>
        </w:rPr>
        <w:t>Area, 48</w:t>
      </w:r>
      <w:r w:rsidRPr="00883B69">
        <w:t>(2), 213-221. doi:10.1111/area.12256</w:t>
      </w:r>
    </w:p>
    <w:p w14:paraId="1AAD9A1C" w14:textId="77777777" w:rsidR="00883B69" w:rsidRPr="00883B69" w:rsidRDefault="00883B69" w:rsidP="00883B69">
      <w:pPr>
        <w:pStyle w:val="EndNoteBibliography"/>
        <w:spacing w:after="0"/>
        <w:ind w:left="720" w:hanging="720"/>
      </w:pPr>
      <w:r w:rsidRPr="00883B69">
        <w:t xml:space="preserve">Fenton, S. (1984). </w:t>
      </w:r>
      <w:r w:rsidRPr="00883B69">
        <w:rPr>
          <w:i/>
        </w:rPr>
        <w:t>Durkheim and modern sociology</w:t>
      </w:r>
      <w:r w:rsidRPr="00883B69">
        <w:t>. Cambridge: Cambridge University Press.</w:t>
      </w:r>
    </w:p>
    <w:p w14:paraId="33A9F571" w14:textId="77777777" w:rsidR="00883B69" w:rsidRPr="00883B69" w:rsidRDefault="00883B69" w:rsidP="00883B69">
      <w:pPr>
        <w:pStyle w:val="EndNoteBibliography"/>
        <w:spacing w:after="0"/>
        <w:ind w:left="720" w:hanging="720"/>
      </w:pPr>
      <w:r w:rsidRPr="00883B69">
        <w:t xml:space="preserve">Frontier Economics. (2014). </w:t>
      </w:r>
      <w:r w:rsidRPr="00883B69">
        <w:rPr>
          <w:i/>
        </w:rPr>
        <w:t>Rates of return to investment in science and innovation: A report prepared for the Department for Business Innovation and Skills (BIS)</w:t>
      </w:r>
      <w:r w:rsidRPr="00883B69">
        <w:t>.</w:t>
      </w:r>
    </w:p>
    <w:p w14:paraId="18DC07D3" w14:textId="77777777" w:rsidR="00883B69" w:rsidRPr="00883B69" w:rsidRDefault="00883B69" w:rsidP="00883B69">
      <w:pPr>
        <w:pStyle w:val="EndNoteBibliography"/>
        <w:spacing w:after="0"/>
        <w:ind w:left="720" w:hanging="720"/>
      </w:pPr>
      <w:r w:rsidRPr="00883B69">
        <w:t xml:space="preserve">Gibbons, M., Limoges, C., Nowotny, H., Schwartzman, S., Scott, P., &amp; Trow, M. (1994). </w:t>
      </w:r>
      <w:r w:rsidRPr="00883B69">
        <w:rPr>
          <w:i/>
        </w:rPr>
        <w:t>The new production of knowledge: the dynamics of science and research in contemporary societies</w:t>
      </w:r>
      <w:r w:rsidRPr="00883B69">
        <w:t>. London: Sage.</w:t>
      </w:r>
    </w:p>
    <w:p w14:paraId="4168BCF0" w14:textId="77777777" w:rsidR="00883B69" w:rsidRPr="00883B69" w:rsidRDefault="00883B69" w:rsidP="00883B69">
      <w:pPr>
        <w:pStyle w:val="EndNoteBibliography"/>
        <w:spacing w:after="0"/>
        <w:ind w:left="720" w:hanging="720"/>
      </w:pPr>
      <w:r w:rsidRPr="00883B69">
        <w:t xml:space="preserve">Gieryn, T. F. (1983). Boundary-Work and the Demarcation of Science from Non-Science: Strains and Interests in Professional Ideologies of Scientists. </w:t>
      </w:r>
      <w:r w:rsidRPr="00883B69">
        <w:rPr>
          <w:i/>
        </w:rPr>
        <w:t>American Sociological Review, 48</w:t>
      </w:r>
      <w:r w:rsidRPr="00883B69">
        <w:t>(6), 781-795. doi:10.2307/2095325</w:t>
      </w:r>
    </w:p>
    <w:p w14:paraId="76B55907" w14:textId="77777777" w:rsidR="00883B69" w:rsidRPr="00883B69" w:rsidRDefault="00883B69" w:rsidP="00883B69">
      <w:pPr>
        <w:pStyle w:val="EndNoteBibliography"/>
        <w:spacing w:after="0"/>
        <w:ind w:left="720" w:hanging="720"/>
      </w:pPr>
      <w:r w:rsidRPr="00883B69">
        <w:t xml:space="preserve">Glenna, L. L., Lacy, W. B., Welsh, R., &amp; Biscotti, D. (2007). University administrators, agricultural biotechnology, and academic capitalism: Defining the public good to promote university-industry relationships. </w:t>
      </w:r>
      <w:r w:rsidRPr="00883B69">
        <w:rPr>
          <w:i/>
        </w:rPr>
        <w:t>Sociological Quarterly, 48</w:t>
      </w:r>
      <w:r w:rsidRPr="00883B69">
        <w:t>(1), 141-163. doi:10.1111/j.1533-8525.2007.00074.x</w:t>
      </w:r>
    </w:p>
    <w:p w14:paraId="044EA0B0" w14:textId="77777777" w:rsidR="00883B69" w:rsidRPr="00883B69" w:rsidRDefault="00883B69" w:rsidP="00883B69">
      <w:pPr>
        <w:pStyle w:val="EndNoteBibliography"/>
        <w:spacing w:after="0"/>
        <w:ind w:left="720" w:hanging="720"/>
      </w:pPr>
      <w:r w:rsidRPr="00883B69">
        <w:t xml:space="preserve">Golinski, J. (2008). </w:t>
      </w:r>
      <w:r w:rsidRPr="00883B69">
        <w:rPr>
          <w:i/>
        </w:rPr>
        <w:t>Making Natural Knowledge: Constructivism and the History of Science, with a new preface</w:t>
      </w:r>
      <w:r w:rsidRPr="00883B69">
        <w:t>: University of Chicago Press.</w:t>
      </w:r>
    </w:p>
    <w:p w14:paraId="0330C337" w14:textId="77777777" w:rsidR="00883B69" w:rsidRPr="00883B69" w:rsidRDefault="00883B69" w:rsidP="00883B69">
      <w:pPr>
        <w:pStyle w:val="EndNoteBibliography"/>
        <w:spacing w:after="0"/>
        <w:ind w:left="720" w:hanging="720"/>
      </w:pPr>
      <w:r w:rsidRPr="00883B69">
        <w:t xml:space="preserve">Gomm, R., Hammersley, M., &amp; Foster, P. (2000). </w:t>
      </w:r>
      <w:r w:rsidRPr="00883B69">
        <w:rPr>
          <w:i/>
        </w:rPr>
        <w:t>Case study method: key issues, key texts</w:t>
      </w:r>
      <w:r w:rsidRPr="00883B69">
        <w:t>. London: SAGE.</w:t>
      </w:r>
    </w:p>
    <w:p w14:paraId="09F416E0" w14:textId="54B9B34C" w:rsidR="00883B69" w:rsidRPr="00883B69" w:rsidRDefault="00883B69" w:rsidP="00883B69">
      <w:pPr>
        <w:pStyle w:val="EndNoteBibliography"/>
        <w:spacing w:after="0"/>
        <w:ind w:left="720" w:hanging="720"/>
      </w:pPr>
      <w:r w:rsidRPr="00883B69">
        <w:t xml:space="preserve">Gornitzka, A. (2003). </w:t>
      </w:r>
      <w:r w:rsidRPr="00883B69">
        <w:rPr>
          <w:i/>
        </w:rPr>
        <w:t>Science, Clients, and the State: A study of Scientific Knowledge Production and Use.</w:t>
      </w:r>
      <w:r w:rsidRPr="00883B69">
        <w:t xml:space="preserve"> Retrieved from </w:t>
      </w:r>
      <w:hyperlink r:id="rId29" w:history="1">
        <w:r w:rsidRPr="00883B69">
          <w:rPr>
            <w:rStyle w:val="Hyperlink"/>
          </w:rPr>
          <w:t>https://www.utwente.nl/bms/cheps/phdportal/CHEPS%20Alumni%20and%20Their%20Theses/thesisgornitzka.pdf</w:t>
        </w:r>
      </w:hyperlink>
      <w:r w:rsidRPr="00883B69">
        <w:t xml:space="preserve"> </w:t>
      </w:r>
    </w:p>
    <w:p w14:paraId="6958F5EE" w14:textId="732051B5" w:rsidR="00883B69" w:rsidRPr="00883B69" w:rsidRDefault="00883B69" w:rsidP="00883B69">
      <w:pPr>
        <w:pStyle w:val="EndNoteBibliography"/>
        <w:spacing w:after="0"/>
        <w:ind w:left="720" w:hanging="720"/>
      </w:pPr>
      <w:r w:rsidRPr="00883B69">
        <w:t xml:space="preserve">Graham, R. (2014). </w:t>
      </w:r>
      <w:r w:rsidRPr="00883B69">
        <w:rPr>
          <w:i/>
        </w:rPr>
        <w:t>Creating university-based entrepreneurial ecosystems: evidence from emerging world leaders</w:t>
      </w:r>
      <w:r w:rsidRPr="00883B69">
        <w:t xml:space="preserve">. Retrieved from </w:t>
      </w:r>
      <w:hyperlink r:id="rId30" w:history="1">
        <w:r w:rsidRPr="00883B69">
          <w:rPr>
            <w:rStyle w:val="Hyperlink"/>
          </w:rPr>
          <w:t>http://www.rhgraham.org/RHG/Recent_publications_files/MIT%3ASkoltech%20entrepreneurial%20ecosystems%20report%202014%20_1.pdf</w:t>
        </w:r>
      </w:hyperlink>
    </w:p>
    <w:p w14:paraId="6145CCF9" w14:textId="77777777" w:rsidR="00883B69" w:rsidRPr="00883B69" w:rsidRDefault="00883B69" w:rsidP="00883B69">
      <w:pPr>
        <w:pStyle w:val="EndNoteBibliography"/>
        <w:spacing w:after="0"/>
        <w:ind w:left="720" w:hanging="720"/>
      </w:pPr>
      <w:r w:rsidRPr="00883B69">
        <w:t xml:space="preserve">Grant, J., Brutscher, P.-B., Kirk, S. E., Butler, L., &amp; Wooding, S. (2010). Capturing Research Impacts: A Review of International Practice. Documented Briefing. </w:t>
      </w:r>
      <w:r w:rsidRPr="00883B69">
        <w:rPr>
          <w:i/>
        </w:rPr>
        <w:t>Rand Corporation</w:t>
      </w:r>
      <w:r w:rsidRPr="00883B69">
        <w:t xml:space="preserve">. </w:t>
      </w:r>
    </w:p>
    <w:p w14:paraId="72A871B7" w14:textId="77777777" w:rsidR="00883B69" w:rsidRPr="00883B69" w:rsidRDefault="00883B69" w:rsidP="00883B69">
      <w:pPr>
        <w:pStyle w:val="EndNoteBibliography"/>
        <w:spacing w:after="0"/>
        <w:ind w:left="720" w:hanging="720"/>
      </w:pPr>
      <w:r w:rsidRPr="00883B69">
        <w:t xml:space="preserve">Greenhalgh, T., Raftery, J., Hanney, S., &amp; Glover, M. (2016). Research impact: a narrative review. </w:t>
      </w:r>
      <w:r w:rsidRPr="00883B69">
        <w:rPr>
          <w:i/>
        </w:rPr>
        <w:t>Bmc Medicine, 14</w:t>
      </w:r>
      <w:r w:rsidRPr="00883B69">
        <w:t>. doi:10.1186/s12916-016-0620-8</w:t>
      </w:r>
    </w:p>
    <w:p w14:paraId="27D4342F" w14:textId="77777777" w:rsidR="00883B69" w:rsidRPr="00883B69" w:rsidRDefault="00883B69" w:rsidP="00883B69">
      <w:pPr>
        <w:pStyle w:val="EndNoteBibliography"/>
        <w:spacing w:after="0"/>
        <w:ind w:left="720" w:hanging="720"/>
      </w:pPr>
      <w:r w:rsidRPr="00883B69">
        <w:t xml:space="preserve">Gumport, P. J. (2000). Academic restructuring: Organizational change and institutional imperatives. </w:t>
      </w:r>
      <w:r w:rsidRPr="00883B69">
        <w:rPr>
          <w:i/>
        </w:rPr>
        <w:t>Higher Education, 39</w:t>
      </w:r>
      <w:r w:rsidRPr="00883B69">
        <w:t>(1), 67-91. doi:10.1023/A:1003859026301</w:t>
      </w:r>
    </w:p>
    <w:p w14:paraId="1CD3F885" w14:textId="77777777" w:rsidR="00883B69" w:rsidRPr="00883B69" w:rsidRDefault="00883B69" w:rsidP="00883B69">
      <w:pPr>
        <w:pStyle w:val="EndNoteBibliography"/>
        <w:spacing w:after="0"/>
        <w:ind w:left="720" w:hanging="720"/>
      </w:pPr>
      <w:r w:rsidRPr="00883B69">
        <w:t xml:space="preserve">Gumport, P. J. (2002). Universities and Knowledge: Restructuring the City of Intellect. In S. G. Brint (Ed.), </w:t>
      </w:r>
      <w:r w:rsidRPr="00883B69">
        <w:rPr>
          <w:i/>
        </w:rPr>
        <w:t>The Future of the City of Intellect: The Changing American University</w:t>
      </w:r>
      <w:r w:rsidRPr="00883B69">
        <w:t>. Stanford: Stanford University Press.</w:t>
      </w:r>
    </w:p>
    <w:p w14:paraId="0A5D50D7" w14:textId="77777777" w:rsidR="00883B69" w:rsidRPr="00883B69" w:rsidRDefault="00883B69" w:rsidP="00883B69">
      <w:pPr>
        <w:pStyle w:val="EndNoteBibliography"/>
        <w:spacing w:after="0"/>
        <w:ind w:left="720" w:hanging="720"/>
      </w:pPr>
      <w:r w:rsidRPr="00883B69">
        <w:t xml:space="preserve">Gumport, P. J., &amp; Snydman, S. K. (2002). The Formal Organization of Knowledge: An Analysis of Academic Structure. </w:t>
      </w:r>
      <w:r w:rsidRPr="00883B69">
        <w:rPr>
          <w:i/>
        </w:rPr>
        <w:t>The Journal of Higher Education, 73</w:t>
      </w:r>
      <w:r w:rsidRPr="00883B69">
        <w:t xml:space="preserve">(3), 375-408. </w:t>
      </w:r>
    </w:p>
    <w:p w14:paraId="66432184" w14:textId="77777777" w:rsidR="00883B69" w:rsidRPr="00883B69" w:rsidRDefault="00883B69" w:rsidP="00883B69">
      <w:pPr>
        <w:pStyle w:val="EndNoteBibliography"/>
        <w:spacing w:after="0"/>
        <w:ind w:left="720" w:hanging="720"/>
      </w:pPr>
      <w:r w:rsidRPr="00883B69">
        <w:t xml:space="preserve">Gunn, A., &amp; Mintrom, M. (2017). Evaluating the non-academic impact of academic research: design considerations. </w:t>
      </w:r>
      <w:r w:rsidRPr="00883B69">
        <w:rPr>
          <w:i/>
        </w:rPr>
        <w:t>Journal of Higher Education Policy and Management, 39</w:t>
      </w:r>
      <w:r w:rsidRPr="00883B69">
        <w:t>(1), 20-30. doi:10.1080/1360080X.2016.1254429</w:t>
      </w:r>
    </w:p>
    <w:p w14:paraId="0F5FFE80" w14:textId="77777777" w:rsidR="00883B69" w:rsidRPr="00883B69" w:rsidRDefault="00883B69" w:rsidP="00883B69">
      <w:pPr>
        <w:pStyle w:val="EndNoteBibliography"/>
        <w:spacing w:after="0"/>
        <w:ind w:left="720" w:hanging="720"/>
      </w:pPr>
      <w:r w:rsidRPr="00883B69">
        <w:t xml:space="preserve">Guston, D. H. (1999). Stabilizing the Boundary between US Politics and Science: The Rôle of the Office of Technology Transfer as a Boundary Organization. </w:t>
      </w:r>
      <w:r w:rsidRPr="00883B69">
        <w:rPr>
          <w:i/>
        </w:rPr>
        <w:t>Social Studies of Science, 29</w:t>
      </w:r>
      <w:r w:rsidRPr="00883B69">
        <w:t>(1), 87-111. doi:10.1177/030631299029001004</w:t>
      </w:r>
    </w:p>
    <w:p w14:paraId="22B88303" w14:textId="77777777" w:rsidR="00883B69" w:rsidRPr="00883B69" w:rsidRDefault="00883B69" w:rsidP="00883B69">
      <w:pPr>
        <w:pStyle w:val="EndNoteBibliography"/>
        <w:spacing w:after="0"/>
        <w:ind w:left="720" w:hanging="720"/>
      </w:pPr>
      <w:r w:rsidRPr="00883B69">
        <w:t xml:space="preserve">Hancock, S., Hughes, G., &amp; Walsh, E. (2017). Purist or pragmatist? UK doctoral scientists’ moral positions on the knowledge economy. </w:t>
      </w:r>
      <w:r w:rsidRPr="00883B69">
        <w:rPr>
          <w:i/>
        </w:rPr>
        <w:t>Studies in Higher Education, 42</w:t>
      </w:r>
      <w:r w:rsidRPr="00883B69">
        <w:t>(7), 1244-1258. doi:10.1080/03075079.2015.1087994</w:t>
      </w:r>
    </w:p>
    <w:p w14:paraId="6515674D" w14:textId="77777777" w:rsidR="00883B69" w:rsidRPr="00883B69" w:rsidRDefault="00883B69" w:rsidP="00883B69">
      <w:pPr>
        <w:pStyle w:val="EndNoteBibliography"/>
        <w:spacing w:after="0"/>
        <w:ind w:left="720" w:hanging="720"/>
      </w:pPr>
      <w:r w:rsidRPr="00883B69">
        <w:t xml:space="preserve">Hancock, S., &amp; Walsh, E. (2014). Beyond knowledge and skills: rethinking the development of professional identity during the STEM doctorate. </w:t>
      </w:r>
      <w:r w:rsidRPr="00883B69">
        <w:rPr>
          <w:i/>
        </w:rPr>
        <w:t>Studies in Higher Education, 5079</w:t>
      </w:r>
      <w:r w:rsidRPr="00883B69">
        <w:t>(February 2015), 1-14. doi:10.1080/03075079.2014.915301</w:t>
      </w:r>
    </w:p>
    <w:p w14:paraId="4A6C11F4" w14:textId="77777777" w:rsidR="00883B69" w:rsidRPr="00883B69" w:rsidRDefault="00883B69" w:rsidP="00883B69">
      <w:pPr>
        <w:pStyle w:val="EndNoteBibliography"/>
        <w:spacing w:after="0"/>
        <w:ind w:left="720" w:hanging="720"/>
      </w:pPr>
      <w:r w:rsidRPr="00883B69">
        <w:t xml:space="preserve">Harvey, W. S. (2010). Methodological Approaches for Interviewing Elites. </w:t>
      </w:r>
      <w:r w:rsidRPr="00883B69">
        <w:rPr>
          <w:i/>
        </w:rPr>
        <w:t>Geography Compass, 4</w:t>
      </w:r>
      <w:r w:rsidRPr="00883B69">
        <w:t>(3), 193-205. doi:10.1111/j.1749-8198.2009.00313.x</w:t>
      </w:r>
    </w:p>
    <w:p w14:paraId="3B6406BB" w14:textId="77777777" w:rsidR="00883B69" w:rsidRPr="00883B69" w:rsidRDefault="00883B69" w:rsidP="00883B69">
      <w:pPr>
        <w:pStyle w:val="EndNoteBibliography"/>
        <w:spacing w:after="0"/>
        <w:ind w:left="720" w:hanging="720"/>
      </w:pPr>
      <w:r w:rsidRPr="00883B69">
        <w:t xml:space="preserve">Hatakenaka, S. (2004). </w:t>
      </w:r>
      <w:r w:rsidRPr="00883B69">
        <w:rPr>
          <w:i/>
        </w:rPr>
        <w:t>University-Industry Partnerships in MIT, Cambridge, and Tokyo: Storytelling Across Boundaries</w:t>
      </w:r>
      <w:r w:rsidRPr="00883B69">
        <w:t>. New York: Taylor &amp; Francis.</w:t>
      </w:r>
    </w:p>
    <w:p w14:paraId="33B02054" w14:textId="77777777" w:rsidR="00883B69" w:rsidRPr="00883B69" w:rsidRDefault="00883B69" w:rsidP="00883B69">
      <w:pPr>
        <w:pStyle w:val="EndNoteBibliography"/>
        <w:spacing w:after="0"/>
        <w:ind w:left="720" w:hanging="720"/>
      </w:pPr>
      <w:r w:rsidRPr="00883B69">
        <w:t xml:space="preserve">Hazelkorn, E. (2007). The Impact of League Tables and Ranking Systems on Higher Education Decision Making. </w:t>
      </w:r>
      <w:r w:rsidRPr="00883B69">
        <w:rPr>
          <w:i/>
        </w:rPr>
        <w:t>Higher Education Management and Policy, 19</w:t>
      </w:r>
      <w:r w:rsidRPr="00883B69">
        <w:t>(2), 81-105. doi:10.1787/hemp-v19-art12-en</w:t>
      </w:r>
    </w:p>
    <w:p w14:paraId="3655592A" w14:textId="77777777" w:rsidR="00883B69" w:rsidRPr="00883B69" w:rsidRDefault="00883B69" w:rsidP="00883B69">
      <w:pPr>
        <w:pStyle w:val="EndNoteBibliography"/>
        <w:spacing w:after="0"/>
        <w:ind w:left="720" w:hanging="720"/>
      </w:pPr>
      <w:r w:rsidRPr="00883B69">
        <w:t xml:space="preserve">Hazelkorn, E. (2008). Learning to Live with League Tables and Ranking: The Experience of Institutional Leaders. </w:t>
      </w:r>
      <w:r w:rsidRPr="00883B69">
        <w:rPr>
          <w:i/>
        </w:rPr>
        <w:t>Higher Education Policy, 21</w:t>
      </w:r>
      <w:r w:rsidRPr="00883B69">
        <w:t>(2), 193-215. doi:10.1057/hep.2008.1</w:t>
      </w:r>
    </w:p>
    <w:p w14:paraId="6D8567AC" w14:textId="77777777" w:rsidR="00883B69" w:rsidRPr="00883B69" w:rsidRDefault="00883B69" w:rsidP="00883B69">
      <w:pPr>
        <w:pStyle w:val="EndNoteBibliography"/>
        <w:spacing w:after="0"/>
        <w:ind w:left="720" w:hanging="720"/>
      </w:pPr>
      <w:r w:rsidRPr="00883B69">
        <w:t xml:space="preserve">Hellstrom, T., &amp; Jacob, M. (2000). Scientification of politics or politicization of science? Traditionalist science- policy discourse and its quarrels with Mode 2 epistemology. </w:t>
      </w:r>
      <w:r w:rsidRPr="00883B69">
        <w:rPr>
          <w:i/>
        </w:rPr>
        <w:t>Social Epistemology, 14</w:t>
      </w:r>
      <w:r w:rsidRPr="00883B69">
        <w:t>(1), 69-77. doi:10.1080/02691720050199315</w:t>
      </w:r>
    </w:p>
    <w:p w14:paraId="09E6473E" w14:textId="77777777" w:rsidR="00883B69" w:rsidRPr="00883B69" w:rsidRDefault="00883B69" w:rsidP="00883B69">
      <w:pPr>
        <w:pStyle w:val="EndNoteBibliography"/>
        <w:spacing w:after="0"/>
        <w:ind w:left="720" w:hanging="720"/>
      </w:pPr>
      <w:r w:rsidRPr="00883B69">
        <w:t xml:space="preserve">Henkel, M. (2000). Academic Responses to the UK Foresight Programme. </w:t>
      </w:r>
      <w:r w:rsidRPr="00883B69">
        <w:rPr>
          <w:i/>
        </w:rPr>
        <w:t>Higher Education Management, 12</w:t>
      </w:r>
      <w:r w:rsidRPr="00883B69">
        <w:t xml:space="preserve">(1), 67-84. </w:t>
      </w:r>
    </w:p>
    <w:p w14:paraId="5D02FD4B" w14:textId="77777777" w:rsidR="00883B69" w:rsidRPr="00883B69" w:rsidRDefault="00883B69" w:rsidP="00883B69">
      <w:pPr>
        <w:pStyle w:val="EndNoteBibliography"/>
        <w:spacing w:after="0"/>
        <w:ind w:left="720" w:hanging="720"/>
      </w:pPr>
      <w:r w:rsidRPr="00883B69">
        <w:t xml:space="preserve">Henkel, M. (2004). Current Science Policies and their Implications for the Formation and Maintenance of Academic Identity. </w:t>
      </w:r>
      <w:r w:rsidRPr="00883B69">
        <w:rPr>
          <w:i/>
        </w:rPr>
        <w:t>Higher Education Policy, 17</w:t>
      </w:r>
      <w:r w:rsidRPr="00883B69">
        <w:t>(2), 167. doi:10.1057/palgrave.hep.8300049</w:t>
      </w:r>
    </w:p>
    <w:p w14:paraId="023BA43A" w14:textId="77777777" w:rsidR="00883B69" w:rsidRPr="00883B69" w:rsidRDefault="00883B69" w:rsidP="00883B69">
      <w:pPr>
        <w:pStyle w:val="EndNoteBibliography"/>
        <w:spacing w:after="0"/>
        <w:ind w:left="720" w:hanging="720"/>
      </w:pPr>
      <w:r w:rsidRPr="00883B69">
        <w:t xml:space="preserve">Henkel, M. (2007). Can academic autonomy survive in the knowledge society? A perspective from Britain. </w:t>
      </w:r>
      <w:r w:rsidRPr="00883B69">
        <w:rPr>
          <w:i/>
        </w:rPr>
        <w:t>Higher Education Research &amp; Development, 26</w:t>
      </w:r>
      <w:r w:rsidRPr="00883B69">
        <w:t>(1), 87-99. doi:10.1080/07294360601166836</w:t>
      </w:r>
    </w:p>
    <w:p w14:paraId="410EE268" w14:textId="77777777" w:rsidR="00883B69" w:rsidRPr="00883B69" w:rsidRDefault="00883B69" w:rsidP="00883B69">
      <w:pPr>
        <w:pStyle w:val="EndNoteBibliography"/>
        <w:spacing w:after="0"/>
        <w:ind w:left="720" w:hanging="720"/>
      </w:pPr>
      <w:r w:rsidRPr="00883B69">
        <w:t xml:space="preserve">Henry, C., Carnochan, S., &amp; Austin, M. (2014). Using Qualitative Data- Mining for Practice Research in Child Welfare. </w:t>
      </w:r>
      <w:r w:rsidRPr="00883B69">
        <w:rPr>
          <w:i/>
        </w:rPr>
        <w:t>Child Welf., 93</w:t>
      </w:r>
      <w:r w:rsidRPr="00883B69">
        <w:t xml:space="preserve">(6), 7-26. </w:t>
      </w:r>
    </w:p>
    <w:p w14:paraId="68B53330" w14:textId="39EB8A8F" w:rsidR="00883B69" w:rsidRPr="00883B69" w:rsidRDefault="00883B69" w:rsidP="00883B69">
      <w:pPr>
        <w:pStyle w:val="EndNoteBibliography"/>
        <w:spacing w:after="0"/>
        <w:ind w:left="720" w:hanging="720"/>
      </w:pPr>
      <w:r w:rsidRPr="00883B69">
        <w:t xml:space="preserve">Higher Education Funding Council for England. (2009). </w:t>
      </w:r>
      <w:r w:rsidRPr="00883B69">
        <w:rPr>
          <w:i/>
        </w:rPr>
        <w:t>Research Excellence Framework: second consultation on the assessment and funding of research</w:t>
      </w:r>
      <w:r w:rsidRPr="00883B69">
        <w:t xml:space="preserve">. Retrieved from </w:t>
      </w:r>
      <w:hyperlink r:id="rId31" w:history="1">
        <w:r w:rsidRPr="00883B69">
          <w:rPr>
            <w:rStyle w:val="Hyperlink"/>
          </w:rPr>
          <w:t>http://dera.ioe.ac.uk/9288/</w:t>
        </w:r>
      </w:hyperlink>
    </w:p>
    <w:p w14:paraId="3417F7EF" w14:textId="77777777" w:rsidR="00883B69" w:rsidRPr="00883B69" w:rsidRDefault="00883B69" w:rsidP="00883B69">
      <w:pPr>
        <w:pStyle w:val="EndNoteBibliography"/>
        <w:spacing w:after="0"/>
        <w:ind w:left="720" w:hanging="720"/>
      </w:pPr>
      <w:r w:rsidRPr="00883B69">
        <w:t xml:space="preserve">Hoffman, S. G. (2011). The new tools of the science trade: contested knowledge production and the conceptual vocabularies of academic capitalism. </w:t>
      </w:r>
      <w:r w:rsidRPr="00883B69">
        <w:rPr>
          <w:i/>
        </w:rPr>
        <w:t>Social Anthropology, 19</w:t>
      </w:r>
      <w:r w:rsidRPr="00883B69">
        <w:t>(4), 439-462. doi:10.1111/j.1469-8676.2011.00180.x</w:t>
      </w:r>
    </w:p>
    <w:p w14:paraId="739763C5" w14:textId="77777777" w:rsidR="00883B69" w:rsidRPr="00883B69" w:rsidRDefault="00883B69" w:rsidP="00883B69">
      <w:pPr>
        <w:pStyle w:val="EndNoteBibliography"/>
        <w:spacing w:after="0"/>
        <w:ind w:left="720" w:hanging="720"/>
      </w:pPr>
      <w:r w:rsidRPr="00883B69">
        <w:t xml:space="preserve">Holbrey, J. D., Reichert, W. M., Swatloski, R. P., Broker, G. A., Pitner, W. R., Seddon, K. R., &amp; Rogers, R. D. (2002). Efficient, halide free synthesis of new, low cost ionic liquids: 1,3- dialkylimidazolium salts containing methyl- and ethyl- sulfate anions. </w:t>
      </w:r>
      <w:r w:rsidRPr="00883B69">
        <w:rPr>
          <w:i/>
        </w:rPr>
        <w:t>Green Chemistry, 4</w:t>
      </w:r>
      <w:r w:rsidRPr="00883B69">
        <w:t>(5), 407-413. doi:10.1039/b204469b</w:t>
      </w:r>
    </w:p>
    <w:p w14:paraId="175483B1" w14:textId="77777777" w:rsidR="00883B69" w:rsidRPr="00883B69" w:rsidRDefault="00883B69" w:rsidP="00883B69">
      <w:pPr>
        <w:pStyle w:val="EndNoteBibliography"/>
        <w:spacing w:after="0"/>
        <w:ind w:left="720" w:hanging="720"/>
      </w:pPr>
      <w:r w:rsidRPr="00883B69">
        <w:t xml:space="preserve">Holland, B. (2015). Political Theory and the Impact Agenda. </w:t>
      </w:r>
      <w:r w:rsidRPr="00883B69">
        <w:rPr>
          <w:i/>
        </w:rPr>
        <w:t>Political Studies Review, 13</w:t>
      </w:r>
      <w:r w:rsidRPr="00883B69">
        <w:t>(4), 471-473. doi:10.1111/1478-9302.12097</w:t>
      </w:r>
    </w:p>
    <w:p w14:paraId="3F50E430" w14:textId="77777777" w:rsidR="00883B69" w:rsidRPr="00883B69" w:rsidRDefault="00883B69" w:rsidP="00883B69">
      <w:pPr>
        <w:pStyle w:val="EndNoteBibliography"/>
        <w:spacing w:after="0"/>
        <w:ind w:left="720" w:hanging="720"/>
      </w:pPr>
      <w:r w:rsidRPr="00883B69">
        <w:t xml:space="preserve">Holstein, J. A., &amp; Gubrium, J. F. (1995). </w:t>
      </w:r>
      <w:r w:rsidRPr="00883B69">
        <w:rPr>
          <w:i/>
        </w:rPr>
        <w:t>The Active Interview</w:t>
      </w:r>
      <w:r w:rsidRPr="00883B69">
        <w:t>. Thousand Oaks: SAGE.</w:t>
      </w:r>
    </w:p>
    <w:p w14:paraId="752C0039" w14:textId="77777777" w:rsidR="00883B69" w:rsidRPr="00883B69" w:rsidRDefault="00883B69" w:rsidP="00883B69">
      <w:pPr>
        <w:pStyle w:val="EndNoteBibliography"/>
        <w:spacing w:after="0"/>
        <w:ind w:left="720" w:hanging="720"/>
      </w:pPr>
      <w:r w:rsidRPr="00883B69">
        <w:t xml:space="preserve">Holsti, O. R. (1969). </w:t>
      </w:r>
      <w:r w:rsidRPr="00883B69">
        <w:rPr>
          <w:i/>
        </w:rPr>
        <w:t>Content analysis for the social sciences and humanities</w:t>
      </w:r>
      <w:r w:rsidRPr="00883B69">
        <w:t>. Reading, Mass.: Addison-Wesley Publishing.</w:t>
      </w:r>
    </w:p>
    <w:p w14:paraId="2AE9893E" w14:textId="77777777" w:rsidR="00883B69" w:rsidRPr="00883B69" w:rsidRDefault="00883B69" w:rsidP="00883B69">
      <w:pPr>
        <w:pStyle w:val="EndNoteBibliography"/>
        <w:spacing w:after="0"/>
        <w:ind w:left="720" w:hanging="720"/>
      </w:pPr>
      <w:r w:rsidRPr="00883B69">
        <w:t xml:space="preserve">Hughes, A., &amp; Kitson, M. (2012). Pathways to impact and the strategic role of universities: New evidence on the breadth and depth of university knowledge exchange in the UK and the factors constraining its development. </w:t>
      </w:r>
      <w:r w:rsidRPr="00883B69">
        <w:rPr>
          <w:i/>
        </w:rPr>
        <w:t>Cambridge Journal of Economics, 36</w:t>
      </w:r>
      <w:r w:rsidRPr="00883B69">
        <w:t>(3), 723-750. doi:10.1093/cje/bes017</w:t>
      </w:r>
    </w:p>
    <w:p w14:paraId="229EE902" w14:textId="1C2F68E4" w:rsidR="00883B69" w:rsidRPr="00883B69" w:rsidRDefault="00883B69" w:rsidP="00883B69">
      <w:pPr>
        <w:pStyle w:val="EndNoteBibliography"/>
        <w:spacing w:after="0"/>
        <w:ind w:left="720" w:hanging="720"/>
      </w:pPr>
      <w:r w:rsidRPr="00883B69">
        <w:t xml:space="preserve">Hughes, A., Lawson, C., Kitson, M., Salter, A., Bullock, A., &amp; Hughes, R. B. (2016). </w:t>
      </w:r>
      <w:r w:rsidRPr="00883B69">
        <w:rPr>
          <w:i/>
        </w:rPr>
        <w:t>The Changing State of Knowledge Exchange: UK Academic Interactions with External Organisations 2005-2015</w:t>
      </w:r>
      <w:r w:rsidRPr="00883B69">
        <w:t xml:space="preserve">. Retrieved from National Centre for Universities and Business: </w:t>
      </w:r>
      <w:hyperlink r:id="rId32" w:history="1">
        <w:r w:rsidRPr="00883B69">
          <w:rPr>
            <w:rStyle w:val="Hyperlink"/>
          </w:rPr>
          <w:t>http://www.ncub.co.uk/reports/national-survey-of-academics.html</w:t>
        </w:r>
      </w:hyperlink>
    </w:p>
    <w:p w14:paraId="34BCEBE2" w14:textId="61D7BD9B" w:rsidR="00883B69" w:rsidRPr="00883B69" w:rsidRDefault="00883B69" w:rsidP="00883B69">
      <w:pPr>
        <w:pStyle w:val="EndNoteBibliography"/>
        <w:spacing w:after="0"/>
        <w:ind w:left="720" w:hanging="720"/>
      </w:pPr>
      <w:r w:rsidRPr="00883B69">
        <w:t xml:space="preserve">Hughes, A., &amp; Martin, B. (2012). </w:t>
      </w:r>
      <w:r w:rsidRPr="00883B69">
        <w:rPr>
          <w:i/>
        </w:rPr>
        <w:t>Enhancing Impact: The Value of Public Sector R&amp;D</w:t>
      </w:r>
      <w:r w:rsidRPr="00883B69">
        <w:t xml:space="preserve">. Retrieved from </w:t>
      </w:r>
      <w:hyperlink r:id="rId33" w:history="1">
        <w:r w:rsidRPr="00883B69">
          <w:rPr>
            <w:rStyle w:val="Hyperlink"/>
          </w:rPr>
          <w:t>http://www.ncub.co.uk/impact</w:t>
        </w:r>
      </w:hyperlink>
    </w:p>
    <w:p w14:paraId="65EB09F2" w14:textId="77777777" w:rsidR="00883B69" w:rsidRPr="00883B69" w:rsidRDefault="00883B69" w:rsidP="00883B69">
      <w:pPr>
        <w:pStyle w:val="EndNoteBibliography"/>
        <w:spacing w:after="0"/>
        <w:ind w:left="720" w:hanging="720"/>
      </w:pPr>
      <w:r w:rsidRPr="00883B69">
        <w:t xml:space="preserve">Inkpen, A., &amp; Tsang, E. (2005). Social capital, networks, and knowledge transfer. In </w:t>
      </w:r>
      <w:r w:rsidRPr="00883B69">
        <w:rPr>
          <w:i/>
        </w:rPr>
        <w:t>Acad. Manage. Rev.</w:t>
      </w:r>
      <w:r w:rsidRPr="00883B69">
        <w:t xml:space="preserve"> (Vol. 30, pp. 146-165).</w:t>
      </w:r>
    </w:p>
    <w:p w14:paraId="2E658EAC" w14:textId="77777777" w:rsidR="00883B69" w:rsidRPr="00883B69" w:rsidRDefault="00883B69" w:rsidP="00883B69">
      <w:pPr>
        <w:pStyle w:val="EndNoteBibliography"/>
        <w:spacing w:after="0"/>
        <w:ind w:left="720" w:hanging="720"/>
      </w:pPr>
      <w:r w:rsidRPr="00883B69">
        <w:t xml:space="preserve">Irvine, A., Drew, P., &amp; Sainsbury, R. D. (2013). 'Am I not answering your questions properly?' : Clarification, adequacy and responsiveness in semi-structured telephone and face-to-face interviews. </w:t>
      </w:r>
    </w:p>
    <w:p w14:paraId="7457EE3E" w14:textId="77777777" w:rsidR="00883B69" w:rsidRPr="00883B69" w:rsidRDefault="00883B69" w:rsidP="00883B69">
      <w:pPr>
        <w:pStyle w:val="EndNoteBibliography"/>
        <w:spacing w:after="0"/>
        <w:ind w:left="720" w:hanging="720"/>
      </w:pPr>
      <w:r w:rsidRPr="00883B69">
        <w:t xml:space="preserve">Jongbloed, B., Enders, J., &amp; Salerno, C. (2008). Higher education and its communities: Interconnections, interdependencies and a research agenda. </w:t>
      </w:r>
      <w:r w:rsidRPr="00883B69">
        <w:rPr>
          <w:i/>
        </w:rPr>
        <w:t>The International Journal of Higher Education and Educational Planning, 56</w:t>
      </w:r>
      <w:r w:rsidRPr="00883B69">
        <w:t>(3), 303-324. doi:10.1007/s10734-008-9128-2</w:t>
      </w:r>
    </w:p>
    <w:p w14:paraId="1E2E33D2" w14:textId="77777777" w:rsidR="00883B69" w:rsidRPr="00883B69" w:rsidRDefault="00883B69" w:rsidP="00883B69">
      <w:pPr>
        <w:pStyle w:val="EndNoteBibliography"/>
        <w:spacing w:after="0"/>
        <w:ind w:left="720" w:hanging="720"/>
      </w:pPr>
      <w:r w:rsidRPr="00883B69">
        <w:t xml:space="preserve">Kaidesoja, T., &amp; Kauppinen, I. (2014). How to Explain Academic Capitalism: A Mechanism-Based Approach. In B. Cantwell &amp; I. Kauppinen (Eds.), </w:t>
      </w:r>
      <w:r w:rsidRPr="00883B69">
        <w:rPr>
          <w:i/>
        </w:rPr>
        <w:t>Academic capitalism in the age of globalization</w:t>
      </w:r>
      <w:r w:rsidRPr="00883B69">
        <w:t>. Baltimore: Johns Hopkins University Press.</w:t>
      </w:r>
    </w:p>
    <w:p w14:paraId="6E4C3E7E" w14:textId="77777777" w:rsidR="00883B69" w:rsidRPr="00883B69" w:rsidRDefault="00883B69" w:rsidP="00883B69">
      <w:pPr>
        <w:pStyle w:val="EndNoteBibliography"/>
        <w:spacing w:after="0"/>
        <w:ind w:left="720" w:hanging="720"/>
      </w:pPr>
      <w:r w:rsidRPr="00883B69">
        <w:t xml:space="preserve">Kantasalmi, K., &amp; Tuunainen, J. (2018). Discipline-making and Organizational Permeability of the University: Discussing the Notion of Organizational Field. </w:t>
      </w:r>
      <w:r w:rsidRPr="00883B69">
        <w:rPr>
          <w:i/>
        </w:rPr>
        <w:t>Research in the Sociology of Organizations, 57</w:t>
      </w:r>
      <w:r w:rsidRPr="00883B69">
        <w:t>, 331-359. doi:10.1108/S0733-558X20180000057013</w:t>
      </w:r>
    </w:p>
    <w:p w14:paraId="53D5F5EA" w14:textId="77777777" w:rsidR="00883B69" w:rsidRPr="00883B69" w:rsidRDefault="00883B69" w:rsidP="00883B69">
      <w:pPr>
        <w:pStyle w:val="EndNoteBibliography"/>
        <w:spacing w:after="0"/>
        <w:ind w:left="720" w:hanging="720"/>
      </w:pPr>
      <w:r w:rsidRPr="00883B69">
        <w:t xml:space="preserve">Kearnes, M., &amp; Wienroth, M. (2011). Tools of the Trade: UK Research Intermediaries and the Politics of Impacts. </w:t>
      </w:r>
      <w:r w:rsidRPr="00883B69">
        <w:rPr>
          <w:i/>
        </w:rPr>
        <w:t>Minerva, 49</w:t>
      </w:r>
      <w:r w:rsidRPr="00883B69">
        <w:t>(2), 153-174. doi:10.1007/s11024-011-9172-4</w:t>
      </w:r>
    </w:p>
    <w:p w14:paraId="1C04E150" w14:textId="77777777" w:rsidR="00883B69" w:rsidRPr="00883B69" w:rsidRDefault="00883B69" w:rsidP="00883B69">
      <w:pPr>
        <w:pStyle w:val="EndNoteBibliography"/>
        <w:spacing w:after="0"/>
        <w:ind w:left="720" w:hanging="720"/>
      </w:pPr>
      <w:r w:rsidRPr="00883B69">
        <w:t xml:space="preserve">Kellard, N. M., &amp; Śliwa, M. (2016). Business and Management Impact Assessment in Research Excellence Framework 2014: Analysis and Reflection. </w:t>
      </w:r>
      <w:r w:rsidRPr="00883B69">
        <w:rPr>
          <w:i/>
        </w:rPr>
        <w:t>British Journal of Management, 27</w:t>
      </w:r>
      <w:r w:rsidRPr="00883B69">
        <w:t>(4), 693-711. doi:10.1111/1467-8551.12186</w:t>
      </w:r>
    </w:p>
    <w:p w14:paraId="3CE29D82" w14:textId="77777777" w:rsidR="00883B69" w:rsidRPr="00883B69" w:rsidRDefault="00883B69" w:rsidP="00883B69">
      <w:pPr>
        <w:pStyle w:val="EndNoteBibliography"/>
        <w:spacing w:after="0"/>
        <w:ind w:left="720" w:hanging="720"/>
      </w:pPr>
      <w:r w:rsidRPr="00883B69">
        <w:t xml:space="preserve">Kenny, K., Whittle, A., &amp; Willmott, H. (2016). Organizational Identity: The Significance of Power and Politics. In M. G. Pratt, M. Schultz, B. E. Ashforth, &amp; D. Ravasi (Eds.), </w:t>
      </w:r>
      <w:r w:rsidRPr="00883B69">
        <w:rPr>
          <w:i/>
        </w:rPr>
        <w:t>The Oxford handbook of organizational identity</w:t>
      </w:r>
      <w:r w:rsidRPr="00883B69">
        <w:t>. Oxford: Oxford University Press.</w:t>
      </w:r>
    </w:p>
    <w:p w14:paraId="1EC496EF" w14:textId="77777777" w:rsidR="00883B69" w:rsidRPr="00883B69" w:rsidRDefault="00883B69" w:rsidP="00883B69">
      <w:pPr>
        <w:pStyle w:val="EndNoteBibliography"/>
        <w:spacing w:after="0"/>
        <w:ind w:left="720" w:hanging="720"/>
      </w:pPr>
      <w:r w:rsidRPr="00883B69">
        <w:t xml:space="preserve">Kessler, I., &amp; Bach, S. (2014). Comparing Cases. In P. K. Edwards, J. O'Mahoney, &amp; S. Vincent (Eds.), </w:t>
      </w:r>
      <w:r w:rsidRPr="00883B69">
        <w:rPr>
          <w:i/>
        </w:rPr>
        <w:t>Studying organizations using critical realism: a practical guide</w:t>
      </w:r>
      <w:r w:rsidRPr="00883B69">
        <w:t>. Oxford: Oxford University Press.</w:t>
      </w:r>
    </w:p>
    <w:p w14:paraId="24F9F02D" w14:textId="77777777" w:rsidR="00883B69" w:rsidRPr="00883B69" w:rsidRDefault="00883B69" w:rsidP="00883B69">
      <w:pPr>
        <w:pStyle w:val="EndNoteBibliography"/>
        <w:spacing w:after="0"/>
        <w:ind w:left="720" w:hanging="720"/>
      </w:pPr>
      <w:r w:rsidRPr="00883B69">
        <w:t xml:space="preserve">Khazragui, H., &amp; Hudson, J. (2015). Measuring the benefits of university research: Impact and the REF in the UK. </w:t>
      </w:r>
      <w:r w:rsidRPr="00883B69">
        <w:rPr>
          <w:i/>
        </w:rPr>
        <w:t>Research Evaluation, 24</w:t>
      </w:r>
      <w:r w:rsidRPr="00883B69">
        <w:t>(1), 51-62. doi:10.1093/reseval/rvu028</w:t>
      </w:r>
    </w:p>
    <w:p w14:paraId="522E9B7A" w14:textId="2C91C7CA" w:rsidR="00883B69" w:rsidRPr="00883B69" w:rsidRDefault="00883B69" w:rsidP="00883B69">
      <w:pPr>
        <w:pStyle w:val="EndNoteBibliography"/>
        <w:spacing w:after="0"/>
        <w:ind w:left="720" w:hanging="720"/>
      </w:pPr>
      <w:r w:rsidRPr="00883B69">
        <w:t xml:space="preserve">King's College London, &amp; Digital Science. (2015). </w:t>
      </w:r>
      <w:r w:rsidRPr="00883B69">
        <w:rPr>
          <w:i/>
        </w:rPr>
        <w:t>The nature, scale and beneficiaries of research impact: An initial analysis of Research Excellence Framework (REF) 2014 impact case studies</w:t>
      </w:r>
      <w:r w:rsidRPr="00883B69">
        <w:t xml:space="preserve">. Retrieved from </w:t>
      </w:r>
      <w:hyperlink r:id="rId34" w:history="1">
        <w:r w:rsidRPr="00883B69">
          <w:rPr>
            <w:rStyle w:val="Hyperlink"/>
          </w:rPr>
          <w:t>http://www.kcl.ac.uk/sspp/policy-institute/publications/Analysis-of-REF-impact.pdf</w:t>
        </w:r>
      </w:hyperlink>
    </w:p>
    <w:p w14:paraId="653052A0" w14:textId="77777777" w:rsidR="00883B69" w:rsidRPr="00883B69" w:rsidRDefault="00883B69" w:rsidP="00883B69">
      <w:pPr>
        <w:pStyle w:val="EndNoteBibliography"/>
        <w:spacing w:after="0"/>
        <w:ind w:left="720" w:hanging="720"/>
      </w:pPr>
      <w:r w:rsidRPr="00883B69">
        <w:t xml:space="preserve">Kitagawa, F., &amp; Lightowler, C. (2013). Knowledge exchange: A comparison of policies, strategies, and funding incentives in English and Scottish higher education. </w:t>
      </w:r>
      <w:r w:rsidRPr="00883B69">
        <w:rPr>
          <w:i/>
        </w:rPr>
        <w:t>Research Evaluation, 22</w:t>
      </w:r>
      <w:r w:rsidRPr="00883B69">
        <w:t>(1), 1-14. doi:10.1093/reseval/rvs035</w:t>
      </w:r>
    </w:p>
    <w:p w14:paraId="0438DF97" w14:textId="77777777" w:rsidR="00883B69" w:rsidRPr="00883B69" w:rsidRDefault="00883B69" w:rsidP="00883B69">
      <w:pPr>
        <w:pStyle w:val="EndNoteBibliography"/>
        <w:spacing w:after="0"/>
        <w:ind w:left="720" w:hanging="720"/>
      </w:pPr>
      <w:r w:rsidRPr="00883B69">
        <w:t xml:space="preserve">Klautzer, L., Hanney, S., Nason, E., Rubin, J., Grant, J., &amp; Wooding, S. (2011). Assessing policy and practice impacts of social science research: The application of the payback framework to assess the future of work programme. </w:t>
      </w:r>
      <w:r w:rsidRPr="00883B69">
        <w:rPr>
          <w:i/>
        </w:rPr>
        <w:t>Research Evaluation, 20</w:t>
      </w:r>
      <w:r w:rsidRPr="00883B69">
        <w:t>(3), 201-209. doi:10.3152/095820211X13118583635675</w:t>
      </w:r>
    </w:p>
    <w:p w14:paraId="2FF01E67" w14:textId="77777777" w:rsidR="00883B69" w:rsidRPr="00883B69" w:rsidRDefault="00883B69" w:rsidP="00883B69">
      <w:pPr>
        <w:pStyle w:val="EndNoteBibliography"/>
        <w:spacing w:after="0"/>
        <w:ind w:left="720" w:hanging="720"/>
      </w:pPr>
      <w:r w:rsidRPr="00883B69">
        <w:t xml:space="preserve">Knorr-Cetina, K. D. (1983). The Ethnographic Study of Scientific Work: Towards a Constructivist Interpretation of Science. In K. D. Knorr-Cetina &amp; M. J. Mulkay (Eds.), </w:t>
      </w:r>
      <w:r w:rsidRPr="00883B69">
        <w:rPr>
          <w:i/>
        </w:rPr>
        <w:t>Science observed : perspectives on the social study of science</w:t>
      </w:r>
      <w:r w:rsidRPr="00883B69">
        <w:t>. London: Sage.</w:t>
      </w:r>
    </w:p>
    <w:p w14:paraId="708803AD" w14:textId="77777777" w:rsidR="00883B69" w:rsidRPr="00883B69" w:rsidRDefault="00883B69" w:rsidP="00883B69">
      <w:pPr>
        <w:pStyle w:val="EndNoteBibliography"/>
        <w:spacing w:after="0"/>
        <w:ind w:left="720" w:hanging="720"/>
      </w:pPr>
      <w:r w:rsidRPr="00883B69">
        <w:t>Kohler, R. (1999). The constructivists' tool kit. In (Vol. 90, pp. 329-331). Chicago: University of Chicago, acting through its Press.</w:t>
      </w:r>
    </w:p>
    <w:p w14:paraId="4F299D76" w14:textId="77777777" w:rsidR="00883B69" w:rsidRPr="00883B69" w:rsidRDefault="00883B69" w:rsidP="00883B69">
      <w:pPr>
        <w:pStyle w:val="EndNoteBibliography"/>
        <w:spacing w:after="0"/>
        <w:ind w:left="720" w:hanging="720"/>
      </w:pPr>
      <w:r w:rsidRPr="00883B69">
        <w:t xml:space="preserve">Koryakina, T., Sarrico, C., &amp; Teixeira, P. (2015). Universities' Third Mission Activitites: Challenges to Extending Boundaries. In E. Primeri &amp; E. Reale (Eds.), </w:t>
      </w:r>
      <w:r w:rsidRPr="00883B69">
        <w:rPr>
          <w:i/>
        </w:rPr>
        <w:t>The Transformation of University Institutional and Organizational Boundaries: Organizational Boundaries</w:t>
      </w:r>
      <w:r w:rsidRPr="00883B69">
        <w:t>. Rotterdam: Sense.</w:t>
      </w:r>
    </w:p>
    <w:p w14:paraId="66643EE4" w14:textId="77777777" w:rsidR="00883B69" w:rsidRPr="00883B69" w:rsidRDefault="00883B69" w:rsidP="00883B69">
      <w:pPr>
        <w:pStyle w:val="EndNoteBibliography"/>
        <w:spacing w:after="0"/>
        <w:ind w:left="720" w:hanging="720"/>
      </w:pPr>
      <w:r w:rsidRPr="00883B69">
        <w:t>Krishnan, A. (2009). What are Academic Disciplines? Some observations on the Disciplinarity vs. Interdisciplinary debate (Working Paper).</w:t>
      </w:r>
    </w:p>
    <w:p w14:paraId="1D418FCC" w14:textId="77777777" w:rsidR="00883B69" w:rsidRPr="00883B69" w:rsidRDefault="00883B69" w:rsidP="00883B69">
      <w:pPr>
        <w:pStyle w:val="EndNoteBibliography"/>
        <w:spacing w:after="0"/>
        <w:ind w:left="720" w:hanging="720"/>
      </w:pPr>
      <w:r w:rsidRPr="00883B69">
        <w:t xml:space="preserve">Kvernbekk, T., &amp; Frimannsson, G. H. (2013). Narrative: A Brief Introduction. </w:t>
      </w:r>
      <w:r w:rsidRPr="00883B69">
        <w:rPr>
          <w:i/>
        </w:rPr>
        <w:t>Scandinavian Journal of Educational Research, 57</w:t>
      </w:r>
      <w:r w:rsidRPr="00883B69">
        <w:t>(6), 1-3. doi:10.1080/00313831.2013.798836</w:t>
      </w:r>
    </w:p>
    <w:p w14:paraId="75B2A956" w14:textId="77777777" w:rsidR="00883B69" w:rsidRPr="00883B69" w:rsidRDefault="00883B69" w:rsidP="00883B69">
      <w:pPr>
        <w:pStyle w:val="EndNoteBibliography"/>
        <w:spacing w:after="0"/>
        <w:ind w:left="720" w:hanging="720"/>
      </w:pPr>
      <w:r w:rsidRPr="00883B69">
        <w:t xml:space="preserve">Laing, K., Mazzoli Smith, L., &amp; Todd, L. (2018). The impact agenda and critical social research in education: Hitting the target but missing the spot? </w:t>
      </w:r>
      <w:r w:rsidRPr="00883B69">
        <w:rPr>
          <w:i/>
        </w:rPr>
        <w:t>Policy Futures in Education, 16</w:t>
      </w:r>
      <w:r w:rsidRPr="00883B69">
        <w:t>(2), 169-184. doi:10.1177/1478210317742214</w:t>
      </w:r>
    </w:p>
    <w:p w14:paraId="058AE80E" w14:textId="77777777" w:rsidR="00883B69" w:rsidRPr="00883B69" w:rsidRDefault="00883B69" w:rsidP="00883B69">
      <w:pPr>
        <w:pStyle w:val="EndNoteBibliography"/>
        <w:spacing w:after="0"/>
        <w:ind w:left="720" w:hanging="720"/>
      </w:pPr>
      <w:r w:rsidRPr="00883B69">
        <w:t xml:space="preserve">Lam, A. (2007). Knowledge Networks and Careers: Academic Scientists in Industry– University Links. </w:t>
      </w:r>
      <w:r w:rsidRPr="00883B69">
        <w:rPr>
          <w:i/>
        </w:rPr>
        <w:t>Journal of Management Studies, 44</w:t>
      </w:r>
      <w:r w:rsidRPr="00883B69">
        <w:t>(6), 993-1016. doi:10.1111/j.1467-6486.2007.00696.x</w:t>
      </w:r>
    </w:p>
    <w:p w14:paraId="0AD373F9" w14:textId="77777777" w:rsidR="00883B69" w:rsidRPr="00883B69" w:rsidRDefault="00883B69" w:rsidP="00883B69">
      <w:pPr>
        <w:pStyle w:val="EndNoteBibliography"/>
        <w:spacing w:after="0"/>
        <w:ind w:left="720" w:hanging="720"/>
      </w:pPr>
      <w:r w:rsidRPr="00883B69">
        <w:t xml:space="preserve">Lambert, R. (2003). Lambert review of business-university collaboration: Final report. </w:t>
      </w:r>
      <w:r w:rsidRPr="00883B69">
        <w:rPr>
          <w:i/>
        </w:rPr>
        <w:t>University of Illinois at Urbana-Champaign's Academy for Entrepreneurial Leadership Historical Research Reference in Entrepreneurship</w:t>
      </w:r>
      <w:r w:rsidRPr="00883B69">
        <w:t xml:space="preserve">. </w:t>
      </w:r>
    </w:p>
    <w:p w14:paraId="686A72B5" w14:textId="77777777" w:rsidR="00883B69" w:rsidRPr="00883B69" w:rsidRDefault="00883B69" w:rsidP="00883B69">
      <w:pPr>
        <w:pStyle w:val="EndNoteBibliography"/>
        <w:spacing w:after="0"/>
        <w:ind w:left="720" w:hanging="720"/>
      </w:pPr>
      <w:r w:rsidRPr="00883B69">
        <w:t xml:space="preserve">Lambooy, J. G. (2010). Knowledge transfers, spillovers and actors: The role of context and social capital. </w:t>
      </w:r>
      <w:r w:rsidRPr="00883B69">
        <w:rPr>
          <w:i/>
        </w:rPr>
        <w:t>European Planning Studies, 18</w:t>
      </w:r>
      <w:r w:rsidRPr="00883B69">
        <w:t>(6), 873-891. doi:10.1080/09654311003701407</w:t>
      </w:r>
    </w:p>
    <w:p w14:paraId="5D6AAB8D" w14:textId="6FAA5A1C" w:rsidR="00883B69" w:rsidRPr="00883B69" w:rsidRDefault="00883B69" w:rsidP="00883B69">
      <w:pPr>
        <w:pStyle w:val="EndNoteBibliography"/>
        <w:spacing w:after="0"/>
        <w:ind w:left="720" w:hanging="720"/>
      </w:pPr>
      <w:r w:rsidRPr="00883B69">
        <w:t xml:space="preserve">Langa, P. V. (2011). </w:t>
      </w:r>
      <w:r w:rsidRPr="00883B69">
        <w:rPr>
          <w:i/>
        </w:rPr>
        <w:t>Scientific Capital and Engagement in African Universities: The Case of the Social Sciences at Makerere University</w:t>
      </w:r>
      <w:r w:rsidRPr="00883B69">
        <w:t xml:space="preserve">. Retrieved from </w:t>
      </w:r>
      <w:hyperlink r:id="rId35" w:history="1">
        <w:r w:rsidRPr="00883B69">
          <w:rPr>
            <w:rStyle w:val="Hyperlink"/>
          </w:rPr>
          <w:t>http://ahero.uwc.ac.za/index.php?module=cshe&amp;action=downloadfile&amp;fileid=18409092513365623383047</w:t>
        </w:r>
      </w:hyperlink>
    </w:p>
    <w:p w14:paraId="2F2FEEEB" w14:textId="77777777" w:rsidR="00883B69" w:rsidRPr="00883B69" w:rsidRDefault="00883B69" w:rsidP="00883B69">
      <w:pPr>
        <w:pStyle w:val="EndNoteBibliography"/>
        <w:spacing w:after="0"/>
        <w:ind w:left="720" w:hanging="720"/>
      </w:pPr>
      <w:r w:rsidRPr="00883B69">
        <w:t xml:space="preserve">Langley, C., &amp; Parkinson, S. (2009). </w:t>
      </w:r>
      <w:r w:rsidRPr="00883B69">
        <w:rPr>
          <w:i/>
        </w:rPr>
        <w:t>Science and the corporate agenda: The detrimental effects of commercial influence on science and technology</w:t>
      </w:r>
      <w:r w:rsidRPr="00883B69">
        <w:t>.</w:t>
      </w:r>
    </w:p>
    <w:p w14:paraId="5206B043" w14:textId="77777777" w:rsidR="00883B69" w:rsidRPr="00883B69" w:rsidRDefault="00883B69" w:rsidP="00883B69">
      <w:pPr>
        <w:pStyle w:val="EndNoteBibliography"/>
        <w:spacing w:after="0"/>
        <w:ind w:left="720" w:hanging="720"/>
      </w:pPr>
      <w:r w:rsidRPr="00883B69">
        <w:t xml:space="preserve">Latour, B. (1987). </w:t>
      </w:r>
      <w:r w:rsidRPr="00883B69">
        <w:rPr>
          <w:i/>
        </w:rPr>
        <w:t>Science in action: how to follow scientists and engineers through society</w:t>
      </w:r>
      <w:r w:rsidRPr="00883B69">
        <w:t>. Cambridge, Mass.: Harvard University Press.</w:t>
      </w:r>
    </w:p>
    <w:p w14:paraId="0AFEE1F4" w14:textId="77777777" w:rsidR="00883B69" w:rsidRPr="00883B69" w:rsidRDefault="00883B69" w:rsidP="00883B69">
      <w:pPr>
        <w:pStyle w:val="EndNoteBibliography"/>
        <w:spacing w:after="0"/>
        <w:ind w:left="720" w:hanging="720"/>
      </w:pPr>
      <w:r w:rsidRPr="00883B69">
        <w:t xml:space="preserve">Leydesdorff, L. (2010). The knowledge‐ based economy and the triple helix model. </w:t>
      </w:r>
      <w:r w:rsidRPr="00883B69">
        <w:rPr>
          <w:i/>
        </w:rPr>
        <w:t>Annual Review of Information Science and Technology, 44</w:t>
      </w:r>
      <w:r w:rsidRPr="00883B69">
        <w:t>(1), 365-417. doi:10.1002/aris.2010.1440440116</w:t>
      </w:r>
    </w:p>
    <w:p w14:paraId="77790E05" w14:textId="77777777" w:rsidR="00883B69" w:rsidRPr="00883B69" w:rsidRDefault="00883B69" w:rsidP="00883B69">
      <w:pPr>
        <w:pStyle w:val="EndNoteBibliography"/>
        <w:spacing w:after="0"/>
        <w:ind w:left="720" w:hanging="720"/>
      </w:pPr>
      <w:r w:rsidRPr="00883B69">
        <w:t xml:space="preserve">Leydesdorff, L. (2012). The Triple Helix, Quadruple Helix, …, and an N -Tuple of Helices: Explanatory Models for Analyzing the Knowledge-Based Economy? </w:t>
      </w:r>
      <w:r w:rsidRPr="00883B69">
        <w:rPr>
          <w:i/>
        </w:rPr>
        <w:t>Journal of the Knowledge Economy, 3</w:t>
      </w:r>
      <w:r w:rsidRPr="00883B69">
        <w:t>(1), 25-35. doi:10.1007/s13132-011-0049-4</w:t>
      </w:r>
    </w:p>
    <w:p w14:paraId="11872C6E" w14:textId="77777777" w:rsidR="00883B69" w:rsidRPr="00883B69" w:rsidRDefault="00883B69" w:rsidP="00883B69">
      <w:pPr>
        <w:pStyle w:val="EndNoteBibliography"/>
        <w:spacing w:after="0"/>
        <w:ind w:left="720" w:hanging="720"/>
      </w:pPr>
      <w:r w:rsidRPr="00883B69">
        <w:t xml:space="preserve">Leydesdorff, L., &amp; Etzkowitz, H. (1998). The Triple Helix as a model for innovation studies. </w:t>
      </w:r>
      <w:r w:rsidRPr="00883B69">
        <w:rPr>
          <w:i/>
        </w:rPr>
        <w:t>Science and Public Policy, 25</w:t>
      </w:r>
      <w:r w:rsidRPr="00883B69">
        <w:t>(3), 195-203. doi:10.1093/spp/25.3.195</w:t>
      </w:r>
    </w:p>
    <w:p w14:paraId="52499A0F" w14:textId="77777777" w:rsidR="00883B69" w:rsidRPr="00883B69" w:rsidRDefault="00883B69" w:rsidP="00883B69">
      <w:pPr>
        <w:pStyle w:val="EndNoteBibliography"/>
        <w:spacing w:after="0"/>
        <w:ind w:left="720" w:hanging="720"/>
      </w:pPr>
      <w:r w:rsidRPr="00883B69">
        <w:t xml:space="preserve">Leydesdorff, L., &amp; Etzkowitz, H. (2001). The Transformation of University-Industry-Government Relations. </w:t>
      </w:r>
      <w:r w:rsidRPr="00883B69">
        <w:rPr>
          <w:i/>
        </w:rPr>
        <w:t>Electronic Journal of Sociology, 5</w:t>
      </w:r>
      <w:r w:rsidRPr="00883B69">
        <w:t xml:space="preserve">(4). </w:t>
      </w:r>
    </w:p>
    <w:p w14:paraId="0524EECD" w14:textId="77777777" w:rsidR="00883B69" w:rsidRPr="00883B69" w:rsidRDefault="00883B69" w:rsidP="00883B69">
      <w:pPr>
        <w:pStyle w:val="EndNoteBibliography"/>
        <w:spacing w:after="0"/>
        <w:ind w:left="720" w:hanging="720"/>
      </w:pPr>
      <w:r w:rsidRPr="00883B69">
        <w:t xml:space="preserve">Li, E. Y., Liao, C. H., &amp; Yen, H. R. (2013). Co-authorship networks and research impact: A social capital perspective. </w:t>
      </w:r>
      <w:r w:rsidRPr="00883B69">
        <w:rPr>
          <w:i/>
        </w:rPr>
        <w:t>Research Policy, 42</w:t>
      </w:r>
      <w:r w:rsidRPr="00883B69">
        <w:t>(9), 1515-1530. doi:10.1016/j.respol.2013.06.012</w:t>
      </w:r>
    </w:p>
    <w:p w14:paraId="59AE0361" w14:textId="77777777" w:rsidR="00883B69" w:rsidRPr="00883B69" w:rsidRDefault="00883B69" w:rsidP="00883B69">
      <w:pPr>
        <w:pStyle w:val="EndNoteBibliography"/>
        <w:spacing w:after="0"/>
        <w:ind w:left="720" w:hanging="720"/>
      </w:pPr>
      <w:r w:rsidRPr="00883B69">
        <w:t xml:space="preserve">Lähteenmäki-Smith, K. (2014). Implementing Innovation Policy. In K. Halme, I. Lindy, K. A. Piirainen, V. Salminen, &amp; J. White (Eds.), </w:t>
      </w:r>
      <w:r w:rsidRPr="00883B69">
        <w:rPr>
          <w:i/>
        </w:rPr>
        <w:t>Finland  as a knowledge economy 2.0: lessons on policies and governance</w:t>
      </w:r>
      <w:r w:rsidRPr="00883B69">
        <w:t>. Washington, DC: The World Bank.</w:t>
      </w:r>
    </w:p>
    <w:p w14:paraId="4A2C4300" w14:textId="77777777" w:rsidR="00883B69" w:rsidRPr="00883B69" w:rsidRDefault="00883B69" w:rsidP="00883B69">
      <w:pPr>
        <w:pStyle w:val="EndNoteBibliography"/>
        <w:spacing w:after="0"/>
        <w:ind w:left="720" w:hanging="720"/>
      </w:pPr>
      <w:r w:rsidRPr="00883B69">
        <w:t xml:space="preserve">MacIntosh, R., Beech, N., Bartunek, J., Mason, K., Cooke, B., &amp; Denyer, D. (2017). Impact and Management Research: Exploring Relationships between Temporality, Dialogue, Reflexivity and Praxis. </w:t>
      </w:r>
      <w:r w:rsidRPr="00883B69">
        <w:rPr>
          <w:i/>
        </w:rPr>
        <w:t>British Journal of Management, 28</w:t>
      </w:r>
      <w:r w:rsidRPr="00883B69">
        <w:t>(1), 3-13. doi:10.1111/1467-8551.12207</w:t>
      </w:r>
    </w:p>
    <w:p w14:paraId="1DDEFDC0" w14:textId="77777777" w:rsidR="00883B69" w:rsidRPr="00883B69" w:rsidRDefault="00883B69" w:rsidP="00883B69">
      <w:pPr>
        <w:pStyle w:val="EndNoteBibliography"/>
        <w:spacing w:after="0"/>
        <w:ind w:left="720" w:hanging="720"/>
      </w:pPr>
      <w:r w:rsidRPr="00883B69">
        <w:t xml:space="preserve">Marcella, R., Lockerbie, H., &amp; Bloice, L. (2016). Beyond REF 2014: The impact of impact assessment on the future of information research. </w:t>
      </w:r>
      <w:r w:rsidRPr="00883B69">
        <w:rPr>
          <w:i/>
        </w:rPr>
        <w:t>Journal of Information Science, 42</w:t>
      </w:r>
      <w:r w:rsidRPr="00883B69">
        <w:t>(3), 369-385. doi:10.1177/0165551516636291</w:t>
      </w:r>
    </w:p>
    <w:p w14:paraId="4B1232B1" w14:textId="77777777" w:rsidR="00883B69" w:rsidRPr="00883B69" w:rsidRDefault="00883B69" w:rsidP="00883B69">
      <w:pPr>
        <w:pStyle w:val="EndNoteBibliography"/>
        <w:spacing w:after="0"/>
        <w:ind w:left="720" w:hanging="720"/>
      </w:pPr>
      <w:r w:rsidRPr="00883B69">
        <w:t xml:space="preserve">Marginson, S. (2008). Academic Creativity under New Public Management: Foundations for an Investigation. </w:t>
      </w:r>
      <w:r w:rsidRPr="00883B69">
        <w:rPr>
          <w:i/>
        </w:rPr>
        <w:t>Educational Theory, 58</w:t>
      </w:r>
      <w:r w:rsidRPr="00883B69">
        <w:t>(3), 269-287. doi:10.1111/j.1741-5446.2008.00288.x</w:t>
      </w:r>
    </w:p>
    <w:p w14:paraId="7F3AD417" w14:textId="77777777" w:rsidR="00883B69" w:rsidRPr="00883B69" w:rsidRDefault="00883B69" w:rsidP="00883B69">
      <w:pPr>
        <w:pStyle w:val="EndNoteBibliography"/>
        <w:spacing w:after="0"/>
        <w:ind w:left="720" w:hanging="720"/>
      </w:pPr>
      <w:r w:rsidRPr="00883B69">
        <w:t xml:space="preserve">Marginson, S., &amp; Considine, M. (2000). </w:t>
      </w:r>
      <w:r w:rsidRPr="00883B69">
        <w:rPr>
          <w:i/>
        </w:rPr>
        <w:t>The enterprise university: Power, governance and reinvention in Australia</w:t>
      </w:r>
      <w:r w:rsidRPr="00883B69">
        <w:t>: Cambridge University Press.</w:t>
      </w:r>
    </w:p>
    <w:p w14:paraId="60D9BB3E" w14:textId="77777777" w:rsidR="00883B69" w:rsidRPr="00883B69" w:rsidRDefault="00883B69" w:rsidP="00883B69">
      <w:pPr>
        <w:pStyle w:val="EndNoteBibliography"/>
        <w:spacing w:after="0"/>
        <w:ind w:left="720" w:hanging="720"/>
      </w:pPr>
      <w:r w:rsidRPr="00883B69">
        <w:t xml:space="preserve">Marginson, S., &amp; van der Wende, M. (2007). To Rank or to Be Ranked: The Impact of Global Rankings in Higher Education. </w:t>
      </w:r>
      <w:r w:rsidRPr="00883B69">
        <w:rPr>
          <w:i/>
        </w:rPr>
        <w:t>Journal of Studies in International Education, 11</w:t>
      </w:r>
      <w:r w:rsidRPr="00883B69">
        <w:t>, 306-304), p.306-329. doi:10.1177/1028315307303544</w:t>
      </w:r>
    </w:p>
    <w:p w14:paraId="184CC6F6" w14:textId="77777777" w:rsidR="00883B69" w:rsidRPr="00883B69" w:rsidRDefault="00883B69" w:rsidP="00883B69">
      <w:pPr>
        <w:pStyle w:val="EndNoteBibliography"/>
        <w:spacing w:after="0"/>
        <w:ind w:left="720" w:hanging="720"/>
      </w:pPr>
      <w:r w:rsidRPr="00883B69">
        <w:t xml:space="preserve">Martin, B. R. (2003). The changing social contract for science and the evolution of the university. In </w:t>
      </w:r>
      <w:r w:rsidRPr="00883B69">
        <w:rPr>
          <w:i/>
        </w:rPr>
        <w:t>Science and Innovation: Rethinking the Rationales for Funding and Governance</w:t>
      </w:r>
      <w:r w:rsidRPr="00883B69">
        <w:t xml:space="preserve"> (pp. 7-29).</w:t>
      </w:r>
    </w:p>
    <w:p w14:paraId="53EB50BF" w14:textId="77777777" w:rsidR="00883B69" w:rsidRPr="00883B69" w:rsidRDefault="00883B69" w:rsidP="00883B69">
      <w:pPr>
        <w:pStyle w:val="EndNoteBibliography"/>
        <w:spacing w:after="0"/>
        <w:ind w:left="720" w:hanging="720"/>
      </w:pPr>
      <w:r w:rsidRPr="00883B69">
        <w:t xml:space="preserve">Martin, B. R. (2011). The Research Excellence Framework and the 'impact agenda': are we creating a Frankenstein monster? </w:t>
      </w:r>
      <w:r w:rsidRPr="00883B69">
        <w:rPr>
          <w:i/>
        </w:rPr>
        <w:t>Research Evaluation, 20</w:t>
      </w:r>
      <w:r w:rsidRPr="00883B69">
        <w:t>(3), 247-254. doi:10.3152/095820211x13118583635693</w:t>
      </w:r>
    </w:p>
    <w:p w14:paraId="6F500358" w14:textId="77777777" w:rsidR="00883B69" w:rsidRPr="00883B69" w:rsidRDefault="00883B69" w:rsidP="00883B69">
      <w:pPr>
        <w:pStyle w:val="EndNoteBibliography"/>
        <w:spacing w:after="0"/>
        <w:ind w:left="720" w:hanging="720"/>
      </w:pPr>
      <w:r w:rsidRPr="00883B69">
        <w:t xml:space="preserve">Martin, B. R., &amp; Irvine, J. (1989). </w:t>
      </w:r>
      <w:r w:rsidRPr="00883B69">
        <w:rPr>
          <w:i/>
        </w:rPr>
        <w:t>Research Foresight: Priority-Setting in Science</w:t>
      </w:r>
      <w:r w:rsidRPr="00883B69">
        <w:t>. London: Pinter.</w:t>
      </w:r>
    </w:p>
    <w:p w14:paraId="722F278A" w14:textId="77777777" w:rsidR="00883B69" w:rsidRPr="00883B69" w:rsidRDefault="00883B69" w:rsidP="00883B69">
      <w:pPr>
        <w:pStyle w:val="EndNoteBibliography"/>
        <w:spacing w:after="0"/>
        <w:ind w:left="720" w:hanging="720"/>
      </w:pPr>
      <w:r w:rsidRPr="00883B69">
        <w:t xml:space="preserve">Maton, K., &amp; Moore, R. (Eds.). (2010). </w:t>
      </w:r>
      <w:r w:rsidRPr="00883B69">
        <w:rPr>
          <w:i/>
        </w:rPr>
        <w:t>Social realism, knowledge and the sociology of education: coalitions of the mind</w:t>
      </w:r>
      <w:r w:rsidRPr="00883B69">
        <w:t>. London: Continuum.</w:t>
      </w:r>
    </w:p>
    <w:p w14:paraId="02D2CE69" w14:textId="77777777" w:rsidR="00883B69" w:rsidRPr="00883B69" w:rsidRDefault="00883B69" w:rsidP="00883B69">
      <w:pPr>
        <w:pStyle w:val="EndNoteBibliography"/>
        <w:spacing w:after="0"/>
        <w:ind w:left="720" w:hanging="720"/>
      </w:pPr>
      <w:r w:rsidRPr="00883B69">
        <w:t xml:space="preserve">Maxwell, J. A. (2012). </w:t>
      </w:r>
      <w:r w:rsidRPr="00883B69">
        <w:rPr>
          <w:i/>
        </w:rPr>
        <w:t>A realist approach for qualitative research</w:t>
      </w:r>
      <w:r w:rsidRPr="00883B69">
        <w:t>. Thousand Oaks: SAGE.</w:t>
      </w:r>
    </w:p>
    <w:p w14:paraId="720FA8A0" w14:textId="77777777" w:rsidR="00883B69" w:rsidRPr="00883B69" w:rsidRDefault="00883B69" w:rsidP="00883B69">
      <w:pPr>
        <w:pStyle w:val="EndNoteBibliography"/>
        <w:spacing w:after="0"/>
        <w:ind w:left="720" w:hanging="720"/>
      </w:pPr>
      <w:r w:rsidRPr="00883B69">
        <w:t xml:space="preserve">Maxwell, J. A. (2013). </w:t>
      </w:r>
      <w:r w:rsidRPr="00883B69">
        <w:rPr>
          <w:i/>
        </w:rPr>
        <w:t>Qualitative research design: an interactive approach</w:t>
      </w:r>
      <w:r w:rsidRPr="00883B69">
        <w:t xml:space="preserve"> (3rd ed.). Los Angeles: SAGE.</w:t>
      </w:r>
    </w:p>
    <w:p w14:paraId="6ACEB8A3" w14:textId="77777777" w:rsidR="00883B69" w:rsidRPr="00883B69" w:rsidRDefault="00883B69" w:rsidP="00883B69">
      <w:pPr>
        <w:pStyle w:val="EndNoteBibliography"/>
        <w:spacing w:after="0"/>
        <w:ind w:left="720" w:hanging="720"/>
      </w:pPr>
      <w:r w:rsidRPr="00883B69">
        <w:t xml:space="preserve">May, T., &amp; Perry, B. (2013a). Translation, Insulation and Mediation. In P. Benneworth (Ed.), </w:t>
      </w:r>
      <w:r w:rsidRPr="00883B69">
        <w:rPr>
          <w:i/>
        </w:rPr>
        <w:t>University engagement with socially excluded communities</w:t>
      </w:r>
      <w:r w:rsidRPr="00883B69">
        <w:t>. Dordrecht: Springer.</w:t>
      </w:r>
    </w:p>
    <w:p w14:paraId="3E587A19" w14:textId="77777777" w:rsidR="00883B69" w:rsidRPr="00883B69" w:rsidRDefault="00883B69" w:rsidP="00883B69">
      <w:pPr>
        <w:pStyle w:val="EndNoteBibliography"/>
        <w:spacing w:after="0"/>
        <w:ind w:left="720" w:hanging="720"/>
      </w:pPr>
      <w:r w:rsidRPr="00883B69">
        <w:t xml:space="preserve">May, T., &amp; Perry, B. (2013b). Universities, Reflexivity and Critique: Uneasy Parallels in Practice. </w:t>
      </w:r>
      <w:r w:rsidRPr="00883B69">
        <w:rPr>
          <w:i/>
        </w:rPr>
        <w:t>Policy Futures in Education, 11</w:t>
      </w:r>
      <w:r w:rsidRPr="00883B69">
        <w:t>(5), 505-514. doi:10.2304/pfie.2013.11.5.505</w:t>
      </w:r>
    </w:p>
    <w:p w14:paraId="3211F441" w14:textId="77777777" w:rsidR="00883B69" w:rsidRPr="00883B69" w:rsidRDefault="00883B69" w:rsidP="00883B69">
      <w:pPr>
        <w:pStyle w:val="EndNoteBibliography"/>
        <w:spacing w:after="0"/>
        <w:ind w:left="720" w:hanging="720"/>
      </w:pPr>
      <w:r w:rsidRPr="00883B69">
        <w:t xml:space="preserve">May, T., &amp; Perry, B. (2017). Knowledge for just urban sustainability. </w:t>
      </w:r>
      <w:r w:rsidRPr="00883B69">
        <w:rPr>
          <w:i/>
        </w:rPr>
        <w:t>Local Environment, 22</w:t>
      </w:r>
      <w:r w:rsidRPr="00883B69">
        <w:t>(sup1), 23-35. doi:10.1080/13549839.2016.1233527</w:t>
      </w:r>
    </w:p>
    <w:p w14:paraId="25968B67" w14:textId="77777777" w:rsidR="00883B69" w:rsidRPr="00883B69" w:rsidRDefault="00883B69" w:rsidP="00883B69">
      <w:pPr>
        <w:pStyle w:val="EndNoteBibliography"/>
        <w:spacing w:after="0"/>
        <w:ind w:left="720" w:hanging="720"/>
      </w:pPr>
      <w:r w:rsidRPr="00883B69">
        <w:t xml:space="preserve">McNie, E. C. (2007). Reconciling the supply of scientific information with user demands: an analysis of the problem and review of the literature. </w:t>
      </w:r>
      <w:r w:rsidRPr="00883B69">
        <w:rPr>
          <w:i/>
        </w:rPr>
        <w:t>Environmental Science and Policy, 10</w:t>
      </w:r>
      <w:r w:rsidRPr="00883B69">
        <w:t>(1), 17-38. doi:10.1016/j.envsci.2006.10.004</w:t>
      </w:r>
    </w:p>
    <w:p w14:paraId="4D520ADD" w14:textId="77777777" w:rsidR="00883B69" w:rsidRPr="00883B69" w:rsidRDefault="00883B69" w:rsidP="00883B69">
      <w:pPr>
        <w:pStyle w:val="EndNoteBibliography"/>
        <w:spacing w:after="0"/>
        <w:ind w:left="720" w:hanging="720"/>
      </w:pPr>
      <w:r w:rsidRPr="00883B69">
        <w:t xml:space="preserve">McNie, E. C., Parris, A., &amp; Sarewitz, D. (2016). Improving the public value of science: A typology to inform discussion, design and implementation of research. </w:t>
      </w:r>
      <w:r w:rsidRPr="00883B69">
        <w:rPr>
          <w:i/>
        </w:rPr>
        <w:t>Research Policy, 45</w:t>
      </w:r>
      <w:r w:rsidRPr="00883B69">
        <w:t>(4), 884-895. doi:10.1016/j.respol.2016.01.004</w:t>
      </w:r>
    </w:p>
    <w:p w14:paraId="3323FC1B" w14:textId="77777777" w:rsidR="00883B69" w:rsidRPr="00883B69" w:rsidRDefault="00883B69" w:rsidP="00883B69">
      <w:pPr>
        <w:pStyle w:val="EndNoteBibliography"/>
        <w:spacing w:after="0"/>
        <w:ind w:left="720" w:hanging="720"/>
      </w:pPr>
      <w:r w:rsidRPr="00883B69">
        <w:t xml:space="preserve">Meagher, L., Lyall, C., &amp; Nutley, S. (2008). Flows of knowledge, expertise and influence: A method for assessing policy and practice impacts from social science research. </w:t>
      </w:r>
      <w:r w:rsidRPr="00883B69">
        <w:rPr>
          <w:i/>
        </w:rPr>
        <w:t>Research Evaluation, 17</w:t>
      </w:r>
      <w:r w:rsidRPr="00883B69">
        <w:t>(3), 163-173. doi:10.3152/095820208X331720</w:t>
      </w:r>
    </w:p>
    <w:p w14:paraId="5DC33104" w14:textId="77777777" w:rsidR="00883B69" w:rsidRPr="00883B69" w:rsidRDefault="00883B69" w:rsidP="00883B69">
      <w:pPr>
        <w:pStyle w:val="EndNoteBibliography"/>
        <w:spacing w:after="0"/>
        <w:ind w:left="720" w:hanging="720"/>
      </w:pPr>
      <w:r w:rsidRPr="00883B69">
        <w:t xml:space="preserve">Meagher, L., &amp; Martin, U. (2017). Slightly dirty maths: The richly textured mechanisms of impact. </w:t>
      </w:r>
      <w:r w:rsidRPr="00883B69">
        <w:rPr>
          <w:i/>
        </w:rPr>
        <w:t>Research evaluation, 26</w:t>
      </w:r>
      <w:r w:rsidRPr="00883B69">
        <w:t>(1), rvw024-027. doi:10.1093/reseval/rvw024</w:t>
      </w:r>
    </w:p>
    <w:p w14:paraId="36952DC1" w14:textId="77777777" w:rsidR="00883B69" w:rsidRPr="00883B69" w:rsidRDefault="00883B69" w:rsidP="00883B69">
      <w:pPr>
        <w:pStyle w:val="EndNoteBibliography"/>
        <w:spacing w:after="0"/>
        <w:ind w:left="720" w:hanging="720"/>
      </w:pPr>
      <w:r w:rsidRPr="00883B69">
        <w:t xml:space="preserve">Mendoza, P. (2007). Academic Capitalism and Doctoral Student Socialization: A Case Study. </w:t>
      </w:r>
      <w:r w:rsidRPr="00883B69">
        <w:rPr>
          <w:i/>
        </w:rPr>
        <w:t>The Journal of Higher Education, 78</w:t>
      </w:r>
      <w:r w:rsidRPr="00883B69">
        <w:t xml:space="preserve">(1), 71-96. </w:t>
      </w:r>
    </w:p>
    <w:p w14:paraId="65EA8B3F" w14:textId="77777777" w:rsidR="00883B69" w:rsidRPr="00883B69" w:rsidRDefault="00883B69" w:rsidP="00883B69">
      <w:pPr>
        <w:pStyle w:val="EndNoteBibliography"/>
        <w:spacing w:after="0"/>
        <w:ind w:left="720" w:hanging="720"/>
      </w:pPr>
      <w:r w:rsidRPr="00883B69">
        <w:t xml:space="preserve">Metcalfe, J. S. (2010). University and Business Relations: Connecting the Knowledge Economy. </w:t>
      </w:r>
      <w:r w:rsidRPr="00883B69">
        <w:rPr>
          <w:i/>
        </w:rPr>
        <w:t>Minerva: A Review of Science, Learning and Policy, 48</w:t>
      </w:r>
      <w:r w:rsidRPr="00883B69">
        <w:t>(1), 5-33. doi:10.1007/s11024-010-9140-4</w:t>
      </w:r>
    </w:p>
    <w:p w14:paraId="36C5AD04" w14:textId="77777777" w:rsidR="00883B69" w:rsidRPr="00883B69" w:rsidRDefault="00883B69" w:rsidP="00883B69">
      <w:pPr>
        <w:pStyle w:val="EndNoteBibliography"/>
        <w:spacing w:after="0"/>
        <w:ind w:left="720" w:hanging="720"/>
      </w:pPr>
      <w:r w:rsidRPr="00883B69">
        <w:t xml:space="preserve">Meyer, J. W. (1977). The Effects of Education as an Institution. </w:t>
      </w:r>
      <w:r w:rsidRPr="00883B69">
        <w:rPr>
          <w:i/>
        </w:rPr>
        <w:t>American Journal of Sociology, 83</w:t>
      </w:r>
      <w:r w:rsidRPr="00883B69">
        <w:t>(1), 55-77. doi:10.1086/226506</w:t>
      </w:r>
    </w:p>
    <w:p w14:paraId="7376455B" w14:textId="77777777" w:rsidR="00883B69" w:rsidRPr="00883B69" w:rsidRDefault="00883B69" w:rsidP="00883B69">
      <w:pPr>
        <w:pStyle w:val="EndNoteBibliography"/>
        <w:spacing w:after="0"/>
        <w:ind w:left="720" w:hanging="720"/>
      </w:pPr>
      <w:r w:rsidRPr="00883B69">
        <w:t xml:space="preserve">Meyer, J. W., &amp; Rowan, B. (1977). Institutionalized Organizations: Formal Structure as Myth and Ceremony. </w:t>
      </w:r>
      <w:r w:rsidRPr="00883B69">
        <w:rPr>
          <w:i/>
        </w:rPr>
        <w:t>American Journal of Sociology, 83</w:t>
      </w:r>
      <w:r w:rsidRPr="00883B69">
        <w:t>(2), 340-363. doi:10.1086/226550</w:t>
      </w:r>
    </w:p>
    <w:p w14:paraId="49A3F1CB" w14:textId="77777777" w:rsidR="00883B69" w:rsidRPr="00883B69" w:rsidRDefault="00883B69" w:rsidP="00883B69">
      <w:pPr>
        <w:pStyle w:val="EndNoteBibliography"/>
        <w:spacing w:after="0"/>
        <w:ind w:left="720" w:hanging="720"/>
      </w:pPr>
      <w:r w:rsidRPr="00883B69">
        <w:t xml:space="preserve">Meyer, M. (2010). The Rise of the Knowledge Broker. </w:t>
      </w:r>
      <w:r w:rsidRPr="00883B69">
        <w:rPr>
          <w:i/>
        </w:rPr>
        <w:t>Science Communication, 32</w:t>
      </w:r>
      <w:r w:rsidRPr="00883B69">
        <w:t>(1), 118-127. doi:10.1177/1075547009359797</w:t>
      </w:r>
    </w:p>
    <w:p w14:paraId="12DDB237" w14:textId="77777777" w:rsidR="00883B69" w:rsidRPr="00883B69" w:rsidRDefault="00883B69" w:rsidP="00883B69">
      <w:pPr>
        <w:pStyle w:val="EndNoteBibliography"/>
        <w:spacing w:after="0"/>
        <w:ind w:left="720" w:hanging="720"/>
      </w:pPr>
      <w:r w:rsidRPr="00883B69">
        <w:t xml:space="preserve">Miles, M. B., &amp; Huberman, M. A. (1994). </w:t>
      </w:r>
      <w:r w:rsidRPr="00883B69">
        <w:rPr>
          <w:i/>
        </w:rPr>
        <w:t>Qualitative data analysis: an expanded sourcebook</w:t>
      </w:r>
      <w:r w:rsidRPr="00883B69">
        <w:t xml:space="preserve"> (2nd ed.). London: Sage.</w:t>
      </w:r>
    </w:p>
    <w:p w14:paraId="57D375BD" w14:textId="77777777" w:rsidR="00883B69" w:rsidRPr="00883B69" w:rsidRDefault="00883B69" w:rsidP="00883B69">
      <w:pPr>
        <w:pStyle w:val="EndNoteBibliography"/>
        <w:spacing w:after="0"/>
        <w:ind w:left="720" w:hanging="720"/>
      </w:pPr>
      <w:r w:rsidRPr="00883B69">
        <w:t xml:space="preserve">Molas-Gallart, J., &amp; Tang, P. (2011). Tracing ‘ productive interactions’ to identify social impacts: an example from the social sciences. </w:t>
      </w:r>
      <w:r w:rsidRPr="00883B69">
        <w:rPr>
          <w:i/>
        </w:rPr>
        <w:t>Research Evaluation, 20</w:t>
      </w:r>
      <w:r w:rsidRPr="00883B69">
        <w:t>(3), 219-226. doi:10.3152/095820211X12941371876706</w:t>
      </w:r>
    </w:p>
    <w:p w14:paraId="74DF23D5" w14:textId="77777777" w:rsidR="00883B69" w:rsidRPr="00883B69" w:rsidRDefault="00883B69" w:rsidP="00883B69">
      <w:pPr>
        <w:pStyle w:val="EndNoteBibliography"/>
        <w:spacing w:after="0"/>
        <w:ind w:left="720" w:hanging="720"/>
      </w:pPr>
      <w:r w:rsidRPr="00883B69">
        <w:t xml:space="preserve">Moore, R. (2013). </w:t>
      </w:r>
      <w:r w:rsidRPr="00883B69">
        <w:rPr>
          <w:i/>
        </w:rPr>
        <w:t>Basil Bernstein: the thinker and the field</w:t>
      </w:r>
      <w:r w:rsidRPr="00883B69">
        <w:t>. London: Routledge.</w:t>
      </w:r>
    </w:p>
    <w:p w14:paraId="123903D4" w14:textId="77777777" w:rsidR="00883B69" w:rsidRPr="00883B69" w:rsidRDefault="00883B69" w:rsidP="00883B69">
      <w:pPr>
        <w:pStyle w:val="EndNoteBibliography"/>
        <w:spacing w:after="0"/>
        <w:ind w:left="720" w:hanging="720"/>
      </w:pPr>
      <w:r w:rsidRPr="00883B69">
        <w:t xml:space="preserve">Moreno-Casbas, T. (2016). Review: Impact case studies submitted to REF 2014: The hidden impact of nursing research. </w:t>
      </w:r>
      <w:r w:rsidRPr="00883B69">
        <w:rPr>
          <w:i/>
        </w:rPr>
        <w:t>Journal of Research in Nursing, 21</w:t>
      </w:r>
      <w:r w:rsidRPr="00883B69">
        <w:t>(4), 269-270. doi:10.1177/1744987116646248</w:t>
      </w:r>
    </w:p>
    <w:p w14:paraId="4B1D0BF5" w14:textId="77777777" w:rsidR="00883B69" w:rsidRPr="00883B69" w:rsidRDefault="00883B69" w:rsidP="00883B69">
      <w:pPr>
        <w:pStyle w:val="EndNoteBibliography"/>
        <w:spacing w:after="0"/>
        <w:ind w:left="720" w:hanging="720"/>
      </w:pPr>
      <w:r w:rsidRPr="00883B69">
        <w:t xml:space="preserve">Morgan Jones, M., Manville, C., &amp; Chataway, J. (2017). Learning from the UK’s research impact assessment exercise: a case study of a retrospective impact assessment exercise and questions for the future. </w:t>
      </w:r>
      <w:r w:rsidRPr="00883B69">
        <w:rPr>
          <w:i/>
        </w:rPr>
        <w:t>Journal of Technology Transfer</w:t>
      </w:r>
      <w:r w:rsidRPr="00883B69">
        <w:t>, 1-25. doi:10.1007/s10961-017-9608-6</w:t>
      </w:r>
    </w:p>
    <w:p w14:paraId="61EAAC32" w14:textId="77777777" w:rsidR="00883B69" w:rsidRPr="00883B69" w:rsidRDefault="00883B69" w:rsidP="00883B69">
      <w:pPr>
        <w:pStyle w:val="EndNoteBibliography"/>
        <w:spacing w:after="0"/>
        <w:ind w:left="720" w:hanging="720"/>
      </w:pPr>
      <w:r w:rsidRPr="00883B69">
        <w:t xml:space="preserve">Morton, S. (2015a). Creating research impact: the roles of research users in interactive research mobilisation. </w:t>
      </w:r>
      <w:r w:rsidRPr="00883B69">
        <w:rPr>
          <w:i/>
        </w:rPr>
        <w:t>Evidence &amp; Policy, 11</w:t>
      </w:r>
      <w:r w:rsidRPr="00883B69">
        <w:t>(1), 35-55. doi:10.1332/174426514x13976529631798</w:t>
      </w:r>
    </w:p>
    <w:p w14:paraId="6DE8EE95" w14:textId="77777777" w:rsidR="00883B69" w:rsidRPr="00883B69" w:rsidRDefault="00883B69" w:rsidP="00883B69">
      <w:pPr>
        <w:pStyle w:val="EndNoteBibliography"/>
        <w:spacing w:after="0"/>
        <w:ind w:left="720" w:hanging="720"/>
      </w:pPr>
      <w:r w:rsidRPr="00883B69">
        <w:t xml:space="preserve">Morton, S. (2015b). Progressing research impact assessment: A 'contributions' approach. </w:t>
      </w:r>
      <w:r w:rsidRPr="00883B69">
        <w:rPr>
          <w:i/>
        </w:rPr>
        <w:t>Research Evaluation, 24</w:t>
      </w:r>
      <w:r w:rsidRPr="00883B69">
        <w:t>(4), 405-419. doi:10.1093/reseval/rvv016</w:t>
      </w:r>
    </w:p>
    <w:p w14:paraId="1D53C130" w14:textId="77777777" w:rsidR="00883B69" w:rsidRPr="00883B69" w:rsidRDefault="00883B69" w:rsidP="00883B69">
      <w:pPr>
        <w:pStyle w:val="EndNoteBibliography"/>
        <w:spacing w:after="0"/>
        <w:ind w:left="720" w:hanging="720"/>
      </w:pPr>
      <w:r w:rsidRPr="00883B69">
        <w:t xml:space="preserve">Muellerleile, C., &amp; Lewis, N. (2019). Re-assembling knowledge production with(out) the university. </w:t>
      </w:r>
      <w:r w:rsidRPr="00883B69">
        <w:rPr>
          <w:i/>
        </w:rPr>
        <w:t>Globalisation, Societies and Education</w:t>
      </w:r>
      <w:r w:rsidRPr="00883B69">
        <w:t>, 1-10. doi:10.1080/14767724.2019.1602352</w:t>
      </w:r>
    </w:p>
    <w:p w14:paraId="563A66C5" w14:textId="77777777" w:rsidR="00883B69" w:rsidRPr="00883B69" w:rsidRDefault="00883B69" w:rsidP="00883B69">
      <w:pPr>
        <w:pStyle w:val="EndNoteBibliography"/>
        <w:spacing w:after="0"/>
        <w:ind w:left="720" w:hanging="720"/>
      </w:pPr>
      <w:r w:rsidRPr="00883B69">
        <w:t xml:space="preserve">Muller, J. (2004). Introduction: The possibilities of Basil Bernstein. In J. Muller, B. Davies, &amp; A. Morais (Eds.), </w:t>
      </w:r>
      <w:r w:rsidRPr="00883B69">
        <w:rPr>
          <w:i/>
        </w:rPr>
        <w:t>Reading Bernstein, researching Bernstein</w:t>
      </w:r>
      <w:r w:rsidRPr="00883B69">
        <w:t>. London: RoutledgeFalmer.</w:t>
      </w:r>
    </w:p>
    <w:p w14:paraId="2EB3BA48" w14:textId="754FDA2E" w:rsidR="00883B69" w:rsidRPr="00883B69" w:rsidRDefault="00883B69" w:rsidP="00883B69">
      <w:pPr>
        <w:pStyle w:val="EndNoteBibliography"/>
        <w:spacing w:after="0"/>
        <w:ind w:left="720" w:hanging="720"/>
      </w:pPr>
      <w:r w:rsidRPr="00883B69">
        <w:t xml:space="preserve">National Committee of Inquiry into Higher Education. (1997). </w:t>
      </w:r>
      <w:r w:rsidRPr="00883B69">
        <w:rPr>
          <w:i/>
        </w:rPr>
        <w:t>Higher Education in the Learning Society. The Dearing Report</w:t>
      </w:r>
      <w:r w:rsidRPr="00883B69">
        <w:t xml:space="preserve">. London: HMSO Retrieved from </w:t>
      </w:r>
      <w:hyperlink r:id="rId36" w:history="1">
        <w:r w:rsidRPr="00883B69">
          <w:rPr>
            <w:rStyle w:val="Hyperlink"/>
          </w:rPr>
          <w:t>http://www.educationengland.org.uk/documents/dearing1997/dearing1997.html</w:t>
        </w:r>
      </w:hyperlink>
    </w:p>
    <w:p w14:paraId="465271B3" w14:textId="77777777" w:rsidR="00883B69" w:rsidRPr="00883B69" w:rsidRDefault="00883B69" w:rsidP="00883B69">
      <w:pPr>
        <w:pStyle w:val="EndNoteBibliography"/>
        <w:spacing w:after="0"/>
        <w:ind w:left="720" w:hanging="720"/>
      </w:pPr>
      <w:r w:rsidRPr="00883B69">
        <w:t xml:space="preserve">Nelles, J., &amp; Vorley, T. (2011). Entrepreneurial Architecture: A Blueprint for Entrepreneurial Universities. </w:t>
      </w:r>
      <w:r w:rsidRPr="00883B69">
        <w:rPr>
          <w:i/>
        </w:rPr>
        <w:t>Canadian Journal of Administrative Sciences / Revue Canadienne des Sciences de l'Administration, 28</w:t>
      </w:r>
      <w:r w:rsidRPr="00883B69">
        <w:t>(3), 341-353. doi:10.1002/cjas.186</w:t>
      </w:r>
    </w:p>
    <w:p w14:paraId="5AB29440" w14:textId="77777777" w:rsidR="00883B69" w:rsidRPr="00883B69" w:rsidRDefault="00883B69" w:rsidP="00883B69">
      <w:pPr>
        <w:pStyle w:val="EndNoteBibliography"/>
        <w:spacing w:after="0"/>
        <w:ind w:left="720" w:hanging="720"/>
      </w:pPr>
      <w:r w:rsidRPr="00883B69">
        <w:t>Nickolai, D. H., Hoffman, S. G., &amp; Trautner, M. N. (2012). Can a Knowledge Sanctuary also be an Economic Engine? The Marketization of Higher Education as Institutional Boundary Work. In (Vol. 6, pp. 205-218). Oxford, UK.</w:t>
      </w:r>
    </w:p>
    <w:p w14:paraId="41F8B3B3" w14:textId="77777777" w:rsidR="00883B69" w:rsidRPr="00883B69" w:rsidRDefault="00883B69" w:rsidP="00883B69">
      <w:pPr>
        <w:pStyle w:val="EndNoteBibliography"/>
        <w:spacing w:after="0"/>
        <w:ind w:left="720" w:hanging="720"/>
      </w:pPr>
      <w:r w:rsidRPr="00883B69">
        <w:t xml:space="preserve">North, D. C. (1990). </w:t>
      </w:r>
      <w:r w:rsidRPr="00883B69">
        <w:rPr>
          <w:i/>
        </w:rPr>
        <w:t>Institutions, Institutional Change and Economic Performance</w:t>
      </w:r>
      <w:r w:rsidRPr="00883B69">
        <w:t>. Cambridge: Cambridge University Press.</w:t>
      </w:r>
    </w:p>
    <w:p w14:paraId="47BAA312" w14:textId="77777777" w:rsidR="00883B69" w:rsidRPr="00883B69" w:rsidRDefault="00883B69" w:rsidP="00883B69">
      <w:pPr>
        <w:pStyle w:val="EndNoteBibliography"/>
        <w:spacing w:after="0"/>
        <w:ind w:left="720" w:hanging="720"/>
      </w:pPr>
      <w:r w:rsidRPr="00883B69">
        <w:t xml:space="preserve">North, P. (2013). Knowledge exchange, 'impact' and engagement: Exploring low-carbon urban transitions. </w:t>
      </w:r>
      <w:r w:rsidRPr="00883B69">
        <w:rPr>
          <w:i/>
        </w:rPr>
        <w:t>Geographical Journal, 179</w:t>
      </w:r>
      <w:r w:rsidRPr="00883B69">
        <w:t>(3), 211-220. doi:10.1111/j.1475-4959.2012.00488.x</w:t>
      </w:r>
    </w:p>
    <w:p w14:paraId="77954FF8" w14:textId="77777777" w:rsidR="00883B69" w:rsidRPr="00883B69" w:rsidRDefault="00883B69" w:rsidP="00883B69">
      <w:pPr>
        <w:pStyle w:val="EndNoteBibliography"/>
        <w:spacing w:after="0"/>
        <w:ind w:left="720" w:hanging="720"/>
      </w:pPr>
      <w:r w:rsidRPr="00883B69">
        <w:t xml:space="preserve">Novick, G. (2008). Is there a bias against telephone interviews in qualitative research? </w:t>
      </w:r>
      <w:r w:rsidRPr="00883B69">
        <w:rPr>
          <w:i/>
        </w:rPr>
        <w:t>Research in Nursing &amp; Health, 31</w:t>
      </w:r>
      <w:r w:rsidRPr="00883B69">
        <w:t>(4), 391-398. doi:10.1002/nur.20259</w:t>
      </w:r>
    </w:p>
    <w:p w14:paraId="730A766C" w14:textId="77777777" w:rsidR="00883B69" w:rsidRPr="00883B69" w:rsidRDefault="00883B69" w:rsidP="00883B69">
      <w:pPr>
        <w:pStyle w:val="EndNoteBibliography"/>
        <w:spacing w:after="0"/>
        <w:ind w:left="720" w:hanging="720"/>
      </w:pPr>
      <w:r w:rsidRPr="00883B69">
        <w:t xml:space="preserve">Nowotny, H. (2005). The Increase of Complexity and its Reduction. </w:t>
      </w:r>
      <w:r w:rsidRPr="00883B69">
        <w:rPr>
          <w:i/>
        </w:rPr>
        <w:t>Theory, Culture &amp; Society, 22</w:t>
      </w:r>
      <w:r w:rsidRPr="00883B69">
        <w:t>(5), 15-31. doi:10.1177/0263276405057189</w:t>
      </w:r>
    </w:p>
    <w:p w14:paraId="5DA4EEDA" w14:textId="77777777" w:rsidR="00883B69" w:rsidRPr="00883B69" w:rsidRDefault="00883B69" w:rsidP="00883B69">
      <w:pPr>
        <w:pStyle w:val="EndNoteBibliography"/>
        <w:spacing w:after="0"/>
        <w:ind w:left="720" w:hanging="720"/>
      </w:pPr>
      <w:r w:rsidRPr="00883B69">
        <w:t xml:space="preserve">Nowotny, H., Scott, P., &amp; Gibbons, M. (2003). Introduction: 'Mode 2' revisited: the new production of knowledge. </w:t>
      </w:r>
      <w:r w:rsidRPr="00883B69">
        <w:rPr>
          <w:i/>
        </w:rPr>
        <w:t>Minerva, xli</w:t>
      </w:r>
      <w:r w:rsidRPr="00883B69">
        <w:t xml:space="preserve">(3), 179-194. </w:t>
      </w:r>
    </w:p>
    <w:p w14:paraId="7EF5B700" w14:textId="77777777" w:rsidR="00883B69" w:rsidRPr="00883B69" w:rsidRDefault="00883B69" w:rsidP="00883B69">
      <w:pPr>
        <w:pStyle w:val="EndNoteBibliography"/>
        <w:spacing w:after="0"/>
        <w:ind w:left="720" w:hanging="720"/>
      </w:pPr>
      <w:r w:rsidRPr="00883B69">
        <w:t xml:space="preserve">Nyhagen, G., &amp; Baschung, L. (2013). New organisational structures and the transformation of academic work. </w:t>
      </w:r>
      <w:r w:rsidRPr="00883B69">
        <w:rPr>
          <w:i/>
        </w:rPr>
        <w:t>High Educ, 66</w:t>
      </w:r>
      <w:r w:rsidRPr="00883B69">
        <w:t>(4), 409-423. doi:10.1007/s10734-013-9612-1</w:t>
      </w:r>
    </w:p>
    <w:p w14:paraId="0A9CA6F6" w14:textId="77777777" w:rsidR="00883B69" w:rsidRPr="00883B69" w:rsidRDefault="00883B69" w:rsidP="00883B69">
      <w:pPr>
        <w:pStyle w:val="EndNoteBibliography"/>
        <w:spacing w:after="0"/>
        <w:ind w:left="720" w:hanging="720"/>
      </w:pPr>
      <w:r w:rsidRPr="00883B69">
        <w:t xml:space="preserve">Oancea, A., Florez Petour, T., &amp; Atkinson, J. (2017). Qualitative network analysis tools for the configurative articulation of cultural value and impact from research. </w:t>
      </w:r>
      <w:r w:rsidRPr="00883B69">
        <w:rPr>
          <w:i/>
        </w:rPr>
        <w:t>Research Evaluation, 26</w:t>
      </w:r>
      <w:r w:rsidRPr="00883B69">
        <w:t>(4), 302-315. doi:10.1093/reseval/rvx014</w:t>
      </w:r>
    </w:p>
    <w:p w14:paraId="5847EE87" w14:textId="13721A37" w:rsidR="00883B69" w:rsidRPr="00883B69" w:rsidRDefault="00883B69" w:rsidP="00883B69">
      <w:pPr>
        <w:pStyle w:val="EndNoteBibliography"/>
        <w:spacing w:after="0"/>
        <w:ind w:left="720" w:hanging="720"/>
      </w:pPr>
      <w:r w:rsidRPr="00883B69">
        <w:t xml:space="preserve">Office of Science and Technology. (1993). </w:t>
      </w:r>
      <w:r w:rsidRPr="00883B69">
        <w:rPr>
          <w:i/>
        </w:rPr>
        <w:t>Realising our potential: a strategy for science, engineering and technology</w:t>
      </w:r>
      <w:r w:rsidRPr="00883B69">
        <w:t xml:space="preserve">. Retrieved from </w:t>
      </w:r>
      <w:hyperlink r:id="rId37" w:history="1">
        <w:r w:rsidRPr="00883B69">
          <w:rPr>
            <w:rStyle w:val="Hyperlink"/>
          </w:rPr>
          <w:t>https://www.gov.uk/government/publications/realising-our-potential-a-strategy-for-science-engineering-and-technology</w:t>
        </w:r>
      </w:hyperlink>
    </w:p>
    <w:p w14:paraId="44D9D795" w14:textId="77777777" w:rsidR="00883B69" w:rsidRPr="00883B69" w:rsidRDefault="00883B69" w:rsidP="00883B69">
      <w:pPr>
        <w:pStyle w:val="EndNoteBibliography"/>
        <w:spacing w:after="0"/>
        <w:ind w:left="720" w:hanging="720"/>
      </w:pPr>
      <w:r w:rsidRPr="00883B69">
        <w:t xml:space="preserve">Olssen, M. (2011). The strange death of the liberal university: Research assessments and the impact of research. In </w:t>
      </w:r>
      <w:r w:rsidRPr="00883B69">
        <w:rPr>
          <w:i/>
        </w:rPr>
        <w:t>Handbook on Globalization and Higher Education</w:t>
      </w:r>
      <w:r w:rsidRPr="00883B69">
        <w:t xml:space="preserve"> (pp. 360-383).</w:t>
      </w:r>
    </w:p>
    <w:p w14:paraId="6F2F94DE" w14:textId="77777777" w:rsidR="00883B69" w:rsidRPr="00883B69" w:rsidRDefault="00883B69" w:rsidP="00883B69">
      <w:pPr>
        <w:pStyle w:val="EndNoteBibliography"/>
        <w:spacing w:after="0"/>
        <w:ind w:left="720" w:hanging="720"/>
      </w:pPr>
      <w:r w:rsidRPr="00883B69">
        <w:t xml:space="preserve">Ovseiko, P. V., Oancea, A., &amp; Buchan, A. M. (2012). Assessing research impact in academic clinical medicine: a study using Research Excellence Framework pilot impact indicators. </w:t>
      </w:r>
      <w:r w:rsidRPr="00883B69">
        <w:rPr>
          <w:i/>
        </w:rPr>
        <w:t>BMC health services research, 12</w:t>
      </w:r>
      <w:r w:rsidRPr="00883B69">
        <w:t>, 478. doi:10.1186/1472-6963-12-478</w:t>
      </w:r>
    </w:p>
    <w:p w14:paraId="3361A125" w14:textId="77777777" w:rsidR="00883B69" w:rsidRPr="00883B69" w:rsidRDefault="00883B69" w:rsidP="00883B69">
      <w:pPr>
        <w:pStyle w:val="EndNoteBibliography"/>
        <w:spacing w:after="0"/>
        <w:ind w:left="720" w:hanging="720"/>
      </w:pPr>
      <w:r w:rsidRPr="00883B69">
        <w:t xml:space="preserve">O’Connell, C. (2018). Examining differentiation in academic responses to research impact policy: mediating factors in the context of educational research. </w:t>
      </w:r>
      <w:r w:rsidRPr="00883B69">
        <w:rPr>
          <w:i/>
        </w:rPr>
        <w:t>Studies in Higher Education</w:t>
      </w:r>
      <w:r w:rsidRPr="00883B69">
        <w:t>, 1-16. doi:10.1080/03075079.2018.1447556</w:t>
      </w:r>
    </w:p>
    <w:p w14:paraId="32AB1F79" w14:textId="77777777" w:rsidR="00883B69" w:rsidRPr="00883B69" w:rsidRDefault="00883B69" w:rsidP="00883B69">
      <w:pPr>
        <w:pStyle w:val="EndNoteBibliography"/>
        <w:spacing w:after="0"/>
        <w:ind w:left="720" w:hanging="720"/>
      </w:pPr>
      <w:r w:rsidRPr="00883B69">
        <w:t xml:space="preserve">Papatsiba, V. (2013a). Policy Goals of European Integration and Competitiveness in Academic Collaborations: An Examination of Joint Master's and Erasmus Mundus Programmes. </w:t>
      </w:r>
      <w:r w:rsidRPr="00883B69">
        <w:rPr>
          <w:i/>
        </w:rPr>
        <w:t>Higher Education Policy, 27</w:t>
      </w:r>
      <w:r w:rsidRPr="00883B69">
        <w:t>(1), 43-64. doi:10.1057/hep.2013.13</w:t>
      </w:r>
    </w:p>
    <w:p w14:paraId="09681EAB" w14:textId="77777777" w:rsidR="00883B69" w:rsidRPr="00883B69" w:rsidRDefault="00883B69" w:rsidP="00883B69">
      <w:pPr>
        <w:pStyle w:val="EndNoteBibliography"/>
        <w:spacing w:after="0"/>
        <w:ind w:left="720" w:hanging="720"/>
      </w:pPr>
      <w:r w:rsidRPr="00883B69">
        <w:t xml:space="preserve">Papatsiba, V. (2013b). The Idea of Collaboration in the Academy: Its Epistemic and Social Potentials and Risks for Knowledge Generation. </w:t>
      </w:r>
      <w:r w:rsidRPr="00883B69">
        <w:rPr>
          <w:i/>
        </w:rPr>
        <w:t>Policy Futures in Education, 11</w:t>
      </w:r>
      <w:r w:rsidRPr="00883B69">
        <w:t>(4), 436-448. doi:10.2304/pfie.2013.11.4.436</w:t>
      </w:r>
    </w:p>
    <w:p w14:paraId="2B3A7426" w14:textId="77777777" w:rsidR="00883B69" w:rsidRPr="00883B69" w:rsidRDefault="00883B69" w:rsidP="00883B69">
      <w:pPr>
        <w:pStyle w:val="EndNoteBibliography"/>
        <w:spacing w:after="0"/>
        <w:ind w:left="720" w:hanging="720"/>
      </w:pPr>
      <w:r w:rsidRPr="00883B69">
        <w:t xml:space="preserve">Papatsiba, V., &amp; Cohen, E. (2019). Institutional hierarchies and research impact: new academic currencies, capital and position-taking in UK higher education. </w:t>
      </w:r>
      <w:r w:rsidRPr="00883B69">
        <w:rPr>
          <w:i/>
        </w:rPr>
        <w:t>British Journal of Sociology of Education</w:t>
      </w:r>
      <w:r w:rsidRPr="00883B69">
        <w:t>, 1-19. doi:10.1080/01425692.2019.1676700</w:t>
      </w:r>
    </w:p>
    <w:p w14:paraId="40C7CEAB" w14:textId="77777777" w:rsidR="00883B69" w:rsidRPr="00883B69" w:rsidRDefault="00883B69" w:rsidP="00883B69">
      <w:pPr>
        <w:pStyle w:val="EndNoteBibliography"/>
        <w:spacing w:after="0"/>
        <w:ind w:left="720" w:hanging="720"/>
      </w:pPr>
      <w:r w:rsidRPr="00883B69">
        <w:t xml:space="preserve">Parsons, T. (1967). </w:t>
      </w:r>
      <w:r w:rsidRPr="00883B69">
        <w:rPr>
          <w:i/>
        </w:rPr>
        <w:t>Sociological theory and modern society</w:t>
      </w:r>
      <w:r w:rsidRPr="00883B69">
        <w:t>. New York: New York Free Press.</w:t>
      </w:r>
    </w:p>
    <w:p w14:paraId="3FED43FB" w14:textId="77777777" w:rsidR="00883B69" w:rsidRPr="00883B69" w:rsidRDefault="00883B69" w:rsidP="00883B69">
      <w:pPr>
        <w:pStyle w:val="EndNoteBibliography"/>
        <w:spacing w:after="0"/>
        <w:ind w:left="720" w:hanging="720"/>
      </w:pPr>
      <w:r w:rsidRPr="00883B69">
        <w:t xml:space="preserve">Parsons, T., &amp; Platt, G. M. (1973). </w:t>
      </w:r>
      <w:r w:rsidRPr="00883B69">
        <w:rPr>
          <w:i/>
        </w:rPr>
        <w:t>The American university</w:t>
      </w:r>
      <w:r w:rsidRPr="00883B69">
        <w:t>. Cambridge, Mass.: Harvard University Press.</w:t>
      </w:r>
    </w:p>
    <w:p w14:paraId="6464F1FF" w14:textId="77777777" w:rsidR="00883B69" w:rsidRPr="00883B69" w:rsidRDefault="00883B69" w:rsidP="00883B69">
      <w:pPr>
        <w:pStyle w:val="EndNoteBibliography"/>
        <w:spacing w:after="0"/>
        <w:ind w:left="720" w:hanging="720"/>
      </w:pPr>
      <w:r w:rsidRPr="00883B69">
        <w:t xml:space="preserve">Pavitt, K. (1998). The social shaping of the national science base. </w:t>
      </w:r>
      <w:r w:rsidRPr="00883B69">
        <w:rPr>
          <w:i/>
        </w:rPr>
        <w:t>Research Policy, 27</w:t>
      </w:r>
      <w:r w:rsidRPr="00883B69">
        <w:t>(8), 793-805. doi:10.1016/S0048-7333(98)00091-2</w:t>
      </w:r>
    </w:p>
    <w:p w14:paraId="3D3974F4" w14:textId="77777777" w:rsidR="00883B69" w:rsidRPr="00883B69" w:rsidRDefault="00883B69" w:rsidP="00883B69">
      <w:pPr>
        <w:pStyle w:val="EndNoteBibliography"/>
        <w:spacing w:after="0"/>
        <w:ind w:left="720" w:hanging="720"/>
      </w:pPr>
      <w:r w:rsidRPr="00883B69">
        <w:t xml:space="preserve">Pawley, A. L. (2012). Engineering faculty drawing the line: a taxonomy of boundary work in academic engineering. </w:t>
      </w:r>
      <w:r w:rsidRPr="00883B69">
        <w:rPr>
          <w:i/>
        </w:rPr>
        <w:t>Engineering Studies, 4</w:t>
      </w:r>
      <w:r w:rsidRPr="00883B69">
        <w:t>(2), 145-169. doi:10.1080/19378629.2012.687000</w:t>
      </w:r>
    </w:p>
    <w:p w14:paraId="350074AA" w14:textId="77777777" w:rsidR="00883B69" w:rsidRPr="00883B69" w:rsidRDefault="00883B69" w:rsidP="00883B69">
      <w:pPr>
        <w:pStyle w:val="EndNoteBibliography"/>
        <w:spacing w:after="0"/>
        <w:ind w:left="720" w:hanging="720"/>
      </w:pPr>
      <w:r w:rsidRPr="00883B69">
        <w:t xml:space="preserve">Perkin, H. (1984). The Historical Perspective. In B. R. Clark (Ed.), </w:t>
      </w:r>
      <w:r w:rsidRPr="00883B69">
        <w:rPr>
          <w:i/>
        </w:rPr>
        <w:t>Perspectives on higher education: eight disciplinary and comparative views</w:t>
      </w:r>
      <w:r w:rsidRPr="00883B69">
        <w:t>. London: University of California Press.</w:t>
      </w:r>
    </w:p>
    <w:p w14:paraId="17D6371E" w14:textId="77777777" w:rsidR="00883B69" w:rsidRPr="00883B69" w:rsidRDefault="00883B69" w:rsidP="00883B69">
      <w:pPr>
        <w:pStyle w:val="EndNoteBibliography"/>
        <w:spacing w:after="0"/>
        <w:ind w:left="720" w:hanging="720"/>
      </w:pPr>
      <w:r w:rsidRPr="00883B69">
        <w:t xml:space="preserve">Perkin, H. (1987). The Academic Profession in the United Kingdom. In B. R. Clark (Ed.), </w:t>
      </w:r>
      <w:r w:rsidRPr="00883B69">
        <w:rPr>
          <w:i/>
        </w:rPr>
        <w:t>The  Academic Profession : National, Disciplinary, and Institutional Settings</w:t>
      </w:r>
      <w:r w:rsidRPr="00883B69">
        <w:t>. London: University of California Press.</w:t>
      </w:r>
    </w:p>
    <w:p w14:paraId="45C6C644" w14:textId="77777777" w:rsidR="00883B69" w:rsidRPr="00883B69" w:rsidRDefault="00883B69" w:rsidP="00883B69">
      <w:pPr>
        <w:pStyle w:val="EndNoteBibliography"/>
        <w:spacing w:after="0"/>
        <w:ind w:left="720" w:hanging="720"/>
      </w:pPr>
      <w:r w:rsidRPr="00883B69">
        <w:t xml:space="preserve">Perkmann, M., Tartari, V., McKelvey, M., Autio, E., Brostrom, A., D'Este, P., . . . Sobrero, M. (2013). Academic engagement and commercialisation: A review of the literature on university-industry relations. </w:t>
      </w:r>
      <w:r w:rsidRPr="00883B69">
        <w:rPr>
          <w:i/>
        </w:rPr>
        <w:t>Research Policy, 42</w:t>
      </w:r>
      <w:r w:rsidRPr="00883B69">
        <w:t>(2), 423-442. doi:10.1016/j.respol.2012.09.007</w:t>
      </w:r>
    </w:p>
    <w:p w14:paraId="29B9D10A" w14:textId="77777777" w:rsidR="00883B69" w:rsidRPr="00883B69" w:rsidRDefault="00883B69" w:rsidP="00883B69">
      <w:pPr>
        <w:pStyle w:val="EndNoteBibliography"/>
        <w:spacing w:after="0"/>
        <w:ind w:left="720" w:hanging="720"/>
      </w:pPr>
      <w:r w:rsidRPr="00883B69">
        <w:t xml:space="preserve">Pettigrew, A., &amp; Starkey, K. (2016). From the guest editors: The legitimacy and impact of business schools-key issues and a research agenda. </w:t>
      </w:r>
      <w:r w:rsidRPr="00883B69">
        <w:rPr>
          <w:i/>
        </w:rPr>
        <w:t>Academy of Management Learning and Education, 15</w:t>
      </w:r>
      <w:r w:rsidRPr="00883B69">
        <w:t>(4), 649-664. doi:10.5465/amle.2016.0296</w:t>
      </w:r>
    </w:p>
    <w:p w14:paraId="6F929A96" w14:textId="77777777" w:rsidR="00883B69" w:rsidRPr="00883B69" w:rsidRDefault="00883B69" w:rsidP="00883B69">
      <w:pPr>
        <w:pStyle w:val="EndNoteBibliography"/>
        <w:spacing w:after="0"/>
        <w:ind w:left="720" w:hanging="720"/>
      </w:pPr>
      <w:r w:rsidRPr="00883B69">
        <w:t xml:space="preserve">Pinheiro, R., Benneworth, P., &amp; Jones, G. A. (Eds.). (2012). </w:t>
      </w:r>
      <w:r w:rsidRPr="00883B69">
        <w:rPr>
          <w:i/>
        </w:rPr>
        <w:t>Universities and Regional Development: A Critical Assessment of Tensions and Contradictions</w:t>
      </w:r>
      <w:r w:rsidRPr="00883B69">
        <w:t>. Oxon: Taylor &amp; Francis.</w:t>
      </w:r>
    </w:p>
    <w:p w14:paraId="65EB2844" w14:textId="77777777" w:rsidR="00883B69" w:rsidRPr="00883B69" w:rsidRDefault="00883B69" w:rsidP="00883B69">
      <w:pPr>
        <w:pStyle w:val="EndNoteBibliography"/>
        <w:spacing w:after="0"/>
        <w:ind w:left="720" w:hanging="720"/>
      </w:pPr>
      <w:r w:rsidRPr="00883B69">
        <w:t xml:space="preserve">Polanyi, M. (1962). Tacit Knowing. </w:t>
      </w:r>
      <w:r w:rsidRPr="00883B69">
        <w:rPr>
          <w:i/>
        </w:rPr>
        <w:t>Philosophy Today, 6</w:t>
      </w:r>
      <w:r w:rsidRPr="00883B69">
        <w:t>(4), 239. doi:10.5840/philtoday19626427</w:t>
      </w:r>
    </w:p>
    <w:p w14:paraId="59E71BFE" w14:textId="77777777" w:rsidR="00883B69" w:rsidRPr="00883B69" w:rsidRDefault="00883B69" w:rsidP="00883B69">
      <w:pPr>
        <w:pStyle w:val="EndNoteBibliography"/>
        <w:spacing w:after="0"/>
        <w:ind w:left="720" w:hanging="720"/>
      </w:pPr>
      <w:r w:rsidRPr="00883B69">
        <w:t xml:space="preserve">Polanyi, M. (1998). </w:t>
      </w:r>
      <w:r w:rsidRPr="00883B69">
        <w:rPr>
          <w:i/>
        </w:rPr>
        <w:t>Personal knowledge: towards a post-critical philosophy</w:t>
      </w:r>
      <w:r w:rsidRPr="00883B69">
        <w:t>. London: Taylor &amp; Francis.</w:t>
      </w:r>
    </w:p>
    <w:p w14:paraId="68591CBD" w14:textId="77777777" w:rsidR="00883B69" w:rsidRPr="00883B69" w:rsidRDefault="00883B69" w:rsidP="00883B69">
      <w:pPr>
        <w:pStyle w:val="EndNoteBibliography"/>
        <w:spacing w:after="0"/>
        <w:ind w:left="720" w:hanging="720"/>
      </w:pPr>
      <w:r w:rsidRPr="00883B69">
        <w:t xml:space="preserve">Ponomariov, B. (2009). Student Centrality in University- Industry Interactions. </w:t>
      </w:r>
      <w:r w:rsidRPr="00883B69">
        <w:rPr>
          <w:i/>
        </w:rPr>
        <w:t>Industry and Higher Education, 23</w:t>
      </w:r>
      <w:r w:rsidRPr="00883B69">
        <w:t>(1), 50-62. doi:10.1630/0326785041834748</w:t>
      </w:r>
    </w:p>
    <w:p w14:paraId="5FC677D0" w14:textId="77777777" w:rsidR="00883B69" w:rsidRPr="00883B69" w:rsidRDefault="00883B69" w:rsidP="00883B69">
      <w:pPr>
        <w:pStyle w:val="EndNoteBibliography"/>
        <w:spacing w:after="0"/>
        <w:ind w:left="720" w:hanging="720"/>
      </w:pPr>
      <w:r w:rsidRPr="00883B69">
        <w:t xml:space="preserve">Ponomariov, B., &amp; Boardman, C. (2010). Influencing scientists' collaboration and productivity patterns through new institutions: University research centers and scientific and technical human capital. </w:t>
      </w:r>
      <w:r w:rsidRPr="00883B69">
        <w:rPr>
          <w:i/>
        </w:rPr>
        <w:t>Research Policy, 39</w:t>
      </w:r>
      <w:r w:rsidRPr="00883B69">
        <w:t>(5), 613-624. doi:10.1016/j.respol.2010.02.013</w:t>
      </w:r>
    </w:p>
    <w:p w14:paraId="275F93CF" w14:textId="77777777" w:rsidR="00883B69" w:rsidRPr="00883B69" w:rsidRDefault="00883B69" w:rsidP="00883B69">
      <w:pPr>
        <w:pStyle w:val="EndNoteBibliography"/>
        <w:spacing w:after="0"/>
        <w:ind w:left="720" w:hanging="720"/>
      </w:pPr>
      <w:r w:rsidRPr="00883B69">
        <w:t xml:space="preserve">Primeri, E., &amp; Reale, E. (Eds.). (2015). </w:t>
      </w:r>
      <w:r w:rsidRPr="00883B69">
        <w:rPr>
          <w:i/>
        </w:rPr>
        <w:t>The Transformation of University Institutional and Organizational Boundaries: Organizational Boundaries</w:t>
      </w:r>
      <w:r w:rsidRPr="00883B69">
        <w:t>. Rotterdam: Sense Publishers.</w:t>
      </w:r>
    </w:p>
    <w:p w14:paraId="2059C575" w14:textId="77777777" w:rsidR="00883B69" w:rsidRPr="00883B69" w:rsidRDefault="00883B69" w:rsidP="00883B69">
      <w:pPr>
        <w:pStyle w:val="EndNoteBibliography"/>
        <w:spacing w:after="0"/>
        <w:ind w:left="720" w:hanging="720"/>
      </w:pPr>
      <w:r w:rsidRPr="00883B69">
        <w:t xml:space="preserve">Prior, L. (2008). Documents and Action. In P. Alasuutari, L. Bickman, &amp; J. Brannen (Eds.), </w:t>
      </w:r>
      <w:r w:rsidRPr="00883B69">
        <w:rPr>
          <w:i/>
        </w:rPr>
        <w:t>The SAGE Handbook of Social Research Methods</w:t>
      </w:r>
      <w:r w:rsidRPr="00883B69">
        <w:t>. Los Angeles: SAGE.</w:t>
      </w:r>
    </w:p>
    <w:p w14:paraId="36395502" w14:textId="77777777" w:rsidR="00883B69" w:rsidRPr="00883B69" w:rsidRDefault="00883B69" w:rsidP="00883B69">
      <w:pPr>
        <w:pStyle w:val="EndNoteBibliography"/>
        <w:spacing w:after="0"/>
        <w:ind w:left="720" w:hanging="720"/>
      </w:pPr>
      <w:r w:rsidRPr="00883B69">
        <w:t xml:space="preserve">Pusser, B., &amp; Marginson, S. (2013). University Rankings in Critical Perspective. </w:t>
      </w:r>
      <w:r w:rsidRPr="00883B69">
        <w:rPr>
          <w:i/>
        </w:rPr>
        <w:t>J. High. Educ., 84</w:t>
      </w:r>
      <w:r w:rsidRPr="00883B69">
        <w:t xml:space="preserve">(4), 544-568. </w:t>
      </w:r>
    </w:p>
    <w:p w14:paraId="34D091A9" w14:textId="77777777" w:rsidR="00883B69" w:rsidRPr="00883B69" w:rsidRDefault="00883B69" w:rsidP="00883B69">
      <w:pPr>
        <w:pStyle w:val="EndNoteBibliography"/>
        <w:spacing w:after="0"/>
        <w:ind w:left="720" w:hanging="720"/>
      </w:pPr>
      <w:r w:rsidRPr="00883B69">
        <w:t>Reed, M. (2017). The Productive Researcher. In: Kindle for Amazon.</w:t>
      </w:r>
    </w:p>
    <w:p w14:paraId="6A59D74F" w14:textId="77777777" w:rsidR="00883B69" w:rsidRPr="00883B69" w:rsidRDefault="00883B69" w:rsidP="00883B69">
      <w:pPr>
        <w:pStyle w:val="EndNoteBibliography"/>
        <w:spacing w:after="0"/>
        <w:ind w:left="720" w:hanging="720"/>
      </w:pPr>
      <w:r w:rsidRPr="00883B69">
        <w:t xml:space="preserve">Reed, M., Bryce, R., &amp; Machen, R. (2018). Pathways to policy impact: a new approach for planning and evidencing research impact. </w:t>
      </w:r>
      <w:r w:rsidRPr="00883B69">
        <w:rPr>
          <w:i/>
        </w:rPr>
        <w:t>Evidence &amp; policy : a journal of research, debate and practice., 14</w:t>
      </w:r>
      <w:r w:rsidRPr="00883B69">
        <w:t>(3), 431-458. doi:10.1332/174426418X15326967547242</w:t>
      </w:r>
    </w:p>
    <w:p w14:paraId="60469C33" w14:textId="77777777" w:rsidR="00883B69" w:rsidRPr="00883B69" w:rsidRDefault="00883B69" w:rsidP="00883B69">
      <w:pPr>
        <w:pStyle w:val="EndNoteBibliography"/>
        <w:spacing w:after="0"/>
        <w:ind w:left="720" w:hanging="720"/>
        <w:rPr>
          <w:i/>
        </w:rPr>
      </w:pPr>
      <w:r w:rsidRPr="00883B69">
        <w:t xml:space="preserve">Reid, G. (2014). Why should the taxpayer fund science &amp; research? </w:t>
      </w:r>
      <w:r w:rsidRPr="00883B69">
        <w:rPr>
          <w:i/>
        </w:rPr>
        <w:t>National Centre for University and Business </w:t>
      </w:r>
    </w:p>
    <w:p w14:paraId="5B654365" w14:textId="1B645B11" w:rsidR="00883B69" w:rsidRPr="00883B69" w:rsidRDefault="00883B69" w:rsidP="00883B69">
      <w:pPr>
        <w:pStyle w:val="EndNoteBibliography"/>
        <w:spacing w:after="0"/>
        <w:ind w:left="720" w:hanging="720"/>
      </w:pPr>
      <w:r w:rsidRPr="00883B69">
        <w:t xml:space="preserve">Research Councils UK. (2007). </w:t>
      </w:r>
      <w:r w:rsidRPr="00883B69">
        <w:rPr>
          <w:i/>
        </w:rPr>
        <w:t>Increasing the Economic Impact of the Research Councils</w:t>
      </w:r>
      <w:r w:rsidRPr="00883B69">
        <w:t xml:space="preserve">. Retrieved from </w:t>
      </w:r>
      <w:hyperlink r:id="rId38" w:history="1">
        <w:r w:rsidRPr="00883B69">
          <w:rPr>
            <w:rStyle w:val="Hyperlink"/>
          </w:rPr>
          <w:t>http://www.rcuk.ac.uk/Publications/archive/Increasingei/</w:t>
        </w:r>
      </w:hyperlink>
    </w:p>
    <w:p w14:paraId="7FE2551F" w14:textId="77777777" w:rsidR="00883B69" w:rsidRPr="00883B69" w:rsidRDefault="00883B69" w:rsidP="00883B69">
      <w:pPr>
        <w:pStyle w:val="EndNoteBibliography"/>
        <w:spacing w:after="0"/>
        <w:ind w:left="720" w:hanging="720"/>
      </w:pPr>
      <w:r w:rsidRPr="00883B69">
        <w:t xml:space="preserve">Rhoades, G. (2001). Managing productivity in an academic institution: Rethinking the whom, which, what, and whose of productivity. </w:t>
      </w:r>
      <w:r w:rsidRPr="00883B69">
        <w:rPr>
          <w:i/>
        </w:rPr>
        <w:t>Research in higher education, 42</w:t>
      </w:r>
      <w:r w:rsidRPr="00883B69">
        <w:t xml:space="preserve">(5), 619-632. </w:t>
      </w:r>
    </w:p>
    <w:p w14:paraId="7A87000B" w14:textId="77777777" w:rsidR="00883B69" w:rsidRPr="00883B69" w:rsidRDefault="00883B69" w:rsidP="00883B69">
      <w:pPr>
        <w:pStyle w:val="EndNoteBibliography"/>
        <w:spacing w:after="0"/>
        <w:ind w:left="720" w:hanging="720"/>
      </w:pPr>
      <w:r w:rsidRPr="00883B69">
        <w:t xml:space="preserve">Rhoades, G. (2011). A national campaign of academic labor: Reframing the politics of scarcity in higher education. </w:t>
      </w:r>
      <w:r w:rsidRPr="00883B69">
        <w:rPr>
          <w:i/>
        </w:rPr>
        <w:t>New Political Science, 33</w:t>
      </w:r>
      <w:r w:rsidRPr="00883B69">
        <w:t xml:space="preserve">(01), 101-117. </w:t>
      </w:r>
    </w:p>
    <w:p w14:paraId="19DAD4A3" w14:textId="77777777" w:rsidR="00883B69" w:rsidRPr="00883B69" w:rsidRDefault="00883B69" w:rsidP="00883B69">
      <w:pPr>
        <w:pStyle w:val="EndNoteBibliography"/>
        <w:spacing w:after="0"/>
        <w:ind w:left="720" w:hanging="720"/>
      </w:pPr>
      <w:r w:rsidRPr="00883B69">
        <w:t xml:space="preserve">Rhoades, G. (2016). Internationalization to what purposes?: marketing to international students. </w:t>
      </w:r>
      <w:r w:rsidRPr="00883B69">
        <w:rPr>
          <w:i/>
        </w:rPr>
        <w:t>Higher learning research communications: HLRC, 6</w:t>
      </w:r>
      <w:r w:rsidRPr="00883B69">
        <w:t>(2), 10-13. doi:10.18870/hlrc.v6i2.334</w:t>
      </w:r>
    </w:p>
    <w:p w14:paraId="34C586AF" w14:textId="77777777" w:rsidR="00883B69" w:rsidRPr="00883B69" w:rsidRDefault="00883B69" w:rsidP="00883B69">
      <w:pPr>
        <w:pStyle w:val="EndNoteBibliography"/>
        <w:spacing w:after="0"/>
        <w:ind w:left="720" w:hanging="720"/>
      </w:pPr>
      <w:r w:rsidRPr="00883B69">
        <w:t xml:space="preserve">Roberts, J. M. (2014). Critical Realism, Dialectics, and Qualitative Research Methods. </w:t>
      </w:r>
      <w:r w:rsidRPr="00883B69">
        <w:rPr>
          <w:i/>
        </w:rPr>
        <w:t>Journal for the Theory of Social Behaviour, 44</w:t>
      </w:r>
      <w:r w:rsidRPr="00883B69">
        <w:t>(1), 1-23. doi:10.1111/jtsb.12056</w:t>
      </w:r>
    </w:p>
    <w:p w14:paraId="7F929A4B" w14:textId="77777777" w:rsidR="00883B69" w:rsidRPr="00883B69" w:rsidRDefault="00883B69" w:rsidP="00883B69">
      <w:pPr>
        <w:pStyle w:val="EndNoteBibliography"/>
        <w:spacing w:after="0"/>
        <w:ind w:left="720" w:hanging="720"/>
      </w:pPr>
      <w:r w:rsidRPr="00883B69">
        <w:t xml:space="preserve">Robertson, S. L. (2010). Corporatisation, competitiveness, commercialisation: new logics in the globalising of UK higher education. </w:t>
      </w:r>
      <w:r w:rsidRPr="00883B69">
        <w:rPr>
          <w:i/>
        </w:rPr>
        <w:t>Globalisation, Societies and Education, 8</w:t>
      </w:r>
      <w:r w:rsidRPr="00883B69">
        <w:t>(2), 191-203. doi:10.1080/14767721003776320</w:t>
      </w:r>
    </w:p>
    <w:p w14:paraId="5FF2BBCC" w14:textId="77777777" w:rsidR="00883B69" w:rsidRPr="00883B69" w:rsidRDefault="00883B69" w:rsidP="00883B69">
      <w:pPr>
        <w:pStyle w:val="EndNoteBibliography"/>
        <w:spacing w:after="0"/>
        <w:ind w:left="720" w:hanging="720"/>
      </w:pPr>
      <w:r w:rsidRPr="00883B69">
        <w:t xml:space="preserve">Rosinger, K. O., Taylor, B. J., Coco, L., &amp; Slaughter, S. (2016). Organizational Segmentation and the Prestige Economy: Deprofessionalization in High- and Low-Resource Departments. </w:t>
      </w:r>
      <w:r w:rsidRPr="00883B69">
        <w:rPr>
          <w:i/>
        </w:rPr>
        <w:t>The Journal of Higher Education, 87</w:t>
      </w:r>
      <w:r w:rsidRPr="00883B69">
        <w:t>(1), 27-54. doi:10.1080/00221546.2016.11777393</w:t>
      </w:r>
    </w:p>
    <w:p w14:paraId="6CA7B540" w14:textId="74065FA8" w:rsidR="00883B69" w:rsidRPr="00883B69" w:rsidRDefault="00883B69" w:rsidP="00883B69">
      <w:pPr>
        <w:pStyle w:val="EndNoteBibliography"/>
        <w:spacing w:after="0"/>
        <w:ind w:left="720" w:hanging="720"/>
      </w:pPr>
      <w:r w:rsidRPr="00883B69">
        <w:t xml:space="preserve">Royal Society. (2010). </w:t>
      </w:r>
      <w:r w:rsidRPr="00883B69">
        <w:rPr>
          <w:i/>
        </w:rPr>
        <w:t>The Scientific Century: securing our future prosperity</w:t>
      </w:r>
      <w:r w:rsidRPr="00883B69">
        <w:t xml:space="preserve"> (9780854038183). Retrieved from </w:t>
      </w:r>
      <w:hyperlink r:id="rId39" w:history="1">
        <w:r w:rsidRPr="00883B69">
          <w:rPr>
            <w:rStyle w:val="Hyperlink"/>
          </w:rPr>
          <w:t>https://royalsociety.org/~/media/Royal_Society_Content/policy/publications/2010/4294970126.pdf</w:t>
        </w:r>
      </w:hyperlink>
    </w:p>
    <w:p w14:paraId="0AEC7A97" w14:textId="77777777" w:rsidR="00883B69" w:rsidRPr="00883B69" w:rsidRDefault="00883B69" w:rsidP="00883B69">
      <w:pPr>
        <w:pStyle w:val="EndNoteBibliography"/>
        <w:spacing w:after="0"/>
        <w:ind w:left="720" w:hanging="720"/>
      </w:pPr>
      <w:r w:rsidRPr="00883B69">
        <w:t xml:space="preserve">Rödder, S. (2017). The Climate of Science- Art and the Art- Science of the Climate: Meeting Points, Boundary Objects and Boundary Work. </w:t>
      </w:r>
      <w:r w:rsidRPr="00883B69">
        <w:rPr>
          <w:i/>
        </w:rPr>
        <w:t>A Review of Science, Learning and Policy, 55</w:t>
      </w:r>
      <w:r w:rsidRPr="00883B69">
        <w:t>(1), 93-116. doi:10.1007/s11024-016-9312-y</w:t>
      </w:r>
    </w:p>
    <w:p w14:paraId="32C6BCBC" w14:textId="77777777" w:rsidR="00883B69" w:rsidRPr="00883B69" w:rsidRDefault="00883B69" w:rsidP="00883B69">
      <w:pPr>
        <w:pStyle w:val="EndNoteBibliography"/>
        <w:spacing w:after="0"/>
        <w:ind w:left="720" w:hanging="720"/>
      </w:pPr>
      <w:r w:rsidRPr="00883B69">
        <w:t xml:space="preserve">Salaran, M. (2010). Research productivity and social capital in Australian higher education. </w:t>
      </w:r>
      <w:r w:rsidRPr="00883B69">
        <w:rPr>
          <w:i/>
        </w:rPr>
        <w:t>Higher Education Quarterly, 64</w:t>
      </w:r>
      <w:r w:rsidRPr="00883B69">
        <w:t>(2), 133-148. doi:10.1111/j.1468-2273.2009.00448.x</w:t>
      </w:r>
    </w:p>
    <w:p w14:paraId="159EBAF0" w14:textId="77777777" w:rsidR="00883B69" w:rsidRPr="00883B69" w:rsidRDefault="00883B69" w:rsidP="00883B69">
      <w:pPr>
        <w:pStyle w:val="EndNoteBibliography"/>
        <w:spacing w:after="0"/>
        <w:ind w:left="720" w:hanging="720"/>
      </w:pPr>
      <w:r w:rsidRPr="00883B69">
        <w:t xml:space="preserve">Salter, A., D’Este, P., Martin, B., Geuna, A., Scott, A., Pavitt, K., . . . Nightingale, P. (2000). </w:t>
      </w:r>
      <w:r w:rsidRPr="00883B69">
        <w:rPr>
          <w:i/>
        </w:rPr>
        <w:t>Talent, not Technology: Publicly funded research and innovation in the UK</w:t>
      </w:r>
      <w:r w:rsidRPr="00883B69">
        <w:t>: CVCP London.</w:t>
      </w:r>
    </w:p>
    <w:p w14:paraId="269CF96E" w14:textId="77777777" w:rsidR="00883B69" w:rsidRPr="00883B69" w:rsidRDefault="00883B69" w:rsidP="00883B69">
      <w:pPr>
        <w:pStyle w:val="EndNoteBibliography"/>
        <w:spacing w:after="0"/>
        <w:ind w:left="720" w:hanging="720"/>
      </w:pPr>
      <w:r w:rsidRPr="00883B69">
        <w:t xml:space="preserve">Samuel, G. N., &amp; Derrick, G. E. (2015). Societal impact evaluation: Exploring evaluator perceptions of the characterization of impact under the REF2014. </w:t>
      </w:r>
      <w:r w:rsidRPr="00883B69">
        <w:rPr>
          <w:i/>
        </w:rPr>
        <w:t>Research Evaluation, 24</w:t>
      </w:r>
      <w:r w:rsidRPr="00883B69">
        <w:t>(3), 229-241. doi:10.1093/reseval/rvv007</w:t>
      </w:r>
    </w:p>
    <w:p w14:paraId="04476919" w14:textId="77777777" w:rsidR="00883B69" w:rsidRPr="00883B69" w:rsidRDefault="00883B69" w:rsidP="00883B69">
      <w:pPr>
        <w:pStyle w:val="EndNoteBibliography"/>
        <w:spacing w:after="0"/>
        <w:ind w:left="720" w:hanging="720"/>
      </w:pPr>
      <w:r w:rsidRPr="00883B69">
        <w:t xml:space="preserve">Sataøen, H. L. (2018). Transforming the “ Third Mission” in Norwegian Higher Education Institutions: A Boundary Object Theory Approach. </w:t>
      </w:r>
      <w:r w:rsidRPr="00883B69">
        <w:rPr>
          <w:i/>
        </w:rPr>
        <w:t>Scandinavian Journal of Educational Research, 62</w:t>
      </w:r>
      <w:r w:rsidRPr="00883B69">
        <w:t>(1), 52-67. doi:10.1080/00313831.2016.1212253</w:t>
      </w:r>
    </w:p>
    <w:p w14:paraId="5E905382" w14:textId="77777777" w:rsidR="00883B69" w:rsidRPr="00883B69" w:rsidRDefault="00883B69" w:rsidP="00883B69">
      <w:pPr>
        <w:pStyle w:val="EndNoteBibliography"/>
        <w:spacing w:after="0"/>
        <w:ind w:left="720" w:hanging="720"/>
      </w:pPr>
      <w:r w:rsidRPr="00883B69">
        <w:t xml:space="preserve">Sayer, A. (2010). </w:t>
      </w:r>
      <w:r w:rsidRPr="00883B69">
        <w:rPr>
          <w:i/>
        </w:rPr>
        <w:t>Method in social science: a realist approach</w:t>
      </w:r>
      <w:r w:rsidRPr="00883B69">
        <w:t xml:space="preserve"> (2nd ed.). Abingdon: Routledge.</w:t>
      </w:r>
    </w:p>
    <w:p w14:paraId="673033FC" w14:textId="3390B0FC" w:rsidR="00883B69" w:rsidRPr="00883B69" w:rsidRDefault="00883B69" w:rsidP="00883B69">
      <w:pPr>
        <w:pStyle w:val="EndNoteBibliography"/>
        <w:spacing w:after="0"/>
        <w:ind w:left="720" w:hanging="720"/>
      </w:pPr>
      <w:r w:rsidRPr="00883B69">
        <w:t xml:space="preserve">Schafer, L. O. (2016). </w:t>
      </w:r>
      <w:r w:rsidRPr="00883B69">
        <w:rPr>
          <w:i/>
        </w:rPr>
        <w:t>Performance assessment in science and academia: effects of the RAE/REF on academic life. Working paper no. 7</w:t>
      </w:r>
      <w:r w:rsidRPr="00883B69">
        <w:t xml:space="preserve">. Retrieved from </w:t>
      </w:r>
      <w:hyperlink r:id="rId40" w:history="1">
        <w:r w:rsidRPr="00883B69">
          <w:rPr>
            <w:rStyle w:val="Hyperlink"/>
          </w:rPr>
          <w:t>http://www.researchcghe.org/publications/performance-assessment-in-science-and-academia-effects-of-the-raeref-on-academic-life/</w:t>
        </w:r>
      </w:hyperlink>
    </w:p>
    <w:p w14:paraId="2C8FEA73" w14:textId="77777777" w:rsidR="00883B69" w:rsidRPr="00883B69" w:rsidRDefault="00883B69" w:rsidP="00883B69">
      <w:pPr>
        <w:pStyle w:val="EndNoteBibliography"/>
        <w:spacing w:after="0"/>
        <w:ind w:left="720" w:hanging="720"/>
      </w:pPr>
      <w:r w:rsidRPr="00883B69">
        <w:t xml:space="preserve">Schaffer, S. (2013). How disciplines look. In A. Barry &amp; G. Born (Eds.), </w:t>
      </w:r>
      <w:r w:rsidRPr="00883B69">
        <w:rPr>
          <w:i/>
        </w:rPr>
        <w:t>Barry, Andrew  Born, Georgina</w:t>
      </w:r>
      <w:r w:rsidRPr="00883B69">
        <w:t>. London: Routledge.</w:t>
      </w:r>
    </w:p>
    <w:p w14:paraId="0C33579C" w14:textId="77777777" w:rsidR="00883B69" w:rsidRPr="00883B69" w:rsidRDefault="00883B69" w:rsidP="00883B69">
      <w:pPr>
        <w:pStyle w:val="EndNoteBibliography"/>
        <w:spacing w:after="0"/>
        <w:ind w:left="720" w:hanging="720"/>
      </w:pPr>
      <w:r w:rsidRPr="00883B69">
        <w:t xml:space="preserve">Schmidt, J. (2011). Toward an epistemology of nano- technosciences. </w:t>
      </w:r>
      <w:r w:rsidRPr="00883B69">
        <w:rPr>
          <w:i/>
        </w:rPr>
        <w:t>International Journal of Ethics of Science and Technology Assessment, 8</w:t>
      </w:r>
      <w:r w:rsidRPr="00883B69">
        <w:t>(2), 103-124. doi:10.1007/s10202-011-0104-z</w:t>
      </w:r>
    </w:p>
    <w:p w14:paraId="34E70B0A" w14:textId="77777777" w:rsidR="00883B69" w:rsidRPr="00883B69" w:rsidRDefault="00883B69" w:rsidP="00883B69">
      <w:pPr>
        <w:pStyle w:val="EndNoteBibliography"/>
        <w:spacing w:after="0"/>
        <w:ind w:left="720" w:hanging="720"/>
      </w:pPr>
      <w:r w:rsidRPr="00883B69">
        <w:t xml:space="preserve">Schreier, M. (2014). In U. Flick (Ed.), </w:t>
      </w:r>
      <w:r w:rsidRPr="00883B69">
        <w:rPr>
          <w:i/>
        </w:rPr>
        <w:t>The SAGE handbook of qualitative data analysis</w:t>
      </w:r>
      <w:r w:rsidRPr="00883B69">
        <w:t>. London: SAGE.</w:t>
      </w:r>
    </w:p>
    <w:p w14:paraId="7829D30C" w14:textId="77777777" w:rsidR="00883B69" w:rsidRPr="00883B69" w:rsidRDefault="00883B69" w:rsidP="00883B69">
      <w:pPr>
        <w:pStyle w:val="EndNoteBibliography"/>
        <w:spacing w:after="0"/>
        <w:ind w:left="720" w:hanging="720"/>
      </w:pPr>
      <w:r w:rsidRPr="00883B69">
        <w:t xml:space="preserve">Schwartzman, S. (1984). The Focus on Scientific Activity. In B. R. Clark (Ed.), </w:t>
      </w:r>
      <w:r w:rsidRPr="00883B69">
        <w:rPr>
          <w:i/>
        </w:rPr>
        <w:t>Perspectives on higher education: eight disciplinary and comparative views</w:t>
      </w:r>
      <w:r w:rsidRPr="00883B69">
        <w:t>. London: University of California Press.</w:t>
      </w:r>
    </w:p>
    <w:p w14:paraId="7D15BEB1" w14:textId="50E27E40" w:rsidR="00883B69" w:rsidRPr="00883B69" w:rsidRDefault="00883B69" w:rsidP="00883B69">
      <w:pPr>
        <w:pStyle w:val="EndNoteBibliography"/>
        <w:spacing w:after="0"/>
        <w:ind w:left="720" w:hanging="720"/>
      </w:pPr>
      <w:r w:rsidRPr="00883B69">
        <w:t xml:space="preserve">Science and Technology Select Committee. (2013). </w:t>
      </w:r>
      <w:r w:rsidRPr="00883B69">
        <w:rPr>
          <w:i/>
        </w:rPr>
        <w:t>Bridging the valley of death: improving the commercialisation of research</w:t>
      </w:r>
      <w:r w:rsidRPr="00883B69">
        <w:t xml:space="preserve">.  Retrieved from </w:t>
      </w:r>
      <w:hyperlink r:id="rId41" w:history="1">
        <w:r w:rsidRPr="00883B69">
          <w:rPr>
            <w:rStyle w:val="Hyperlink"/>
          </w:rPr>
          <w:t>http://www.publications.parliament.uk/pa/cm201213/cmselect/cmsctech/348/34802.htm</w:t>
        </w:r>
      </w:hyperlink>
    </w:p>
    <w:p w14:paraId="5B8724E2" w14:textId="77777777" w:rsidR="00883B69" w:rsidRPr="00883B69" w:rsidRDefault="00883B69" w:rsidP="00883B69">
      <w:pPr>
        <w:pStyle w:val="EndNoteBibliography"/>
        <w:spacing w:after="0"/>
        <w:ind w:left="720" w:hanging="720"/>
      </w:pPr>
      <w:r w:rsidRPr="00883B69">
        <w:t>Seddon, K. R. (1997). Ionic Liquids for Clean Technology. In (Vol. 68, pp. 351-356). Chichester, UK.</w:t>
      </w:r>
    </w:p>
    <w:p w14:paraId="59EA3E25" w14:textId="77777777" w:rsidR="00883B69" w:rsidRPr="00883B69" w:rsidRDefault="00883B69" w:rsidP="00883B69">
      <w:pPr>
        <w:pStyle w:val="EndNoteBibliography"/>
        <w:spacing w:after="0"/>
        <w:ind w:left="720" w:hanging="720"/>
      </w:pPr>
      <w:r w:rsidRPr="00883B69">
        <w:t xml:space="preserve">Shattock, M. (2014). Can We Still Speak of There Being an Academic Profession? </w:t>
      </w:r>
      <w:r w:rsidRPr="00883B69">
        <w:rPr>
          <w:i/>
        </w:rPr>
        <w:t>History of Education, 43</w:t>
      </w:r>
      <w:r w:rsidRPr="00883B69">
        <w:t>(6), 727-739. doi:10.1080/0046760X.2014.964008</w:t>
      </w:r>
    </w:p>
    <w:p w14:paraId="5B9E10E9" w14:textId="1C123AC3" w:rsidR="00883B69" w:rsidRPr="00883B69" w:rsidRDefault="00883B69" w:rsidP="00883B69">
      <w:pPr>
        <w:pStyle w:val="EndNoteBibliography"/>
        <w:spacing w:after="0"/>
        <w:ind w:left="720" w:hanging="720"/>
      </w:pPr>
      <w:r w:rsidRPr="00883B69">
        <w:t xml:space="preserve">Shattock, M. (2017). </w:t>
      </w:r>
      <w:r w:rsidRPr="00883B69">
        <w:rPr>
          <w:i/>
        </w:rPr>
        <w:t>University governance in flux. The impact of external and internal pressures on the distribution of authority within British universities: a synoptic view. Working Paper 13</w:t>
      </w:r>
      <w:r w:rsidRPr="00883B69">
        <w:t xml:space="preserve">. Retrieved from </w:t>
      </w:r>
      <w:hyperlink r:id="rId42" w:history="1">
        <w:r w:rsidRPr="00883B69">
          <w:rPr>
            <w:rStyle w:val="Hyperlink"/>
          </w:rPr>
          <w:t>http://www.researchcghe.org/publications/university-governance-in-flux-the-impact-of-external-and-internal-pressures-on-the-distribution-of-authority-within-british-universities-a-synoptic-view/</w:t>
        </w:r>
      </w:hyperlink>
    </w:p>
    <w:p w14:paraId="2511787C" w14:textId="77777777" w:rsidR="00883B69" w:rsidRPr="00883B69" w:rsidRDefault="00883B69" w:rsidP="00883B69">
      <w:pPr>
        <w:pStyle w:val="EndNoteBibliography"/>
        <w:spacing w:after="0"/>
        <w:ind w:left="720" w:hanging="720"/>
      </w:pPr>
      <w:r w:rsidRPr="00883B69">
        <w:t xml:space="preserve">Shields, R., &amp; Watermeyer, R. (2018). Competing institutional logics in universities in the United Kingdom: schism in the church of reason. </w:t>
      </w:r>
      <w:r w:rsidRPr="00883B69">
        <w:rPr>
          <w:i/>
        </w:rPr>
        <w:t>Studies in Higher Education</w:t>
      </w:r>
      <w:r w:rsidRPr="00883B69">
        <w:t>, 1-15. doi:10.1080/03075079.2018.1504910</w:t>
      </w:r>
    </w:p>
    <w:p w14:paraId="638D0AF5" w14:textId="77777777" w:rsidR="00883B69" w:rsidRPr="00883B69" w:rsidRDefault="00883B69" w:rsidP="00883B69">
      <w:pPr>
        <w:pStyle w:val="EndNoteBibliography"/>
        <w:spacing w:after="0"/>
        <w:ind w:left="720" w:hanging="720"/>
      </w:pPr>
      <w:r w:rsidRPr="00883B69">
        <w:t xml:space="preserve">Simon, D., &amp; Schiemer, F. (2015). Crossing boundaries: Complex systems, transdisciplinarity and applied impact agendas. </w:t>
      </w:r>
      <w:r w:rsidRPr="00883B69">
        <w:rPr>
          <w:i/>
        </w:rPr>
        <w:t>Current Opinion in Environmental Sustainability, 12</w:t>
      </w:r>
      <w:r w:rsidRPr="00883B69">
        <w:t>, 6-11. doi:10.1016/j.cosust.2014.08.007</w:t>
      </w:r>
    </w:p>
    <w:p w14:paraId="5007DDBC" w14:textId="77777777" w:rsidR="00883B69" w:rsidRPr="00883B69" w:rsidRDefault="00883B69" w:rsidP="00883B69">
      <w:pPr>
        <w:pStyle w:val="EndNoteBibliography"/>
        <w:spacing w:after="0"/>
        <w:ind w:left="720" w:hanging="720"/>
      </w:pPr>
      <w:r w:rsidRPr="00883B69">
        <w:t xml:space="preserve">Slaughter, S., Archerd, C. J., &amp; Campbell, T. I. D. (2004). Boundaries and Quandaries: How Professors Negotiate Market Relations. </w:t>
      </w:r>
      <w:r w:rsidRPr="00883B69">
        <w:rPr>
          <w:i/>
        </w:rPr>
        <w:t>Review of Higher Education, 28</w:t>
      </w:r>
      <w:r w:rsidRPr="00883B69">
        <w:t>(1), 129-165. doi:10.1353/rhe.2004.0032</w:t>
      </w:r>
    </w:p>
    <w:p w14:paraId="77ACEB8F" w14:textId="77777777" w:rsidR="00883B69" w:rsidRPr="00883B69" w:rsidRDefault="00883B69" w:rsidP="00883B69">
      <w:pPr>
        <w:pStyle w:val="EndNoteBibliography"/>
        <w:spacing w:after="0"/>
        <w:ind w:left="720" w:hanging="720"/>
      </w:pPr>
      <w:r w:rsidRPr="00883B69">
        <w:t xml:space="preserve">Slaughter, S., Campbell, T., Holleman, M., &amp; Morgan, E. (2002). The “ Traffic” in Graduate Students: Graduate Students as Tokens of Exchange between Academe and Industry. </w:t>
      </w:r>
      <w:r w:rsidRPr="00883B69">
        <w:rPr>
          <w:i/>
        </w:rPr>
        <w:t>Science, Technology, &amp; Human Values, 27</w:t>
      </w:r>
      <w:r w:rsidRPr="00883B69">
        <w:t>(2), 282-312. doi:10.1177/016224390202700205</w:t>
      </w:r>
    </w:p>
    <w:p w14:paraId="4DB66055" w14:textId="77777777" w:rsidR="00883B69" w:rsidRPr="00883B69" w:rsidRDefault="00883B69" w:rsidP="00883B69">
      <w:pPr>
        <w:pStyle w:val="EndNoteBibliography"/>
        <w:spacing w:after="0"/>
        <w:ind w:left="720" w:hanging="720"/>
      </w:pPr>
      <w:r w:rsidRPr="00883B69">
        <w:t xml:space="preserve">Slaughter, S., &amp; Cantwell, B. (2012). Transatlantic Moves to the Market: The United States and the European Union. </w:t>
      </w:r>
      <w:r w:rsidRPr="00883B69">
        <w:rPr>
          <w:i/>
        </w:rPr>
        <w:t>Higher Education: The International Journal of Higher Education and Educational Planning, 63</w:t>
      </w:r>
      <w:r w:rsidRPr="00883B69">
        <w:t>(5), 583-606. doi:10.1007/s10734-011-9460-9</w:t>
      </w:r>
    </w:p>
    <w:p w14:paraId="2654EF27" w14:textId="77777777" w:rsidR="00883B69" w:rsidRPr="00883B69" w:rsidRDefault="00883B69" w:rsidP="00883B69">
      <w:pPr>
        <w:pStyle w:val="EndNoteBibliography"/>
        <w:spacing w:after="0"/>
        <w:ind w:left="720" w:hanging="720"/>
      </w:pPr>
      <w:r w:rsidRPr="00883B69">
        <w:t xml:space="preserve">Slaughter, S., &amp; Leslie, L. L. (1997). </w:t>
      </w:r>
      <w:r w:rsidRPr="00883B69">
        <w:rPr>
          <w:i/>
        </w:rPr>
        <w:t>Academic Capitalism: Politics, Policies, and the Entrepreneurial University</w:t>
      </w:r>
      <w:r w:rsidRPr="00883B69">
        <w:t>. London: Johns Hopkins University Press.</w:t>
      </w:r>
    </w:p>
    <w:p w14:paraId="53586710" w14:textId="77777777" w:rsidR="00883B69" w:rsidRPr="00883B69" w:rsidRDefault="00883B69" w:rsidP="00883B69">
      <w:pPr>
        <w:pStyle w:val="EndNoteBibliography"/>
        <w:spacing w:after="0"/>
        <w:ind w:left="720" w:hanging="720"/>
      </w:pPr>
      <w:r w:rsidRPr="00883B69">
        <w:t xml:space="preserve">Slaughter, S., &amp; Rhoades, G. (2010). </w:t>
      </w:r>
      <w:r w:rsidRPr="00883B69">
        <w:rPr>
          <w:i/>
        </w:rPr>
        <w:t>Academic capitalism and the new economy: markets, state, and higher education</w:t>
      </w:r>
      <w:r w:rsidRPr="00883B69">
        <w:t>. Baltimore, MD: Johns Hopkins University Press.</w:t>
      </w:r>
    </w:p>
    <w:p w14:paraId="42A1BECE" w14:textId="77777777" w:rsidR="00883B69" w:rsidRPr="00883B69" w:rsidRDefault="00883B69" w:rsidP="00883B69">
      <w:pPr>
        <w:pStyle w:val="EndNoteBibliography"/>
        <w:spacing w:after="0"/>
        <w:ind w:left="720" w:hanging="720"/>
      </w:pPr>
      <w:r w:rsidRPr="00883B69">
        <w:t xml:space="preserve">Smith, C., &amp; Elger, T. (2014). Critical Realism and Interviewing Subjects. In P. Edwards, J. O'Mahoney, &amp; S. Vincent (Eds.), </w:t>
      </w:r>
      <w:r w:rsidRPr="00883B69">
        <w:rPr>
          <w:i/>
        </w:rPr>
        <w:t>Studying Organizations Using Critical Realism: A Practical Guide</w:t>
      </w:r>
      <w:r w:rsidRPr="00883B69">
        <w:t xml:space="preserve"> (First edition. ed.). Oxford: Oxford University Press.</w:t>
      </w:r>
    </w:p>
    <w:p w14:paraId="465A60EA" w14:textId="77777777" w:rsidR="00883B69" w:rsidRPr="00883B69" w:rsidRDefault="00883B69" w:rsidP="00883B69">
      <w:pPr>
        <w:pStyle w:val="EndNoteBibliography"/>
        <w:spacing w:after="0"/>
        <w:ind w:left="720" w:hanging="720"/>
      </w:pPr>
      <w:r w:rsidRPr="00883B69">
        <w:t>Smith, K. E., &amp; Stewart, E. (2017). We Need to Talk about Impact: Why Social Policy Academics need to Engage with the UK's Research Impact Agenda.</w:t>
      </w:r>
      <w:r w:rsidRPr="00883B69">
        <w:rPr>
          <w:i/>
        </w:rPr>
        <w:t xml:space="preserve"> 46</w:t>
      </w:r>
      <w:r w:rsidRPr="00883B69">
        <w:t>(1), 109-127. doi:10.1017/S0047279416000283</w:t>
      </w:r>
    </w:p>
    <w:p w14:paraId="287FEF00" w14:textId="77777777" w:rsidR="00883B69" w:rsidRPr="00883B69" w:rsidRDefault="00883B69" w:rsidP="00883B69">
      <w:pPr>
        <w:pStyle w:val="EndNoteBibliography"/>
        <w:spacing w:after="0"/>
        <w:ind w:left="720" w:hanging="720"/>
      </w:pPr>
      <w:r w:rsidRPr="00883B69">
        <w:t xml:space="preserve">Smith, S., Ward, V., &amp; House, A. (2011). 'Impact' in the proposals for the UK's Research Excellence Framework: Shifting the boundaries of academic autonomy. </w:t>
      </w:r>
      <w:r w:rsidRPr="00883B69">
        <w:rPr>
          <w:i/>
        </w:rPr>
        <w:t>Research Policy, 40</w:t>
      </w:r>
      <w:r w:rsidRPr="00883B69">
        <w:t>(10), 1369-1379. doi:10.1016/j.respol.2011.05.026</w:t>
      </w:r>
    </w:p>
    <w:p w14:paraId="7E8C3361" w14:textId="77777777" w:rsidR="00883B69" w:rsidRPr="00883B69" w:rsidRDefault="00883B69" w:rsidP="00883B69">
      <w:pPr>
        <w:pStyle w:val="EndNoteBibliography"/>
        <w:spacing w:after="0"/>
        <w:ind w:left="720" w:hanging="720"/>
      </w:pPr>
      <w:r w:rsidRPr="00883B69">
        <w:t xml:space="preserve">Sousa-Ginel, E., Franco-Leal, N., &amp; Camelo-Ordaz, C. (2017). The influence of networks on the knowledge conversion capability of academic spin-offs. </w:t>
      </w:r>
      <w:r w:rsidRPr="00883B69">
        <w:rPr>
          <w:i/>
        </w:rPr>
        <w:t>Ind. Corp. Change, 26</w:t>
      </w:r>
      <w:r w:rsidRPr="00883B69">
        <w:t>(6), 1125-1144. doi:10.1093/icc/dtx013</w:t>
      </w:r>
    </w:p>
    <w:p w14:paraId="76C7BE6E" w14:textId="77777777" w:rsidR="00883B69" w:rsidRPr="00883B69" w:rsidRDefault="00883B69" w:rsidP="00883B69">
      <w:pPr>
        <w:pStyle w:val="EndNoteBibliography"/>
        <w:spacing w:after="0"/>
        <w:ind w:left="720" w:hanging="720"/>
      </w:pPr>
      <w:r w:rsidRPr="00883B69">
        <w:t xml:space="preserve">Spaapen, J., &amp; van Drooge, L. (2011). Introducing ‘productive interactions’ in social impact assessment. </w:t>
      </w:r>
      <w:r w:rsidRPr="00883B69">
        <w:rPr>
          <w:i/>
        </w:rPr>
        <w:t>Research Evaluation, 20</w:t>
      </w:r>
      <w:r w:rsidRPr="00883B69">
        <w:t>(3), 211-218. doi:10.3152/095820211X12941371876742</w:t>
      </w:r>
    </w:p>
    <w:p w14:paraId="4C7EF88D" w14:textId="77777777" w:rsidR="00883B69" w:rsidRPr="00883B69" w:rsidRDefault="00883B69" w:rsidP="00883B69">
      <w:pPr>
        <w:pStyle w:val="EndNoteBibliography"/>
        <w:spacing w:after="0"/>
        <w:ind w:left="720" w:hanging="720"/>
      </w:pPr>
      <w:r w:rsidRPr="00883B69">
        <w:t xml:space="preserve">Sporn, B. (1995). Adaptation processes at universities: Organizational implications of a complex environment. </w:t>
      </w:r>
      <w:r w:rsidRPr="00883B69">
        <w:rPr>
          <w:i/>
        </w:rPr>
        <w:t>Tertiary Education and Management, 1</w:t>
      </w:r>
      <w:r w:rsidRPr="00883B69">
        <w:t>(1), 72-75. doi:10.1080/13583883.1995.9966859</w:t>
      </w:r>
    </w:p>
    <w:p w14:paraId="1E1710EA" w14:textId="77777777" w:rsidR="00883B69" w:rsidRPr="00883B69" w:rsidRDefault="00883B69" w:rsidP="00883B69">
      <w:pPr>
        <w:pStyle w:val="EndNoteBibliography"/>
        <w:spacing w:after="0"/>
        <w:ind w:left="720" w:hanging="720"/>
      </w:pPr>
      <w:r w:rsidRPr="00883B69">
        <w:t xml:space="preserve">Star, S. L., &amp; Griesemer, J. R. (1989). Institutional Ecology, `Translations' and Boundary Objects: Amateurs and Professionals in Berkeley's Museum of Vertebrate Zoology, 1907-39. </w:t>
      </w:r>
      <w:r w:rsidRPr="00883B69">
        <w:rPr>
          <w:i/>
        </w:rPr>
        <w:t>Social Studies of Science, 19</w:t>
      </w:r>
      <w:r w:rsidRPr="00883B69">
        <w:t>(3), 387-420. doi:10.1177/030631289019003001</w:t>
      </w:r>
    </w:p>
    <w:p w14:paraId="47B0779B" w14:textId="77777777" w:rsidR="00883B69" w:rsidRPr="00883B69" w:rsidRDefault="00883B69" w:rsidP="00883B69">
      <w:pPr>
        <w:pStyle w:val="EndNoteBibliography"/>
        <w:spacing w:after="0"/>
        <w:ind w:left="720" w:hanging="720"/>
      </w:pPr>
      <w:r w:rsidRPr="00883B69">
        <w:t xml:space="preserve">Stephens, N. (2010). Collecting Data from Elites and Ultra Elites: Telephone and Face-to-Face Interviews with Macroeconomists. In P. Atkinson, S. Delamont, K. S. Delamont, &amp; S. Delamont (Eds.), </w:t>
      </w:r>
      <w:r w:rsidRPr="00883B69">
        <w:rPr>
          <w:i/>
        </w:rPr>
        <w:t>SAGE Qualitative Research Methods</w:t>
      </w:r>
      <w:r w:rsidRPr="00883B69">
        <w:t>. London: SAGE.</w:t>
      </w:r>
    </w:p>
    <w:p w14:paraId="4EE208FB" w14:textId="026518B2" w:rsidR="00883B69" w:rsidRPr="00883B69" w:rsidRDefault="00883B69" w:rsidP="00883B69">
      <w:pPr>
        <w:pStyle w:val="EndNoteBibliography"/>
        <w:spacing w:after="0"/>
        <w:ind w:left="720" w:hanging="720"/>
      </w:pPr>
      <w:r w:rsidRPr="00883B69">
        <w:t xml:space="preserve">Stern, N. (2016). </w:t>
      </w:r>
      <w:r w:rsidRPr="00883B69">
        <w:rPr>
          <w:i/>
        </w:rPr>
        <w:t>Building on Success and Learning from Experience: An Independent Review of the Research Excellence Framework</w:t>
      </w:r>
      <w:r w:rsidRPr="00883B69">
        <w:t xml:space="preserve">. Retrieved from </w:t>
      </w:r>
      <w:hyperlink r:id="rId43" w:history="1">
        <w:r w:rsidRPr="00883B69">
          <w:rPr>
            <w:rStyle w:val="Hyperlink"/>
          </w:rPr>
          <w:t>https://www.gov.uk/government/uploads/system/uploads/attachment_data/file/541338/ind-16-9-ref-stern-review.pdf</w:t>
        </w:r>
      </w:hyperlink>
    </w:p>
    <w:p w14:paraId="4D6C1FDF" w14:textId="77777777" w:rsidR="00883B69" w:rsidRPr="00883B69" w:rsidRDefault="00883B69" w:rsidP="00883B69">
      <w:pPr>
        <w:pStyle w:val="EndNoteBibliography"/>
        <w:spacing w:after="0"/>
        <w:ind w:left="720" w:hanging="720"/>
      </w:pPr>
      <w:r w:rsidRPr="00883B69">
        <w:t xml:space="preserve">Stokes, D. E. (1997). </w:t>
      </w:r>
      <w:r w:rsidRPr="00883B69">
        <w:rPr>
          <w:i/>
        </w:rPr>
        <w:t>Pasteur's quadrant: Basic Science and Technological Innovation</w:t>
      </w:r>
      <w:r w:rsidRPr="00883B69">
        <w:t>. Washington, D.C.: Brookings Institution Press.</w:t>
      </w:r>
    </w:p>
    <w:p w14:paraId="4048F264" w14:textId="7B710D92" w:rsidR="00883B69" w:rsidRPr="00883B69" w:rsidRDefault="00883B69" w:rsidP="00883B69">
      <w:pPr>
        <w:pStyle w:val="EndNoteBibliography"/>
        <w:spacing w:after="0"/>
        <w:ind w:left="720" w:hanging="720"/>
      </w:pPr>
      <w:r w:rsidRPr="00883B69">
        <w:t xml:space="preserve">Sánchez-Barrioluengo, M. (2015, 2015-08-07). Bridging gaps in higher education studies: internal structure and demand conditions mediating university third mission performance.  Retrieved from </w:t>
      </w:r>
      <w:hyperlink r:id="rId44" w:history="1">
        <w:r w:rsidRPr="00883B69">
          <w:rPr>
            <w:rStyle w:val="Hyperlink"/>
          </w:rPr>
          <w:t>https://blogcheps.wordpress.com/2015/08/07/bridging-gaps-in-higher-education-studies-internal-structure-and-demand-conditions-mediating-university-third-mission-performance/</w:t>
        </w:r>
      </w:hyperlink>
    </w:p>
    <w:p w14:paraId="1CF88F63" w14:textId="77777777" w:rsidR="00883B69" w:rsidRPr="00883B69" w:rsidRDefault="00883B69" w:rsidP="00883B69">
      <w:pPr>
        <w:pStyle w:val="EndNoteBibliography"/>
        <w:spacing w:after="0"/>
        <w:ind w:left="720" w:hanging="720"/>
      </w:pPr>
      <w:r w:rsidRPr="00883B69">
        <w:t xml:space="preserve">Taheri, M., &amp; van Geenhuizen, M. (2016). Teams' boundary- spanning capacity at university: Performance of technology projects in commercialization. </w:t>
      </w:r>
      <w:r w:rsidRPr="00883B69">
        <w:rPr>
          <w:i/>
        </w:rPr>
        <w:t>Technological Forecasting &amp; Social Change, 111</w:t>
      </w:r>
      <w:r w:rsidRPr="00883B69">
        <w:t>, 31-43. doi:10.1016/j.techfore.2016.06.003</w:t>
      </w:r>
    </w:p>
    <w:p w14:paraId="1144AC34" w14:textId="77777777" w:rsidR="00883B69" w:rsidRPr="00883B69" w:rsidRDefault="00883B69" w:rsidP="00883B69">
      <w:pPr>
        <w:pStyle w:val="EndNoteBibliography"/>
        <w:spacing w:after="0"/>
        <w:ind w:left="720" w:hanging="720"/>
      </w:pPr>
      <w:r w:rsidRPr="00883B69">
        <w:t xml:space="preserve">Terama, E., Smallman, M., Lock, S., Johnson, C., &amp; Austwick, M. (2016). Beyond academia – interrogating research impact in the Research Excellence Framework. </w:t>
      </w:r>
      <w:r w:rsidRPr="00883B69">
        <w:rPr>
          <w:i/>
        </w:rPr>
        <w:t>PLOS One</w:t>
      </w:r>
      <w:r w:rsidRPr="00883B69">
        <w:t xml:space="preserve">. </w:t>
      </w:r>
    </w:p>
    <w:p w14:paraId="6B60377F" w14:textId="77777777" w:rsidR="00883B69" w:rsidRPr="00883B69" w:rsidRDefault="00883B69" w:rsidP="00883B69">
      <w:pPr>
        <w:pStyle w:val="EndNoteBibliography"/>
        <w:spacing w:after="0"/>
        <w:ind w:left="720" w:hanging="720"/>
      </w:pPr>
      <w:r w:rsidRPr="00883B69">
        <w:t xml:space="preserve">Thune, T. (2010). The Training of "Triple Helix Workers"? Doctoral Students in University-Industry-Government Collaborations. </w:t>
      </w:r>
      <w:r w:rsidRPr="00883B69">
        <w:rPr>
          <w:i/>
        </w:rPr>
        <w:t>Minerva: A Review of Science, Learning and Policy, 48</w:t>
      </w:r>
      <w:r w:rsidRPr="00883B69">
        <w:t>(4), 463-483. doi:10.1007/s11024-010-9158-7</w:t>
      </w:r>
    </w:p>
    <w:p w14:paraId="15BCE1AC" w14:textId="77777777" w:rsidR="00883B69" w:rsidRPr="00883B69" w:rsidRDefault="00883B69" w:rsidP="00883B69">
      <w:pPr>
        <w:pStyle w:val="EndNoteBibliography"/>
        <w:spacing w:after="0"/>
        <w:ind w:left="720" w:hanging="720"/>
      </w:pPr>
      <w:r w:rsidRPr="00883B69">
        <w:t xml:space="preserve">Tilly, C. (1998). </w:t>
      </w:r>
      <w:r w:rsidRPr="00883B69">
        <w:rPr>
          <w:i/>
        </w:rPr>
        <w:t>Durable Inequality</w:t>
      </w:r>
      <w:r w:rsidRPr="00883B69">
        <w:t>. Berkeley: University of California Press.</w:t>
      </w:r>
    </w:p>
    <w:p w14:paraId="64E8ECD0" w14:textId="3B22A0FD" w:rsidR="00883B69" w:rsidRPr="00883B69" w:rsidRDefault="00883B69" w:rsidP="00883B69">
      <w:pPr>
        <w:pStyle w:val="EndNoteBibliography"/>
        <w:spacing w:after="0"/>
        <w:ind w:left="720" w:hanging="720"/>
      </w:pPr>
      <w:r w:rsidRPr="00883B69">
        <w:t xml:space="preserve">Times Higher Education. (2014). Research Excellence Framework 2014: Institutions Ranked by Subject. </w:t>
      </w:r>
      <w:r w:rsidRPr="00883B69">
        <w:rPr>
          <w:i/>
        </w:rPr>
        <w:t>Times Higher Education</w:t>
      </w:r>
      <w:r w:rsidRPr="00883B69">
        <w:t xml:space="preserve">. Retrieved from </w:t>
      </w:r>
      <w:hyperlink r:id="rId45" w:history="1">
        <w:r w:rsidRPr="00883B69">
          <w:rPr>
            <w:rStyle w:val="Hyperlink"/>
          </w:rPr>
          <w:t>https://www.timeshighereducation.com/sites/default/files/Attachments/2014/12/17/g/o/l/sub-14-01.pdf</w:t>
        </w:r>
      </w:hyperlink>
    </w:p>
    <w:p w14:paraId="4B25B95C" w14:textId="77777777" w:rsidR="00883B69" w:rsidRPr="00883B69" w:rsidRDefault="00883B69" w:rsidP="00883B69">
      <w:pPr>
        <w:pStyle w:val="EndNoteBibliography"/>
        <w:spacing w:after="0"/>
        <w:ind w:left="720" w:hanging="720"/>
      </w:pPr>
      <w:r w:rsidRPr="00883B69">
        <w:t xml:space="preserve">Titscher, S. M., Michael, Wodak, R., &amp; Vetter, E. (2000). </w:t>
      </w:r>
      <w:r w:rsidRPr="00883B69">
        <w:rPr>
          <w:i/>
        </w:rPr>
        <w:t>Methods of text and discourse analysis</w:t>
      </w:r>
      <w:r w:rsidRPr="00883B69">
        <w:t>. London: SAGE.</w:t>
      </w:r>
    </w:p>
    <w:p w14:paraId="49329195" w14:textId="77777777" w:rsidR="00883B69" w:rsidRPr="00883B69" w:rsidRDefault="00883B69" w:rsidP="00883B69">
      <w:pPr>
        <w:pStyle w:val="EndNoteBibliography"/>
        <w:spacing w:after="0"/>
        <w:ind w:left="720" w:hanging="720"/>
      </w:pPr>
      <w:r w:rsidRPr="00883B69">
        <w:t xml:space="preserve">Torell, B. (2005). The Role of Narration in High Stakes Decision Making: "Translating Knowing into Telling". In G. Schreyögg &amp; J. Koch (Eds.), </w:t>
      </w:r>
      <w:r w:rsidRPr="00883B69">
        <w:rPr>
          <w:i/>
        </w:rPr>
        <w:t>Knowledge management and narratives: Organizational effectiveness through storytelling</w:t>
      </w:r>
      <w:r w:rsidRPr="00883B69">
        <w:t>. Berlin: Erich Schmidt Verlag.</w:t>
      </w:r>
    </w:p>
    <w:p w14:paraId="13CCF34A" w14:textId="77777777" w:rsidR="00883B69" w:rsidRPr="00883B69" w:rsidRDefault="00883B69" w:rsidP="00883B69">
      <w:pPr>
        <w:pStyle w:val="EndNoteBibliography"/>
        <w:spacing w:after="0"/>
        <w:ind w:left="720" w:hanging="720"/>
      </w:pPr>
      <w:r w:rsidRPr="00883B69">
        <w:t xml:space="preserve">Trowler, P. (2014). Depicting and Researching Disciplines: Strong and Moderate Essentialist Approaches. </w:t>
      </w:r>
      <w:r w:rsidRPr="00883B69">
        <w:rPr>
          <w:i/>
        </w:rPr>
        <w:t>Studies in Higher Education, 39</w:t>
      </w:r>
      <w:r w:rsidRPr="00883B69">
        <w:t>(10), 1720-1731. doi:10.1080/03075079.2013.801431</w:t>
      </w:r>
    </w:p>
    <w:p w14:paraId="4B7D1D83" w14:textId="77777777" w:rsidR="00883B69" w:rsidRPr="00883B69" w:rsidRDefault="00883B69" w:rsidP="00883B69">
      <w:pPr>
        <w:pStyle w:val="EndNoteBibliography"/>
        <w:spacing w:after="0"/>
        <w:ind w:left="720" w:hanging="720"/>
      </w:pPr>
      <w:r w:rsidRPr="00883B69">
        <w:t xml:space="preserve">Trowler, P., Saunders, M., &amp; Bamber, V. (2012). </w:t>
      </w:r>
      <w:r w:rsidRPr="00883B69">
        <w:rPr>
          <w:i/>
        </w:rPr>
        <w:t>Tribes and territories in the 21st century: rethinking the significance of disciplines in higher education</w:t>
      </w:r>
      <w:r w:rsidRPr="00883B69">
        <w:t>. Oxon: Routledge.</w:t>
      </w:r>
    </w:p>
    <w:p w14:paraId="0FA57811" w14:textId="77777777" w:rsidR="00883B69" w:rsidRPr="00883B69" w:rsidRDefault="00883B69" w:rsidP="00883B69">
      <w:pPr>
        <w:pStyle w:val="EndNoteBibliography"/>
        <w:spacing w:after="0"/>
        <w:ind w:left="720" w:hanging="720"/>
      </w:pPr>
      <w:r w:rsidRPr="00883B69">
        <w:t xml:space="preserve">Turnbull, N., &amp; Antalffy, N. (2009). Bourdieu's distinction between philosophical and sociological approaches to Science Studies*. </w:t>
      </w:r>
      <w:r w:rsidRPr="00883B69">
        <w:rPr>
          <w:i/>
        </w:rPr>
        <w:t>Sociological Review, 57</w:t>
      </w:r>
      <w:r w:rsidRPr="00883B69">
        <w:t>(4), 547-566. doi:10.1111/j.1467-954X.2009.01861.x</w:t>
      </w:r>
    </w:p>
    <w:p w14:paraId="30E06FCF" w14:textId="3A86D98F" w:rsidR="00883B69" w:rsidRPr="00883B69" w:rsidRDefault="00883B69" w:rsidP="00883B69">
      <w:pPr>
        <w:pStyle w:val="EndNoteBibliography"/>
        <w:spacing w:after="0"/>
        <w:ind w:left="720" w:hanging="720"/>
      </w:pPr>
      <w:r w:rsidRPr="00883B69">
        <w:t xml:space="preserve">University College London. (n.d.). The UCL Grand Challenges approach.  Retrieved from </w:t>
      </w:r>
      <w:hyperlink r:id="rId46" w:history="1">
        <w:r w:rsidRPr="00883B69">
          <w:rPr>
            <w:rStyle w:val="Hyperlink"/>
          </w:rPr>
          <w:t>https://www.ucl.ac.uk/grand-challenges/the-grand-challenges-approach</w:t>
        </w:r>
      </w:hyperlink>
    </w:p>
    <w:p w14:paraId="406078BD" w14:textId="62552002" w:rsidR="00883B69" w:rsidRPr="00883B69" w:rsidRDefault="00883B69" w:rsidP="00883B69">
      <w:pPr>
        <w:pStyle w:val="EndNoteBibliography"/>
        <w:spacing w:after="0"/>
        <w:ind w:left="720" w:hanging="720"/>
      </w:pPr>
      <w:r w:rsidRPr="00883B69">
        <w:t xml:space="preserve">University of East London. (2014). </w:t>
      </w:r>
      <w:r w:rsidRPr="00883B69">
        <w:rPr>
          <w:i/>
        </w:rPr>
        <w:t>Informing public and policy debate about and improving understanding of the effects of cigarette and e-cigarette smoking (ID 41149)</w:t>
      </w:r>
      <w:r w:rsidRPr="00883B69">
        <w:t xml:space="preserve">. Retrieved from </w:t>
      </w:r>
      <w:hyperlink r:id="rId47" w:history="1">
        <w:r w:rsidRPr="00883B69">
          <w:rPr>
            <w:rStyle w:val="Hyperlink"/>
          </w:rPr>
          <w:t>http://impact.ref.ac.uk/CaseStudies/CaseStudy.aspx?Id=41149</w:t>
        </w:r>
      </w:hyperlink>
    </w:p>
    <w:p w14:paraId="1CB34069" w14:textId="77777777" w:rsidR="00883B69" w:rsidRPr="00883B69" w:rsidRDefault="00883B69" w:rsidP="00883B69">
      <w:pPr>
        <w:pStyle w:val="EndNoteBibliography"/>
        <w:spacing w:after="0"/>
        <w:ind w:left="720" w:hanging="720"/>
      </w:pPr>
      <w:r w:rsidRPr="00883B69">
        <w:t xml:space="preserve">Upton, S., Vallance, P., &amp; Goddard, J. (2014). From outcomes to process: evidence for a new approach to research impact assessment. </w:t>
      </w:r>
      <w:r w:rsidRPr="00883B69">
        <w:rPr>
          <w:i/>
        </w:rPr>
        <w:t>Research Evaluation, 23</w:t>
      </w:r>
      <w:r w:rsidRPr="00883B69">
        <w:t>(4), 352-365. doi:10.1093/reseval/rvu021</w:t>
      </w:r>
    </w:p>
    <w:p w14:paraId="4ECD3774" w14:textId="77777777" w:rsidR="00883B69" w:rsidRPr="00883B69" w:rsidRDefault="00883B69" w:rsidP="00883B69">
      <w:pPr>
        <w:pStyle w:val="EndNoteBibliography"/>
        <w:spacing w:after="0"/>
        <w:ind w:left="720" w:hanging="720"/>
      </w:pPr>
      <w:r w:rsidRPr="00883B69">
        <w:t xml:space="preserve">Vakkuri, J. (2004). Institutional Change of Universities as a Problem of Evolving Boundaries. </w:t>
      </w:r>
      <w:r w:rsidRPr="00883B69">
        <w:rPr>
          <w:i/>
        </w:rPr>
        <w:t>Higher education policy., 17</w:t>
      </w:r>
      <w:r w:rsidRPr="00883B69">
        <w:t>(3), 287-309. doi:10.1057/palgrave.hep.8300056</w:t>
      </w:r>
    </w:p>
    <w:p w14:paraId="2DFD2F9A" w14:textId="76B9DD7E" w:rsidR="00883B69" w:rsidRPr="00883B69" w:rsidRDefault="00883B69" w:rsidP="00883B69">
      <w:pPr>
        <w:pStyle w:val="EndNoteBibliography"/>
        <w:spacing w:after="0"/>
        <w:ind w:left="720" w:hanging="720"/>
      </w:pPr>
      <w:r w:rsidRPr="00883B69">
        <w:t xml:space="preserve">van den Akker, W., &amp; Spaapen, J. (2017). </w:t>
      </w:r>
      <w:r w:rsidRPr="00883B69">
        <w:rPr>
          <w:i/>
        </w:rPr>
        <w:t>Productive interactions: societal impact of academic research in the knowledge society</w:t>
      </w:r>
      <w:r w:rsidRPr="00883B69">
        <w:t xml:space="preserve">. Retrieved from </w:t>
      </w:r>
      <w:hyperlink r:id="rId48" w:history="1">
        <w:r w:rsidRPr="00883B69">
          <w:rPr>
            <w:rStyle w:val="Hyperlink"/>
          </w:rPr>
          <w:t>http://www.leru.org/files/publications/LERU_Position_Paper_Societal_Impact.pdf</w:t>
        </w:r>
      </w:hyperlink>
    </w:p>
    <w:p w14:paraId="6F8FE5D6" w14:textId="77777777" w:rsidR="00883B69" w:rsidRPr="00883B69" w:rsidRDefault="00883B69" w:rsidP="00883B69">
      <w:pPr>
        <w:pStyle w:val="EndNoteBibliography"/>
        <w:spacing w:after="0"/>
        <w:ind w:left="720" w:hanging="720"/>
      </w:pPr>
      <w:r w:rsidRPr="00883B69">
        <w:t xml:space="preserve">Van Wijk, R., Jansen, J., &amp; Lyles, M. (2009). </w:t>
      </w:r>
      <w:r w:rsidRPr="00883B69">
        <w:rPr>
          <w:i/>
        </w:rPr>
        <w:t>Social capital, knowledge transfer and outcomes: Meta-analysis of a moderated mediation model.</w:t>
      </w:r>
      <w:r w:rsidRPr="00883B69">
        <w:t xml:space="preserve"> Paper presented at the Academy of Management 2009 Annual Meeting: Green Management Matters, AOM 2009.</w:t>
      </w:r>
    </w:p>
    <w:p w14:paraId="347CA86F" w14:textId="77777777" w:rsidR="00883B69" w:rsidRPr="00883B69" w:rsidRDefault="00883B69" w:rsidP="00883B69">
      <w:pPr>
        <w:pStyle w:val="EndNoteBibliography"/>
        <w:spacing w:after="0"/>
        <w:ind w:left="720" w:hanging="720"/>
      </w:pPr>
      <w:r w:rsidRPr="00883B69">
        <w:t xml:space="preserve">Variainen, P., &amp; Viiri, A. (2005). Universities and Their Local Partners: The Case of the University of Joensuu. In A. Antikainen (Ed.), </w:t>
      </w:r>
      <w:r w:rsidRPr="00883B69">
        <w:rPr>
          <w:i/>
        </w:rPr>
        <w:t>Transforming a learning society: the case of  Finland</w:t>
      </w:r>
      <w:r w:rsidRPr="00883B69">
        <w:t>. Oxford: Peter Lang.</w:t>
      </w:r>
    </w:p>
    <w:p w14:paraId="23FED756" w14:textId="77777777" w:rsidR="00883B69" w:rsidRPr="00883B69" w:rsidRDefault="00883B69" w:rsidP="00883B69">
      <w:pPr>
        <w:pStyle w:val="EndNoteBibliography"/>
        <w:spacing w:after="0"/>
        <w:ind w:left="720" w:hanging="720"/>
      </w:pPr>
      <w:r w:rsidRPr="00883B69">
        <w:t xml:space="preserve">Warry, P. (2006). </w:t>
      </w:r>
      <w:r w:rsidRPr="00883B69">
        <w:rPr>
          <w:i/>
        </w:rPr>
        <w:t>Increasing the economic impact of Research Councils: Advice to the Director General of Science and Innovation, DTI from the Research Council Economic Impact Group</w:t>
      </w:r>
      <w:r w:rsidRPr="00883B69">
        <w:t>.</w:t>
      </w:r>
    </w:p>
    <w:p w14:paraId="15D6747A" w14:textId="77777777" w:rsidR="00883B69" w:rsidRPr="00883B69" w:rsidRDefault="00883B69" w:rsidP="00883B69">
      <w:pPr>
        <w:pStyle w:val="EndNoteBibliography"/>
        <w:spacing w:after="0"/>
        <w:ind w:left="720" w:hanging="720"/>
      </w:pPr>
      <w:r w:rsidRPr="00883B69">
        <w:t xml:space="preserve">Watermeyer, R. (2011). Challenges for University Engagement in the UK: Towards a Public Academe? </w:t>
      </w:r>
      <w:r w:rsidRPr="00883B69">
        <w:rPr>
          <w:i/>
        </w:rPr>
        <w:t>Higher Education Quarterly, 65</w:t>
      </w:r>
      <w:r w:rsidRPr="00883B69">
        <w:t>(4), 386-410. doi:10.1111/j.1468-2273.2011.00492.x</w:t>
      </w:r>
    </w:p>
    <w:p w14:paraId="55ACFC61" w14:textId="77777777" w:rsidR="00883B69" w:rsidRPr="00883B69" w:rsidRDefault="00883B69" w:rsidP="00883B69">
      <w:pPr>
        <w:pStyle w:val="EndNoteBibliography"/>
        <w:spacing w:after="0"/>
        <w:ind w:left="720" w:hanging="720"/>
      </w:pPr>
      <w:r w:rsidRPr="00883B69">
        <w:t xml:space="preserve">Watermeyer, R. (2012). From engagement to impact? Articulating the public value of academic research. </w:t>
      </w:r>
      <w:r w:rsidRPr="00883B69">
        <w:rPr>
          <w:i/>
        </w:rPr>
        <w:t>Tertiary Education and Management, 18</w:t>
      </w:r>
      <w:r w:rsidRPr="00883B69">
        <w:t xml:space="preserve">(2), 115-130. </w:t>
      </w:r>
    </w:p>
    <w:p w14:paraId="0C02A37D" w14:textId="77777777" w:rsidR="00883B69" w:rsidRPr="00883B69" w:rsidRDefault="00883B69" w:rsidP="00883B69">
      <w:pPr>
        <w:pStyle w:val="EndNoteBibliography"/>
        <w:spacing w:after="0"/>
        <w:ind w:left="720" w:hanging="720"/>
      </w:pPr>
      <w:r w:rsidRPr="00883B69">
        <w:t xml:space="preserve">Watermeyer, R. (2014). Issues in the articulation of ‘impact’: the responses of UK academics to ‘impact’ as a new measure of research assessment. </w:t>
      </w:r>
      <w:r w:rsidRPr="00883B69">
        <w:rPr>
          <w:i/>
        </w:rPr>
        <w:t>Studies in Higher Education, 39</w:t>
      </w:r>
      <w:r w:rsidRPr="00883B69">
        <w:t>(2), 359-377. doi:10.1080/03075079.2012.709490</w:t>
      </w:r>
    </w:p>
    <w:p w14:paraId="42455199" w14:textId="77777777" w:rsidR="00883B69" w:rsidRPr="00883B69" w:rsidRDefault="00883B69" w:rsidP="00883B69">
      <w:pPr>
        <w:pStyle w:val="EndNoteBibliography"/>
        <w:spacing w:after="0"/>
        <w:ind w:left="720" w:hanging="720"/>
      </w:pPr>
      <w:r w:rsidRPr="00883B69">
        <w:t xml:space="preserve">Watermeyer, R. (2015). Lost in the ‘ third space’: the impact of public engagement in higher education on academic identity, research practice and career progression. </w:t>
      </w:r>
      <w:r w:rsidRPr="00883B69">
        <w:rPr>
          <w:i/>
        </w:rPr>
        <w:t>European Journal of Higher Education, 5</w:t>
      </w:r>
      <w:r w:rsidRPr="00883B69">
        <w:t>(3), 1-17. doi:10.1080/21568235.2015.1044546</w:t>
      </w:r>
    </w:p>
    <w:p w14:paraId="5DC26D31" w14:textId="77777777" w:rsidR="00883B69" w:rsidRPr="00883B69" w:rsidRDefault="00883B69" w:rsidP="00883B69">
      <w:pPr>
        <w:pStyle w:val="EndNoteBibliography"/>
        <w:spacing w:after="0"/>
        <w:ind w:left="720" w:hanging="720"/>
      </w:pPr>
      <w:r w:rsidRPr="00883B69">
        <w:t xml:space="preserve">Watermeyer, R. (2016a). Impact in the REF: issues and obstacles. </w:t>
      </w:r>
      <w:r w:rsidRPr="00883B69">
        <w:rPr>
          <w:i/>
        </w:rPr>
        <w:t>Studies in Higher Education, 41</w:t>
      </w:r>
      <w:r w:rsidRPr="00883B69">
        <w:t>(2), 199-214. doi:10.1080/03075079.2014.915303</w:t>
      </w:r>
    </w:p>
    <w:p w14:paraId="6C23E446" w14:textId="77777777" w:rsidR="00883B69" w:rsidRPr="00883B69" w:rsidRDefault="00883B69" w:rsidP="00883B69">
      <w:pPr>
        <w:pStyle w:val="EndNoteBibliography"/>
        <w:spacing w:after="0"/>
        <w:ind w:left="720" w:hanging="720"/>
      </w:pPr>
      <w:r w:rsidRPr="00883B69">
        <w:t xml:space="preserve">Watermeyer, R. (2016b). Public intellectuals vs. new public management: the defeat of public engagement in higher education. </w:t>
      </w:r>
      <w:r w:rsidRPr="00883B69">
        <w:rPr>
          <w:i/>
        </w:rPr>
        <w:t>Studies in Higher Education, 41</w:t>
      </w:r>
      <w:r w:rsidRPr="00883B69">
        <w:t>(12), 2271-2285. doi:10.1080/03075079.2015.1034261</w:t>
      </w:r>
    </w:p>
    <w:p w14:paraId="05C81414" w14:textId="77777777" w:rsidR="00883B69" w:rsidRPr="00883B69" w:rsidRDefault="00883B69" w:rsidP="00883B69">
      <w:pPr>
        <w:pStyle w:val="EndNoteBibliography"/>
        <w:spacing w:after="0"/>
        <w:ind w:left="720" w:hanging="720"/>
      </w:pPr>
      <w:r w:rsidRPr="00883B69">
        <w:t xml:space="preserve">Watermeyer, R., &amp; Chubb, J. (2018). Evaluating ‘impact’ in the UK’s Research Excellence Framework (REF): liminality, looseness and new modalities of scholarly distinction. </w:t>
      </w:r>
      <w:r w:rsidRPr="00883B69">
        <w:rPr>
          <w:i/>
        </w:rPr>
        <w:t>Studies in Higher Education</w:t>
      </w:r>
      <w:r w:rsidRPr="00883B69">
        <w:t>, 1-13. doi:10.1080/03075079.2018.1455082</w:t>
      </w:r>
    </w:p>
    <w:p w14:paraId="671DC5DF" w14:textId="77777777" w:rsidR="00883B69" w:rsidRPr="00883B69" w:rsidRDefault="00883B69" w:rsidP="00883B69">
      <w:pPr>
        <w:pStyle w:val="EndNoteBibliography"/>
        <w:spacing w:after="0"/>
        <w:ind w:left="720" w:hanging="720"/>
      </w:pPr>
      <w:r w:rsidRPr="00883B69">
        <w:t xml:space="preserve">Watermeyer, R., &amp; Hedgecoe, A. (2016). Selling ‘impact’: peer reviewer projections of what is needed and what counts in REF impact case studies. A retrospective analysis. </w:t>
      </w:r>
      <w:r w:rsidRPr="00883B69">
        <w:rPr>
          <w:i/>
        </w:rPr>
        <w:t>Journal of Education Policy, 31</w:t>
      </w:r>
      <w:r w:rsidRPr="00883B69">
        <w:t>(5), 651-665. doi:10.1080/02680939.2016.1170885</w:t>
      </w:r>
    </w:p>
    <w:p w14:paraId="7B7B02F2" w14:textId="77777777" w:rsidR="00883B69" w:rsidRPr="00883B69" w:rsidRDefault="00883B69" w:rsidP="00883B69">
      <w:pPr>
        <w:pStyle w:val="EndNoteBibliography"/>
        <w:spacing w:after="0"/>
        <w:ind w:left="720" w:hanging="720"/>
      </w:pPr>
      <w:r w:rsidRPr="00883B69">
        <w:t xml:space="preserve">Watermeyer, R., &amp; Olssen, M. (2016). ‘Excellence’ and Exclusion: The Individual Costs of Institutional Competitiveness. </w:t>
      </w:r>
      <w:r w:rsidRPr="00883B69">
        <w:rPr>
          <w:i/>
        </w:rPr>
        <w:t>A Review of Science, Learning and Policy, 54</w:t>
      </w:r>
      <w:r w:rsidRPr="00883B69">
        <w:t>(2), 201-218. doi:10.1007/s11024-016-9298-5</w:t>
      </w:r>
    </w:p>
    <w:p w14:paraId="307B1EA5" w14:textId="77777777" w:rsidR="00883B69" w:rsidRPr="00883B69" w:rsidRDefault="00883B69" w:rsidP="00883B69">
      <w:pPr>
        <w:pStyle w:val="EndNoteBibliography"/>
        <w:spacing w:after="0"/>
        <w:ind w:left="720" w:hanging="720"/>
      </w:pPr>
      <w:r w:rsidRPr="00883B69">
        <w:t xml:space="preserve">Westerman, M. A., &amp; Yanchar, S. C. (2011). Changing the terms of the debate: Quantitative methods in explicitly interpretive research. </w:t>
      </w:r>
      <w:r w:rsidRPr="00883B69">
        <w:rPr>
          <w:i/>
        </w:rPr>
        <w:t>Theory &amp; Psychology, 21</w:t>
      </w:r>
      <w:r w:rsidRPr="00883B69">
        <w:t>(2), 139-154. doi:10.1177/0959354310393565</w:t>
      </w:r>
    </w:p>
    <w:p w14:paraId="610C9B01" w14:textId="77777777" w:rsidR="00883B69" w:rsidRPr="00883B69" w:rsidRDefault="00883B69" w:rsidP="00883B69">
      <w:pPr>
        <w:pStyle w:val="EndNoteBibliography"/>
        <w:spacing w:after="0"/>
        <w:ind w:left="720" w:hanging="720"/>
      </w:pPr>
      <w:r w:rsidRPr="00883B69">
        <w:t xml:space="preserve">Whitley, R. (2000). </w:t>
      </w:r>
      <w:r w:rsidRPr="00883B69">
        <w:rPr>
          <w:i/>
        </w:rPr>
        <w:t>The intellectual and social organization of the sciences</w:t>
      </w:r>
      <w:r w:rsidRPr="00883B69">
        <w:t xml:space="preserve"> (2nd ed.). Oxford: Oxford University Press.</w:t>
      </w:r>
    </w:p>
    <w:p w14:paraId="2B062A04" w14:textId="77777777" w:rsidR="00883B69" w:rsidRPr="00883B69" w:rsidRDefault="00883B69" w:rsidP="00883B69">
      <w:pPr>
        <w:pStyle w:val="EndNoteBibliography"/>
        <w:spacing w:after="0"/>
        <w:ind w:left="720" w:hanging="720"/>
      </w:pPr>
      <w:r w:rsidRPr="00883B69">
        <w:t xml:space="preserve">Wilsdon, J., Allen, L., Belfiore, E., Campbell, P., Curry, S., Hill, S., . . . Johnson, B. (2016). </w:t>
      </w:r>
      <w:r w:rsidRPr="00883B69">
        <w:rPr>
          <w:i/>
        </w:rPr>
        <w:t>The Metric Tide: The Independent Review of the Role of Metrics in Research Assessment &amp; Management</w:t>
      </w:r>
      <w:r w:rsidRPr="00883B69">
        <w:t xml:space="preserve"> (Rev. version. ed.). London: SAGE.</w:t>
      </w:r>
    </w:p>
    <w:p w14:paraId="29B5CD91" w14:textId="77777777" w:rsidR="00883B69" w:rsidRPr="00883B69" w:rsidRDefault="00883B69" w:rsidP="00883B69">
      <w:pPr>
        <w:pStyle w:val="EndNoteBibliography"/>
        <w:spacing w:after="0"/>
        <w:ind w:left="720" w:hanging="720"/>
      </w:pPr>
      <w:r w:rsidRPr="00883B69">
        <w:t xml:space="preserve">Wimmer, E. N., Rethlefsen, M. L., Jarvis, C., &amp; Shipman, J. P. (2016). Understanding Research Impact: A Review of Existing and Emerging Tools for Nursing. </w:t>
      </w:r>
      <w:r w:rsidRPr="00883B69">
        <w:rPr>
          <w:i/>
        </w:rPr>
        <w:t>Journal of Professional Nursing</w:t>
      </w:r>
      <w:r w:rsidRPr="00883B69">
        <w:t>. doi:10.1016/j.profnurs.2016.05.005</w:t>
      </w:r>
    </w:p>
    <w:p w14:paraId="5E2EF4D5" w14:textId="77777777" w:rsidR="00883B69" w:rsidRPr="00883B69" w:rsidRDefault="00883B69" w:rsidP="00883B69">
      <w:pPr>
        <w:pStyle w:val="EndNoteBibliography"/>
        <w:spacing w:after="0"/>
        <w:ind w:left="720" w:hanging="720"/>
      </w:pPr>
      <w:r w:rsidRPr="00883B69">
        <w:t xml:space="preserve">Wright, S. (2016). Universities in a knowledge economy or ecology? Policy, contestation and abjection. </w:t>
      </w:r>
      <w:r w:rsidRPr="00883B69">
        <w:rPr>
          <w:i/>
        </w:rPr>
        <w:t>Critical Policy Studies, 10</w:t>
      </w:r>
      <w:r w:rsidRPr="00883B69">
        <w:t>(1), 59-78. doi:10.1080/19460171.2016.1142457</w:t>
      </w:r>
    </w:p>
    <w:p w14:paraId="7D4C3DA9" w14:textId="77777777" w:rsidR="00883B69" w:rsidRPr="00883B69" w:rsidRDefault="00883B69" w:rsidP="00883B69">
      <w:pPr>
        <w:pStyle w:val="EndNoteBibliography"/>
        <w:spacing w:after="0"/>
        <w:ind w:left="720" w:hanging="720"/>
      </w:pPr>
      <w:r w:rsidRPr="00883B69">
        <w:t xml:space="preserve">Ylijoki, O.-H. (2003). Entangled in academic capitalism? A case-study on changing ideals and practices of university research. </w:t>
      </w:r>
      <w:r w:rsidRPr="00883B69">
        <w:rPr>
          <w:i/>
        </w:rPr>
        <w:t>Higher Education, 45</w:t>
      </w:r>
      <w:r w:rsidRPr="00883B69">
        <w:t>(3), 307-335. doi:10.1023/A:1022667923715</w:t>
      </w:r>
    </w:p>
    <w:p w14:paraId="56943C53" w14:textId="77777777" w:rsidR="00883B69" w:rsidRPr="00883B69" w:rsidRDefault="00883B69" w:rsidP="00883B69">
      <w:pPr>
        <w:pStyle w:val="EndNoteBibliography"/>
        <w:spacing w:after="0"/>
        <w:ind w:left="720" w:hanging="720"/>
      </w:pPr>
      <w:r w:rsidRPr="00883B69">
        <w:t xml:space="preserve">Young, M. F. D. (2008). </w:t>
      </w:r>
      <w:r w:rsidRPr="00883B69">
        <w:rPr>
          <w:i/>
        </w:rPr>
        <w:t>Bringing knowledge back in: from social constructivism to social realism in the sociology of education</w:t>
      </w:r>
      <w:r w:rsidRPr="00883B69">
        <w:t>. London: Routledge.</w:t>
      </w:r>
    </w:p>
    <w:p w14:paraId="32B5E782" w14:textId="77777777" w:rsidR="00883B69" w:rsidRPr="00883B69" w:rsidRDefault="00883B69" w:rsidP="00883B69">
      <w:pPr>
        <w:pStyle w:val="EndNoteBibliography"/>
        <w:spacing w:after="0"/>
        <w:ind w:left="720" w:hanging="720"/>
      </w:pPr>
      <w:r w:rsidRPr="00883B69">
        <w:t xml:space="preserve">Youtie, J., &amp; Shapira, P. (2008). Building an innovation hub: A case study of the transformation of university roles in regional technological and economic development. </w:t>
      </w:r>
      <w:r w:rsidRPr="00883B69">
        <w:rPr>
          <w:i/>
        </w:rPr>
        <w:t>Research Policy, 37</w:t>
      </w:r>
      <w:r w:rsidRPr="00883B69">
        <w:t>(8), 1188-1204. doi:10.1016/j.respol.2008.04.012</w:t>
      </w:r>
    </w:p>
    <w:p w14:paraId="5160FB19" w14:textId="77777777" w:rsidR="00883B69" w:rsidRPr="00883B69" w:rsidRDefault="00883B69" w:rsidP="00883B69">
      <w:pPr>
        <w:pStyle w:val="EndNoteBibliography"/>
        <w:spacing w:after="0"/>
        <w:ind w:left="720" w:hanging="720"/>
      </w:pPr>
      <w:r w:rsidRPr="00883B69">
        <w:t xml:space="preserve">Zellner, C. (2002). Evaluating the social economic benefits of publicly funded basic research via scientists' career mobility. </w:t>
      </w:r>
      <w:r w:rsidRPr="00883B69">
        <w:rPr>
          <w:i/>
        </w:rPr>
        <w:t>Research Evaluation, 11</w:t>
      </w:r>
      <w:r w:rsidRPr="00883B69">
        <w:t xml:space="preserve">(1), 27-35. </w:t>
      </w:r>
    </w:p>
    <w:p w14:paraId="29FC3D41" w14:textId="77777777" w:rsidR="00883B69" w:rsidRPr="00883B69" w:rsidRDefault="00883B69" w:rsidP="00883B69">
      <w:pPr>
        <w:pStyle w:val="EndNoteBibliography"/>
        <w:spacing w:after="0"/>
        <w:ind w:left="720" w:hanging="720"/>
      </w:pPr>
      <w:r w:rsidRPr="00883B69">
        <w:t xml:space="preserve">Ziman, J. M. (1984). </w:t>
      </w:r>
      <w:r w:rsidRPr="00883B69">
        <w:rPr>
          <w:i/>
        </w:rPr>
        <w:t>An Introduction to Science Studies: The philosophical and social aspects of science and technology</w:t>
      </w:r>
      <w:r w:rsidRPr="00883B69">
        <w:t>. Cambridge: Cambridge University Press.</w:t>
      </w:r>
    </w:p>
    <w:p w14:paraId="3131F841" w14:textId="77777777" w:rsidR="00883B69" w:rsidRPr="00883B69" w:rsidRDefault="00883B69" w:rsidP="00883B69">
      <w:pPr>
        <w:pStyle w:val="EndNoteBibliography"/>
        <w:spacing w:after="0"/>
        <w:ind w:left="720" w:hanging="720"/>
      </w:pPr>
      <w:r w:rsidRPr="00883B69">
        <w:t xml:space="preserve">Ziman, J. M. (1991). Academic Science as a System of Markets. </w:t>
      </w:r>
      <w:r w:rsidRPr="00883B69">
        <w:rPr>
          <w:i/>
        </w:rPr>
        <w:t>Higher Education Quarterly, 45</w:t>
      </w:r>
      <w:r w:rsidRPr="00883B69">
        <w:t>(1), 41-61. doi:10.1111/j.1468-2273.1991.tb01555.x</w:t>
      </w:r>
    </w:p>
    <w:p w14:paraId="55F1AAC4" w14:textId="77777777" w:rsidR="00883B69" w:rsidRPr="00883B69" w:rsidRDefault="00883B69" w:rsidP="00883B69">
      <w:pPr>
        <w:pStyle w:val="EndNoteBibliography"/>
        <w:spacing w:after="0"/>
        <w:ind w:left="720" w:hanging="720"/>
      </w:pPr>
      <w:r w:rsidRPr="00883B69">
        <w:t xml:space="preserve">Ziman, J. M. (1996a). Postacademic Science: Constructing Knowledge with Networks and Norms. </w:t>
      </w:r>
      <w:r w:rsidRPr="00883B69">
        <w:rPr>
          <w:i/>
        </w:rPr>
        <w:t>Science Studies, 9</w:t>
      </w:r>
      <w:r w:rsidRPr="00883B69">
        <w:t xml:space="preserve">(1), 67-80. </w:t>
      </w:r>
    </w:p>
    <w:p w14:paraId="77EE57D1" w14:textId="77777777" w:rsidR="00883B69" w:rsidRPr="00883B69" w:rsidRDefault="00883B69" w:rsidP="00883B69">
      <w:pPr>
        <w:pStyle w:val="EndNoteBibliography"/>
        <w:spacing w:after="0"/>
        <w:ind w:left="720" w:hanging="720"/>
      </w:pPr>
      <w:r w:rsidRPr="00883B69">
        <w:t>Ziman, J. M. (1996b). Science Studies from Pole to Pole: A Hooker-Restivo Connection? (Book Review).</w:t>
      </w:r>
      <w:r w:rsidRPr="00883B69">
        <w:rPr>
          <w:i/>
        </w:rPr>
        <w:t xml:space="preserve"> 34</w:t>
      </w:r>
      <w:r w:rsidRPr="00883B69">
        <w:t xml:space="preserve">, 309-314. </w:t>
      </w:r>
    </w:p>
    <w:p w14:paraId="17759F95" w14:textId="77777777" w:rsidR="00883B69" w:rsidRPr="00883B69" w:rsidRDefault="00883B69" w:rsidP="00883B69">
      <w:pPr>
        <w:pStyle w:val="EndNoteBibliography"/>
        <w:spacing w:after="0"/>
        <w:ind w:left="720" w:hanging="720"/>
      </w:pPr>
      <w:r w:rsidRPr="00883B69">
        <w:t xml:space="preserve">Ziman, J. M. (2000). </w:t>
      </w:r>
      <w:r w:rsidRPr="00883B69">
        <w:rPr>
          <w:i/>
        </w:rPr>
        <w:t>Real Science: What it is, and what it means</w:t>
      </w:r>
      <w:r w:rsidRPr="00883B69">
        <w:t>. Cambridge: Cambridge University Press.</w:t>
      </w:r>
    </w:p>
    <w:p w14:paraId="3432FBBA" w14:textId="77777777" w:rsidR="00883B69" w:rsidRPr="00883B69" w:rsidRDefault="00883B69" w:rsidP="00883B69">
      <w:pPr>
        <w:pStyle w:val="EndNoteBibliography"/>
        <w:spacing w:after="0"/>
        <w:ind w:left="720" w:hanging="720"/>
      </w:pPr>
      <w:r w:rsidRPr="00883B69">
        <w:t xml:space="preserve">Ziman, J. M. (2005/1994). </w:t>
      </w:r>
      <w:r w:rsidRPr="00883B69">
        <w:rPr>
          <w:i/>
        </w:rPr>
        <w:t>Prometheus bound: science in a dynamic steady state</w:t>
      </w:r>
      <w:r w:rsidRPr="00883B69">
        <w:t>. Cambridge: Cambridge University Press.</w:t>
      </w:r>
    </w:p>
    <w:p w14:paraId="650ABFFA" w14:textId="77777777" w:rsidR="00883B69" w:rsidRPr="00883B69" w:rsidRDefault="00883B69" w:rsidP="00883B69">
      <w:pPr>
        <w:pStyle w:val="EndNoteBibliography"/>
        <w:ind w:left="720" w:hanging="720"/>
      </w:pPr>
      <w:r w:rsidRPr="00883B69">
        <w:t xml:space="preserve">Zomer, A., &amp; Benneworth, P. (2011). The rise of the university’s third mission. In J. Enders, H. F. de Boer, &amp; D. F. Westerheijden (Eds.), </w:t>
      </w:r>
      <w:r w:rsidRPr="00883B69">
        <w:rPr>
          <w:i/>
        </w:rPr>
        <w:t>Reform of Higher Education in Europe</w:t>
      </w:r>
      <w:r w:rsidRPr="00883B69">
        <w:t xml:space="preserve"> (pp. 81-101): Springer.</w:t>
      </w:r>
    </w:p>
    <w:p w14:paraId="4937FAB0" w14:textId="22EFCFFC" w:rsidR="00272012" w:rsidRDefault="00233012" w:rsidP="009555C8">
      <w:pPr>
        <w:spacing w:after="120" w:line="360" w:lineRule="auto"/>
      </w:pPr>
      <w:r>
        <w:fldChar w:fldCharType="end"/>
      </w:r>
    </w:p>
    <w:p w14:paraId="039907BC" w14:textId="77777777" w:rsidR="00272012" w:rsidRDefault="00272012">
      <w:r>
        <w:br w:type="page"/>
      </w:r>
    </w:p>
    <w:p w14:paraId="20CA69F3" w14:textId="3441B716" w:rsidR="00272012" w:rsidRDefault="00272012" w:rsidP="00272012">
      <w:pPr>
        <w:pStyle w:val="Heading1"/>
        <w:spacing w:before="0"/>
      </w:pPr>
      <w:bookmarkStart w:id="234" w:name="_Toc536717985"/>
      <w:bookmarkStart w:id="235" w:name="_Toc31702009"/>
      <w:r>
        <w:t>Appendices</w:t>
      </w:r>
      <w:bookmarkEnd w:id="234"/>
      <w:bookmarkEnd w:id="235"/>
    </w:p>
    <w:p w14:paraId="5E06C28F" w14:textId="7F879FD6" w:rsidR="00272012" w:rsidRDefault="00272012" w:rsidP="00272012">
      <w:pPr>
        <w:pStyle w:val="Heading2"/>
      </w:pPr>
      <w:bookmarkStart w:id="236" w:name="_Toc536717987"/>
      <w:bookmarkStart w:id="237" w:name="_Toc31702010"/>
      <w:r>
        <w:t xml:space="preserve">Appendix </w:t>
      </w:r>
      <w:r w:rsidR="004D3BA5">
        <w:t>A</w:t>
      </w:r>
      <w:r>
        <w:t>. Definitions of REF starred ratings</w:t>
      </w:r>
      <w:bookmarkEnd w:id="236"/>
      <w:bookmarkEnd w:id="237"/>
    </w:p>
    <w:tbl>
      <w:tblPr>
        <w:tblpPr w:leftFromText="180" w:rightFromText="180" w:vertAnchor="text" w:horzAnchor="margin" w:tblpY="13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7510"/>
      </w:tblGrid>
      <w:tr w:rsidR="00272012" w:rsidRPr="002F7B3C" w14:paraId="7AF85219" w14:textId="77777777" w:rsidTr="004130A7">
        <w:tc>
          <w:tcPr>
            <w:tcW w:w="1413" w:type="dxa"/>
          </w:tcPr>
          <w:p w14:paraId="4462D99E" w14:textId="77777777" w:rsidR="00272012" w:rsidRPr="002F7B3C" w:rsidRDefault="00272012" w:rsidP="004130A7">
            <w:pPr>
              <w:spacing w:after="0" w:line="240" w:lineRule="auto"/>
              <w:rPr>
                <w:sz w:val="24"/>
                <w:szCs w:val="24"/>
              </w:rPr>
            </w:pPr>
            <w:r w:rsidRPr="418505C0">
              <w:rPr>
                <w:rFonts w:eastAsia="Times New Roman"/>
                <w:sz w:val="24"/>
                <w:szCs w:val="24"/>
              </w:rPr>
              <w:t>4*</w:t>
            </w:r>
          </w:p>
        </w:tc>
        <w:tc>
          <w:tcPr>
            <w:tcW w:w="7513" w:type="dxa"/>
          </w:tcPr>
          <w:p w14:paraId="1F434AEE" w14:textId="77777777" w:rsidR="00272012" w:rsidRPr="002F7B3C" w:rsidRDefault="00272012" w:rsidP="004130A7">
            <w:pPr>
              <w:spacing w:after="0" w:line="240" w:lineRule="auto"/>
              <w:rPr>
                <w:sz w:val="24"/>
                <w:szCs w:val="24"/>
                <w:shd w:val="clear" w:color="auto" w:fill="FFFFFF"/>
              </w:rPr>
            </w:pPr>
            <w:r w:rsidRPr="418505C0">
              <w:rPr>
                <w:rFonts w:eastAsia="Times New Roman"/>
                <w:sz w:val="24"/>
                <w:szCs w:val="24"/>
              </w:rPr>
              <w:t>Impact:</w:t>
            </w:r>
            <w:r w:rsidRPr="418505C0">
              <w:rPr>
                <w:rFonts w:eastAsia="Times New Roman"/>
                <w:sz w:val="24"/>
                <w:szCs w:val="24"/>
                <w:shd w:val="clear" w:color="auto" w:fill="FFFFFF"/>
              </w:rPr>
              <w:t xml:space="preserve"> Outstanding impacts in terms of their reach and significance.</w:t>
            </w:r>
          </w:p>
          <w:p w14:paraId="739E5FB4" w14:textId="77777777" w:rsidR="00272012" w:rsidRPr="002F7B3C" w:rsidRDefault="00272012" w:rsidP="004130A7">
            <w:pPr>
              <w:spacing w:after="0" w:line="240" w:lineRule="auto"/>
              <w:rPr>
                <w:sz w:val="24"/>
                <w:szCs w:val="24"/>
                <w:shd w:val="clear" w:color="auto" w:fill="FFFFFF"/>
              </w:rPr>
            </w:pPr>
            <w:r w:rsidRPr="418505C0">
              <w:rPr>
                <w:rFonts w:eastAsia="Times New Roman"/>
                <w:sz w:val="24"/>
                <w:szCs w:val="24"/>
              </w:rPr>
              <w:t>Environment:</w:t>
            </w:r>
            <w:r w:rsidRPr="418505C0">
              <w:rPr>
                <w:rFonts w:eastAsia="Times New Roman"/>
                <w:sz w:val="24"/>
                <w:szCs w:val="24"/>
                <w:shd w:val="clear" w:color="auto" w:fill="FFFFFF"/>
              </w:rPr>
              <w:t xml:space="preserve"> An environment that is conducive to producing research of world-leading quality, in terms of its vitality and sustainability.</w:t>
            </w:r>
          </w:p>
          <w:p w14:paraId="1DCA7507" w14:textId="77777777" w:rsidR="00272012" w:rsidRPr="002F7B3C" w:rsidRDefault="00272012" w:rsidP="004130A7">
            <w:pPr>
              <w:spacing w:after="0" w:line="240" w:lineRule="auto"/>
              <w:rPr>
                <w:sz w:val="24"/>
                <w:szCs w:val="24"/>
              </w:rPr>
            </w:pPr>
            <w:r w:rsidRPr="418505C0">
              <w:rPr>
                <w:rFonts w:eastAsia="Times New Roman"/>
                <w:sz w:val="24"/>
                <w:szCs w:val="24"/>
              </w:rPr>
              <w:t xml:space="preserve">Output &amp; Overall: </w:t>
            </w:r>
            <w:r w:rsidRPr="418505C0">
              <w:rPr>
                <w:rFonts w:eastAsia="Times New Roman"/>
                <w:sz w:val="24"/>
                <w:szCs w:val="24"/>
                <w:shd w:val="clear" w:color="auto" w:fill="FFFFFF"/>
              </w:rPr>
              <w:t>Quality that is world-leading in terms of originality, significance and rigour.</w:t>
            </w:r>
          </w:p>
        </w:tc>
      </w:tr>
      <w:tr w:rsidR="00272012" w:rsidRPr="002F7B3C" w14:paraId="46170AD8" w14:textId="77777777" w:rsidTr="004130A7">
        <w:trPr>
          <w:trHeight w:val="1566"/>
        </w:trPr>
        <w:tc>
          <w:tcPr>
            <w:tcW w:w="1413" w:type="dxa"/>
          </w:tcPr>
          <w:p w14:paraId="23729101" w14:textId="77777777" w:rsidR="00272012" w:rsidRPr="002F7B3C" w:rsidRDefault="00272012" w:rsidP="004130A7">
            <w:pPr>
              <w:spacing w:after="0" w:line="240" w:lineRule="auto"/>
              <w:rPr>
                <w:sz w:val="24"/>
                <w:szCs w:val="24"/>
              </w:rPr>
            </w:pPr>
            <w:r w:rsidRPr="418505C0">
              <w:rPr>
                <w:rFonts w:eastAsia="Times New Roman"/>
                <w:sz w:val="24"/>
                <w:szCs w:val="24"/>
              </w:rPr>
              <w:t>3*</w:t>
            </w:r>
          </w:p>
        </w:tc>
        <w:tc>
          <w:tcPr>
            <w:tcW w:w="7513" w:type="dxa"/>
          </w:tcPr>
          <w:p w14:paraId="7D319A04" w14:textId="77777777" w:rsidR="00272012" w:rsidRPr="002F7B3C" w:rsidRDefault="00272012" w:rsidP="004130A7">
            <w:pPr>
              <w:spacing w:after="0" w:line="240" w:lineRule="auto"/>
              <w:rPr>
                <w:sz w:val="24"/>
                <w:szCs w:val="24"/>
              </w:rPr>
            </w:pPr>
            <w:r w:rsidRPr="418505C0">
              <w:rPr>
                <w:rFonts w:eastAsia="Times New Roman"/>
                <w:sz w:val="24"/>
                <w:szCs w:val="24"/>
              </w:rPr>
              <w:t>Impact:</w:t>
            </w:r>
            <w:r w:rsidRPr="418505C0">
              <w:rPr>
                <w:rFonts w:eastAsia="Times New Roman"/>
                <w:sz w:val="24"/>
                <w:szCs w:val="24"/>
                <w:shd w:val="clear" w:color="auto" w:fill="FFFFFF"/>
              </w:rPr>
              <w:t xml:space="preserve"> Very considerable impacts in terms of their reach and significance.</w:t>
            </w:r>
            <w:r w:rsidRPr="002F7B3C">
              <w:rPr>
                <w:sz w:val="24"/>
                <w:szCs w:val="24"/>
              </w:rPr>
              <w:br/>
            </w:r>
            <w:r w:rsidRPr="418505C0">
              <w:rPr>
                <w:rFonts w:eastAsia="Times New Roman"/>
                <w:sz w:val="24"/>
                <w:szCs w:val="24"/>
              </w:rPr>
              <w:t>Environment:</w:t>
            </w:r>
            <w:r w:rsidRPr="418505C0">
              <w:rPr>
                <w:rFonts w:eastAsia="Times New Roman"/>
                <w:sz w:val="24"/>
                <w:szCs w:val="24"/>
                <w:shd w:val="clear" w:color="auto" w:fill="FFFFFF"/>
              </w:rPr>
              <w:t xml:space="preserve"> An environment that is conducive to producing research of internationally excellent quality, in terms of its vitality and sustainability.</w:t>
            </w:r>
          </w:p>
          <w:p w14:paraId="72EE96AB" w14:textId="77777777" w:rsidR="00272012" w:rsidRPr="002F7B3C" w:rsidRDefault="00272012" w:rsidP="004130A7">
            <w:pPr>
              <w:spacing w:after="0" w:line="240" w:lineRule="auto"/>
              <w:rPr>
                <w:sz w:val="24"/>
                <w:szCs w:val="24"/>
              </w:rPr>
            </w:pPr>
            <w:r w:rsidRPr="418505C0">
              <w:rPr>
                <w:rFonts w:eastAsia="Times New Roman"/>
                <w:sz w:val="24"/>
                <w:szCs w:val="24"/>
              </w:rPr>
              <w:t xml:space="preserve">Output &amp; Overall: </w:t>
            </w:r>
            <w:r w:rsidRPr="418505C0">
              <w:rPr>
                <w:rFonts w:eastAsia="Times New Roman"/>
                <w:sz w:val="24"/>
                <w:szCs w:val="24"/>
                <w:shd w:val="clear" w:color="auto" w:fill="FFFFFF"/>
              </w:rPr>
              <w:t>Quality that is internationally excellent in terms of originality, significance and rigour but which falls short of the highest standards of excellence.</w:t>
            </w:r>
          </w:p>
        </w:tc>
      </w:tr>
      <w:tr w:rsidR="00272012" w:rsidRPr="002F7B3C" w14:paraId="45C3B352" w14:textId="77777777" w:rsidTr="004130A7">
        <w:trPr>
          <w:trHeight w:val="1478"/>
        </w:trPr>
        <w:tc>
          <w:tcPr>
            <w:tcW w:w="1413" w:type="dxa"/>
          </w:tcPr>
          <w:p w14:paraId="7D07C985" w14:textId="77777777" w:rsidR="00272012" w:rsidRPr="002F7B3C" w:rsidRDefault="00272012" w:rsidP="004130A7">
            <w:pPr>
              <w:spacing w:after="0" w:line="240" w:lineRule="auto"/>
              <w:rPr>
                <w:sz w:val="24"/>
                <w:szCs w:val="24"/>
              </w:rPr>
            </w:pPr>
            <w:r w:rsidRPr="418505C0">
              <w:rPr>
                <w:rFonts w:eastAsia="Times New Roman"/>
                <w:sz w:val="24"/>
                <w:szCs w:val="24"/>
              </w:rPr>
              <w:t>2*</w:t>
            </w:r>
          </w:p>
        </w:tc>
        <w:tc>
          <w:tcPr>
            <w:tcW w:w="7513" w:type="dxa"/>
          </w:tcPr>
          <w:p w14:paraId="2ECAF757" w14:textId="77777777" w:rsidR="00272012" w:rsidRPr="002F7B3C" w:rsidRDefault="00272012" w:rsidP="004130A7">
            <w:pPr>
              <w:spacing w:after="0" w:line="240" w:lineRule="auto"/>
              <w:rPr>
                <w:sz w:val="24"/>
                <w:szCs w:val="24"/>
                <w:shd w:val="clear" w:color="auto" w:fill="FFFFFF"/>
              </w:rPr>
            </w:pPr>
            <w:r w:rsidRPr="418505C0">
              <w:rPr>
                <w:rFonts w:eastAsia="Times New Roman"/>
                <w:sz w:val="24"/>
                <w:szCs w:val="24"/>
              </w:rPr>
              <w:t>Impact:</w:t>
            </w:r>
            <w:r w:rsidRPr="418505C0">
              <w:rPr>
                <w:rFonts w:eastAsia="Times New Roman"/>
                <w:sz w:val="24"/>
                <w:szCs w:val="24"/>
                <w:shd w:val="clear" w:color="auto" w:fill="FFFFFF"/>
              </w:rPr>
              <w:t xml:space="preserve"> Considerable impacts in terms of their reach and significance.</w:t>
            </w:r>
          </w:p>
          <w:p w14:paraId="3B7FA08B" w14:textId="77777777" w:rsidR="00272012" w:rsidRPr="002F7B3C" w:rsidRDefault="00272012" w:rsidP="004130A7">
            <w:pPr>
              <w:spacing w:after="0" w:line="240" w:lineRule="auto"/>
              <w:rPr>
                <w:sz w:val="24"/>
                <w:szCs w:val="24"/>
                <w:shd w:val="clear" w:color="auto" w:fill="FFFFFF"/>
              </w:rPr>
            </w:pPr>
            <w:r w:rsidRPr="418505C0">
              <w:rPr>
                <w:rFonts w:eastAsia="Times New Roman"/>
                <w:sz w:val="24"/>
                <w:szCs w:val="24"/>
              </w:rPr>
              <w:t>Environment:</w:t>
            </w:r>
            <w:r w:rsidRPr="418505C0">
              <w:rPr>
                <w:rFonts w:eastAsia="Times New Roman"/>
                <w:sz w:val="24"/>
                <w:szCs w:val="24"/>
                <w:shd w:val="clear" w:color="auto" w:fill="FFFFFF"/>
              </w:rPr>
              <w:t xml:space="preserve"> An environment that is conducive to producing research of internationally recognised quality, in terms of its vitality and sustainability.</w:t>
            </w:r>
          </w:p>
          <w:p w14:paraId="2A3EC977" w14:textId="77777777" w:rsidR="00272012" w:rsidRPr="002F7B3C" w:rsidRDefault="00272012" w:rsidP="004130A7">
            <w:pPr>
              <w:spacing w:after="0" w:line="240" w:lineRule="auto"/>
              <w:rPr>
                <w:sz w:val="24"/>
                <w:szCs w:val="24"/>
              </w:rPr>
            </w:pPr>
            <w:r w:rsidRPr="418505C0">
              <w:rPr>
                <w:rFonts w:eastAsia="Times New Roman"/>
                <w:sz w:val="24"/>
                <w:szCs w:val="24"/>
              </w:rPr>
              <w:t xml:space="preserve">Output &amp; Overall: </w:t>
            </w:r>
            <w:r w:rsidRPr="418505C0">
              <w:rPr>
                <w:rFonts w:eastAsia="Times New Roman"/>
                <w:sz w:val="24"/>
                <w:szCs w:val="24"/>
                <w:shd w:val="clear" w:color="auto" w:fill="FFFFFF"/>
              </w:rPr>
              <w:t>Quality that is recognised internationally in terms of originality, significance and rigour.</w:t>
            </w:r>
          </w:p>
        </w:tc>
      </w:tr>
      <w:tr w:rsidR="00272012" w:rsidRPr="002F7B3C" w14:paraId="3C4D8E5E" w14:textId="77777777" w:rsidTr="004130A7">
        <w:trPr>
          <w:trHeight w:val="1488"/>
        </w:trPr>
        <w:tc>
          <w:tcPr>
            <w:tcW w:w="1413" w:type="dxa"/>
          </w:tcPr>
          <w:p w14:paraId="7FC32980" w14:textId="77777777" w:rsidR="00272012" w:rsidRPr="002F7B3C" w:rsidRDefault="00272012" w:rsidP="004130A7">
            <w:pPr>
              <w:spacing w:after="0" w:line="240" w:lineRule="auto"/>
              <w:rPr>
                <w:sz w:val="24"/>
                <w:szCs w:val="24"/>
              </w:rPr>
            </w:pPr>
            <w:r w:rsidRPr="418505C0">
              <w:rPr>
                <w:rFonts w:eastAsia="Times New Roman"/>
                <w:sz w:val="24"/>
                <w:szCs w:val="24"/>
              </w:rPr>
              <w:t>1*</w:t>
            </w:r>
          </w:p>
        </w:tc>
        <w:tc>
          <w:tcPr>
            <w:tcW w:w="7513" w:type="dxa"/>
          </w:tcPr>
          <w:p w14:paraId="7D1C1619" w14:textId="77777777" w:rsidR="00272012" w:rsidRPr="002F7B3C" w:rsidRDefault="00272012" w:rsidP="004130A7">
            <w:pPr>
              <w:spacing w:after="0" w:line="240" w:lineRule="auto"/>
              <w:rPr>
                <w:sz w:val="24"/>
                <w:szCs w:val="24"/>
                <w:shd w:val="clear" w:color="auto" w:fill="FFFFFF"/>
              </w:rPr>
            </w:pPr>
            <w:r w:rsidRPr="418505C0">
              <w:rPr>
                <w:rFonts w:eastAsia="Times New Roman"/>
                <w:sz w:val="24"/>
                <w:szCs w:val="24"/>
              </w:rPr>
              <w:t>Impact:</w:t>
            </w:r>
            <w:r w:rsidRPr="418505C0">
              <w:rPr>
                <w:rFonts w:eastAsia="Times New Roman"/>
                <w:sz w:val="24"/>
                <w:szCs w:val="24"/>
                <w:shd w:val="clear" w:color="auto" w:fill="FFFFFF"/>
              </w:rPr>
              <w:t xml:space="preserve"> Recognised but modest impacts in terms of their reach and significance.</w:t>
            </w:r>
          </w:p>
          <w:p w14:paraId="3988AE00" w14:textId="77777777" w:rsidR="00272012" w:rsidRPr="002F7B3C" w:rsidRDefault="00272012" w:rsidP="004130A7">
            <w:pPr>
              <w:spacing w:after="0" w:line="240" w:lineRule="auto"/>
              <w:rPr>
                <w:sz w:val="24"/>
                <w:szCs w:val="24"/>
              </w:rPr>
            </w:pPr>
            <w:r w:rsidRPr="418505C0">
              <w:rPr>
                <w:rFonts w:eastAsia="Times New Roman"/>
                <w:sz w:val="24"/>
                <w:szCs w:val="24"/>
              </w:rPr>
              <w:t>Environment:</w:t>
            </w:r>
            <w:r w:rsidRPr="418505C0">
              <w:rPr>
                <w:rFonts w:eastAsia="Times New Roman"/>
                <w:sz w:val="24"/>
                <w:szCs w:val="24"/>
                <w:shd w:val="clear" w:color="auto" w:fill="FFFFFF"/>
              </w:rPr>
              <w:t xml:space="preserve"> An environment that is conducive to producing research of nationally recognised quality, in terms of its vitality and sustainability.</w:t>
            </w:r>
          </w:p>
          <w:p w14:paraId="4B8805A6" w14:textId="77777777" w:rsidR="00272012" w:rsidRPr="002F7B3C" w:rsidRDefault="00272012" w:rsidP="004130A7">
            <w:pPr>
              <w:spacing w:after="0" w:line="240" w:lineRule="auto"/>
              <w:rPr>
                <w:sz w:val="24"/>
                <w:szCs w:val="24"/>
              </w:rPr>
            </w:pPr>
            <w:r w:rsidRPr="418505C0">
              <w:rPr>
                <w:rFonts w:eastAsia="Times New Roman"/>
                <w:sz w:val="24"/>
                <w:szCs w:val="24"/>
              </w:rPr>
              <w:t xml:space="preserve">Output &amp; Overall: </w:t>
            </w:r>
            <w:r w:rsidRPr="418505C0">
              <w:rPr>
                <w:rFonts w:eastAsia="Times New Roman"/>
                <w:sz w:val="24"/>
                <w:szCs w:val="24"/>
                <w:shd w:val="clear" w:color="auto" w:fill="FFFFFF"/>
              </w:rPr>
              <w:t>Quality that is recognised nationally in terms of originality, significance and rigour.</w:t>
            </w:r>
          </w:p>
        </w:tc>
      </w:tr>
      <w:tr w:rsidR="00272012" w:rsidRPr="002F7B3C" w14:paraId="44AB0F1B" w14:textId="77777777" w:rsidTr="004130A7">
        <w:trPr>
          <w:trHeight w:val="2138"/>
        </w:trPr>
        <w:tc>
          <w:tcPr>
            <w:tcW w:w="1413" w:type="dxa"/>
          </w:tcPr>
          <w:p w14:paraId="065B768E" w14:textId="77777777" w:rsidR="00272012" w:rsidRPr="002F7B3C" w:rsidRDefault="00272012" w:rsidP="004130A7">
            <w:pPr>
              <w:spacing w:after="0" w:line="240" w:lineRule="auto"/>
              <w:rPr>
                <w:sz w:val="24"/>
                <w:szCs w:val="24"/>
              </w:rPr>
            </w:pPr>
            <w:r w:rsidRPr="418505C0">
              <w:rPr>
                <w:rFonts w:eastAsia="Times New Roman"/>
                <w:sz w:val="24"/>
                <w:szCs w:val="24"/>
              </w:rPr>
              <w:t>Unclassified</w:t>
            </w:r>
          </w:p>
        </w:tc>
        <w:tc>
          <w:tcPr>
            <w:tcW w:w="7513" w:type="dxa"/>
          </w:tcPr>
          <w:p w14:paraId="7DDFE738" w14:textId="77777777" w:rsidR="00272012" w:rsidRPr="002F7B3C" w:rsidRDefault="00272012" w:rsidP="004130A7">
            <w:pPr>
              <w:spacing w:after="0" w:line="240" w:lineRule="auto"/>
              <w:rPr>
                <w:sz w:val="24"/>
                <w:szCs w:val="24"/>
                <w:shd w:val="clear" w:color="auto" w:fill="FFFFFF"/>
              </w:rPr>
            </w:pPr>
            <w:r w:rsidRPr="418505C0">
              <w:rPr>
                <w:rFonts w:eastAsia="Times New Roman"/>
                <w:sz w:val="24"/>
                <w:szCs w:val="24"/>
              </w:rPr>
              <w:t>Impact:</w:t>
            </w:r>
            <w:r w:rsidRPr="418505C0">
              <w:rPr>
                <w:rFonts w:eastAsia="Times New Roman"/>
                <w:sz w:val="24"/>
                <w:szCs w:val="24"/>
                <w:shd w:val="clear" w:color="auto" w:fill="FFFFFF"/>
              </w:rPr>
              <w:t xml:space="preserve"> The impact is of little or no reach and significance; or the impact was not eligible; or the impact was not underpinned by excellent research produced by the submitted unit.</w:t>
            </w:r>
          </w:p>
          <w:p w14:paraId="11B6540B" w14:textId="77777777" w:rsidR="00272012" w:rsidRPr="002F7B3C" w:rsidRDefault="00272012" w:rsidP="004130A7">
            <w:pPr>
              <w:spacing w:after="0" w:line="240" w:lineRule="auto"/>
              <w:rPr>
                <w:sz w:val="24"/>
                <w:szCs w:val="24"/>
                <w:shd w:val="clear" w:color="auto" w:fill="FFFFFF"/>
              </w:rPr>
            </w:pPr>
            <w:r w:rsidRPr="418505C0">
              <w:rPr>
                <w:rFonts w:eastAsia="Times New Roman"/>
                <w:sz w:val="24"/>
                <w:szCs w:val="24"/>
              </w:rPr>
              <w:t>Environment:</w:t>
            </w:r>
            <w:r w:rsidRPr="418505C0">
              <w:rPr>
                <w:rFonts w:eastAsia="Times New Roman"/>
                <w:sz w:val="24"/>
                <w:szCs w:val="24"/>
                <w:shd w:val="clear" w:color="auto" w:fill="FFFFFF"/>
              </w:rPr>
              <w:t xml:space="preserve"> An environment that is not conducive to producing research of nationally recognised quality.</w:t>
            </w:r>
          </w:p>
          <w:p w14:paraId="1AC2F7D9" w14:textId="77777777" w:rsidR="00272012" w:rsidRPr="002F7B3C" w:rsidRDefault="00272012" w:rsidP="004130A7">
            <w:pPr>
              <w:keepNext/>
              <w:spacing w:after="0" w:line="240" w:lineRule="auto"/>
              <w:rPr>
                <w:sz w:val="24"/>
                <w:szCs w:val="24"/>
              </w:rPr>
            </w:pPr>
            <w:r w:rsidRPr="418505C0">
              <w:rPr>
                <w:rFonts w:eastAsia="Times New Roman"/>
                <w:sz w:val="24"/>
                <w:szCs w:val="24"/>
              </w:rPr>
              <w:t xml:space="preserve">Output &amp; Overall: </w:t>
            </w:r>
            <w:r w:rsidRPr="418505C0">
              <w:rPr>
                <w:rFonts w:eastAsia="Times New Roman"/>
                <w:sz w:val="24"/>
                <w:szCs w:val="24"/>
                <w:shd w:val="clear" w:color="auto" w:fill="FFFFFF"/>
              </w:rPr>
              <w:t>Quality that falls below the standard of nationally recognised work. Or work which does not meet the published definition of research for the purposes of this assessment.</w:t>
            </w:r>
          </w:p>
        </w:tc>
      </w:tr>
    </w:tbl>
    <w:p w14:paraId="716F5F63" w14:textId="77777777" w:rsidR="00272012" w:rsidRDefault="00272012" w:rsidP="00272012"/>
    <w:p w14:paraId="58AB5E56" w14:textId="77777777" w:rsidR="00272012" w:rsidRPr="00AC72CB" w:rsidRDefault="00272012" w:rsidP="00272012">
      <w:pPr>
        <w:spacing w:after="120" w:line="360" w:lineRule="auto"/>
        <w:rPr>
          <w:rFonts w:eastAsia="Times New Roman"/>
          <w:sz w:val="24"/>
          <w:szCs w:val="24"/>
        </w:rPr>
      </w:pPr>
      <w:r w:rsidRPr="004F6474">
        <w:rPr>
          <w:sz w:val="24"/>
          <w:szCs w:val="24"/>
        </w:rPr>
        <w:br w:type="page"/>
      </w:r>
    </w:p>
    <w:p w14:paraId="414EEF5F" w14:textId="13A67AF5" w:rsidR="00272012" w:rsidRDefault="00272012" w:rsidP="00272012">
      <w:pPr>
        <w:pStyle w:val="Heading2"/>
      </w:pPr>
      <w:bookmarkStart w:id="238" w:name="_Toc536717988"/>
      <w:bookmarkStart w:id="239" w:name="_Toc31702011"/>
      <w:r>
        <w:t xml:space="preserve">Appendix </w:t>
      </w:r>
      <w:r w:rsidR="004D3BA5">
        <w:t>B</w:t>
      </w:r>
      <w:r>
        <w:t>. Methodological details</w:t>
      </w:r>
      <w:bookmarkEnd w:id="238"/>
      <w:bookmarkEnd w:id="239"/>
    </w:p>
    <w:p w14:paraId="6F9442DC" w14:textId="384FA10E" w:rsidR="00015030" w:rsidRPr="00401ACE" w:rsidRDefault="00272012" w:rsidP="00397674">
      <w:pPr>
        <w:pStyle w:val="Heading3"/>
      </w:pPr>
      <w:bookmarkStart w:id="240" w:name="_Toc536717989"/>
      <w:bookmarkStart w:id="241" w:name="_Toc31702012"/>
      <w:r>
        <w:t xml:space="preserve">Appendix </w:t>
      </w:r>
      <w:r w:rsidR="004D3BA5">
        <w:t>B</w:t>
      </w:r>
      <w:r>
        <w:t xml:space="preserve">.1. </w:t>
      </w:r>
      <w:r w:rsidR="00984EE4">
        <w:t>S</w:t>
      </w:r>
      <w:r>
        <w:t>ampling</w:t>
      </w:r>
      <w:bookmarkEnd w:id="240"/>
      <w:bookmarkEnd w:id="241"/>
    </w:p>
    <w:p w14:paraId="6E5ECF1A" w14:textId="590A10A1" w:rsidR="0038749D" w:rsidRPr="0038749D" w:rsidRDefault="003B7790" w:rsidP="00EB6418">
      <w:pPr>
        <w:pStyle w:val="Heading4"/>
      </w:pPr>
      <w:r>
        <w:t>Additional details on selecting Case Studies and underpinning Bodies of Research (BoRs)</w:t>
      </w:r>
      <w:r w:rsidR="00397674">
        <w:t xml:space="preserve"> from sampled departments</w:t>
      </w:r>
    </w:p>
    <w:p w14:paraId="55322F6E" w14:textId="3B6B4D04" w:rsidR="00272012" w:rsidRDefault="003E5E7B" w:rsidP="00272012">
      <w:pPr>
        <w:spacing w:after="120" w:line="360" w:lineRule="auto"/>
        <w:rPr>
          <w:rFonts w:eastAsia="Times New Roman"/>
          <w:sz w:val="24"/>
          <w:szCs w:val="24"/>
        </w:rPr>
      </w:pPr>
      <w:r w:rsidRPr="003E5E7B">
        <w:rPr>
          <w:sz w:val="24"/>
          <w:szCs w:val="24"/>
        </w:rPr>
        <w:fldChar w:fldCharType="begin"/>
      </w:r>
      <w:r w:rsidRPr="003E5E7B">
        <w:rPr>
          <w:sz w:val="24"/>
          <w:szCs w:val="24"/>
        </w:rPr>
        <w:instrText xml:space="preserve"> REF _Ref19784972 \h </w:instrText>
      </w:r>
      <w:r>
        <w:rPr>
          <w:sz w:val="24"/>
          <w:szCs w:val="24"/>
        </w:rPr>
        <w:instrText xml:space="preserve"> \* MERGEFORMAT </w:instrText>
      </w:r>
      <w:r w:rsidRPr="003E5E7B">
        <w:rPr>
          <w:sz w:val="24"/>
          <w:szCs w:val="24"/>
        </w:rPr>
      </w:r>
      <w:r w:rsidRPr="003E5E7B">
        <w:rPr>
          <w:sz w:val="24"/>
          <w:szCs w:val="24"/>
        </w:rPr>
        <w:fldChar w:fldCharType="separate"/>
      </w:r>
      <w:r w:rsidR="0011424E" w:rsidRPr="0011424E">
        <w:rPr>
          <w:sz w:val="24"/>
          <w:szCs w:val="24"/>
        </w:rPr>
        <w:t xml:space="preserve">Table </w:t>
      </w:r>
      <w:r w:rsidR="0011424E" w:rsidRPr="0011424E">
        <w:rPr>
          <w:noProof/>
          <w:sz w:val="24"/>
          <w:szCs w:val="24"/>
        </w:rPr>
        <w:t>38</w:t>
      </w:r>
      <w:r w:rsidRPr="003E5E7B">
        <w:rPr>
          <w:sz w:val="24"/>
          <w:szCs w:val="24"/>
        </w:rPr>
        <w:fldChar w:fldCharType="end"/>
      </w:r>
      <w:r>
        <w:rPr>
          <w:sz w:val="24"/>
          <w:szCs w:val="24"/>
        </w:rPr>
        <w:t xml:space="preserve"> </w:t>
      </w:r>
      <w:r w:rsidR="00272012">
        <w:rPr>
          <w:rFonts w:eastAsia="Times New Roman"/>
          <w:sz w:val="24"/>
          <w:szCs w:val="24"/>
        </w:rPr>
        <w:t>shows the total number of Case Studies in each submission, the total number of sampled case studies, and finally the total number of distinct bodies of research. That is, some of the Case Studies from a given submission are based on closely related bodies of research which, for the purpose of my analysis, I treat as united so as not to duplicate analysis of the same body of research. In effect then, although the Case Studies represent my main source and ‘way in’ to the data, my unit of analysis is better understood to be the underpinning body of research</w:t>
      </w:r>
      <w:r w:rsidR="00044364">
        <w:rPr>
          <w:rFonts w:eastAsia="Times New Roman"/>
          <w:sz w:val="24"/>
          <w:szCs w:val="24"/>
        </w:rPr>
        <w:t xml:space="preserve"> (BoR)</w:t>
      </w:r>
      <w:r w:rsidR="00272012">
        <w:rPr>
          <w:rFonts w:eastAsia="Times New Roman"/>
          <w:sz w:val="24"/>
          <w:szCs w:val="24"/>
        </w:rPr>
        <w:t xml:space="preserve">. </w:t>
      </w:r>
    </w:p>
    <w:tbl>
      <w:tblPr>
        <w:tblW w:w="8804" w:type="dxa"/>
        <w:tblLook w:val="04A0" w:firstRow="1" w:lastRow="0" w:firstColumn="1" w:lastColumn="0" w:noHBand="0" w:noVBand="1"/>
      </w:tblPr>
      <w:tblGrid>
        <w:gridCol w:w="936"/>
        <w:gridCol w:w="2728"/>
        <w:gridCol w:w="1316"/>
        <w:gridCol w:w="1536"/>
        <w:gridCol w:w="2288"/>
      </w:tblGrid>
      <w:tr w:rsidR="00272012" w:rsidRPr="00E21685" w14:paraId="1126CCC0" w14:textId="77777777" w:rsidTr="006A166E">
        <w:trPr>
          <w:trHeight w:val="254"/>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27445" w14:textId="4143592E" w:rsidR="00272012" w:rsidRPr="00E21685" w:rsidRDefault="00B720FA" w:rsidP="004130A7">
            <w:pPr>
              <w:spacing w:after="0" w:line="240" w:lineRule="auto"/>
              <w:jc w:val="center"/>
              <w:rPr>
                <w:rFonts w:eastAsia="Times New Roman"/>
                <w:b/>
                <w:bCs/>
                <w:color w:val="000000"/>
                <w:lang w:eastAsia="ko-KR"/>
              </w:rPr>
            </w:pPr>
            <w:r>
              <w:rPr>
                <w:rFonts w:eastAsia="Times New Roman"/>
                <w:b/>
                <w:bCs/>
                <w:color w:val="000000"/>
                <w:lang w:eastAsia="ko-KR"/>
              </w:rPr>
              <w:t xml:space="preserve">REF2014 </w:t>
            </w:r>
            <w:r w:rsidR="00272012" w:rsidRPr="00E21685">
              <w:rPr>
                <w:rFonts w:eastAsia="Times New Roman"/>
                <w:b/>
                <w:bCs/>
                <w:color w:val="000000"/>
                <w:lang w:eastAsia="ko-KR"/>
              </w:rPr>
              <w:t>UoA</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14:paraId="53431E5B" w14:textId="77777777" w:rsidR="00272012" w:rsidRPr="00E21685" w:rsidRDefault="00272012" w:rsidP="004130A7">
            <w:pPr>
              <w:spacing w:after="0" w:line="240" w:lineRule="auto"/>
              <w:jc w:val="center"/>
              <w:rPr>
                <w:rFonts w:eastAsia="Times New Roman"/>
                <w:b/>
                <w:bCs/>
                <w:color w:val="000000"/>
                <w:lang w:eastAsia="ko-KR"/>
              </w:rPr>
            </w:pPr>
            <w:r w:rsidRPr="00E21685">
              <w:rPr>
                <w:rFonts w:eastAsia="Times New Roman"/>
                <w:b/>
                <w:bCs/>
                <w:color w:val="000000"/>
                <w:lang w:eastAsia="ko-KR"/>
              </w:rPr>
              <w:t>Institution</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50F0781A" w14:textId="77777777" w:rsidR="00272012" w:rsidRPr="00E21685" w:rsidRDefault="00272012" w:rsidP="004130A7">
            <w:pPr>
              <w:spacing w:after="0" w:line="240" w:lineRule="auto"/>
              <w:jc w:val="center"/>
              <w:rPr>
                <w:rFonts w:eastAsia="Times New Roman"/>
                <w:b/>
                <w:bCs/>
                <w:color w:val="000000"/>
                <w:lang w:eastAsia="ko-KR"/>
              </w:rPr>
            </w:pPr>
            <w:r w:rsidRPr="00E21685">
              <w:rPr>
                <w:rFonts w:eastAsia="Times New Roman"/>
                <w:b/>
                <w:bCs/>
                <w:color w:val="000000"/>
                <w:lang w:eastAsia="ko-KR"/>
              </w:rPr>
              <w:t>Total Case Studies</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14:paraId="343C6A18" w14:textId="77777777" w:rsidR="00272012" w:rsidRPr="00E21685" w:rsidRDefault="00272012" w:rsidP="004130A7">
            <w:pPr>
              <w:spacing w:after="0" w:line="240" w:lineRule="auto"/>
              <w:jc w:val="center"/>
              <w:rPr>
                <w:rFonts w:eastAsia="Times New Roman"/>
                <w:b/>
                <w:bCs/>
                <w:color w:val="000000"/>
                <w:lang w:eastAsia="ko-KR"/>
              </w:rPr>
            </w:pPr>
            <w:r w:rsidRPr="00E21685">
              <w:rPr>
                <w:rFonts w:eastAsia="Times New Roman"/>
                <w:b/>
                <w:bCs/>
                <w:color w:val="000000"/>
                <w:lang w:eastAsia="ko-KR"/>
              </w:rPr>
              <w:t>Sampled Case Studies</w:t>
            </w:r>
          </w:p>
        </w:tc>
        <w:tc>
          <w:tcPr>
            <w:tcW w:w="2288" w:type="dxa"/>
            <w:tcBorders>
              <w:top w:val="single" w:sz="4" w:space="0" w:color="auto"/>
              <w:left w:val="nil"/>
              <w:bottom w:val="single" w:sz="4" w:space="0" w:color="auto"/>
              <w:right w:val="single" w:sz="4" w:space="0" w:color="auto"/>
            </w:tcBorders>
            <w:shd w:val="clear" w:color="auto" w:fill="auto"/>
            <w:vAlign w:val="center"/>
          </w:tcPr>
          <w:p w14:paraId="0CBEDCBC" w14:textId="3016DC78" w:rsidR="00272012" w:rsidRPr="002A514A" w:rsidRDefault="00272012" w:rsidP="004130A7">
            <w:pPr>
              <w:spacing w:after="0" w:line="240" w:lineRule="auto"/>
              <w:jc w:val="center"/>
              <w:rPr>
                <w:rFonts w:eastAsia="Times New Roman"/>
                <w:b/>
                <w:bCs/>
                <w:color w:val="000000"/>
                <w:lang w:eastAsia="ko-KR"/>
              </w:rPr>
            </w:pPr>
            <w:r w:rsidRPr="002A514A">
              <w:rPr>
                <w:rFonts w:eastAsia="Times New Roman"/>
                <w:b/>
                <w:bCs/>
                <w:color w:val="000000"/>
                <w:lang w:eastAsia="ko-KR"/>
              </w:rPr>
              <w:t>Distinct bodies of research</w:t>
            </w:r>
            <w:r w:rsidR="00324D2D">
              <w:rPr>
                <w:rFonts w:eastAsia="Times New Roman"/>
                <w:b/>
                <w:bCs/>
                <w:color w:val="000000"/>
                <w:lang w:eastAsia="ko-KR"/>
              </w:rPr>
              <w:t xml:space="preserve"> underpinning the ‘sampled case studies’</w:t>
            </w:r>
          </w:p>
        </w:tc>
      </w:tr>
      <w:tr w:rsidR="00272012" w:rsidRPr="00E21685" w14:paraId="325FFA7B"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18899AEC"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1</w:t>
            </w:r>
          </w:p>
        </w:tc>
        <w:tc>
          <w:tcPr>
            <w:tcW w:w="2728" w:type="dxa"/>
            <w:tcBorders>
              <w:top w:val="nil"/>
              <w:left w:val="nil"/>
              <w:bottom w:val="single" w:sz="4" w:space="0" w:color="auto"/>
              <w:right w:val="single" w:sz="4" w:space="0" w:color="auto"/>
            </w:tcBorders>
            <w:shd w:val="clear" w:color="auto" w:fill="auto"/>
            <w:noWrap/>
            <w:vAlign w:val="bottom"/>
            <w:hideMark/>
          </w:tcPr>
          <w:p w14:paraId="720919E9"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University of Glasgow</w:t>
            </w:r>
          </w:p>
        </w:tc>
        <w:tc>
          <w:tcPr>
            <w:tcW w:w="1316" w:type="dxa"/>
            <w:tcBorders>
              <w:top w:val="nil"/>
              <w:left w:val="nil"/>
              <w:bottom w:val="single" w:sz="4" w:space="0" w:color="auto"/>
              <w:right w:val="single" w:sz="4" w:space="0" w:color="auto"/>
            </w:tcBorders>
            <w:shd w:val="clear" w:color="auto" w:fill="auto"/>
            <w:noWrap/>
            <w:vAlign w:val="bottom"/>
            <w:hideMark/>
          </w:tcPr>
          <w:p w14:paraId="6233F91A"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19</w:t>
            </w:r>
          </w:p>
        </w:tc>
        <w:tc>
          <w:tcPr>
            <w:tcW w:w="1536" w:type="dxa"/>
            <w:tcBorders>
              <w:top w:val="nil"/>
              <w:left w:val="nil"/>
              <w:bottom w:val="single" w:sz="4" w:space="0" w:color="auto"/>
              <w:right w:val="single" w:sz="4" w:space="0" w:color="auto"/>
            </w:tcBorders>
            <w:shd w:val="clear" w:color="auto" w:fill="auto"/>
            <w:noWrap/>
            <w:vAlign w:val="bottom"/>
            <w:hideMark/>
          </w:tcPr>
          <w:p w14:paraId="7EE84537" w14:textId="77777777" w:rsidR="00272012" w:rsidRPr="00E21685" w:rsidRDefault="00272012" w:rsidP="004130A7">
            <w:pPr>
              <w:spacing w:after="0" w:line="240" w:lineRule="auto"/>
              <w:jc w:val="center"/>
              <w:rPr>
                <w:rFonts w:eastAsia="Times New Roman"/>
                <w:color w:val="000000"/>
                <w:lang w:eastAsia="ko-KR"/>
              </w:rPr>
            </w:pPr>
            <w:r>
              <w:rPr>
                <w:rFonts w:eastAsia="Times New Roman"/>
                <w:color w:val="000000"/>
                <w:lang w:eastAsia="ko-KR"/>
              </w:rPr>
              <w:t>5</w:t>
            </w:r>
          </w:p>
        </w:tc>
        <w:tc>
          <w:tcPr>
            <w:tcW w:w="2288" w:type="dxa"/>
            <w:tcBorders>
              <w:top w:val="nil"/>
              <w:left w:val="nil"/>
              <w:bottom w:val="single" w:sz="4" w:space="0" w:color="auto"/>
              <w:right w:val="single" w:sz="4" w:space="0" w:color="auto"/>
            </w:tcBorders>
            <w:shd w:val="clear" w:color="auto" w:fill="auto"/>
          </w:tcPr>
          <w:p w14:paraId="2FB448F7"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2</w:t>
            </w:r>
          </w:p>
        </w:tc>
      </w:tr>
      <w:tr w:rsidR="00272012" w:rsidRPr="00E21685" w14:paraId="30951CA5"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271916DA"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4</w:t>
            </w:r>
          </w:p>
        </w:tc>
        <w:tc>
          <w:tcPr>
            <w:tcW w:w="2728" w:type="dxa"/>
            <w:tcBorders>
              <w:top w:val="nil"/>
              <w:left w:val="nil"/>
              <w:bottom w:val="single" w:sz="4" w:space="0" w:color="auto"/>
              <w:right w:val="single" w:sz="4" w:space="0" w:color="auto"/>
            </w:tcBorders>
            <w:shd w:val="clear" w:color="auto" w:fill="auto"/>
            <w:noWrap/>
            <w:vAlign w:val="bottom"/>
            <w:hideMark/>
          </w:tcPr>
          <w:p w14:paraId="088E7EB1"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University of East London</w:t>
            </w:r>
          </w:p>
        </w:tc>
        <w:tc>
          <w:tcPr>
            <w:tcW w:w="1316" w:type="dxa"/>
            <w:tcBorders>
              <w:top w:val="nil"/>
              <w:left w:val="nil"/>
              <w:bottom w:val="single" w:sz="4" w:space="0" w:color="auto"/>
              <w:right w:val="single" w:sz="4" w:space="0" w:color="auto"/>
            </w:tcBorders>
            <w:shd w:val="clear" w:color="auto" w:fill="auto"/>
            <w:noWrap/>
            <w:vAlign w:val="bottom"/>
            <w:hideMark/>
          </w:tcPr>
          <w:p w14:paraId="5D9F0971"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2</w:t>
            </w:r>
          </w:p>
        </w:tc>
        <w:tc>
          <w:tcPr>
            <w:tcW w:w="1536" w:type="dxa"/>
            <w:tcBorders>
              <w:top w:val="nil"/>
              <w:left w:val="nil"/>
              <w:bottom w:val="single" w:sz="4" w:space="0" w:color="auto"/>
              <w:right w:val="single" w:sz="4" w:space="0" w:color="auto"/>
            </w:tcBorders>
            <w:shd w:val="clear" w:color="auto" w:fill="auto"/>
            <w:noWrap/>
            <w:vAlign w:val="bottom"/>
            <w:hideMark/>
          </w:tcPr>
          <w:p w14:paraId="393A1648"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2</w:t>
            </w:r>
          </w:p>
        </w:tc>
        <w:tc>
          <w:tcPr>
            <w:tcW w:w="2288" w:type="dxa"/>
            <w:tcBorders>
              <w:top w:val="nil"/>
              <w:left w:val="nil"/>
              <w:bottom w:val="single" w:sz="4" w:space="0" w:color="auto"/>
              <w:right w:val="single" w:sz="4" w:space="0" w:color="auto"/>
            </w:tcBorders>
            <w:shd w:val="clear" w:color="auto" w:fill="auto"/>
          </w:tcPr>
          <w:p w14:paraId="0475A705"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2</w:t>
            </w:r>
          </w:p>
        </w:tc>
      </w:tr>
      <w:tr w:rsidR="00272012" w:rsidRPr="00E21685" w14:paraId="00314A0C"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6378B7C3"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5</w:t>
            </w:r>
          </w:p>
        </w:tc>
        <w:tc>
          <w:tcPr>
            <w:tcW w:w="2728" w:type="dxa"/>
            <w:tcBorders>
              <w:top w:val="nil"/>
              <w:left w:val="nil"/>
              <w:bottom w:val="single" w:sz="4" w:space="0" w:color="auto"/>
              <w:right w:val="single" w:sz="4" w:space="0" w:color="auto"/>
            </w:tcBorders>
            <w:shd w:val="clear" w:color="auto" w:fill="auto"/>
            <w:noWrap/>
            <w:vAlign w:val="bottom"/>
            <w:hideMark/>
          </w:tcPr>
          <w:p w14:paraId="292E9B2B"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University of St Andrews</w:t>
            </w:r>
          </w:p>
        </w:tc>
        <w:tc>
          <w:tcPr>
            <w:tcW w:w="1316" w:type="dxa"/>
            <w:tcBorders>
              <w:top w:val="nil"/>
              <w:left w:val="nil"/>
              <w:bottom w:val="single" w:sz="4" w:space="0" w:color="auto"/>
              <w:right w:val="single" w:sz="4" w:space="0" w:color="auto"/>
            </w:tcBorders>
            <w:shd w:val="clear" w:color="auto" w:fill="auto"/>
            <w:noWrap/>
            <w:vAlign w:val="bottom"/>
            <w:hideMark/>
          </w:tcPr>
          <w:p w14:paraId="7C03869A"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6</w:t>
            </w:r>
          </w:p>
        </w:tc>
        <w:tc>
          <w:tcPr>
            <w:tcW w:w="1536" w:type="dxa"/>
            <w:tcBorders>
              <w:top w:val="nil"/>
              <w:left w:val="nil"/>
              <w:bottom w:val="single" w:sz="4" w:space="0" w:color="auto"/>
              <w:right w:val="single" w:sz="4" w:space="0" w:color="auto"/>
            </w:tcBorders>
            <w:shd w:val="clear" w:color="auto" w:fill="auto"/>
            <w:noWrap/>
            <w:vAlign w:val="bottom"/>
            <w:hideMark/>
          </w:tcPr>
          <w:p w14:paraId="2E4FB4D0"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4</w:t>
            </w:r>
          </w:p>
        </w:tc>
        <w:tc>
          <w:tcPr>
            <w:tcW w:w="2288" w:type="dxa"/>
            <w:tcBorders>
              <w:top w:val="nil"/>
              <w:left w:val="nil"/>
              <w:bottom w:val="single" w:sz="4" w:space="0" w:color="auto"/>
              <w:right w:val="single" w:sz="4" w:space="0" w:color="auto"/>
            </w:tcBorders>
            <w:shd w:val="clear" w:color="auto" w:fill="auto"/>
          </w:tcPr>
          <w:p w14:paraId="42D85492"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1</w:t>
            </w:r>
          </w:p>
        </w:tc>
      </w:tr>
      <w:tr w:rsidR="00272012" w:rsidRPr="00E21685" w14:paraId="46EDFA2A"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7DF25C23"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7</w:t>
            </w:r>
          </w:p>
        </w:tc>
        <w:tc>
          <w:tcPr>
            <w:tcW w:w="2728" w:type="dxa"/>
            <w:tcBorders>
              <w:top w:val="nil"/>
              <w:left w:val="nil"/>
              <w:bottom w:val="single" w:sz="4" w:space="0" w:color="auto"/>
              <w:right w:val="single" w:sz="4" w:space="0" w:color="auto"/>
            </w:tcBorders>
            <w:shd w:val="clear" w:color="auto" w:fill="auto"/>
            <w:noWrap/>
            <w:vAlign w:val="bottom"/>
            <w:hideMark/>
          </w:tcPr>
          <w:p w14:paraId="55C5AA3E"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Edinburgh Napier University</w:t>
            </w:r>
          </w:p>
        </w:tc>
        <w:tc>
          <w:tcPr>
            <w:tcW w:w="1316" w:type="dxa"/>
            <w:tcBorders>
              <w:top w:val="nil"/>
              <w:left w:val="nil"/>
              <w:bottom w:val="single" w:sz="4" w:space="0" w:color="auto"/>
              <w:right w:val="single" w:sz="4" w:space="0" w:color="auto"/>
            </w:tcBorders>
            <w:shd w:val="clear" w:color="auto" w:fill="auto"/>
            <w:noWrap/>
            <w:vAlign w:val="bottom"/>
            <w:hideMark/>
          </w:tcPr>
          <w:p w14:paraId="1B20FA98"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2</w:t>
            </w:r>
          </w:p>
        </w:tc>
        <w:tc>
          <w:tcPr>
            <w:tcW w:w="1536" w:type="dxa"/>
            <w:tcBorders>
              <w:top w:val="nil"/>
              <w:left w:val="nil"/>
              <w:bottom w:val="single" w:sz="4" w:space="0" w:color="auto"/>
              <w:right w:val="single" w:sz="4" w:space="0" w:color="auto"/>
            </w:tcBorders>
            <w:shd w:val="clear" w:color="auto" w:fill="auto"/>
            <w:noWrap/>
            <w:vAlign w:val="bottom"/>
            <w:hideMark/>
          </w:tcPr>
          <w:p w14:paraId="5B3A6C8A"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2</w:t>
            </w:r>
          </w:p>
        </w:tc>
        <w:tc>
          <w:tcPr>
            <w:tcW w:w="2288" w:type="dxa"/>
            <w:tcBorders>
              <w:top w:val="nil"/>
              <w:left w:val="nil"/>
              <w:bottom w:val="single" w:sz="4" w:space="0" w:color="auto"/>
              <w:right w:val="single" w:sz="4" w:space="0" w:color="auto"/>
            </w:tcBorders>
            <w:shd w:val="clear" w:color="auto" w:fill="auto"/>
          </w:tcPr>
          <w:p w14:paraId="6B62C35F"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2</w:t>
            </w:r>
          </w:p>
        </w:tc>
      </w:tr>
      <w:tr w:rsidR="00272012" w:rsidRPr="00E21685" w14:paraId="39533656"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2A2F167"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8</w:t>
            </w:r>
          </w:p>
        </w:tc>
        <w:tc>
          <w:tcPr>
            <w:tcW w:w="2728" w:type="dxa"/>
            <w:tcBorders>
              <w:top w:val="nil"/>
              <w:left w:val="nil"/>
              <w:bottom w:val="single" w:sz="4" w:space="0" w:color="auto"/>
              <w:right w:val="single" w:sz="4" w:space="0" w:color="auto"/>
            </w:tcBorders>
            <w:shd w:val="clear" w:color="auto" w:fill="auto"/>
            <w:noWrap/>
            <w:vAlign w:val="bottom"/>
            <w:hideMark/>
          </w:tcPr>
          <w:p w14:paraId="3013D595"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Queen's University Belfast</w:t>
            </w:r>
          </w:p>
        </w:tc>
        <w:tc>
          <w:tcPr>
            <w:tcW w:w="1316" w:type="dxa"/>
            <w:tcBorders>
              <w:top w:val="nil"/>
              <w:left w:val="nil"/>
              <w:bottom w:val="single" w:sz="4" w:space="0" w:color="auto"/>
              <w:right w:val="single" w:sz="4" w:space="0" w:color="auto"/>
            </w:tcBorders>
            <w:shd w:val="clear" w:color="auto" w:fill="auto"/>
            <w:noWrap/>
            <w:vAlign w:val="bottom"/>
            <w:hideMark/>
          </w:tcPr>
          <w:p w14:paraId="03F594D1"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4</w:t>
            </w:r>
          </w:p>
        </w:tc>
        <w:tc>
          <w:tcPr>
            <w:tcW w:w="1536" w:type="dxa"/>
            <w:tcBorders>
              <w:top w:val="nil"/>
              <w:left w:val="nil"/>
              <w:bottom w:val="single" w:sz="4" w:space="0" w:color="auto"/>
              <w:right w:val="single" w:sz="4" w:space="0" w:color="auto"/>
            </w:tcBorders>
            <w:shd w:val="clear" w:color="auto" w:fill="auto"/>
            <w:noWrap/>
            <w:vAlign w:val="bottom"/>
            <w:hideMark/>
          </w:tcPr>
          <w:p w14:paraId="7F5AC7AD" w14:textId="77777777" w:rsidR="00272012" w:rsidRPr="00E21685" w:rsidRDefault="00272012" w:rsidP="004130A7">
            <w:pPr>
              <w:spacing w:after="0" w:line="240" w:lineRule="auto"/>
              <w:jc w:val="center"/>
              <w:rPr>
                <w:rFonts w:eastAsia="Times New Roman"/>
                <w:color w:val="000000"/>
                <w:lang w:eastAsia="ko-KR"/>
              </w:rPr>
            </w:pPr>
            <w:r>
              <w:rPr>
                <w:rFonts w:eastAsia="Times New Roman"/>
                <w:color w:val="000000"/>
                <w:lang w:eastAsia="ko-KR"/>
              </w:rPr>
              <w:t>3</w:t>
            </w:r>
          </w:p>
        </w:tc>
        <w:tc>
          <w:tcPr>
            <w:tcW w:w="2288" w:type="dxa"/>
            <w:tcBorders>
              <w:top w:val="nil"/>
              <w:left w:val="nil"/>
              <w:bottom w:val="single" w:sz="4" w:space="0" w:color="auto"/>
              <w:right w:val="single" w:sz="4" w:space="0" w:color="auto"/>
            </w:tcBorders>
            <w:shd w:val="clear" w:color="auto" w:fill="auto"/>
          </w:tcPr>
          <w:p w14:paraId="58AB2910"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3</w:t>
            </w:r>
          </w:p>
        </w:tc>
      </w:tr>
      <w:tr w:rsidR="00272012" w:rsidRPr="00E21685" w14:paraId="68A050E0"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48584DD2"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9</w:t>
            </w:r>
          </w:p>
        </w:tc>
        <w:tc>
          <w:tcPr>
            <w:tcW w:w="2728" w:type="dxa"/>
            <w:tcBorders>
              <w:top w:val="nil"/>
              <w:left w:val="nil"/>
              <w:bottom w:val="single" w:sz="4" w:space="0" w:color="auto"/>
              <w:right w:val="single" w:sz="4" w:space="0" w:color="auto"/>
            </w:tcBorders>
            <w:shd w:val="clear" w:color="auto" w:fill="auto"/>
            <w:noWrap/>
            <w:vAlign w:val="bottom"/>
            <w:hideMark/>
          </w:tcPr>
          <w:p w14:paraId="7EAE3D30"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Cardiff University</w:t>
            </w:r>
          </w:p>
        </w:tc>
        <w:tc>
          <w:tcPr>
            <w:tcW w:w="1316" w:type="dxa"/>
            <w:tcBorders>
              <w:top w:val="nil"/>
              <w:left w:val="nil"/>
              <w:bottom w:val="single" w:sz="4" w:space="0" w:color="auto"/>
              <w:right w:val="single" w:sz="4" w:space="0" w:color="auto"/>
            </w:tcBorders>
            <w:shd w:val="clear" w:color="auto" w:fill="auto"/>
            <w:noWrap/>
            <w:vAlign w:val="bottom"/>
            <w:hideMark/>
          </w:tcPr>
          <w:p w14:paraId="7D6E5AB6"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3</w:t>
            </w:r>
          </w:p>
        </w:tc>
        <w:tc>
          <w:tcPr>
            <w:tcW w:w="1536" w:type="dxa"/>
            <w:tcBorders>
              <w:top w:val="nil"/>
              <w:left w:val="nil"/>
              <w:bottom w:val="single" w:sz="4" w:space="0" w:color="auto"/>
              <w:right w:val="single" w:sz="4" w:space="0" w:color="auto"/>
            </w:tcBorders>
            <w:shd w:val="clear" w:color="auto" w:fill="auto"/>
            <w:noWrap/>
            <w:vAlign w:val="bottom"/>
            <w:hideMark/>
          </w:tcPr>
          <w:p w14:paraId="0D9AF720"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2</w:t>
            </w:r>
          </w:p>
        </w:tc>
        <w:tc>
          <w:tcPr>
            <w:tcW w:w="2288" w:type="dxa"/>
            <w:tcBorders>
              <w:top w:val="nil"/>
              <w:left w:val="nil"/>
              <w:bottom w:val="single" w:sz="4" w:space="0" w:color="auto"/>
              <w:right w:val="single" w:sz="4" w:space="0" w:color="auto"/>
            </w:tcBorders>
            <w:shd w:val="clear" w:color="auto" w:fill="auto"/>
          </w:tcPr>
          <w:p w14:paraId="0D07359C"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1</w:t>
            </w:r>
          </w:p>
        </w:tc>
      </w:tr>
      <w:tr w:rsidR="00272012" w:rsidRPr="00E21685" w14:paraId="45C97027"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694B8BD9"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10</w:t>
            </w:r>
          </w:p>
        </w:tc>
        <w:tc>
          <w:tcPr>
            <w:tcW w:w="2728" w:type="dxa"/>
            <w:tcBorders>
              <w:top w:val="nil"/>
              <w:left w:val="nil"/>
              <w:bottom w:val="single" w:sz="4" w:space="0" w:color="auto"/>
              <w:right w:val="single" w:sz="4" w:space="0" w:color="auto"/>
            </w:tcBorders>
            <w:shd w:val="clear" w:color="auto" w:fill="auto"/>
            <w:noWrap/>
            <w:vAlign w:val="bottom"/>
            <w:hideMark/>
          </w:tcPr>
          <w:p w14:paraId="1240E1F2"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University of Glasgow</w:t>
            </w:r>
          </w:p>
        </w:tc>
        <w:tc>
          <w:tcPr>
            <w:tcW w:w="1316" w:type="dxa"/>
            <w:tcBorders>
              <w:top w:val="nil"/>
              <w:left w:val="nil"/>
              <w:bottom w:val="single" w:sz="4" w:space="0" w:color="auto"/>
              <w:right w:val="single" w:sz="4" w:space="0" w:color="auto"/>
            </w:tcBorders>
            <w:shd w:val="clear" w:color="auto" w:fill="auto"/>
            <w:noWrap/>
            <w:vAlign w:val="bottom"/>
            <w:hideMark/>
          </w:tcPr>
          <w:p w14:paraId="5E28B9C8"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5</w:t>
            </w:r>
          </w:p>
        </w:tc>
        <w:tc>
          <w:tcPr>
            <w:tcW w:w="1536" w:type="dxa"/>
            <w:tcBorders>
              <w:top w:val="nil"/>
              <w:left w:val="nil"/>
              <w:bottom w:val="single" w:sz="4" w:space="0" w:color="auto"/>
              <w:right w:val="single" w:sz="4" w:space="0" w:color="auto"/>
            </w:tcBorders>
            <w:shd w:val="clear" w:color="auto" w:fill="auto"/>
            <w:noWrap/>
            <w:vAlign w:val="bottom"/>
            <w:hideMark/>
          </w:tcPr>
          <w:p w14:paraId="5B6C28B0" w14:textId="77777777" w:rsidR="00272012" w:rsidRPr="00E21685" w:rsidRDefault="00272012" w:rsidP="004130A7">
            <w:pPr>
              <w:spacing w:after="0" w:line="240" w:lineRule="auto"/>
              <w:jc w:val="center"/>
              <w:rPr>
                <w:rFonts w:eastAsia="Times New Roman"/>
                <w:color w:val="000000"/>
                <w:lang w:eastAsia="ko-KR"/>
              </w:rPr>
            </w:pPr>
            <w:r>
              <w:rPr>
                <w:rFonts w:eastAsia="Times New Roman"/>
                <w:color w:val="000000"/>
                <w:lang w:eastAsia="ko-KR"/>
              </w:rPr>
              <w:t>2</w:t>
            </w:r>
          </w:p>
        </w:tc>
        <w:tc>
          <w:tcPr>
            <w:tcW w:w="2288" w:type="dxa"/>
            <w:tcBorders>
              <w:top w:val="nil"/>
              <w:left w:val="nil"/>
              <w:bottom w:val="single" w:sz="4" w:space="0" w:color="auto"/>
              <w:right w:val="single" w:sz="4" w:space="0" w:color="auto"/>
            </w:tcBorders>
            <w:shd w:val="clear" w:color="auto" w:fill="auto"/>
          </w:tcPr>
          <w:p w14:paraId="5F61CB84"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2</w:t>
            </w:r>
          </w:p>
        </w:tc>
      </w:tr>
      <w:tr w:rsidR="00272012" w:rsidRPr="00E21685" w14:paraId="38374BCF"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5BE062E8"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11</w:t>
            </w:r>
          </w:p>
        </w:tc>
        <w:tc>
          <w:tcPr>
            <w:tcW w:w="2728" w:type="dxa"/>
            <w:tcBorders>
              <w:top w:val="nil"/>
              <w:left w:val="nil"/>
              <w:bottom w:val="single" w:sz="4" w:space="0" w:color="auto"/>
              <w:right w:val="single" w:sz="4" w:space="0" w:color="auto"/>
            </w:tcBorders>
            <w:shd w:val="clear" w:color="auto" w:fill="auto"/>
            <w:noWrap/>
            <w:vAlign w:val="bottom"/>
            <w:hideMark/>
          </w:tcPr>
          <w:p w14:paraId="4A3F36D9"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University of Portsmouth</w:t>
            </w:r>
          </w:p>
        </w:tc>
        <w:tc>
          <w:tcPr>
            <w:tcW w:w="1316" w:type="dxa"/>
            <w:tcBorders>
              <w:top w:val="nil"/>
              <w:left w:val="nil"/>
              <w:bottom w:val="single" w:sz="4" w:space="0" w:color="auto"/>
              <w:right w:val="single" w:sz="4" w:space="0" w:color="auto"/>
            </w:tcBorders>
            <w:shd w:val="clear" w:color="auto" w:fill="auto"/>
            <w:noWrap/>
            <w:vAlign w:val="bottom"/>
            <w:hideMark/>
          </w:tcPr>
          <w:p w14:paraId="7627F121"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2</w:t>
            </w:r>
          </w:p>
        </w:tc>
        <w:tc>
          <w:tcPr>
            <w:tcW w:w="1536" w:type="dxa"/>
            <w:tcBorders>
              <w:top w:val="nil"/>
              <w:left w:val="nil"/>
              <w:bottom w:val="single" w:sz="4" w:space="0" w:color="auto"/>
              <w:right w:val="single" w:sz="4" w:space="0" w:color="auto"/>
            </w:tcBorders>
            <w:shd w:val="clear" w:color="auto" w:fill="auto"/>
            <w:noWrap/>
            <w:vAlign w:val="bottom"/>
            <w:hideMark/>
          </w:tcPr>
          <w:p w14:paraId="755A7812"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2</w:t>
            </w:r>
          </w:p>
        </w:tc>
        <w:tc>
          <w:tcPr>
            <w:tcW w:w="2288" w:type="dxa"/>
            <w:tcBorders>
              <w:top w:val="nil"/>
              <w:left w:val="nil"/>
              <w:bottom w:val="single" w:sz="4" w:space="0" w:color="auto"/>
              <w:right w:val="single" w:sz="4" w:space="0" w:color="auto"/>
            </w:tcBorders>
            <w:shd w:val="clear" w:color="auto" w:fill="auto"/>
          </w:tcPr>
          <w:p w14:paraId="2ABD38C3"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2</w:t>
            </w:r>
          </w:p>
        </w:tc>
      </w:tr>
      <w:tr w:rsidR="00272012" w:rsidRPr="00E21685" w14:paraId="2EEA9F1B"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C641C2A"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13</w:t>
            </w:r>
          </w:p>
        </w:tc>
        <w:tc>
          <w:tcPr>
            <w:tcW w:w="2728" w:type="dxa"/>
            <w:tcBorders>
              <w:top w:val="nil"/>
              <w:left w:val="nil"/>
              <w:bottom w:val="single" w:sz="4" w:space="0" w:color="auto"/>
              <w:right w:val="single" w:sz="4" w:space="0" w:color="auto"/>
            </w:tcBorders>
            <w:shd w:val="clear" w:color="auto" w:fill="auto"/>
            <w:noWrap/>
            <w:vAlign w:val="bottom"/>
            <w:hideMark/>
          </w:tcPr>
          <w:p w14:paraId="67995A89"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University of Cambridge</w:t>
            </w:r>
          </w:p>
        </w:tc>
        <w:tc>
          <w:tcPr>
            <w:tcW w:w="1316" w:type="dxa"/>
            <w:tcBorders>
              <w:top w:val="nil"/>
              <w:left w:val="nil"/>
              <w:bottom w:val="single" w:sz="4" w:space="0" w:color="auto"/>
              <w:right w:val="single" w:sz="4" w:space="0" w:color="auto"/>
            </w:tcBorders>
            <w:shd w:val="clear" w:color="auto" w:fill="auto"/>
            <w:noWrap/>
            <w:vAlign w:val="bottom"/>
            <w:hideMark/>
          </w:tcPr>
          <w:p w14:paraId="01332D77"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4</w:t>
            </w:r>
          </w:p>
        </w:tc>
        <w:tc>
          <w:tcPr>
            <w:tcW w:w="1536" w:type="dxa"/>
            <w:tcBorders>
              <w:top w:val="nil"/>
              <w:left w:val="nil"/>
              <w:bottom w:val="single" w:sz="4" w:space="0" w:color="auto"/>
              <w:right w:val="single" w:sz="4" w:space="0" w:color="auto"/>
            </w:tcBorders>
            <w:shd w:val="clear" w:color="auto" w:fill="auto"/>
            <w:noWrap/>
            <w:vAlign w:val="bottom"/>
            <w:hideMark/>
          </w:tcPr>
          <w:p w14:paraId="2363CCBA"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2</w:t>
            </w:r>
          </w:p>
        </w:tc>
        <w:tc>
          <w:tcPr>
            <w:tcW w:w="2288" w:type="dxa"/>
            <w:tcBorders>
              <w:top w:val="nil"/>
              <w:left w:val="nil"/>
              <w:bottom w:val="single" w:sz="4" w:space="0" w:color="auto"/>
              <w:right w:val="single" w:sz="4" w:space="0" w:color="auto"/>
            </w:tcBorders>
            <w:shd w:val="clear" w:color="auto" w:fill="auto"/>
          </w:tcPr>
          <w:p w14:paraId="46B1D2A3"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2</w:t>
            </w:r>
          </w:p>
        </w:tc>
      </w:tr>
      <w:tr w:rsidR="00272012" w:rsidRPr="00E21685" w14:paraId="280EC13B" w14:textId="77777777" w:rsidTr="006A166E">
        <w:trPr>
          <w:trHeight w:val="25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79E68F8B" w14:textId="77777777" w:rsidR="00272012" w:rsidRPr="00E21685" w:rsidRDefault="00272012" w:rsidP="004130A7">
            <w:pPr>
              <w:spacing w:after="0" w:line="240" w:lineRule="auto"/>
              <w:jc w:val="center"/>
              <w:rPr>
                <w:rFonts w:eastAsia="Times New Roman"/>
                <w:bCs/>
                <w:color w:val="000000"/>
                <w:lang w:eastAsia="ko-KR"/>
              </w:rPr>
            </w:pPr>
            <w:r w:rsidRPr="00E21685">
              <w:rPr>
                <w:rFonts w:eastAsia="Times New Roman"/>
                <w:bCs/>
                <w:color w:val="000000"/>
                <w:lang w:eastAsia="ko-KR"/>
              </w:rPr>
              <w:t>14</w:t>
            </w:r>
          </w:p>
        </w:tc>
        <w:tc>
          <w:tcPr>
            <w:tcW w:w="2728" w:type="dxa"/>
            <w:tcBorders>
              <w:top w:val="nil"/>
              <w:left w:val="nil"/>
              <w:bottom w:val="single" w:sz="4" w:space="0" w:color="auto"/>
              <w:right w:val="single" w:sz="4" w:space="0" w:color="auto"/>
            </w:tcBorders>
            <w:shd w:val="clear" w:color="auto" w:fill="auto"/>
            <w:noWrap/>
            <w:vAlign w:val="bottom"/>
            <w:hideMark/>
          </w:tcPr>
          <w:p w14:paraId="1D1DC54E"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University of Sheffield</w:t>
            </w:r>
          </w:p>
        </w:tc>
        <w:tc>
          <w:tcPr>
            <w:tcW w:w="1316" w:type="dxa"/>
            <w:tcBorders>
              <w:top w:val="nil"/>
              <w:left w:val="nil"/>
              <w:bottom w:val="single" w:sz="4" w:space="0" w:color="auto"/>
              <w:right w:val="single" w:sz="4" w:space="0" w:color="auto"/>
            </w:tcBorders>
            <w:shd w:val="clear" w:color="auto" w:fill="auto"/>
            <w:noWrap/>
            <w:vAlign w:val="bottom"/>
            <w:hideMark/>
          </w:tcPr>
          <w:p w14:paraId="1A26F3EA"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4</w:t>
            </w:r>
          </w:p>
        </w:tc>
        <w:tc>
          <w:tcPr>
            <w:tcW w:w="1536" w:type="dxa"/>
            <w:tcBorders>
              <w:top w:val="nil"/>
              <w:left w:val="nil"/>
              <w:bottom w:val="single" w:sz="4" w:space="0" w:color="auto"/>
              <w:right w:val="single" w:sz="4" w:space="0" w:color="auto"/>
            </w:tcBorders>
            <w:shd w:val="clear" w:color="auto" w:fill="auto"/>
            <w:noWrap/>
            <w:vAlign w:val="bottom"/>
            <w:hideMark/>
          </w:tcPr>
          <w:p w14:paraId="636822C9" w14:textId="77777777" w:rsidR="00272012" w:rsidRPr="00E21685" w:rsidRDefault="00272012" w:rsidP="004130A7">
            <w:pPr>
              <w:spacing w:after="0" w:line="240" w:lineRule="auto"/>
              <w:jc w:val="center"/>
              <w:rPr>
                <w:rFonts w:eastAsia="Times New Roman"/>
                <w:color w:val="000000"/>
                <w:lang w:eastAsia="ko-KR"/>
              </w:rPr>
            </w:pPr>
            <w:r w:rsidRPr="00E21685">
              <w:rPr>
                <w:rFonts w:eastAsia="Times New Roman"/>
                <w:color w:val="000000"/>
                <w:lang w:eastAsia="ko-KR"/>
              </w:rPr>
              <w:t>2</w:t>
            </w:r>
          </w:p>
        </w:tc>
        <w:tc>
          <w:tcPr>
            <w:tcW w:w="2288" w:type="dxa"/>
            <w:tcBorders>
              <w:top w:val="nil"/>
              <w:left w:val="nil"/>
              <w:bottom w:val="single" w:sz="4" w:space="0" w:color="auto"/>
              <w:right w:val="single" w:sz="4" w:space="0" w:color="auto"/>
            </w:tcBorders>
            <w:shd w:val="clear" w:color="auto" w:fill="auto"/>
          </w:tcPr>
          <w:p w14:paraId="2D0B5D80" w14:textId="77777777" w:rsidR="00272012" w:rsidRPr="002A514A" w:rsidRDefault="00272012" w:rsidP="004130A7">
            <w:pPr>
              <w:spacing w:after="0" w:line="240" w:lineRule="auto"/>
              <w:jc w:val="center"/>
              <w:rPr>
                <w:rFonts w:eastAsia="Times New Roman"/>
                <w:color w:val="000000"/>
                <w:lang w:eastAsia="ko-KR"/>
              </w:rPr>
            </w:pPr>
            <w:r w:rsidRPr="002A514A">
              <w:rPr>
                <w:rFonts w:eastAsia="Times New Roman"/>
                <w:color w:val="000000"/>
                <w:lang w:eastAsia="ko-KR"/>
              </w:rPr>
              <w:t>2</w:t>
            </w:r>
          </w:p>
        </w:tc>
      </w:tr>
      <w:tr w:rsidR="00272012" w:rsidRPr="00E21685" w14:paraId="67125588" w14:textId="77777777" w:rsidTr="006A166E">
        <w:trPr>
          <w:trHeight w:val="254"/>
        </w:trPr>
        <w:tc>
          <w:tcPr>
            <w:tcW w:w="36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17C415" w14:textId="77777777" w:rsidR="00272012" w:rsidRPr="00E21685" w:rsidRDefault="00272012" w:rsidP="004130A7">
            <w:pPr>
              <w:spacing w:after="0" w:line="240" w:lineRule="auto"/>
              <w:jc w:val="center"/>
              <w:rPr>
                <w:rFonts w:eastAsia="Times New Roman"/>
                <w:b/>
                <w:bCs/>
                <w:color w:val="000000"/>
                <w:lang w:eastAsia="ko-KR"/>
              </w:rPr>
            </w:pPr>
            <w:r w:rsidRPr="00E21685">
              <w:rPr>
                <w:rFonts w:eastAsia="Times New Roman"/>
                <w:b/>
                <w:bCs/>
                <w:color w:val="000000"/>
                <w:lang w:eastAsia="ko-KR"/>
              </w:rPr>
              <w:t>Total</w:t>
            </w:r>
          </w:p>
        </w:tc>
        <w:tc>
          <w:tcPr>
            <w:tcW w:w="1316" w:type="dxa"/>
            <w:tcBorders>
              <w:top w:val="nil"/>
              <w:left w:val="nil"/>
              <w:bottom w:val="single" w:sz="4" w:space="0" w:color="auto"/>
              <w:right w:val="single" w:sz="4" w:space="0" w:color="auto"/>
            </w:tcBorders>
            <w:shd w:val="clear" w:color="auto" w:fill="auto"/>
            <w:noWrap/>
            <w:vAlign w:val="bottom"/>
            <w:hideMark/>
          </w:tcPr>
          <w:p w14:paraId="7FCA36B0" w14:textId="77777777" w:rsidR="00272012" w:rsidRPr="00E21685" w:rsidRDefault="00272012" w:rsidP="004130A7">
            <w:pPr>
              <w:spacing w:after="0" w:line="240" w:lineRule="auto"/>
              <w:jc w:val="center"/>
              <w:rPr>
                <w:rFonts w:eastAsia="Times New Roman"/>
                <w:b/>
                <w:bCs/>
                <w:color w:val="000000"/>
                <w:lang w:eastAsia="ko-KR"/>
              </w:rPr>
            </w:pPr>
            <w:r w:rsidRPr="00E21685">
              <w:rPr>
                <w:rFonts w:eastAsia="Times New Roman"/>
                <w:b/>
                <w:bCs/>
                <w:color w:val="000000"/>
                <w:lang w:eastAsia="ko-KR"/>
              </w:rPr>
              <w:t>51</w:t>
            </w:r>
          </w:p>
        </w:tc>
        <w:tc>
          <w:tcPr>
            <w:tcW w:w="1536" w:type="dxa"/>
            <w:tcBorders>
              <w:top w:val="nil"/>
              <w:left w:val="nil"/>
              <w:bottom w:val="single" w:sz="4" w:space="0" w:color="auto"/>
              <w:right w:val="single" w:sz="4" w:space="0" w:color="auto"/>
            </w:tcBorders>
            <w:shd w:val="clear" w:color="auto" w:fill="auto"/>
            <w:noWrap/>
            <w:vAlign w:val="bottom"/>
            <w:hideMark/>
          </w:tcPr>
          <w:p w14:paraId="0BA0EEB5" w14:textId="77777777" w:rsidR="00272012" w:rsidRPr="00E21685" w:rsidRDefault="00272012" w:rsidP="004130A7">
            <w:pPr>
              <w:keepNext/>
              <w:spacing w:after="0" w:line="240" w:lineRule="auto"/>
              <w:jc w:val="center"/>
              <w:rPr>
                <w:rFonts w:eastAsia="Times New Roman"/>
                <w:b/>
                <w:bCs/>
                <w:color w:val="000000"/>
                <w:lang w:eastAsia="ko-KR"/>
              </w:rPr>
            </w:pPr>
            <w:r w:rsidRPr="00E21685">
              <w:rPr>
                <w:rFonts w:eastAsia="Times New Roman"/>
                <w:b/>
                <w:bCs/>
                <w:color w:val="000000"/>
                <w:lang w:eastAsia="ko-KR"/>
              </w:rPr>
              <w:t>2</w:t>
            </w:r>
            <w:r>
              <w:rPr>
                <w:rFonts w:eastAsia="Times New Roman"/>
                <w:b/>
                <w:bCs/>
                <w:color w:val="000000"/>
                <w:lang w:eastAsia="ko-KR"/>
              </w:rPr>
              <w:t>6</w:t>
            </w:r>
          </w:p>
        </w:tc>
        <w:tc>
          <w:tcPr>
            <w:tcW w:w="2288" w:type="dxa"/>
            <w:tcBorders>
              <w:top w:val="nil"/>
              <w:left w:val="nil"/>
              <w:bottom w:val="single" w:sz="4" w:space="0" w:color="auto"/>
              <w:right w:val="single" w:sz="4" w:space="0" w:color="auto"/>
            </w:tcBorders>
            <w:shd w:val="clear" w:color="auto" w:fill="auto"/>
          </w:tcPr>
          <w:p w14:paraId="37F25778" w14:textId="77777777" w:rsidR="00272012" w:rsidRPr="002A514A" w:rsidRDefault="00272012" w:rsidP="003E5E7B">
            <w:pPr>
              <w:keepNext/>
              <w:spacing w:after="0" w:line="240" w:lineRule="auto"/>
              <w:jc w:val="center"/>
              <w:rPr>
                <w:rFonts w:eastAsia="Times New Roman"/>
                <w:b/>
                <w:bCs/>
                <w:color w:val="000000"/>
                <w:lang w:eastAsia="ko-KR"/>
              </w:rPr>
            </w:pPr>
            <w:r w:rsidRPr="002A514A">
              <w:rPr>
                <w:rFonts w:eastAsia="Times New Roman"/>
                <w:b/>
                <w:bCs/>
                <w:color w:val="000000"/>
                <w:lang w:eastAsia="ko-KR"/>
              </w:rPr>
              <w:t>19</w:t>
            </w:r>
          </w:p>
        </w:tc>
      </w:tr>
    </w:tbl>
    <w:p w14:paraId="5885FC8D" w14:textId="6BC530FD" w:rsidR="003E5E7B" w:rsidRDefault="003E5E7B" w:rsidP="003E5E7B">
      <w:pPr>
        <w:pStyle w:val="Caption"/>
        <w:rPr>
          <w:rFonts w:eastAsia="Times New Roman"/>
          <w:sz w:val="24"/>
          <w:szCs w:val="24"/>
        </w:rPr>
      </w:pPr>
      <w:bookmarkStart w:id="242" w:name="_Ref19784972"/>
      <w:bookmarkStart w:id="243" w:name="_Toc31702067"/>
      <w:r>
        <w:t xml:space="preserve">Table </w:t>
      </w:r>
      <w:r w:rsidR="00A56355">
        <w:fldChar w:fldCharType="begin"/>
      </w:r>
      <w:r w:rsidR="00A56355">
        <w:instrText xml:space="preserve"> SEQ Table \* ARABIC </w:instrText>
      </w:r>
      <w:r w:rsidR="00A56355">
        <w:fldChar w:fldCharType="separate"/>
      </w:r>
      <w:r w:rsidR="0011424E">
        <w:rPr>
          <w:noProof/>
        </w:rPr>
        <w:t>38</w:t>
      </w:r>
      <w:r w:rsidR="00A56355">
        <w:rPr>
          <w:noProof/>
        </w:rPr>
        <w:fldChar w:fldCharType="end"/>
      </w:r>
      <w:bookmarkEnd w:id="242"/>
      <w:r>
        <w:t xml:space="preserve">. </w:t>
      </w:r>
      <w:r w:rsidRPr="005E33DE">
        <w:t>Total Case Studies and Sampled Case Studies from the ten submissions</w:t>
      </w:r>
      <w:bookmarkEnd w:id="243"/>
    </w:p>
    <w:p w14:paraId="49634847" w14:textId="39AB0A1A" w:rsidR="00272012" w:rsidRDefault="00272012" w:rsidP="00272012">
      <w:pPr>
        <w:spacing w:after="120" w:line="360" w:lineRule="auto"/>
        <w:rPr>
          <w:rFonts w:eastAsia="Times New Roman"/>
          <w:sz w:val="24"/>
          <w:szCs w:val="24"/>
        </w:rPr>
      </w:pPr>
      <w:r>
        <w:rPr>
          <w:rFonts w:eastAsia="Times New Roman"/>
          <w:sz w:val="24"/>
          <w:szCs w:val="24"/>
        </w:rPr>
        <w:t xml:space="preserve">My sample of Case Studies incorporates just over half of all the selected submissions Impact Case Studies (26/51 Case Studies). </w:t>
      </w:r>
      <w:r w:rsidR="003E5E7B" w:rsidRPr="003E5E7B">
        <w:rPr>
          <w:rFonts w:eastAsia="Times New Roman"/>
          <w:sz w:val="24"/>
          <w:szCs w:val="24"/>
        </w:rPr>
        <w:fldChar w:fldCharType="begin"/>
      </w:r>
      <w:r w:rsidR="003E5E7B" w:rsidRPr="003E5E7B">
        <w:rPr>
          <w:rFonts w:eastAsia="Times New Roman"/>
          <w:sz w:val="24"/>
          <w:szCs w:val="24"/>
        </w:rPr>
        <w:instrText xml:space="preserve"> REF _Ref19785021 \h  \* MERGEFORMAT </w:instrText>
      </w:r>
      <w:r w:rsidR="003E5E7B" w:rsidRPr="003E5E7B">
        <w:rPr>
          <w:rFonts w:eastAsia="Times New Roman"/>
          <w:sz w:val="24"/>
          <w:szCs w:val="24"/>
        </w:rPr>
      </w:r>
      <w:r w:rsidR="003E5E7B" w:rsidRPr="003E5E7B">
        <w:rPr>
          <w:rFonts w:eastAsia="Times New Roman"/>
          <w:sz w:val="24"/>
          <w:szCs w:val="24"/>
        </w:rPr>
        <w:fldChar w:fldCharType="separate"/>
      </w:r>
      <w:r w:rsidR="0011424E" w:rsidRPr="0011424E">
        <w:rPr>
          <w:sz w:val="24"/>
          <w:szCs w:val="24"/>
        </w:rPr>
        <w:t xml:space="preserve">Table </w:t>
      </w:r>
      <w:r w:rsidR="0011424E" w:rsidRPr="0011424E">
        <w:rPr>
          <w:noProof/>
          <w:sz w:val="24"/>
          <w:szCs w:val="24"/>
        </w:rPr>
        <w:t>39</w:t>
      </w:r>
      <w:r w:rsidR="003E5E7B" w:rsidRPr="003E5E7B">
        <w:rPr>
          <w:rFonts w:eastAsia="Times New Roman"/>
          <w:sz w:val="24"/>
          <w:szCs w:val="24"/>
        </w:rPr>
        <w:fldChar w:fldCharType="end"/>
      </w:r>
      <w:r w:rsidR="003E5E7B" w:rsidRPr="003E5E7B">
        <w:rPr>
          <w:rFonts w:eastAsia="Times New Roman"/>
          <w:sz w:val="24"/>
          <w:szCs w:val="24"/>
        </w:rPr>
        <w:t xml:space="preserve"> </w:t>
      </w:r>
      <w:r w:rsidRPr="003E5E7B">
        <w:rPr>
          <w:rFonts w:eastAsia="Times New Roman"/>
          <w:sz w:val="24"/>
          <w:szCs w:val="24"/>
        </w:rPr>
        <w:t>shows</w:t>
      </w:r>
      <w:r>
        <w:rPr>
          <w:rFonts w:eastAsia="Times New Roman"/>
          <w:sz w:val="24"/>
          <w:szCs w:val="24"/>
        </w:rPr>
        <w:t xml:space="preserve"> that my sample comes very close to achieving a minimum of half of all Case Studies associated with each of the </w:t>
      </w:r>
      <w:r w:rsidR="00FE6208">
        <w:rPr>
          <w:rFonts w:eastAsia="Times New Roman"/>
          <w:sz w:val="24"/>
          <w:szCs w:val="24"/>
        </w:rPr>
        <w:t>different dimensions</w:t>
      </w:r>
      <w:r>
        <w:rPr>
          <w:rFonts w:eastAsia="Times New Roman"/>
          <w:sz w:val="24"/>
          <w:szCs w:val="24"/>
        </w:rPr>
        <w:t>’ categories. Of twelve categories,</w:t>
      </w:r>
      <w:r w:rsidR="00B9116C">
        <w:rPr>
          <w:rFonts w:eastAsia="Times New Roman"/>
          <w:sz w:val="24"/>
          <w:szCs w:val="24"/>
        </w:rPr>
        <w:t xml:space="preserve"> eight are represented above a level of 50%, with the lowest being 38</w:t>
      </w:r>
      <w:r>
        <w:rPr>
          <w:rFonts w:eastAsia="Times New Roman"/>
          <w:sz w:val="24"/>
          <w:szCs w:val="24"/>
        </w:rPr>
        <w:t xml:space="preserve">%. </w:t>
      </w:r>
      <w:r w:rsidR="00FB74DF">
        <w:rPr>
          <w:rFonts w:eastAsia="Times New Roman"/>
          <w:sz w:val="24"/>
          <w:szCs w:val="24"/>
        </w:rPr>
        <w:t>A</w:t>
      </w:r>
      <w:r>
        <w:rPr>
          <w:rFonts w:eastAsia="Times New Roman"/>
          <w:sz w:val="24"/>
          <w:szCs w:val="24"/>
        </w:rPr>
        <w:t>ll four instances</w:t>
      </w:r>
      <w:r w:rsidR="00FB74DF">
        <w:rPr>
          <w:rFonts w:eastAsia="Times New Roman"/>
          <w:sz w:val="24"/>
          <w:szCs w:val="24"/>
        </w:rPr>
        <w:t xml:space="preserve"> of representation lower than 50% </w:t>
      </w:r>
      <w:r w:rsidR="00B9116C">
        <w:rPr>
          <w:rFonts w:eastAsia="Times New Roman"/>
          <w:sz w:val="24"/>
          <w:szCs w:val="24"/>
        </w:rPr>
        <w:t>are</w:t>
      </w:r>
      <w:r>
        <w:rPr>
          <w:rFonts w:eastAsia="Times New Roman"/>
          <w:sz w:val="24"/>
          <w:szCs w:val="24"/>
        </w:rPr>
        <w:t xml:space="preserve"> due to the inclusion in that category of Glasgow’s very large UoA1 submission, which somewhat skews the percentage of sampled Case Studies</w:t>
      </w:r>
      <w:r w:rsidR="004E5454">
        <w:rPr>
          <w:rFonts w:eastAsia="Times New Roman"/>
          <w:sz w:val="24"/>
          <w:szCs w:val="24"/>
        </w:rPr>
        <w:t xml:space="preserve"> from this submission</w:t>
      </w:r>
      <w:r>
        <w:rPr>
          <w:rFonts w:eastAsia="Times New Roman"/>
          <w:sz w:val="24"/>
          <w:szCs w:val="24"/>
        </w:rPr>
        <w:t xml:space="preserve"> downwards. Overall, I believe that my sampling strategy captures a sufficient proportion of all parameters to allow me to make reasonable inferences about the range of boundary processes associated with each of them.</w:t>
      </w:r>
    </w:p>
    <w:p w14:paraId="45710792" w14:textId="1C3C467B" w:rsidR="00BC5D88" w:rsidRDefault="00BC5D88" w:rsidP="00272012">
      <w:pPr>
        <w:spacing w:after="120" w:line="360" w:lineRule="auto"/>
        <w:rPr>
          <w:rFonts w:eastAsia="Times New Roman"/>
          <w:sz w:val="24"/>
          <w:szCs w:val="24"/>
        </w:rPr>
      </w:pPr>
    </w:p>
    <w:p w14:paraId="4F689960" w14:textId="7AD0D6A8" w:rsidR="00BC5D88" w:rsidRDefault="00BC5D88" w:rsidP="00272012">
      <w:pPr>
        <w:spacing w:after="120" w:line="360" w:lineRule="auto"/>
        <w:rPr>
          <w:rFonts w:eastAsia="Times New Roman"/>
          <w:sz w:val="24"/>
          <w:szCs w:val="24"/>
        </w:rPr>
      </w:pPr>
    </w:p>
    <w:p w14:paraId="38C7E29E" w14:textId="674D9D57" w:rsidR="00BC5D88" w:rsidRDefault="00BC5D88" w:rsidP="00272012">
      <w:pPr>
        <w:spacing w:after="120" w:line="360" w:lineRule="auto"/>
        <w:rPr>
          <w:rFonts w:eastAsia="Times New Roman"/>
          <w:sz w:val="24"/>
          <w:szCs w:val="24"/>
        </w:rPr>
      </w:pPr>
    </w:p>
    <w:p w14:paraId="2799F98F" w14:textId="77777777" w:rsidR="00BC5D88" w:rsidRDefault="00BC5D88" w:rsidP="00272012">
      <w:pPr>
        <w:spacing w:after="120" w:line="360" w:lineRule="auto"/>
        <w:rPr>
          <w:rFonts w:eastAsia="Times New Roman"/>
          <w:sz w:val="24"/>
          <w:szCs w:val="24"/>
        </w:rPr>
      </w:pPr>
    </w:p>
    <w:tbl>
      <w:tblPr>
        <w:tblW w:w="89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273"/>
        <w:gridCol w:w="1556"/>
        <w:gridCol w:w="1698"/>
        <w:gridCol w:w="1273"/>
      </w:tblGrid>
      <w:tr w:rsidR="00272012" w:rsidRPr="00785940" w14:paraId="0DC94663" w14:textId="77777777" w:rsidTr="004130A7">
        <w:trPr>
          <w:trHeight w:val="502"/>
          <w:jc w:val="right"/>
        </w:trPr>
        <w:tc>
          <w:tcPr>
            <w:tcW w:w="3108" w:type="dxa"/>
            <w:shd w:val="clear" w:color="auto" w:fill="auto"/>
            <w:noWrap/>
            <w:vAlign w:val="center"/>
            <w:hideMark/>
          </w:tcPr>
          <w:p w14:paraId="00D8ACFB" w14:textId="77777777" w:rsidR="00272012" w:rsidRPr="005F1703" w:rsidRDefault="00272012" w:rsidP="004130A7">
            <w:pPr>
              <w:spacing w:after="0" w:line="240" w:lineRule="auto"/>
              <w:jc w:val="center"/>
              <w:rPr>
                <w:rFonts w:eastAsia="Times New Roman"/>
                <w:b/>
                <w:bCs/>
                <w:color w:val="000000"/>
                <w:lang w:eastAsia="ko-KR"/>
              </w:rPr>
            </w:pPr>
            <w:r>
              <w:rPr>
                <w:rFonts w:eastAsia="Times New Roman"/>
                <w:b/>
                <w:bCs/>
                <w:color w:val="000000"/>
                <w:lang w:eastAsia="ko-KR"/>
              </w:rPr>
              <w:t>Parameters and Categories (no. of submissions)</w:t>
            </w:r>
          </w:p>
        </w:tc>
        <w:tc>
          <w:tcPr>
            <w:tcW w:w="1273" w:type="dxa"/>
            <w:shd w:val="clear" w:color="auto" w:fill="auto"/>
            <w:noWrap/>
            <w:vAlign w:val="center"/>
            <w:hideMark/>
          </w:tcPr>
          <w:p w14:paraId="1370BCDA" w14:textId="77777777" w:rsidR="00272012" w:rsidRPr="005F1703"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 xml:space="preserve">Total </w:t>
            </w:r>
            <w:r>
              <w:rPr>
                <w:rFonts w:eastAsia="Times New Roman"/>
                <w:b/>
                <w:bCs/>
                <w:color w:val="000000"/>
                <w:lang w:eastAsia="ko-KR"/>
              </w:rPr>
              <w:t>Case Studies</w:t>
            </w:r>
          </w:p>
        </w:tc>
        <w:tc>
          <w:tcPr>
            <w:tcW w:w="1556" w:type="dxa"/>
            <w:shd w:val="clear" w:color="auto" w:fill="auto"/>
            <w:noWrap/>
            <w:vAlign w:val="center"/>
            <w:hideMark/>
          </w:tcPr>
          <w:p w14:paraId="6709BC5A" w14:textId="77777777" w:rsidR="00272012"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 xml:space="preserve">Sampled </w:t>
            </w:r>
          </w:p>
          <w:p w14:paraId="7B8BC722" w14:textId="77777777" w:rsidR="00272012" w:rsidRPr="005F1703" w:rsidRDefault="00272012" w:rsidP="004130A7">
            <w:pPr>
              <w:spacing w:after="0" w:line="240" w:lineRule="auto"/>
              <w:jc w:val="center"/>
              <w:rPr>
                <w:rFonts w:eastAsia="Times New Roman"/>
                <w:b/>
                <w:bCs/>
                <w:color w:val="000000"/>
                <w:lang w:eastAsia="ko-KR"/>
              </w:rPr>
            </w:pPr>
            <w:r>
              <w:rPr>
                <w:rFonts w:eastAsia="Times New Roman"/>
                <w:b/>
                <w:bCs/>
                <w:color w:val="000000"/>
                <w:lang w:eastAsia="ko-KR"/>
              </w:rPr>
              <w:t>Case Studies</w:t>
            </w:r>
          </w:p>
        </w:tc>
        <w:tc>
          <w:tcPr>
            <w:tcW w:w="1698" w:type="dxa"/>
            <w:vAlign w:val="center"/>
          </w:tcPr>
          <w:p w14:paraId="3C63643B" w14:textId="77777777" w:rsidR="00272012" w:rsidRPr="00942AFB" w:rsidRDefault="00272012" w:rsidP="004130A7">
            <w:pPr>
              <w:spacing w:after="0" w:line="240" w:lineRule="auto"/>
              <w:jc w:val="center"/>
              <w:rPr>
                <w:rFonts w:eastAsia="Times New Roman"/>
                <w:b/>
                <w:bCs/>
                <w:color w:val="000000"/>
                <w:lang w:eastAsia="ko-KR"/>
              </w:rPr>
            </w:pPr>
            <w:r>
              <w:rPr>
                <w:rFonts w:eastAsia="Times New Roman"/>
                <w:b/>
                <w:bCs/>
                <w:color w:val="000000"/>
                <w:lang w:eastAsia="ko-KR"/>
              </w:rPr>
              <w:t>% of Case Studies sampled</w:t>
            </w:r>
          </w:p>
        </w:tc>
        <w:tc>
          <w:tcPr>
            <w:tcW w:w="1273" w:type="dxa"/>
          </w:tcPr>
          <w:p w14:paraId="4C08EF18" w14:textId="77777777" w:rsidR="00272012" w:rsidRDefault="00272012" w:rsidP="004130A7">
            <w:pPr>
              <w:spacing w:after="0" w:line="240" w:lineRule="auto"/>
              <w:jc w:val="center"/>
              <w:rPr>
                <w:rFonts w:eastAsia="Times New Roman"/>
                <w:b/>
                <w:bCs/>
                <w:color w:val="000000"/>
                <w:lang w:eastAsia="ko-KR"/>
              </w:rPr>
            </w:pPr>
            <w:r>
              <w:rPr>
                <w:rFonts w:eastAsia="Times New Roman"/>
                <w:b/>
                <w:bCs/>
                <w:color w:val="000000"/>
                <w:lang w:eastAsia="ko-KR"/>
              </w:rPr>
              <w:t>Distinct bodies of research</w:t>
            </w:r>
          </w:p>
        </w:tc>
      </w:tr>
      <w:tr w:rsidR="00272012" w:rsidRPr="00785940" w14:paraId="6E2E44E8" w14:textId="77777777" w:rsidTr="004130A7">
        <w:trPr>
          <w:trHeight w:val="184"/>
          <w:jc w:val="right"/>
        </w:trPr>
        <w:tc>
          <w:tcPr>
            <w:tcW w:w="3108" w:type="dxa"/>
            <w:shd w:val="clear" w:color="auto" w:fill="auto"/>
            <w:noWrap/>
            <w:vAlign w:val="center"/>
          </w:tcPr>
          <w:p w14:paraId="7D9DEF32" w14:textId="1D6FC4B8" w:rsidR="00272012" w:rsidRPr="005F1703" w:rsidRDefault="00B916DC" w:rsidP="004130A7">
            <w:pPr>
              <w:spacing w:after="0" w:line="240" w:lineRule="auto"/>
              <w:jc w:val="center"/>
              <w:rPr>
                <w:rFonts w:eastAsia="Times New Roman"/>
                <w:b/>
                <w:bCs/>
                <w:color w:val="000000"/>
                <w:lang w:eastAsia="ko-KR"/>
              </w:rPr>
            </w:pPr>
            <w:r>
              <w:rPr>
                <w:rFonts w:eastAsia="Times New Roman"/>
                <w:b/>
                <w:bCs/>
                <w:color w:val="000000"/>
                <w:lang w:eastAsia="ko-KR"/>
              </w:rPr>
              <w:t>Tier</w:t>
            </w:r>
          </w:p>
        </w:tc>
        <w:tc>
          <w:tcPr>
            <w:tcW w:w="1273" w:type="dxa"/>
            <w:shd w:val="clear" w:color="auto" w:fill="auto"/>
            <w:noWrap/>
            <w:vAlign w:val="center"/>
          </w:tcPr>
          <w:p w14:paraId="2EEE49F3" w14:textId="77777777" w:rsidR="00272012" w:rsidRPr="005F1703" w:rsidRDefault="00272012" w:rsidP="004130A7">
            <w:pPr>
              <w:spacing w:after="0" w:line="240" w:lineRule="auto"/>
              <w:jc w:val="center"/>
              <w:rPr>
                <w:rFonts w:eastAsia="Times New Roman"/>
                <w:b/>
                <w:bCs/>
                <w:color w:val="000000"/>
                <w:lang w:eastAsia="ko-KR"/>
              </w:rPr>
            </w:pPr>
          </w:p>
        </w:tc>
        <w:tc>
          <w:tcPr>
            <w:tcW w:w="1556" w:type="dxa"/>
            <w:shd w:val="clear" w:color="auto" w:fill="auto"/>
            <w:noWrap/>
            <w:vAlign w:val="center"/>
          </w:tcPr>
          <w:p w14:paraId="0697C1A1" w14:textId="77777777" w:rsidR="00272012" w:rsidRPr="005F1703" w:rsidRDefault="00272012" w:rsidP="004130A7">
            <w:pPr>
              <w:spacing w:after="0" w:line="240" w:lineRule="auto"/>
              <w:jc w:val="center"/>
              <w:rPr>
                <w:rFonts w:eastAsia="Times New Roman"/>
                <w:b/>
                <w:bCs/>
                <w:color w:val="000000"/>
                <w:lang w:eastAsia="ko-KR"/>
              </w:rPr>
            </w:pPr>
          </w:p>
        </w:tc>
        <w:tc>
          <w:tcPr>
            <w:tcW w:w="1698" w:type="dxa"/>
            <w:vAlign w:val="center"/>
          </w:tcPr>
          <w:p w14:paraId="06EBE282" w14:textId="77777777" w:rsidR="00272012" w:rsidRDefault="00272012" w:rsidP="004130A7">
            <w:pPr>
              <w:spacing w:after="0" w:line="240" w:lineRule="auto"/>
              <w:jc w:val="center"/>
              <w:rPr>
                <w:rFonts w:eastAsia="Times New Roman"/>
                <w:b/>
                <w:bCs/>
                <w:color w:val="000000"/>
                <w:lang w:eastAsia="ko-KR"/>
              </w:rPr>
            </w:pPr>
          </w:p>
        </w:tc>
        <w:tc>
          <w:tcPr>
            <w:tcW w:w="1273" w:type="dxa"/>
          </w:tcPr>
          <w:p w14:paraId="225D3E5D" w14:textId="77777777" w:rsidR="00272012" w:rsidRDefault="00272012" w:rsidP="004130A7">
            <w:pPr>
              <w:spacing w:after="0" w:line="240" w:lineRule="auto"/>
              <w:jc w:val="center"/>
              <w:rPr>
                <w:rFonts w:eastAsia="Times New Roman"/>
                <w:b/>
                <w:bCs/>
                <w:color w:val="000000"/>
                <w:lang w:eastAsia="ko-KR"/>
              </w:rPr>
            </w:pPr>
          </w:p>
        </w:tc>
      </w:tr>
      <w:tr w:rsidR="00272012" w:rsidRPr="00785940" w14:paraId="75D34BE7" w14:textId="77777777" w:rsidTr="004130A7">
        <w:trPr>
          <w:trHeight w:val="184"/>
          <w:jc w:val="right"/>
        </w:trPr>
        <w:tc>
          <w:tcPr>
            <w:tcW w:w="3108" w:type="dxa"/>
            <w:shd w:val="clear" w:color="auto" w:fill="auto"/>
            <w:noWrap/>
            <w:vAlign w:val="center"/>
            <w:hideMark/>
          </w:tcPr>
          <w:p w14:paraId="0016714B" w14:textId="7893F5E4" w:rsidR="00272012" w:rsidRPr="005F1703" w:rsidRDefault="00AA1FC0" w:rsidP="004130A7">
            <w:pPr>
              <w:spacing w:after="0" w:line="240" w:lineRule="auto"/>
              <w:jc w:val="center"/>
              <w:rPr>
                <w:rFonts w:eastAsia="Times New Roman"/>
                <w:color w:val="000000"/>
                <w:lang w:eastAsia="ko-KR"/>
              </w:rPr>
            </w:pPr>
            <w:r>
              <w:rPr>
                <w:rFonts w:eastAsia="Times New Roman"/>
                <w:color w:val="000000"/>
                <w:lang w:eastAsia="ko-KR"/>
              </w:rPr>
              <w:t>Tier 1</w:t>
            </w:r>
            <w:r w:rsidR="00272012" w:rsidRPr="005F1703">
              <w:rPr>
                <w:rFonts w:eastAsia="Times New Roman"/>
                <w:color w:val="000000"/>
                <w:lang w:eastAsia="ko-KR"/>
              </w:rPr>
              <w:t xml:space="preserve"> (1)</w:t>
            </w:r>
          </w:p>
        </w:tc>
        <w:tc>
          <w:tcPr>
            <w:tcW w:w="1273" w:type="dxa"/>
            <w:shd w:val="clear" w:color="auto" w:fill="auto"/>
            <w:noWrap/>
            <w:vAlign w:val="center"/>
            <w:hideMark/>
          </w:tcPr>
          <w:p w14:paraId="78050B35"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4</w:t>
            </w:r>
          </w:p>
        </w:tc>
        <w:tc>
          <w:tcPr>
            <w:tcW w:w="1556" w:type="dxa"/>
            <w:shd w:val="clear" w:color="auto" w:fill="auto"/>
            <w:noWrap/>
            <w:vAlign w:val="center"/>
            <w:hideMark/>
          </w:tcPr>
          <w:p w14:paraId="748BDC99"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2</w:t>
            </w:r>
          </w:p>
        </w:tc>
        <w:tc>
          <w:tcPr>
            <w:tcW w:w="1698" w:type="dxa"/>
            <w:vAlign w:val="bottom"/>
          </w:tcPr>
          <w:p w14:paraId="349ADA3C" w14:textId="77777777" w:rsidR="00272012" w:rsidRPr="006B0AC6" w:rsidRDefault="00272012" w:rsidP="004130A7">
            <w:pPr>
              <w:spacing w:after="0" w:line="240" w:lineRule="auto"/>
              <w:jc w:val="center"/>
              <w:rPr>
                <w:bCs/>
                <w:color w:val="000000"/>
              </w:rPr>
            </w:pPr>
            <w:r w:rsidRPr="006B0AC6">
              <w:rPr>
                <w:bCs/>
                <w:color w:val="000000"/>
              </w:rPr>
              <w:t>50</w:t>
            </w:r>
            <w:r>
              <w:rPr>
                <w:bCs/>
                <w:color w:val="000000"/>
              </w:rPr>
              <w:t>%</w:t>
            </w:r>
          </w:p>
        </w:tc>
        <w:tc>
          <w:tcPr>
            <w:tcW w:w="1273" w:type="dxa"/>
          </w:tcPr>
          <w:p w14:paraId="33B304FE" w14:textId="77777777" w:rsidR="00272012" w:rsidRPr="006B0AC6" w:rsidRDefault="00272012" w:rsidP="004130A7">
            <w:pPr>
              <w:spacing w:after="0" w:line="240" w:lineRule="auto"/>
              <w:jc w:val="center"/>
              <w:rPr>
                <w:bCs/>
                <w:color w:val="000000"/>
              </w:rPr>
            </w:pPr>
            <w:r>
              <w:rPr>
                <w:bCs/>
                <w:color w:val="000000"/>
              </w:rPr>
              <w:t>2</w:t>
            </w:r>
          </w:p>
        </w:tc>
      </w:tr>
      <w:tr w:rsidR="00272012" w:rsidRPr="00785940" w14:paraId="1EA77710" w14:textId="77777777" w:rsidTr="004130A7">
        <w:trPr>
          <w:trHeight w:val="184"/>
          <w:jc w:val="right"/>
        </w:trPr>
        <w:tc>
          <w:tcPr>
            <w:tcW w:w="3108" w:type="dxa"/>
            <w:shd w:val="clear" w:color="auto" w:fill="auto"/>
            <w:noWrap/>
            <w:vAlign w:val="center"/>
            <w:hideMark/>
          </w:tcPr>
          <w:p w14:paraId="4613CFA2" w14:textId="29E79C27" w:rsidR="00272012" w:rsidRPr="005F1703" w:rsidRDefault="00AA1FC0" w:rsidP="004130A7">
            <w:pPr>
              <w:spacing w:after="0" w:line="240" w:lineRule="auto"/>
              <w:jc w:val="center"/>
              <w:rPr>
                <w:rFonts w:eastAsia="Times New Roman"/>
                <w:color w:val="000000"/>
                <w:lang w:eastAsia="ko-KR"/>
              </w:rPr>
            </w:pPr>
            <w:r>
              <w:rPr>
                <w:rFonts w:eastAsia="Times New Roman"/>
                <w:color w:val="000000"/>
                <w:lang w:eastAsia="ko-KR"/>
              </w:rPr>
              <w:t>Tier 2</w:t>
            </w:r>
            <w:r w:rsidR="00272012" w:rsidRPr="005F1703">
              <w:rPr>
                <w:rFonts w:eastAsia="Times New Roman"/>
                <w:color w:val="000000"/>
                <w:lang w:eastAsia="ko-KR"/>
              </w:rPr>
              <w:t xml:space="preserve"> (6)</w:t>
            </w:r>
          </w:p>
        </w:tc>
        <w:tc>
          <w:tcPr>
            <w:tcW w:w="1273" w:type="dxa"/>
            <w:shd w:val="clear" w:color="auto" w:fill="auto"/>
            <w:noWrap/>
            <w:vAlign w:val="center"/>
            <w:hideMark/>
          </w:tcPr>
          <w:p w14:paraId="0111574B"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41</w:t>
            </w:r>
          </w:p>
        </w:tc>
        <w:tc>
          <w:tcPr>
            <w:tcW w:w="1556" w:type="dxa"/>
            <w:shd w:val="clear" w:color="auto" w:fill="auto"/>
            <w:noWrap/>
            <w:vAlign w:val="center"/>
            <w:hideMark/>
          </w:tcPr>
          <w:p w14:paraId="114E78C5"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18</w:t>
            </w:r>
          </w:p>
        </w:tc>
        <w:tc>
          <w:tcPr>
            <w:tcW w:w="1698" w:type="dxa"/>
            <w:vAlign w:val="bottom"/>
          </w:tcPr>
          <w:p w14:paraId="0A7BCA9A" w14:textId="77777777" w:rsidR="00272012" w:rsidRPr="006B0AC6" w:rsidRDefault="00272012" w:rsidP="004130A7">
            <w:pPr>
              <w:spacing w:after="0" w:line="240" w:lineRule="auto"/>
              <w:jc w:val="center"/>
              <w:rPr>
                <w:rFonts w:eastAsia="Times New Roman"/>
                <w:color w:val="000000"/>
                <w:lang w:eastAsia="ko-KR"/>
              </w:rPr>
            </w:pPr>
            <w:r w:rsidRPr="006B0AC6">
              <w:rPr>
                <w:bCs/>
                <w:color w:val="000000"/>
              </w:rPr>
              <w:t>44</w:t>
            </w:r>
            <w:r>
              <w:rPr>
                <w:bCs/>
                <w:color w:val="000000"/>
              </w:rPr>
              <w:t>%</w:t>
            </w:r>
          </w:p>
        </w:tc>
        <w:tc>
          <w:tcPr>
            <w:tcW w:w="1273" w:type="dxa"/>
          </w:tcPr>
          <w:p w14:paraId="4A183B4B" w14:textId="77777777" w:rsidR="00272012" w:rsidRPr="006B0AC6" w:rsidRDefault="00272012" w:rsidP="004130A7">
            <w:pPr>
              <w:spacing w:after="0" w:line="240" w:lineRule="auto"/>
              <w:jc w:val="center"/>
              <w:rPr>
                <w:bCs/>
                <w:color w:val="000000"/>
              </w:rPr>
            </w:pPr>
            <w:r>
              <w:rPr>
                <w:bCs/>
                <w:color w:val="000000"/>
              </w:rPr>
              <w:t>12</w:t>
            </w:r>
          </w:p>
        </w:tc>
      </w:tr>
      <w:tr w:rsidR="00272012" w:rsidRPr="00785940" w14:paraId="3701A2E1" w14:textId="77777777" w:rsidTr="004130A7">
        <w:trPr>
          <w:trHeight w:val="184"/>
          <w:jc w:val="right"/>
        </w:trPr>
        <w:tc>
          <w:tcPr>
            <w:tcW w:w="3108" w:type="dxa"/>
            <w:shd w:val="clear" w:color="auto" w:fill="auto"/>
            <w:noWrap/>
            <w:vAlign w:val="center"/>
            <w:hideMark/>
          </w:tcPr>
          <w:p w14:paraId="198F75A2" w14:textId="2BA407B3" w:rsidR="00272012" w:rsidRPr="005F1703" w:rsidRDefault="00AA1FC0" w:rsidP="004130A7">
            <w:pPr>
              <w:spacing w:after="0" w:line="240" w:lineRule="auto"/>
              <w:jc w:val="center"/>
              <w:rPr>
                <w:rFonts w:eastAsia="Times New Roman"/>
                <w:color w:val="000000"/>
                <w:lang w:eastAsia="ko-KR"/>
              </w:rPr>
            </w:pPr>
            <w:r>
              <w:rPr>
                <w:rFonts w:eastAsia="Times New Roman"/>
                <w:color w:val="000000"/>
                <w:lang w:eastAsia="ko-KR"/>
              </w:rPr>
              <w:t xml:space="preserve">Tier </w:t>
            </w:r>
            <w:r w:rsidR="00272012" w:rsidRPr="005F1703">
              <w:rPr>
                <w:rFonts w:eastAsia="Times New Roman"/>
                <w:color w:val="000000"/>
                <w:lang w:eastAsia="ko-KR"/>
              </w:rPr>
              <w:t>3 (2)</w:t>
            </w:r>
          </w:p>
        </w:tc>
        <w:tc>
          <w:tcPr>
            <w:tcW w:w="1273" w:type="dxa"/>
            <w:shd w:val="clear" w:color="auto" w:fill="auto"/>
            <w:noWrap/>
            <w:vAlign w:val="center"/>
            <w:hideMark/>
          </w:tcPr>
          <w:p w14:paraId="2FA09302"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4</w:t>
            </w:r>
          </w:p>
        </w:tc>
        <w:tc>
          <w:tcPr>
            <w:tcW w:w="1556" w:type="dxa"/>
            <w:shd w:val="clear" w:color="auto" w:fill="auto"/>
            <w:noWrap/>
            <w:vAlign w:val="center"/>
            <w:hideMark/>
          </w:tcPr>
          <w:p w14:paraId="3E346E52"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4</w:t>
            </w:r>
          </w:p>
        </w:tc>
        <w:tc>
          <w:tcPr>
            <w:tcW w:w="1698" w:type="dxa"/>
            <w:vAlign w:val="bottom"/>
          </w:tcPr>
          <w:p w14:paraId="7C791B46" w14:textId="77777777" w:rsidR="00272012" w:rsidRPr="006B0AC6" w:rsidRDefault="00272012" w:rsidP="004130A7">
            <w:pPr>
              <w:spacing w:after="0" w:line="240" w:lineRule="auto"/>
              <w:jc w:val="center"/>
              <w:rPr>
                <w:rFonts w:eastAsia="Times New Roman"/>
                <w:color w:val="000000"/>
                <w:lang w:eastAsia="ko-KR"/>
              </w:rPr>
            </w:pPr>
            <w:r w:rsidRPr="006B0AC6">
              <w:rPr>
                <w:bCs/>
                <w:color w:val="000000"/>
              </w:rPr>
              <w:t>100</w:t>
            </w:r>
            <w:r>
              <w:rPr>
                <w:bCs/>
                <w:color w:val="000000"/>
              </w:rPr>
              <w:t>%</w:t>
            </w:r>
          </w:p>
        </w:tc>
        <w:tc>
          <w:tcPr>
            <w:tcW w:w="1273" w:type="dxa"/>
          </w:tcPr>
          <w:p w14:paraId="4D184451" w14:textId="77777777" w:rsidR="00272012" w:rsidRPr="006B0AC6" w:rsidRDefault="00272012" w:rsidP="004130A7">
            <w:pPr>
              <w:spacing w:after="0" w:line="240" w:lineRule="auto"/>
              <w:jc w:val="center"/>
              <w:rPr>
                <w:bCs/>
                <w:color w:val="000000"/>
              </w:rPr>
            </w:pPr>
            <w:r>
              <w:rPr>
                <w:bCs/>
                <w:color w:val="000000"/>
              </w:rPr>
              <w:t>4</w:t>
            </w:r>
          </w:p>
        </w:tc>
      </w:tr>
      <w:tr w:rsidR="00272012" w:rsidRPr="00785940" w14:paraId="63C87A3B" w14:textId="77777777" w:rsidTr="004130A7">
        <w:trPr>
          <w:trHeight w:val="184"/>
          <w:jc w:val="right"/>
        </w:trPr>
        <w:tc>
          <w:tcPr>
            <w:tcW w:w="3108" w:type="dxa"/>
            <w:shd w:val="clear" w:color="auto" w:fill="auto"/>
            <w:noWrap/>
            <w:vAlign w:val="center"/>
            <w:hideMark/>
          </w:tcPr>
          <w:p w14:paraId="54D26834" w14:textId="31CD41A4" w:rsidR="00272012" w:rsidRPr="005F1703" w:rsidRDefault="00AA1FC0" w:rsidP="004130A7">
            <w:pPr>
              <w:spacing w:after="0" w:line="240" w:lineRule="auto"/>
              <w:jc w:val="center"/>
              <w:rPr>
                <w:rFonts w:eastAsia="Times New Roman"/>
                <w:color w:val="000000"/>
                <w:lang w:eastAsia="ko-KR"/>
              </w:rPr>
            </w:pPr>
            <w:r>
              <w:rPr>
                <w:rFonts w:eastAsia="Times New Roman"/>
                <w:color w:val="000000"/>
                <w:lang w:eastAsia="ko-KR"/>
              </w:rPr>
              <w:t xml:space="preserve">Tier </w:t>
            </w:r>
            <w:r w:rsidR="00272012" w:rsidRPr="005F1703">
              <w:rPr>
                <w:rFonts w:eastAsia="Times New Roman"/>
                <w:color w:val="000000"/>
                <w:lang w:eastAsia="ko-KR"/>
              </w:rPr>
              <w:t>4 (1)</w:t>
            </w:r>
          </w:p>
        </w:tc>
        <w:tc>
          <w:tcPr>
            <w:tcW w:w="1273" w:type="dxa"/>
            <w:shd w:val="clear" w:color="auto" w:fill="auto"/>
            <w:noWrap/>
            <w:vAlign w:val="center"/>
            <w:hideMark/>
          </w:tcPr>
          <w:p w14:paraId="26F48442"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2</w:t>
            </w:r>
          </w:p>
        </w:tc>
        <w:tc>
          <w:tcPr>
            <w:tcW w:w="1556" w:type="dxa"/>
            <w:shd w:val="clear" w:color="auto" w:fill="auto"/>
            <w:noWrap/>
            <w:vAlign w:val="center"/>
            <w:hideMark/>
          </w:tcPr>
          <w:p w14:paraId="0D82AB00"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2</w:t>
            </w:r>
          </w:p>
        </w:tc>
        <w:tc>
          <w:tcPr>
            <w:tcW w:w="1698" w:type="dxa"/>
            <w:vAlign w:val="bottom"/>
          </w:tcPr>
          <w:p w14:paraId="68E6DC5D" w14:textId="77777777" w:rsidR="00272012" w:rsidRPr="006B0AC6" w:rsidRDefault="00272012" w:rsidP="004130A7">
            <w:pPr>
              <w:spacing w:after="0" w:line="240" w:lineRule="auto"/>
              <w:jc w:val="center"/>
              <w:rPr>
                <w:rFonts w:eastAsia="Times New Roman"/>
                <w:color w:val="000000"/>
                <w:lang w:eastAsia="ko-KR"/>
              </w:rPr>
            </w:pPr>
            <w:r w:rsidRPr="006B0AC6">
              <w:rPr>
                <w:bCs/>
                <w:color w:val="000000"/>
              </w:rPr>
              <w:t>100</w:t>
            </w:r>
            <w:r>
              <w:rPr>
                <w:bCs/>
                <w:color w:val="000000"/>
              </w:rPr>
              <w:t>%</w:t>
            </w:r>
          </w:p>
        </w:tc>
        <w:tc>
          <w:tcPr>
            <w:tcW w:w="1273" w:type="dxa"/>
          </w:tcPr>
          <w:p w14:paraId="7BA0D2EB" w14:textId="77777777" w:rsidR="00272012" w:rsidRPr="006B0AC6" w:rsidRDefault="00272012" w:rsidP="004130A7">
            <w:pPr>
              <w:spacing w:after="0" w:line="240" w:lineRule="auto"/>
              <w:jc w:val="center"/>
              <w:rPr>
                <w:bCs/>
                <w:color w:val="000000"/>
              </w:rPr>
            </w:pPr>
            <w:r>
              <w:rPr>
                <w:bCs/>
                <w:color w:val="000000"/>
              </w:rPr>
              <w:t>2</w:t>
            </w:r>
          </w:p>
        </w:tc>
      </w:tr>
      <w:tr w:rsidR="00272012" w:rsidRPr="00785940" w14:paraId="7382D35E" w14:textId="77777777" w:rsidTr="004130A7">
        <w:trPr>
          <w:trHeight w:val="184"/>
          <w:jc w:val="right"/>
        </w:trPr>
        <w:tc>
          <w:tcPr>
            <w:tcW w:w="3108" w:type="dxa"/>
            <w:shd w:val="clear" w:color="auto" w:fill="auto"/>
            <w:noWrap/>
            <w:vAlign w:val="center"/>
            <w:hideMark/>
          </w:tcPr>
          <w:p w14:paraId="1D0602D3" w14:textId="77777777" w:rsidR="00272012" w:rsidRPr="005F1703"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 xml:space="preserve">Aim/Orientation </w:t>
            </w:r>
          </w:p>
        </w:tc>
        <w:tc>
          <w:tcPr>
            <w:tcW w:w="1273" w:type="dxa"/>
            <w:shd w:val="clear" w:color="auto" w:fill="auto"/>
            <w:noWrap/>
            <w:vAlign w:val="center"/>
            <w:hideMark/>
          </w:tcPr>
          <w:p w14:paraId="0AA726E2" w14:textId="77777777" w:rsidR="00272012" w:rsidRPr="005F1703" w:rsidRDefault="00272012" w:rsidP="004130A7">
            <w:pPr>
              <w:spacing w:after="0" w:line="240" w:lineRule="auto"/>
              <w:rPr>
                <w:rFonts w:eastAsia="Times New Roman"/>
                <w:b/>
                <w:bCs/>
                <w:color w:val="000000"/>
                <w:lang w:eastAsia="ko-KR"/>
              </w:rPr>
            </w:pPr>
          </w:p>
        </w:tc>
        <w:tc>
          <w:tcPr>
            <w:tcW w:w="1556" w:type="dxa"/>
            <w:shd w:val="clear" w:color="auto" w:fill="auto"/>
            <w:noWrap/>
            <w:vAlign w:val="center"/>
            <w:hideMark/>
          </w:tcPr>
          <w:p w14:paraId="498B517E" w14:textId="77777777" w:rsidR="00272012" w:rsidRPr="005F1703" w:rsidRDefault="00272012" w:rsidP="004130A7">
            <w:pPr>
              <w:spacing w:after="0" w:line="240" w:lineRule="auto"/>
              <w:rPr>
                <w:rFonts w:eastAsia="Times New Roman"/>
                <w:lang w:eastAsia="ko-KR"/>
              </w:rPr>
            </w:pPr>
          </w:p>
        </w:tc>
        <w:tc>
          <w:tcPr>
            <w:tcW w:w="1698" w:type="dxa"/>
            <w:vAlign w:val="center"/>
          </w:tcPr>
          <w:p w14:paraId="00C21AC1" w14:textId="77777777" w:rsidR="00272012" w:rsidRPr="006B0AC6" w:rsidRDefault="00272012" w:rsidP="004130A7">
            <w:pPr>
              <w:spacing w:after="0" w:line="240" w:lineRule="auto"/>
              <w:rPr>
                <w:rFonts w:eastAsia="Times New Roman"/>
                <w:lang w:eastAsia="ko-KR"/>
              </w:rPr>
            </w:pPr>
          </w:p>
        </w:tc>
        <w:tc>
          <w:tcPr>
            <w:tcW w:w="1273" w:type="dxa"/>
          </w:tcPr>
          <w:p w14:paraId="318918A2" w14:textId="77777777" w:rsidR="00272012" w:rsidRPr="006B0AC6" w:rsidRDefault="00272012" w:rsidP="004130A7">
            <w:pPr>
              <w:spacing w:after="0" w:line="240" w:lineRule="auto"/>
              <w:rPr>
                <w:rFonts w:eastAsia="Times New Roman"/>
                <w:lang w:eastAsia="ko-KR"/>
              </w:rPr>
            </w:pPr>
          </w:p>
        </w:tc>
      </w:tr>
      <w:tr w:rsidR="00272012" w:rsidRPr="00785940" w14:paraId="377227B4" w14:textId="77777777" w:rsidTr="004130A7">
        <w:trPr>
          <w:trHeight w:val="184"/>
          <w:jc w:val="right"/>
        </w:trPr>
        <w:tc>
          <w:tcPr>
            <w:tcW w:w="3108" w:type="dxa"/>
            <w:shd w:val="clear" w:color="auto" w:fill="auto"/>
            <w:noWrap/>
            <w:vAlign w:val="center"/>
            <w:hideMark/>
          </w:tcPr>
          <w:p w14:paraId="7CF3C4A7"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Basic (4)</w:t>
            </w:r>
          </w:p>
        </w:tc>
        <w:tc>
          <w:tcPr>
            <w:tcW w:w="1273" w:type="dxa"/>
            <w:shd w:val="clear" w:color="auto" w:fill="auto"/>
            <w:noWrap/>
            <w:vAlign w:val="center"/>
            <w:hideMark/>
          </w:tcPr>
          <w:p w14:paraId="2ECC3ADF"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22</w:t>
            </w:r>
          </w:p>
        </w:tc>
        <w:tc>
          <w:tcPr>
            <w:tcW w:w="1556" w:type="dxa"/>
            <w:shd w:val="clear" w:color="auto" w:fill="auto"/>
            <w:noWrap/>
            <w:vAlign w:val="center"/>
            <w:hideMark/>
          </w:tcPr>
          <w:p w14:paraId="6BFB4EC2"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15</w:t>
            </w:r>
          </w:p>
        </w:tc>
        <w:tc>
          <w:tcPr>
            <w:tcW w:w="1698" w:type="dxa"/>
            <w:vAlign w:val="center"/>
          </w:tcPr>
          <w:p w14:paraId="230948D6" w14:textId="77777777" w:rsidR="00272012" w:rsidRPr="006B0AC6" w:rsidRDefault="00272012" w:rsidP="004130A7">
            <w:pPr>
              <w:spacing w:after="0" w:line="240" w:lineRule="auto"/>
              <w:jc w:val="center"/>
              <w:rPr>
                <w:rFonts w:eastAsia="Times New Roman"/>
                <w:color w:val="000000"/>
                <w:lang w:eastAsia="ko-KR"/>
              </w:rPr>
            </w:pPr>
            <w:r>
              <w:rPr>
                <w:rFonts w:eastAsia="Times New Roman"/>
                <w:color w:val="000000"/>
                <w:lang w:eastAsia="ko-KR"/>
              </w:rPr>
              <w:t>68%</w:t>
            </w:r>
          </w:p>
        </w:tc>
        <w:tc>
          <w:tcPr>
            <w:tcW w:w="1273" w:type="dxa"/>
          </w:tcPr>
          <w:p w14:paraId="363C03FF"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11</w:t>
            </w:r>
          </w:p>
        </w:tc>
      </w:tr>
      <w:tr w:rsidR="00272012" w:rsidRPr="00785940" w14:paraId="01AC43A1" w14:textId="77777777" w:rsidTr="004130A7">
        <w:trPr>
          <w:trHeight w:val="184"/>
          <w:jc w:val="right"/>
        </w:trPr>
        <w:tc>
          <w:tcPr>
            <w:tcW w:w="3108" w:type="dxa"/>
            <w:shd w:val="clear" w:color="auto" w:fill="auto"/>
            <w:noWrap/>
            <w:vAlign w:val="center"/>
            <w:hideMark/>
          </w:tcPr>
          <w:p w14:paraId="3169E49B"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Applied (4)</w:t>
            </w:r>
          </w:p>
        </w:tc>
        <w:tc>
          <w:tcPr>
            <w:tcW w:w="1273" w:type="dxa"/>
            <w:shd w:val="clear" w:color="auto" w:fill="auto"/>
            <w:noWrap/>
            <w:vAlign w:val="center"/>
            <w:hideMark/>
          </w:tcPr>
          <w:p w14:paraId="4673DB56"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33</w:t>
            </w:r>
          </w:p>
        </w:tc>
        <w:tc>
          <w:tcPr>
            <w:tcW w:w="1556" w:type="dxa"/>
            <w:shd w:val="clear" w:color="auto" w:fill="auto"/>
            <w:noWrap/>
            <w:vAlign w:val="center"/>
            <w:hideMark/>
          </w:tcPr>
          <w:p w14:paraId="65B24197"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14</w:t>
            </w:r>
          </w:p>
        </w:tc>
        <w:tc>
          <w:tcPr>
            <w:tcW w:w="1698" w:type="dxa"/>
            <w:vAlign w:val="center"/>
          </w:tcPr>
          <w:p w14:paraId="028B2569" w14:textId="77777777" w:rsidR="00272012" w:rsidRPr="006B0AC6" w:rsidRDefault="00272012" w:rsidP="004130A7">
            <w:pPr>
              <w:spacing w:after="0" w:line="240" w:lineRule="auto"/>
              <w:jc w:val="center"/>
              <w:rPr>
                <w:rFonts w:eastAsia="Times New Roman"/>
                <w:color w:val="000000"/>
                <w:lang w:eastAsia="ko-KR"/>
              </w:rPr>
            </w:pPr>
            <w:r w:rsidRPr="006B0AC6">
              <w:rPr>
                <w:rFonts w:eastAsia="Times New Roman"/>
                <w:color w:val="000000"/>
                <w:lang w:eastAsia="ko-KR"/>
              </w:rPr>
              <w:t>4</w:t>
            </w:r>
            <w:r>
              <w:rPr>
                <w:rFonts w:eastAsia="Times New Roman"/>
                <w:color w:val="000000"/>
                <w:lang w:eastAsia="ko-KR"/>
              </w:rPr>
              <w:t>2%</w:t>
            </w:r>
          </w:p>
        </w:tc>
        <w:tc>
          <w:tcPr>
            <w:tcW w:w="1273" w:type="dxa"/>
          </w:tcPr>
          <w:p w14:paraId="2F26E1AC" w14:textId="77777777" w:rsidR="00272012" w:rsidRPr="006B0AC6" w:rsidRDefault="00272012" w:rsidP="004130A7">
            <w:pPr>
              <w:spacing w:after="0" w:line="240" w:lineRule="auto"/>
              <w:jc w:val="center"/>
              <w:rPr>
                <w:rFonts w:eastAsia="Times New Roman"/>
                <w:color w:val="000000"/>
                <w:lang w:eastAsia="ko-KR"/>
              </w:rPr>
            </w:pPr>
            <w:r>
              <w:rPr>
                <w:rFonts w:eastAsia="Times New Roman"/>
                <w:color w:val="000000"/>
                <w:lang w:eastAsia="ko-KR"/>
              </w:rPr>
              <w:t>12</w:t>
            </w:r>
          </w:p>
        </w:tc>
      </w:tr>
      <w:tr w:rsidR="00272012" w:rsidRPr="00785940" w14:paraId="5FF38AE6" w14:textId="77777777" w:rsidTr="004130A7">
        <w:trPr>
          <w:trHeight w:val="184"/>
          <w:jc w:val="right"/>
        </w:trPr>
        <w:tc>
          <w:tcPr>
            <w:tcW w:w="3108" w:type="dxa"/>
            <w:shd w:val="clear" w:color="auto" w:fill="auto"/>
            <w:noWrap/>
            <w:vAlign w:val="center"/>
            <w:hideMark/>
          </w:tcPr>
          <w:p w14:paraId="48AB2E30" w14:textId="77777777" w:rsidR="00272012" w:rsidRPr="005F1703"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 xml:space="preserve">Branch of science </w:t>
            </w:r>
          </w:p>
        </w:tc>
        <w:tc>
          <w:tcPr>
            <w:tcW w:w="1273" w:type="dxa"/>
            <w:shd w:val="clear" w:color="auto" w:fill="auto"/>
            <w:noWrap/>
            <w:vAlign w:val="center"/>
            <w:hideMark/>
          </w:tcPr>
          <w:p w14:paraId="6A17B1D7" w14:textId="77777777" w:rsidR="00272012" w:rsidRPr="005F1703" w:rsidRDefault="00272012" w:rsidP="004130A7">
            <w:pPr>
              <w:spacing w:after="0" w:line="240" w:lineRule="auto"/>
              <w:jc w:val="center"/>
              <w:rPr>
                <w:rFonts w:eastAsia="Times New Roman"/>
                <w:b/>
                <w:bCs/>
                <w:color w:val="000000"/>
                <w:lang w:eastAsia="ko-KR"/>
              </w:rPr>
            </w:pPr>
          </w:p>
        </w:tc>
        <w:tc>
          <w:tcPr>
            <w:tcW w:w="1556" w:type="dxa"/>
            <w:shd w:val="clear" w:color="auto" w:fill="auto"/>
            <w:noWrap/>
            <w:vAlign w:val="center"/>
            <w:hideMark/>
          </w:tcPr>
          <w:p w14:paraId="2A0E841C" w14:textId="77777777" w:rsidR="00272012" w:rsidRPr="005F1703" w:rsidRDefault="00272012" w:rsidP="004130A7">
            <w:pPr>
              <w:spacing w:after="0" w:line="240" w:lineRule="auto"/>
              <w:jc w:val="center"/>
              <w:rPr>
                <w:rFonts w:eastAsia="Times New Roman"/>
                <w:lang w:eastAsia="ko-KR"/>
              </w:rPr>
            </w:pPr>
          </w:p>
        </w:tc>
        <w:tc>
          <w:tcPr>
            <w:tcW w:w="1698" w:type="dxa"/>
            <w:vAlign w:val="center"/>
          </w:tcPr>
          <w:p w14:paraId="09EEFB72" w14:textId="77777777" w:rsidR="00272012" w:rsidRPr="00785940" w:rsidRDefault="00272012" w:rsidP="004130A7">
            <w:pPr>
              <w:spacing w:after="0" w:line="240" w:lineRule="auto"/>
              <w:jc w:val="center"/>
              <w:rPr>
                <w:rFonts w:eastAsia="Times New Roman"/>
                <w:lang w:eastAsia="ko-KR"/>
              </w:rPr>
            </w:pPr>
          </w:p>
        </w:tc>
        <w:tc>
          <w:tcPr>
            <w:tcW w:w="1273" w:type="dxa"/>
          </w:tcPr>
          <w:p w14:paraId="3030ECA7" w14:textId="77777777" w:rsidR="00272012" w:rsidRPr="00785940" w:rsidRDefault="00272012" w:rsidP="004130A7">
            <w:pPr>
              <w:spacing w:after="0" w:line="240" w:lineRule="auto"/>
              <w:jc w:val="center"/>
              <w:rPr>
                <w:rFonts w:eastAsia="Times New Roman"/>
                <w:lang w:eastAsia="ko-KR"/>
              </w:rPr>
            </w:pPr>
          </w:p>
        </w:tc>
      </w:tr>
      <w:tr w:rsidR="00272012" w:rsidRPr="00785940" w14:paraId="65448CA4" w14:textId="77777777" w:rsidTr="004130A7">
        <w:trPr>
          <w:trHeight w:val="184"/>
          <w:jc w:val="right"/>
        </w:trPr>
        <w:tc>
          <w:tcPr>
            <w:tcW w:w="3108" w:type="dxa"/>
            <w:shd w:val="clear" w:color="auto" w:fill="auto"/>
            <w:noWrap/>
            <w:vAlign w:val="center"/>
            <w:hideMark/>
          </w:tcPr>
          <w:p w14:paraId="1D24774B"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Life (3)</w:t>
            </w:r>
          </w:p>
        </w:tc>
        <w:tc>
          <w:tcPr>
            <w:tcW w:w="1273" w:type="dxa"/>
            <w:shd w:val="clear" w:color="auto" w:fill="auto"/>
            <w:noWrap/>
            <w:vAlign w:val="center"/>
            <w:hideMark/>
          </w:tcPr>
          <w:p w14:paraId="1B0134A4"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2</w:t>
            </w:r>
            <w:r>
              <w:rPr>
                <w:rFonts w:eastAsia="Times New Roman"/>
                <w:color w:val="000000"/>
                <w:lang w:eastAsia="ko-KR"/>
              </w:rPr>
              <w:t>9</w:t>
            </w:r>
          </w:p>
        </w:tc>
        <w:tc>
          <w:tcPr>
            <w:tcW w:w="1556" w:type="dxa"/>
            <w:shd w:val="clear" w:color="auto" w:fill="auto"/>
            <w:noWrap/>
            <w:vAlign w:val="center"/>
            <w:hideMark/>
          </w:tcPr>
          <w:p w14:paraId="184D3A7E"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1</w:t>
            </w:r>
            <w:r>
              <w:rPr>
                <w:rFonts w:eastAsia="Times New Roman"/>
                <w:color w:val="000000"/>
                <w:lang w:eastAsia="ko-KR"/>
              </w:rPr>
              <w:t>2</w:t>
            </w:r>
          </w:p>
        </w:tc>
        <w:tc>
          <w:tcPr>
            <w:tcW w:w="1698" w:type="dxa"/>
            <w:vAlign w:val="center"/>
          </w:tcPr>
          <w:p w14:paraId="65C9AF1D"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41%</w:t>
            </w:r>
          </w:p>
        </w:tc>
        <w:tc>
          <w:tcPr>
            <w:tcW w:w="1273" w:type="dxa"/>
          </w:tcPr>
          <w:p w14:paraId="054FE659"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5</w:t>
            </w:r>
          </w:p>
        </w:tc>
      </w:tr>
      <w:tr w:rsidR="00272012" w:rsidRPr="00785940" w14:paraId="7A553471" w14:textId="77777777" w:rsidTr="004130A7">
        <w:trPr>
          <w:trHeight w:val="184"/>
          <w:jc w:val="right"/>
        </w:trPr>
        <w:tc>
          <w:tcPr>
            <w:tcW w:w="3108" w:type="dxa"/>
            <w:shd w:val="clear" w:color="auto" w:fill="auto"/>
            <w:noWrap/>
            <w:vAlign w:val="center"/>
            <w:hideMark/>
          </w:tcPr>
          <w:p w14:paraId="11D46525"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Natural (2)</w:t>
            </w:r>
          </w:p>
        </w:tc>
        <w:tc>
          <w:tcPr>
            <w:tcW w:w="1273" w:type="dxa"/>
            <w:shd w:val="clear" w:color="auto" w:fill="auto"/>
            <w:noWrap/>
            <w:vAlign w:val="center"/>
            <w:hideMark/>
          </w:tcPr>
          <w:p w14:paraId="1C38EFB2"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13</w:t>
            </w:r>
          </w:p>
        </w:tc>
        <w:tc>
          <w:tcPr>
            <w:tcW w:w="1556" w:type="dxa"/>
            <w:shd w:val="clear" w:color="auto" w:fill="auto"/>
            <w:noWrap/>
            <w:vAlign w:val="center"/>
            <w:hideMark/>
          </w:tcPr>
          <w:p w14:paraId="4F503C6E"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9</w:t>
            </w:r>
          </w:p>
        </w:tc>
        <w:tc>
          <w:tcPr>
            <w:tcW w:w="1698" w:type="dxa"/>
            <w:vAlign w:val="center"/>
          </w:tcPr>
          <w:p w14:paraId="542B2DB6"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69%</w:t>
            </w:r>
          </w:p>
        </w:tc>
        <w:tc>
          <w:tcPr>
            <w:tcW w:w="1273" w:type="dxa"/>
          </w:tcPr>
          <w:p w14:paraId="17859296"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4</w:t>
            </w:r>
          </w:p>
        </w:tc>
      </w:tr>
      <w:tr w:rsidR="00272012" w:rsidRPr="00785940" w14:paraId="7D4B6F71" w14:textId="77777777" w:rsidTr="004130A7">
        <w:trPr>
          <w:trHeight w:val="184"/>
          <w:jc w:val="right"/>
        </w:trPr>
        <w:tc>
          <w:tcPr>
            <w:tcW w:w="3108" w:type="dxa"/>
            <w:shd w:val="clear" w:color="auto" w:fill="auto"/>
            <w:noWrap/>
            <w:vAlign w:val="center"/>
            <w:hideMark/>
          </w:tcPr>
          <w:p w14:paraId="31C9DCD8"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Formal (3)</w:t>
            </w:r>
          </w:p>
        </w:tc>
        <w:tc>
          <w:tcPr>
            <w:tcW w:w="1273" w:type="dxa"/>
            <w:shd w:val="clear" w:color="auto" w:fill="auto"/>
            <w:noWrap/>
            <w:vAlign w:val="center"/>
            <w:hideMark/>
          </w:tcPr>
          <w:p w14:paraId="282A25CF"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1</w:t>
            </w:r>
            <w:r>
              <w:rPr>
                <w:rFonts w:eastAsia="Times New Roman"/>
                <w:color w:val="000000"/>
                <w:lang w:eastAsia="ko-KR"/>
              </w:rPr>
              <w:t>5</w:t>
            </w:r>
          </w:p>
        </w:tc>
        <w:tc>
          <w:tcPr>
            <w:tcW w:w="1556" w:type="dxa"/>
            <w:shd w:val="clear" w:color="auto" w:fill="auto"/>
            <w:noWrap/>
            <w:vAlign w:val="center"/>
            <w:hideMark/>
          </w:tcPr>
          <w:p w14:paraId="73F939C8"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8</w:t>
            </w:r>
          </w:p>
        </w:tc>
        <w:tc>
          <w:tcPr>
            <w:tcW w:w="1698" w:type="dxa"/>
            <w:vAlign w:val="center"/>
          </w:tcPr>
          <w:p w14:paraId="3B2AA7B7"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53%</w:t>
            </w:r>
          </w:p>
        </w:tc>
        <w:tc>
          <w:tcPr>
            <w:tcW w:w="1273" w:type="dxa"/>
          </w:tcPr>
          <w:p w14:paraId="6E70ED45"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8</w:t>
            </w:r>
          </w:p>
        </w:tc>
      </w:tr>
      <w:tr w:rsidR="00272012" w:rsidRPr="00785940" w14:paraId="3FFEA4A7" w14:textId="77777777" w:rsidTr="004130A7">
        <w:trPr>
          <w:trHeight w:val="184"/>
          <w:jc w:val="right"/>
        </w:trPr>
        <w:tc>
          <w:tcPr>
            <w:tcW w:w="3108" w:type="dxa"/>
            <w:shd w:val="clear" w:color="auto" w:fill="auto"/>
            <w:noWrap/>
            <w:vAlign w:val="center"/>
            <w:hideMark/>
          </w:tcPr>
          <w:p w14:paraId="51FF3A29" w14:textId="77777777" w:rsidR="00272012" w:rsidRPr="005F1703"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Departmental rating</w:t>
            </w:r>
          </w:p>
        </w:tc>
        <w:tc>
          <w:tcPr>
            <w:tcW w:w="1273" w:type="dxa"/>
            <w:shd w:val="clear" w:color="auto" w:fill="auto"/>
            <w:noWrap/>
            <w:vAlign w:val="center"/>
            <w:hideMark/>
          </w:tcPr>
          <w:p w14:paraId="47671754" w14:textId="77777777" w:rsidR="00272012" w:rsidRPr="005F1703" w:rsidRDefault="00272012" w:rsidP="004130A7">
            <w:pPr>
              <w:spacing w:after="0" w:line="240" w:lineRule="auto"/>
              <w:jc w:val="center"/>
              <w:rPr>
                <w:rFonts w:eastAsia="Times New Roman"/>
                <w:b/>
                <w:bCs/>
                <w:color w:val="000000"/>
                <w:lang w:eastAsia="ko-KR"/>
              </w:rPr>
            </w:pPr>
          </w:p>
        </w:tc>
        <w:tc>
          <w:tcPr>
            <w:tcW w:w="1556" w:type="dxa"/>
            <w:shd w:val="clear" w:color="auto" w:fill="auto"/>
            <w:noWrap/>
            <w:vAlign w:val="center"/>
            <w:hideMark/>
          </w:tcPr>
          <w:p w14:paraId="58F6C296" w14:textId="77777777" w:rsidR="00272012" w:rsidRPr="005F1703" w:rsidRDefault="00272012" w:rsidP="004130A7">
            <w:pPr>
              <w:spacing w:after="0" w:line="240" w:lineRule="auto"/>
              <w:jc w:val="center"/>
              <w:rPr>
                <w:rFonts w:eastAsia="Times New Roman"/>
                <w:lang w:eastAsia="ko-KR"/>
              </w:rPr>
            </w:pPr>
          </w:p>
        </w:tc>
        <w:tc>
          <w:tcPr>
            <w:tcW w:w="1698" w:type="dxa"/>
            <w:vAlign w:val="center"/>
          </w:tcPr>
          <w:p w14:paraId="0D93E2DD" w14:textId="77777777" w:rsidR="00272012" w:rsidRPr="00785940" w:rsidRDefault="00272012" w:rsidP="004130A7">
            <w:pPr>
              <w:spacing w:after="0" w:line="240" w:lineRule="auto"/>
              <w:jc w:val="center"/>
              <w:rPr>
                <w:rFonts w:eastAsia="Times New Roman"/>
                <w:lang w:eastAsia="ko-KR"/>
              </w:rPr>
            </w:pPr>
          </w:p>
        </w:tc>
        <w:tc>
          <w:tcPr>
            <w:tcW w:w="1273" w:type="dxa"/>
          </w:tcPr>
          <w:p w14:paraId="7D73011D" w14:textId="77777777" w:rsidR="00272012" w:rsidRPr="00785940" w:rsidRDefault="00272012" w:rsidP="004130A7">
            <w:pPr>
              <w:spacing w:after="0" w:line="240" w:lineRule="auto"/>
              <w:jc w:val="center"/>
              <w:rPr>
                <w:rFonts w:eastAsia="Times New Roman"/>
                <w:lang w:eastAsia="ko-KR"/>
              </w:rPr>
            </w:pPr>
          </w:p>
        </w:tc>
      </w:tr>
      <w:tr w:rsidR="00272012" w:rsidRPr="00785940" w14:paraId="10787765" w14:textId="77777777" w:rsidTr="004130A7">
        <w:trPr>
          <w:trHeight w:val="184"/>
          <w:jc w:val="right"/>
        </w:trPr>
        <w:tc>
          <w:tcPr>
            <w:tcW w:w="3108" w:type="dxa"/>
            <w:shd w:val="clear" w:color="auto" w:fill="auto"/>
            <w:noWrap/>
            <w:vAlign w:val="center"/>
            <w:hideMark/>
          </w:tcPr>
          <w:p w14:paraId="26FF82E5"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High (3)</w:t>
            </w:r>
          </w:p>
        </w:tc>
        <w:tc>
          <w:tcPr>
            <w:tcW w:w="1273" w:type="dxa"/>
            <w:shd w:val="clear" w:color="auto" w:fill="auto"/>
            <w:noWrap/>
            <w:vAlign w:val="center"/>
            <w:hideMark/>
          </w:tcPr>
          <w:p w14:paraId="334D5812"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11</w:t>
            </w:r>
          </w:p>
        </w:tc>
        <w:tc>
          <w:tcPr>
            <w:tcW w:w="1556" w:type="dxa"/>
            <w:shd w:val="clear" w:color="auto" w:fill="auto"/>
            <w:noWrap/>
            <w:vAlign w:val="center"/>
            <w:hideMark/>
          </w:tcPr>
          <w:p w14:paraId="39386BF4"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6</w:t>
            </w:r>
          </w:p>
        </w:tc>
        <w:tc>
          <w:tcPr>
            <w:tcW w:w="1698" w:type="dxa"/>
            <w:vAlign w:val="center"/>
          </w:tcPr>
          <w:p w14:paraId="44923912"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55%</w:t>
            </w:r>
          </w:p>
        </w:tc>
        <w:tc>
          <w:tcPr>
            <w:tcW w:w="1273" w:type="dxa"/>
          </w:tcPr>
          <w:p w14:paraId="38A441AE"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5</w:t>
            </w:r>
          </w:p>
        </w:tc>
      </w:tr>
      <w:tr w:rsidR="00272012" w:rsidRPr="00785940" w14:paraId="15552D0F" w14:textId="77777777" w:rsidTr="004130A7">
        <w:trPr>
          <w:trHeight w:val="184"/>
          <w:jc w:val="right"/>
        </w:trPr>
        <w:tc>
          <w:tcPr>
            <w:tcW w:w="3108" w:type="dxa"/>
            <w:shd w:val="clear" w:color="auto" w:fill="auto"/>
            <w:noWrap/>
            <w:vAlign w:val="center"/>
            <w:hideMark/>
          </w:tcPr>
          <w:p w14:paraId="78892698"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Medium (4)</w:t>
            </w:r>
          </w:p>
        </w:tc>
        <w:tc>
          <w:tcPr>
            <w:tcW w:w="1273" w:type="dxa"/>
            <w:shd w:val="clear" w:color="auto" w:fill="auto"/>
            <w:noWrap/>
            <w:vAlign w:val="center"/>
            <w:hideMark/>
          </w:tcPr>
          <w:p w14:paraId="409A8B4E"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34</w:t>
            </w:r>
          </w:p>
        </w:tc>
        <w:tc>
          <w:tcPr>
            <w:tcW w:w="1556" w:type="dxa"/>
            <w:shd w:val="clear" w:color="auto" w:fill="auto"/>
            <w:noWrap/>
            <w:vAlign w:val="center"/>
            <w:hideMark/>
          </w:tcPr>
          <w:p w14:paraId="03DF135F"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13</w:t>
            </w:r>
          </w:p>
        </w:tc>
        <w:tc>
          <w:tcPr>
            <w:tcW w:w="1698" w:type="dxa"/>
            <w:vAlign w:val="center"/>
          </w:tcPr>
          <w:p w14:paraId="1FF6C36F"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38%</w:t>
            </w:r>
          </w:p>
        </w:tc>
        <w:tc>
          <w:tcPr>
            <w:tcW w:w="1273" w:type="dxa"/>
          </w:tcPr>
          <w:p w14:paraId="58B43B56"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8</w:t>
            </w:r>
          </w:p>
        </w:tc>
      </w:tr>
      <w:tr w:rsidR="00272012" w:rsidRPr="00785940" w14:paraId="5E84C8B5" w14:textId="77777777" w:rsidTr="004130A7">
        <w:trPr>
          <w:trHeight w:val="184"/>
          <w:jc w:val="right"/>
        </w:trPr>
        <w:tc>
          <w:tcPr>
            <w:tcW w:w="3108" w:type="dxa"/>
            <w:shd w:val="clear" w:color="auto" w:fill="auto"/>
            <w:noWrap/>
            <w:vAlign w:val="center"/>
            <w:hideMark/>
          </w:tcPr>
          <w:p w14:paraId="7FAE519E"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Low (3)</w:t>
            </w:r>
          </w:p>
        </w:tc>
        <w:tc>
          <w:tcPr>
            <w:tcW w:w="1273" w:type="dxa"/>
            <w:shd w:val="clear" w:color="auto" w:fill="auto"/>
            <w:noWrap/>
            <w:vAlign w:val="center"/>
            <w:hideMark/>
          </w:tcPr>
          <w:p w14:paraId="5D7E0AF0"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6</w:t>
            </w:r>
          </w:p>
        </w:tc>
        <w:tc>
          <w:tcPr>
            <w:tcW w:w="1556" w:type="dxa"/>
            <w:shd w:val="clear" w:color="auto" w:fill="auto"/>
            <w:noWrap/>
            <w:vAlign w:val="center"/>
            <w:hideMark/>
          </w:tcPr>
          <w:p w14:paraId="477692CC"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6</w:t>
            </w:r>
          </w:p>
        </w:tc>
        <w:tc>
          <w:tcPr>
            <w:tcW w:w="1698" w:type="dxa"/>
            <w:vAlign w:val="center"/>
          </w:tcPr>
          <w:p w14:paraId="2AEA6E62" w14:textId="77777777" w:rsidR="00272012" w:rsidRPr="00785940" w:rsidRDefault="00272012" w:rsidP="004130A7">
            <w:pPr>
              <w:keepNext/>
              <w:spacing w:after="0" w:line="240" w:lineRule="auto"/>
              <w:jc w:val="center"/>
              <w:rPr>
                <w:rFonts w:eastAsia="Times New Roman"/>
                <w:color w:val="000000"/>
                <w:lang w:eastAsia="ko-KR"/>
              </w:rPr>
            </w:pPr>
            <w:r>
              <w:rPr>
                <w:rFonts w:eastAsia="Times New Roman"/>
                <w:color w:val="000000"/>
                <w:lang w:eastAsia="ko-KR"/>
              </w:rPr>
              <w:t>100%</w:t>
            </w:r>
          </w:p>
        </w:tc>
        <w:tc>
          <w:tcPr>
            <w:tcW w:w="1273" w:type="dxa"/>
          </w:tcPr>
          <w:p w14:paraId="7E996A02" w14:textId="77777777" w:rsidR="00272012" w:rsidRDefault="00272012" w:rsidP="003E5E7B">
            <w:pPr>
              <w:keepNext/>
              <w:spacing w:after="0" w:line="240" w:lineRule="auto"/>
              <w:jc w:val="center"/>
              <w:rPr>
                <w:rFonts w:eastAsia="Times New Roman"/>
                <w:color w:val="000000"/>
                <w:lang w:eastAsia="ko-KR"/>
              </w:rPr>
            </w:pPr>
            <w:r>
              <w:rPr>
                <w:rFonts w:eastAsia="Times New Roman"/>
                <w:color w:val="000000"/>
                <w:lang w:eastAsia="ko-KR"/>
              </w:rPr>
              <w:t>6</w:t>
            </w:r>
          </w:p>
        </w:tc>
      </w:tr>
    </w:tbl>
    <w:p w14:paraId="7616CDED" w14:textId="09071F2B" w:rsidR="003E5E7B" w:rsidRDefault="003E5E7B">
      <w:pPr>
        <w:pStyle w:val="Caption"/>
      </w:pPr>
      <w:bookmarkStart w:id="244" w:name="_Ref19785021"/>
      <w:bookmarkStart w:id="245" w:name="_Toc31702068"/>
      <w:r>
        <w:t xml:space="preserve">Table </w:t>
      </w:r>
      <w:r w:rsidR="00A56355">
        <w:fldChar w:fldCharType="begin"/>
      </w:r>
      <w:r w:rsidR="00A56355">
        <w:instrText xml:space="preserve"> SEQ Table \* ARABIC </w:instrText>
      </w:r>
      <w:r w:rsidR="00A56355">
        <w:fldChar w:fldCharType="separate"/>
      </w:r>
      <w:r w:rsidR="0011424E">
        <w:rPr>
          <w:noProof/>
        </w:rPr>
        <w:t>39</w:t>
      </w:r>
      <w:r w:rsidR="00A56355">
        <w:rPr>
          <w:noProof/>
        </w:rPr>
        <w:fldChar w:fldCharType="end"/>
      </w:r>
      <w:bookmarkEnd w:id="244"/>
      <w:r>
        <w:t xml:space="preserve">. </w:t>
      </w:r>
      <w:r w:rsidRPr="008F0812">
        <w:t>Relative representation (%) of each parameter/category in sampled Case Studies</w:t>
      </w:r>
      <w:bookmarkEnd w:id="245"/>
    </w:p>
    <w:p w14:paraId="4D68044F" w14:textId="74D9030E" w:rsidR="008D1E76" w:rsidRDefault="008D1E76" w:rsidP="00EB6418">
      <w:pPr>
        <w:pStyle w:val="Heading4"/>
      </w:pPr>
      <w:r>
        <w:t>Additional details on recruiting interview participants</w:t>
      </w:r>
    </w:p>
    <w:p w14:paraId="619E66D0" w14:textId="1DF842DE" w:rsidR="00272012" w:rsidRDefault="00272012" w:rsidP="00272012">
      <w:pPr>
        <w:spacing w:after="120" w:line="360" w:lineRule="auto"/>
        <w:rPr>
          <w:rFonts w:eastAsia="Times New Roman"/>
          <w:sz w:val="24"/>
          <w:szCs w:val="24"/>
        </w:rPr>
      </w:pPr>
      <w:r>
        <w:rPr>
          <w:rFonts w:eastAsia="Times New Roman"/>
          <w:sz w:val="24"/>
          <w:szCs w:val="24"/>
        </w:rPr>
        <w:t xml:space="preserve">As noted, I also contacted key researchers from each of the selected Case Studies for interview. </w:t>
      </w:r>
      <w:r w:rsidR="00C34ABB">
        <w:rPr>
          <w:rFonts w:eastAsia="Times New Roman"/>
          <w:sz w:val="24"/>
          <w:szCs w:val="24"/>
        </w:rPr>
        <w:t>I</w:t>
      </w:r>
      <w:r>
        <w:rPr>
          <w:rFonts w:eastAsia="Times New Roman"/>
          <w:sz w:val="24"/>
          <w:szCs w:val="24"/>
        </w:rPr>
        <w:t xml:space="preserve"> was able to arrange and conduct interviews with ten respondents out of thirty-nine invitations sent (see Limitations section for a detailed discussion of response rates). Each of my ten interview respondents had been key researchers in at least one of the Impact Case Studies of their institution’s submission, and in </w:t>
      </w:r>
      <w:r w:rsidR="00C10206">
        <w:rPr>
          <w:rFonts w:eastAsia="Times New Roman"/>
          <w:sz w:val="24"/>
          <w:szCs w:val="24"/>
        </w:rPr>
        <w:t>some</w:t>
      </w:r>
      <w:r>
        <w:rPr>
          <w:rFonts w:eastAsia="Times New Roman"/>
          <w:sz w:val="24"/>
          <w:szCs w:val="24"/>
        </w:rPr>
        <w:t xml:space="preserve"> cases more than one. In total, my ten respondents were involved in nineteen of the twenty-six Case Studies in the sample</w:t>
      </w:r>
      <w:r w:rsidR="002E7859">
        <w:rPr>
          <w:rFonts w:eastAsia="Times New Roman"/>
          <w:sz w:val="24"/>
          <w:szCs w:val="24"/>
        </w:rPr>
        <w:t xml:space="preserve"> and fourteen of the nineteen BoRs</w:t>
      </w:r>
      <w:r>
        <w:rPr>
          <w:rFonts w:eastAsia="Times New Roman"/>
          <w:sz w:val="24"/>
          <w:szCs w:val="24"/>
        </w:rPr>
        <w:t xml:space="preserve">. </w:t>
      </w:r>
      <w:r w:rsidR="007C4F7B" w:rsidRPr="007C4F7B">
        <w:rPr>
          <w:sz w:val="24"/>
          <w:szCs w:val="24"/>
        </w:rPr>
        <w:fldChar w:fldCharType="begin"/>
      </w:r>
      <w:r w:rsidR="007C4F7B" w:rsidRPr="007C4F7B">
        <w:rPr>
          <w:rFonts w:eastAsia="Times New Roman"/>
          <w:sz w:val="24"/>
          <w:szCs w:val="24"/>
        </w:rPr>
        <w:instrText xml:space="preserve"> REF _Ref19785077 \h </w:instrText>
      </w:r>
      <w:r w:rsidR="007C4F7B">
        <w:rPr>
          <w:sz w:val="24"/>
          <w:szCs w:val="24"/>
        </w:rPr>
        <w:instrText xml:space="preserve"> \* MERGEFORMAT </w:instrText>
      </w:r>
      <w:r w:rsidR="007C4F7B" w:rsidRPr="007C4F7B">
        <w:rPr>
          <w:sz w:val="24"/>
          <w:szCs w:val="24"/>
        </w:rPr>
      </w:r>
      <w:r w:rsidR="007C4F7B" w:rsidRPr="007C4F7B">
        <w:rPr>
          <w:sz w:val="24"/>
          <w:szCs w:val="24"/>
        </w:rPr>
        <w:fldChar w:fldCharType="separate"/>
      </w:r>
      <w:r w:rsidR="0011424E" w:rsidRPr="0011424E">
        <w:rPr>
          <w:sz w:val="24"/>
          <w:szCs w:val="24"/>
        </w:rPr>
        <w:t xml:space="preserve">Table </w:t>
      </w:r>
      <w:r w:rsidR="0011424E" w:rsidRPr="0011424E">
        <w:rPr>
          <w:noProof/>
          <w:sz w:val="24"/>
          <w:szCs w:val="24"/>
        </w:rPr>
        <w:t>40</w:t>
      </w:r>
      <w:r w:rsidR="007C4F7B" w:rsidRPr="007C4F7B">
        <w:rPr>
          <w:sz w:val="24"/>
          <w:szCs w:val="24"/>
        </w:rPr>
        <w:fldChar w:fldCharType="end"/>
      </w:r>
      <w:r w:rsidR="007C4F7B">
        <w:rPr>
          <w:sz w:val="24"/>
          <w:szCs w:val="24"/>
        </w:rPr>
        <w:t xml:space="preserve"> </w:t>
      </w:r>
      <w:r>
        <w:rPr>
          <w:rFonts w:eastAsia="Times New Roman"/>
          <w:sz w:val="24"/>
          <w:szCs w:val="24"/>
        </w:rPr>
        <w:t xml:space="preserve">shows the proportion of Case Studies in each of the categories whose researchers were interviewed. Although there were inevitably some categories with less representation than others, no category went unrepresented in the sample of interview respondents. </w:t>
      </w:r>
    </w:p>
    <w:tbl>
      <w:tblPr>
        <w:tblW w:w="85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813"/>
        <w:gridCol w:w="1080"/>
        <w:gridCol w:w="1305"/>
        <w:gridCol w:w="2087"/>
      </w:tblGrid>
      <w:tr w:rsidR="00272012" w:rsidRPr="00785940" w14:paraId="26049F8A" w14:textId="77777777" w:rsidTr="004130A7">
        <w:trPr>
          <w:trHeight w:val="638"/>
        </w:trPr>
        <w:tc>
          <w:tcPr>
            <w:tcW w:w="3247" w:type="dxa"/>
            <w:shd w:val="clear" w:color="auto" w:fill="auto"/>
            <w:noWrap/>
            <w:vAlign w:val="center"/>
            <w:hideMark/>
          </w:tcPr>
          <w:p w14:paraId="14DB356C" w14:textId="77777777" w:rsidR="00272012" w:rsidRPr="005F1703" w:rsidRDefault="00272012" w:rsidP="004130A7">
            <w:pPr>
              <w:spacing w:after="0" w:line="240" w:lineRule="auto"/>
              <w:jc w:val="center"/>
              <w:rPr>
                <w:rFonts w:eastAsia="Times New Roman"/>
                <w:b/>
                <w:bCs/>
                <w:color w:val="000000"/>
                <w:lang w:eastAsia="ko-KR"/>
              </w:rPr>
            </w:pPr>
            <w:r>
              <w:rPr>
                <w:rFonts w:eastAsia="Times New Roman"/>
                <w:b/>
                <w:bCs/>
                <w:color w:val="000000"/>
                <w:lang w:eastAsia="ko-KR"/>
              </w:rPr>
              <w:t xml:space="preserve">Parameters and Categories </w:t>
            </w:r>
            <w:r>
              <w:rPr>
                <w:rFonts w:eastAsia="Times New Roman"/>
                <w:b/>
                <w:bCs/>
                <w:color w:val="000000"/>
                <w:lang w:eastAsia="ko-KR"/>
              </w:rPr>
              <w:br/>
              <w:t>(no. of submissions)</w:t>
            </w:r>
          </w:p>
        </w:tc>
        <w:tc>
          <w:tcPr>
            <w:tcW w:w="813" w:type="dxa"/>
            <w:shd w:val="clear" w:color="auto" w:fill="auto"/>
            <w:noWrap/>
            <w:vAlign w:val="center"/>
            <w:hideMark/>
          </w:tcPr>
          <w:p w14:paraId="389D2D60" w14:textId="77777777" w:rsidR="00272012" w:rsidRPr="005F1703"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Total Case</w:t>
            </w:r>
            <w:r>
              <w:rPr>
                <w:rFonts w:eastAsia="Times New Roman"/>
                <w:b/>
                <w:bCs/>
                <w:color w:val="000000"/>
                <w:lang w:eastAsia="ko-KR"/>
              </w:rPr>
              <w:t>s</w:t>
            </w:r>
          </w:p>
        </w:tc>
        <w:tc>
          <w:tcPr>
            <w:tcW w:w="1080" w:type="dxa"/>
            <w:vAlign w:val="center"/>
          </w:tcPr>
          <w:p w14:paraId="00E29E1C" w14:textId="77777777" w:rsidR="00272012"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 xml:space="preserve">Sampled </w:t>
            </w:r>
          </w:p>
          <w:p w14:paraId="10D850AC" w14:textId="77777777" w:rsidR="00272012" w:rsidRDefault="00272012" w:rsidP="004130A7">
            <w:pPr>
              <w:spacing w:after="0" w:line="240" w:lineRule="auto"/>
              <w:jc w:val="center"/>
              <w:rPr>
                <w:rFonts w:eastAsia="Times New Roman"/>
                <w:b/>
                <w:bCs/>
                <w:color w:val="000000"/>
                <w:lang w:eastAsia="ko-KR"/>
              </w:rPr>
            </w:pPr>
            <w:r>
              <w:rPr>
                <w:rFonts w:eastAsia="Times New Roman"/>
                <w:b/>
                <w:bCs/>
                <w:color w:val="000000"/>
                <w:lang w:eastAsia="ko-KR"/>
              </w:rPr>
              <w:t>Case Studies</w:t>
            </w:r>
          </w:p>
        </w:tc>
        <w:tc>
          <w:tcPr>
            <w:tcW w:w="1305" w:type="dxa"/>
            <w:shd w:val="clear" w:color="auto" w:fill="auto"/>
            <w:noWrap/>
            <w:vAlign w:val="center"/>
            <w:hideMark/>
          </w:tcPr>
          <w:p w14:paraId="559B8850" w14:textId="77777777" w:rsidR="00272012" w:rsidRPr="005F1703" w:rsidRDefault="00272012" w:rsidP="004130A7">
            <w:pPr>
              <w:spacing w:after="0" w:line="240" w:lineRule="auto"/>
              <w:jc w:val="center"/>
              <w:rPr>
                <w:rFonts w:eastAsia="Times New Roman"/>
                <w:b/>
                <w:bCs/>
                <w:color w:val="000000"/>
                <w:lang w:eastAsia="ko-KR"/>
              </w:rPr>
            </w:pPr>
            <w:r>
              <w:rPr>
                <w:rFonts w:eastAsia="Times New Roman"/>
                <w:b/>
                <w:bCs/>
                <w:color w:val="000000"/>
                <w:lang w:eastAsia="ko-KR"/>
              </w:rPr>
              <w:t>Cases with interviewee involvement</w:t>
            </w:r>
          </w:p>
        </w:tc>
        <w:tc>
          <w:tcPr>
            <w:tcW w:w="2087" w:type="dxa"/>
            <w:vAlign w:val="center"/>
          </w:tcPr>
          <w:p w14:paraId="4AC94263" w14:textId="77777777" w:rsidR="00272012" w:rsidRPr="00942AFB" w:rsidRDefault="00272012" w:rsidP="004130A7">
            <w:pPr>
              <w:spacing w:after="0" w:line="240" w:lineRule="auto"/>
              <w:jc w:val="center"/>
              <w:rPr>
                <w:rFonts w:eastAsia="Times New Roman"/>
                <w:b/>
                <w:bCs/>
                <w:color w:val="000000"/>
                <w:lang w:eastAsia="ko-KR"/>
              </w:rPr>
            </w:pPr>
            <w:r>
              <w:rPr>
                <w:rFonts w:eastAsia="Times New Roman"/>
                <w:b/>
                <w:bCs/>
                <w:color w:val="000000"/>
                <w:lang w:eastAsia="ko-KR"/>
              </w:rPr>
              <w:t>Proportion of Cases with interviewee involvement</w:t>
            </w:r>
          </w:p>
        </w:tc>
      </w:tr>
      <w:tr w:rsidR="00272012" w:rsidRPr="00785940" w14:paraId="2E2A2847" w14:textId="77777777" w:rsidTr="004130A7">
        <w:trPr>
          <w:trHeight w:val="234"/>
        </w:trPr>
        <w:tc>
          <w:tcPr>
            <w:tcW w:w="3247" w:type="dxa"/>
            <w:shd w:val="clear" w:color="auto" w:fill="auto"/>
            <w:noWrap/>
            <w:vAlign w:val="center"/>
          </w:tcPr>
          <w:p w14:paraId="1A69473A" w14:textId="14B18F4A" w:rsidR="00272012" w:rsidRPr="005F1703" w:rsidRDefault="00AA1FC0" w:rsidP="004130A7">
            <w:pPr>
              <w:spacing w:after="0" w:line="240" w:lineRule="auto"/>
              <w:jc w:val="center"/>
              <w:rPr>
                <w:rFonts w:eastAsia="Times New Roman"/>
                <w:b/>
                <w:bCs/>
                <w:color w:val="000000"/>
                <w:lang w:eastAsia="ko-KR"/>
              </w:rPr>
            </w:pPr>
            <w:r>
              <w:rPr>
                <w:rFonts w:eastAsia="Times New Roman"/>
                <w:b/>
                <w:bCs/>
                <w:color w:val="000000"/>
                <w:lang w:eastAsia="ko-KR"/>
              </w:rPr>
              <w:t>Tier</w:t>
            </w:r>
          </w:p>
        </w:tc>
        <w:tc>
          <w:tcPr>
            <w:tcW w:w="813" w:type="dxa"/>
            <w:shd w:val="clear" w:color="auto" w:fill="auto"/>
            <w:noWrap/>
            <w:vAlign w:val="center"/>
          </w:tcPr>
          <w:p w14:paraId="53DE4A98" w14:textId="77777777" w:rsidR="00272012" w:rsidRPr="005F1703" w:rsidRDefault="00272012" w:rsidP="004130A7">
            <w:pPr>
              <w:spacing w:after="0" w:line="240" w:lineRule="auto"/>
              <w:jc w:val="center"/>
              <w:rPr>
                <w:rFonts w:eastAsia="Times New Roman"/>
                <w:b/>
                <w:bCs/>
                <w:color w:val="000000"/>
                <w:lang w:eastAsia="ko-KR"/>
              </w:rPr>
            </w:pPr>
          </w:p>
        </w:tc>
        <w:tc>
          <w:tcPr>
            <w:tcW w:w="1080" w:type="dxa"/>
            <w:vAlign w:val="center"/>
          </w:tcPr>
          <w:p w14:paraId="11E090D9" w14:textId="77777777" w:rsidR="00272012" w:rsidRPr="005F1703" w:rsidRDefault="00272012" w:rsidP="004130A7">
            <w:pPr>
              <w:spacing w:after="0" w:line="240" w:lineRule="auto"/>
              <w:jc w:val="center"/>
              <w:rPr>
                <w:rFonts w:eastAsia="Times New Roman"/>
                <w:b/>
                <w:bCs/>
                <w:color w:val="000000"/>
                <w:lang w:eastAsia="ko-KR"/>
              </w:rPr>
            </w:pPr>
          </w:p>
        </w:tc>
        <w:tc>
          <w:tcPr>
            <w:tcW w:w="1305" w:type="dxa"/>
            <w:shd w:val="clear" w:color="auto" w:fill="auto"/>
            <w:noWrap/>
            <w:vAlign w:val="center"/>
          </w:tcPr>
          <w:p w14:paraId="6F219053" w14:textId="77777777" w:rsidR="00272012" w:rsidRPr="005F1703" w:rsidRDefault="00272012" w:rsidP="004130A7">
            <w:pPr>
              <w:spacing w:after="0" w:line="240" w:lineRule="auto"/>
              <w:jc w:val="center"/>
              <w:rPr>
                <w:rFonts w:eastAsia="Times New Roman"/>
                <w:b/>
                <w:bCs/>
                <w:color w:val="000000"/>
                <w:lang w:eastAsia="ko-KR"/>
              </w:rPr>
            </w:pPr>
          </w:p>
        </w:tc>
        <w:tc>
          <w:tcPr>
            <w:tcW w:w="2087" w:type="dxa"/>
            <w:vAlign w:val="center"/>
          </w:tcPr>
          <w:p w14:paraId="75AAA288" w14:textId="77777777" w:rsidR="00272012" w:rsidRDefault="00272012" w:rsidP="004130A7">
            <w:pPr>
              <w:spacing w:after="0" w:line="240" w:lineRule="auto"/>
              <w:jc w:val="center"/>
              <w:rPr>
                <w:rFonts w:eastAsia="Times New Roman"/>
                <w:b/>
                <w:bCs/>
                <w:color w:val="000000"/>
                <w:lang w:eastAsia="ko-KR"/>
              </w:rPr>
            </w:pPr>
          </w:p>
        </w:tc>
      </w:tr>
      <w:tr w:rsidR="00272012" w:rsidRPr="00785940" w14:paraId="03EA358A" w14:textId="77777777" w:rsidTr="004130A7">
        <w:trPr>
          <w:trHeight w:val="234"/>
        </w:trPr>
        <w:tc>
          <w:tcPr>
            <w:tcW w:w="3247" w:type="dxa"/>
            <w:shd w:val="clear" w:color="auto" w:fill="auto"/>
            <w:noWrap/>
            <w:vAlign w:val="center"/>
            <w:hideMark/>
          </w:tcPr>
          <w:p w14:paraId="225802C9" w14:textId="67B90A40" w:rsidR="00272012" w:rsidRPr="005F1703" w:rsidRDefault="00AA1FC0" w:rsidP="004130A7">
            <w:pPr>
              <w:spacing w:after="0" w:line="240" w:lineRule="auto"/>
              <w:jc w:val="center"/>
              <w:rPr>
                <w:rFonts w:eastAsia="Times New Roman"/>
                <w:color w:val="000000"/>
                <w:lang w:eastAsia="ko-KR"/>
              </w:rPr>
            </w:pPr>
            <w:r>
              <w:rPr>
                <w:rFonts w:eastAsia="Times New Roman"/>
                <w:color w:val="000000"/>
                <w:lang w:eastAsia="ko-KR"/>
              </w:rPr>
              <w:t xml:space="preserve">Tier </w:t>
            </w:r>
            <w:r w:rsidR="00272012" w:rsidRPr="005F1703">
              <w:rPr>
                <w:rFonts w:eastAsia="Times New Roman"/>
                <w:color w:val="000000"/>
                <w:lang w:eastAsia="ko-KR"/>
              </w:rPr>
              <w:t>1 (1)</w:t>
            </w:r>
          </w:p>
        </w:tc>
        <w:tc>
          <w:tcPr>
            <w:tcW w:w="813" w:type="dxa"/>
            <w:shd w:val="clear" w:color="auto" w:fill="auto"/>
            <w:noWrap/>
            <w:vAlign w:val="center"/>
            <w:hideMark/>
          </w:tcPr>
          <w:p w14:paraId="256FAE71"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4</w:t>
            </w:r>
          </w:p>
        </w:tc>
        <w:tc>
          <w:tcPr>
            <w:tcW w:w="1080" w:type="dxa"/>
            <w:vAlign w:val="center"/>
          </w:tcPr>
          <w:p w14:paraId="4883DB39" w14:textId="77777777" w:rsidR="00272012"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2</w:t>
            </w:r>
          </w:p>
        </w:tc>
        <w:tc>
          <w:tcPr>
            <w:tcW w:w="1305" w:type="dxa"/>
            <w:shd w:val="clear" w:color="auto" w:fill="auto"/>
            <w:noWrap/>
            <w:vAlign w:val="center"/>
          </w:tcPr>
          <w:p w14:paraId="057E0010"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w:t>
            </w:r>
          </w:p>
        </w:tc>
        <w:tc>
          <w:tcPr>
            <w:tcW w:w="2087" w:type="dxa"/>
            <w:vAlign w:val="bottom"/>
          </w:tcPr>
          <w:p w14:paraId="4DD51DEF" w14:textId="77777777" w:rsidR="00272012" w:rsidRPr="006B0AC6" w:rsidRDefault="00272012" w:rsidP="004130A7">
            <w:pPr>
              <w:spacing w:after="0" w:line="240" w:lineRule="auto"/>
              <w:jc w:val="center"/>
              <w:rPr>
                <w:bCs/>
                <w:color w:val="000000"/>
              </w:rPr>
            </w:pPr>
            <w:r>
              <w:rPr>
                <w:bCs/>
                <w:color w:val="000000"/>
              </w:rPr>
              <w:t>25%</w:t>
            </w:r>
          </w:p>
        </w:tc>
      </w:tr>
      <w:tr w:rsidR="00272012" w:rsidRPr="00785940" w14:paraId="1A4B619A" w14:textId="77777777" w:rsidTr="004130A7">
        <w:trPr>
          <w:trHeight w:val="234"/>
        </w:trPr>
        <w:tc>
          <w:tcPr>
            <w:tcW w:w="3247" w:type="dxa"/>
            <w:shd w:val="clear" w:color="auto" w:fill="auto"/>
            <w:noWrap/>
            <w:vAlign w:val="center"/>
            <w:hideMark/>
          </w:tcPr>
          <w:p w14:paraId="4B14AF32" w14:textId="072D4B04" w:rsidR="00272012" w:rsidRPr="005F1703" w:rsidRDefault="00AA1FC0" w:rsidP="004130A7">
            <w:pPr>
              <w:spacing w:after="0" w:line="240" w:lineRule="auto"/>
              <w:jc w:val="center"/>
              <w:rPr>
                <w:rFonts w:eastAsia="Times New Roman"/>
                <w:color w:val="000000"/>
                <w:lang w:eastAsia="ko-KR"/>
              </w:rPr>
            </w:pPr>
            <w:r>
              <w:rPr>
                <w:rFonts w:eastAsia="Times New Roman"/>
                <w:color w:val="000000"/>
                <w:lang w:eastAsia="ko-KR"/>
              </w:rPr>
              <w:t xml:space="preserve">Tier </w:t>
            </w:r>
            <w:r w:rsidR="00272012" w:rsidRPr="005F1703">
              <w:rPr>
                <w:rFonts w:eastAsia="Times New Roman"/>
                <w:color w:val="000000"/>
                <w:lang w:eastAsia="ko-KR"/>
              </w:rPr>
              <w:t>2 (6)</w:t>
            </w:r>
          </w:p>
        </w:tc>
        <w:tc>
          <w:tcPr>
            <w:tcW w:w="813" w:type="dxa"/>
            <w:shd w:val="clear" w:color="auto" w:fill="auto"/>
            <w:noWrap/>
            <w:vAlign w:val="center"/>
            <w:hideMark/>
          </w:tcPr>
          <w:p w14:paraId="7391F69D"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41</w:t>
            </w:r>
          </w:p>
        </w:tc>
        <w:tc>
          <w:tcPr>
            <w:tcW w:w="1080" w:type="dxa"/>
            <w:vAlign w:val="center"/>
          </w:tcPr>
          <w:p w14:paraId="41AEE2FD"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17/</w:t>
            </w:r>
            <w:r w:rsidRPr="005F1703">
              <w:rPr>
                <w:rFonts w:eastAsia="Times New Roman"/>
                <w:color w:val="000000"/>
                <w:lang w:eastAsia="ko-KR"/>
              </w:rPr>
              <w:t>18</w:t>
            </w:r>
          </w:p>
        </w:tc>
        <w:tc>
          <w:tcPr>
            <w:tcW w:w="1305" w:type="dxa"/>
            <w:shd w:val="clear" w:color="auto" w:fill="auto"/>
            <w:noWrap/>
            <w:vAlign w:val="center"/>
          </w:tcPr>
          <w:p w14:paraId="6D46EAC9"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13</w:t>
            </w:r>
          </w:p>
        </w:tc>
        <w:tc>
          <w:tcPr>
            <w:tcW w:w="2087" w:type="dxa"/>
            <w:vAlign w:val="bottom"/>
          </w:tcPr>
          <w:p w14:paraId="54AA09EB" w14:textId="77777777" w:rsidR="00272012" w:rsidRPr="006B0AC6" w:rsidRDefault="00272012" w:rsidP="004130A7">
            <w:pPr>
              <w:spacing w:after="0" w:line="240" w:lineRule="auto"/>
              <w:jc w:val="center"/>
              <w:rPr>
                <w:rFonts w:eastAsia="Times New Roman"/>
                <w:color w:val="000000"/>
                <w:lang w:eastAsia="ko-KR"/>
              </w:rPr>
            </w:pPr>
            <w:r>
              <w:rPr>
                <w:rFonts w:eastAsia="Times New Roman"/>
                <w:color w:val="000000"/>
                <w:lang w:eastAsia="ko-KR"/>
              </w:rPr>
              <w:t>32%</w:t>
            </w:r>
          </w:p>
        </w:tc>
      </w:tr>
      <w:tr w:rsidR="00272012" w:rsidRPr="00785940" w14:paraId="599A6AFF" w14:textId="77777777" w:rsidTr="004130A7">
        <w:trPr>
          <w:trHeight w:val="234"/>
        </w:trPr>
        <w:tc>
          <w:tcPr>
            <w:tcW w:w="3247" w:type="dxa"/>
            <w:shd w:val="clear" w:color="auto" w:fill="auto"/>
            <w:noWrap/>
            <w:vAlign w:val="center"/>
            <w:hideMark/>
          </w:tcPr>
          <w:p w14:paraId="58EC13A1" w14:textId="4590CE5E" w:rsidR="00272012" w:rsidRPr="005F1703" w:rsidRDefault="00AA1FC0" w:rsidP="004130A7">
            <w:pPr>
              <w:spacing w:after="0" w:line="240" w:lineRule="auto"/>
              <w:jc w:val="center"/>
              <w:rPr>
                <w:rFonts w:eastAsia="Times New Roman"/>
                <w:color w:val="000000"/>
                <w:lang w:eastAsia="ko-KR"/>
              </w:rPr>
            </w:pPr>
            <w:r>
              <w:rPr>
                <w:rFonts w:eastAsia="Times New Roman"/>
                <w:color w:val="000000"/>
                <w:lang w:eastAsia="ko-KR"/>
              </w:rPr>
              <w:t xml:space="preserve">Tier </w:t>
            </w:r>
            <w:r w:rsidR="00272012" w:rsidRPr="005F1703">
              <w:rPr>
                <w:rFonts w:eastAsia="Times New Roman"/>
                <w:color w:val="000000"/>
                <w:lang w:eastAsia="ko-KR"/>
              </w:rPr>
              <w:t>3 (2)</w:t>
            </w:r>
          </w:p>
        </w:tc>
        <w:tc>
          <w:tcPr>
            <w:tcW w:w="813" w:type="dxa"/>
            <w:shd w:val="clear" w:color="auto" w:fill="auto"/>
            <w:noWrap/>
            <w:vAlign w:val="center"/>
            <w:hideMark/>
          </w:tcPr>
          <w:p w14:paraId="73B9FAA6"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4</w:t>
            </w:r>
          </w:p>
        </w:tc>
        <w:tc>
          <w:tcPr>
            <w:tcW w:w="1080" w:type="dxa"/>
            <w:vAlign w:val="center"/>
          </w:tcPr>
          <w:p w14:paraId="40D1B97A" w14:textId="77777777" w:rsidR="00272012"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4</w:t>
            </w:r>
          </w:p>
        </w:tc>
        <w:tc>
          <w:tcPr>
            <w:tcW w:w="1305" w:type="dxa"/>
            <w:shd w:val="clear" w:color="auto" w:fill="auto"/>
            <w:noWrap/>
            <w:vAlign w:val="center"/>
          </w:tcPr>
          <w:p w14:paraId="48C54ADF"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3</w:t>
            </w:r>
          </w:p>
        </w:tc>
        <w:tc>
          <w:tcPr>
            <w:tcW w:w="2087" w:type="dxa"/>
            <w:vAlign w:val="bottom"/>
          </w:tcPr>
          <w:p w14:paraId="53D626C6" w14:textId="77777777" w:rsidR="00272012" w:rsidRPr="006B0AC6" w:rsidRDefault="00272012" w:rsidP="004130A7">
            <w:pPr>
              <w:spacing w:after="0" w:line="240" w:lineRule="auto"/>
              <w:jc w:val="center"/>
              <w:rPr>
                <w:rFonts w:eastAsia="Times New Roman"/>
                <w:color w:val="000000"/>
                <w:lang w:eastAsia="ko-KR"/>
              </w:rPr>
            </w:pPr>
            <w:r>
              <w:rPr>
                <w:rFonts w:eastAsia="Times New Roman"/>
                <w:color w:val="000000"/>
                <w:lang w:eastAsia="ko-KR"/>
              </w:rPr>
              <w:t>75%</w:t>
            </w:r>
          </w:p>
        </w:tc>
      </w:tr>
      <w:tr w:rsidR="00272012" w:rsidRPr="00785940" w14:paraId="5FE16EA9" w14:textId="77777777" w:rsidTr="004130A7">
        <w:trPr>
          <w:trHeight w:val="234"/>
        </w:trPr>
        <w:tc>
          <w:tcPr>
            <w:tcW w:w="3247" w:type="dxa"/>
            <w:shd w:val="clear" w:color="auto" w:fill="auto"/>
            <w:noWrap/>
            <w:vAlign w:val="center"/>
            <w:hideMark/>
          </w:tcPr>
          <w:p w14:paraId="14079626" w14:textId="4C2DD1DD" w:rsidR="00272012" w:rsidRPr="005F1703" w:rsidRDefault="00AA1FC0" w:rsidP="004130A7">
            <w:pPr>
              <w:spacing w:after="0" w:line="240" w:lineRule="auto"/>
              <w:jc w:val="center"/>
              <w:rPr>
                <w:rFonts w:eastAsia="Times New Roman"/>
                <w:color w:val="000000"/>
                <w:lang w:eastAsia="ko-KR"/>
              </w:rPr>
            </w:pPr>
            <w:r>
              <w:rPr>
                <w:rFonts w:eastAsia="Times New Roman"/>
                <w:color w:val="000000"/>
                <w:lang w:eastAsia="ko-KR"/>
              </w:rPr>
              <w:t xml:space="preserve">Tier </w:t>
            </w:r>
            <w:r w:rsidR="00272012" w:rsidRPr="005F1703">
              <w:rPr>
                <w:rFonts w:eastAsia="Times New Roman"/>
                <w:color w:val="000000"/>
                <w:lang w:eastAsia="ko-KR"/>
              </w:rPr>
              <w:t>4 (1)</w:t>
            </w:r>
          </w:p>
        </w:tc>
        <w:tc>
          <w:tcPr>
            <w:tcW w:w="813" w:type="dxa"/>
            <w:shd w:val="clear" w:color="auto" w:fill="auto"/>
            <w:noWrap/>
            <w:vAlign w:val="center"/>
            <w:hideMark/>
          </w:tcPr>
          <w:p w14:paraId="0217FDA9"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2</w:t>
            </w:r>
          </w:p>
        </w:tc>
        <w:tc>
          <w:tcPr>
            <w:tcW w:w="1080" w:type="dxa"/>
            <w:vAlign w:val="center"/>
          </w:tcPr>
          <w:p w14:paraId="6D6AE54E" w14:textId="77777777" w:rsidR="00272012"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2</w:t>
            </w:r>
          </w:p>
        </w:tc>
        <w:tc>
          <w:tcPr>
            <w:tcW w:w="1305" w:type="dxa"/>
            <w:shd w:val="clear" w:color="auto" w:fill="auto"/>
            <w:noWrap/>
            <w:vAlign w:val="center"/>
          </w:tcPr>
          <w:p w14:paraId="38EBC1EC"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2</w:t>
            </w:r>
          </w:p>
        </w:tc>
        <w:tc>
          <w:tcPr>
            <w:tcW w:w="2087" w:type="dxa"/>
            <w:vAlign w:val="bottom"/>
          </w:tcPr>
          <w:p w14:paraId="477B4A62" w14:textId="77777777" w:rsidR="00272012" w:rsidRPr="006B0AC6" w:rsidRDefault="00272012" w:rsidP="004130A7">
            <w:pPr>
              <w:spacing w:after="0" w:line="240" w:lineRule="auto"/>
              <w:jc w:val="center"/>
              <w:rPr>
                <w:rFonts w:eastAsia="Times New Roman"/>
                <w:color w:val="000000"/>
                <w:lang w:eastAsia="ko-KR"/>
              </w:rPr>
            </w:pPr>
            <w:r>
              <w:rPr>
                <w:rFonts w:eastAsia="Times New Roman"/>
                <w:color w:val="000000"/>
                <w:lang w:eastAsia="ko-KR"/>
              </w:rPr>
              <w:t>100%</w:t>
            </w:r>
          </w:p>
        </w:tc>
      </w:tr>
      <w:tr w:rsidR="00272012" w:rsidRPr="00785940" w14:paraId="289A06F7" w14:textId="77777777" w:rsidTr="004130A7">
        <w:trPr>
          <w:trHeight w:val="234"/>
        </w:trPr>
        <w:tc>
          <w:tcPr>
            <w:tcW w:w="3247" w:type="dxa"/>
            <w:shd w:val="clear" w:color="auto" w:fill="auto"/>
            <w:noWrap/>
            <w:vAlign w:val="center"/>
            <w:hideMark/>
          </w:tcPr>
          <w:p w14:paraId="665F3A29" w14:textId="77777777" w:rsidR="00272012" w:rsidRPr="005F1703"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 xml:space="preserve">Aim/Orientation </w:t>
            </w:r>
          </w:p>
        </w:tc>
        <w:tc>
          <w:tcPr>
            <w:tcW w:w="813" w:type="dxa"/>
            <w:shd w:val="clear" w:color="auto" w:fill="auto"/>
            <w:noWrap/>
            <w:vAlign w:val="center"/>
            <w:hideMark/>
          </w:tcPr>
          <w:p w14:paraId="6E471EE4" w14:textId="77777777" w:rsidR="00272012" w:rsidRPr="005F1703" w:rsidRDefault="00272012" w:rsidP="004130A7">
            <w:pPr>
              <w:spacing w:after="0" w:line="240" w:lineRule="auto"/>
              <w:rPr>
                <w:rFonts w:eastAsia="Times New Roman"/>
                <w:b/>
                <w:bCs/>
                <w:color w:val="000000"/>
                <w:lang w:eastAsia="ko-KR"/>
              </w:rPr>
            </w:pPr>
          </w:p>
        </w:tc>
        <w:tc>
          <w:tcPr>
            <w:tcW w:w="1080" w:type="dxa"/>
            <w:vAlign w:val="center"/>
          </w:tcPr>
          <w:p w14:paraId="39791587" w14:textId="77777777" w:rsidR="00272012" w:rsidRPr="005F1703" w:rsidRDefault="00272012" w:rsidP="004130A7">
            <w:pPr>
              <w:spacing w:after="0" w:line="240" w:lineRule="auto"/>
              <w:rPr>
                <w:rFonts w:eastAsia="Times New Roman"/>
                <w:lang w:eastAsia="ko-KR"/>
              </w:rPr>
            </w:pPr>
          </w:p>
        </w:tc>
        <w:tc>
          <w:tcPr>
            <w:tcW w:w="1305" w:type="dxa"/>
            <w:shd w:val="clear" w:color="auto" w:fill="auto"/>
            <w:noWrap/>
            <w:vAlign w:val="center"/>
            <w:hideMark/>
          </w:tcPr>
          <w:p w14:paraId="753BA9E4" w14:textId="77777777" w:rsidR="00272012" w:rsidRPr="005F1703" w:rsidRDefault="00272012" w:rsidP="004130A7">
            <w:pPr>
              <w:spacing w:after="0" w:line="240" w:lineRule="auto"/>
              <w:rPr>
                <w:rFonts w:eastAsia="Times New Roman"/>
                <w:lang w:eastAsia="ko-KR"/>
              </w:rPr>
            </w:pPr>
          </w:p>
        </w:tc>
        <w:tc>
          <w:tcPr>
            <w:tcW w:w="2087" w:type="dxa"/>
            <w:vAlign w:val="center"/>
          </w:tcPr>
          <w:p w14:paraId="0CF18578" w14:textId="77777777" w:rsidR="00272012" w:rsidRPr="006B0AC6" w:rsidRDefault="00272012" w:rsidP="004130A7">
            <w:pPr>
              <w:spacing w:after="0" w:line="240" w:lineRule="auto"/>
              <w:rPr>
                <w:rFonts w:eastAsia="Times New Roman"/>
                <w:lang w:eastAsia="ko-KR"/>
              </w:rPr>
            </w:pPr>
          </w:p>
        </w:tc>
      </w:tr>
      <w:tr w:rsidR="00272012" w:rsidRPr="00785940" w14:paraId="5FBAB836" w14:textId="77777777" w:rsidTr="004130A7">
        <w:trPr>
          <w:trHeight w:val="234"/>
        </w:trPr>
        <w:tc>
          <w:tcPr>
            <w:tcW w:w="3247" w:type="dxa"/>
            <w:shd w:val="clear" w:color="auto" w:fill="auto"/>
            <w:noWrap/>
            <w:vAlign w:val="center"/>
            <w:hideMark/>
          </w:tcPr>
          <w:p w14:paraId="3809F850"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Basic (4)</w:t>
            </w:r>
          </w:p>
        </w:tc>
        <w:tc>
          <w:tcPr>
            <w:tcW w:w="813" w:type="dxa"/>
            <w:shd w:val="clear" w:color="auto" w:fill="auto"/>
            <w:noWrap/>
            <w:vAlign w:val="center"/>
            <w:hideMark/>
          </w:tcPr>
          <w:p w14:paraId="7187F2F2"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22</w:t>
            </w:r>
          </w:p>
        </w:tc>
        <w:tc>
          <w:tcPr>
            <w:tcW w:w="1080" w:type="dxa"/>
            <w:vAlign w:val="center"/>
          </w:tcPr>
          <w:p w14:paraId="07801E9C"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15/16</w:t>
            </w:r>
          </w:p>
        </w:tc>
        <w:tc>
          <w:tcPr>
            <w:tcW w:w="1305" w:type="dxa"/>
            <w:shd w:val="clear" w:color="auto" w:fill="auto"/>
            <w:noWrap/>
            <w:vAlign w:val="center"/>
          </w:tcPr>
          <w:p w14:paraId="59230157"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11</w:t>
            </w:r>
          </w:p>
        </w:tc>
        <w:tc>
          <w:tcPr>
            <w:tcW w:w="2087" w:type="dxa"/>
            <w:vAlign w:val="center"/>
          </w:tcPr>
          <w:p w14:paraId="2EF74910" w14:textId="77777777" w:rsidR="00272012" w:rsidRPr="006B0AC6" w:rsidRDefault="00272012" w:rsidP="004130A7">
            <w:pPr>
              <w:spacing w:after="0" w:line="240" w:lineRule="auto"/>
              <w:jc w:val="center"/>
              <w:rPr>
                <w:rFonts w:eastAsia="Times New Roman"/>
                <w:color w:val="000000"/>
                <w:lang w:eastAsia="ko-KR"/>
              </w:rPr>
            </w:pPr>
            <w:r>
              <w:rPr>
                <w:rFonts w:eastAsia="Times New Roman"/>
                <w:color w:val="000000"/>
                <w:lang w:eastAsia="ko-KR"/>
              </w:rPr>
              <w:t>50%</w:t>
            </w:r>
          </w:p>
        </w:tc>
      </w:tr>
      <w:tr w:rsidR="00272012" w:rsidRPr="00785940" w14:paraId="342652EA" w14:textId="77777777" w:rsidTr="004130A7">
        <w:trPr>
          <w:trHeight w:val="234"/>
        </w:trPr>
        <w:tc>
          <w:tcPr>
            <w:tcW w:w="3247" w:type="dxa"/>
            <w:shd w:val="clear" w:color="auto" w:fill="auto"/>
            <w:noWrap/>
            <w:vAlign w:val="center"/>
            <w:hideMark/>
          </w:tcPr>
          <w:p w14:paraId="1939E1D0"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Applied (4)</w:t>
            </w:r>
          </w:p>
        </w:tc>
        <w:tc>
          <w:tcPr>
            <w:tcW w:w="813" w:type="dxa"/>
            <w:shd w:val="clear" w:color="auto" w:fill="auto"/>
            <w:noWrap/>
            <w:vAlign w:val="center"/>
            <w:hideMark/>
          </w:tcPr>
          <w:p w14:paraId="5C989525"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33</w:t>
            </w:r>
          </w:p>
        </w:tc>
        <w:tc>
          <w:tcPr>
            <w:tcW w:w="1080" w:type="dxa"/>
            <w:vAlign w:val="center"/>
          </w:tcPr>
          <w:p w14:paraId="649E8933"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14</w:t>
            </w:r>
          </w:p>
        </w:tc>
        <w:tc>
          <w:tcPr>
            <w:tcW w:w="1305" w:type="dxa"/>
            <w:shd w:val="clear" w:color="auto" w:fill="auto"/>
            <w:noWrap/>
            <w:vAlign w:val="center"/>
          </w:tcPr>
          <w:p w14:paraId="310264C9"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12</w:t>
            </w:r>
          </w:p>
        </w:tc>
        <w:tc>
          <w:tcPr>
            <w:tcW w:w="2087" w:type="dxa"/>
            <w:vAlign w:val="center"/>
          </w:tcPr>
          <w:p w14:paraId="43E14524" w14:textId="77777777" w:rsidR="00272012" w:rsidRPr="006B0AC6" w:rsidRDefault="00272012" w:rsidP="004130A7">
            <w:pPr>
              <w:spacing w:after="0" w:line="240" w:lineRule="auto"/>
              <w:jc w:val="center"/>
              <w:rPr>
                <w:rFonts w:eastAsia="Times New Roman"/>
                <w:color w:val="000000"/>
                <w:lang w:eastAsia="ko-KR"/>
              </w:rPr>
            </w:pPr>
            <w:r>
              <w:rPr>
                <w:rFonts w:eastAsia="Times New Roman"/>
                <w:color w:val="000000"/>
                <w:lang w:eastAsia="ko-KR"/>
              </w:rPr>
              <w:t>36%</w:t>
            </w:r>
          </w:p>
        </w:tc>
      </w:tr>
      <w:tr w:rsidR="00272012" w:rsidRPr="00785940" w14:paraId="6C4744AB" w14:textId="77777777" w:rsidTr="004130A7">
        <w:trPr>
          <w:trHeight w:val="234"/>
        </w:trPr>
        <w:tc>
          <w:tcPr>
            <w:tcW w:w="3247" w:type="dxa"/>
            <w:shd w:val="clear" w:color="auto" w:fill="auto"/>
            <w:noWrap/>
            <w:vAlign w:val="center"/>
            <w:hideMark/>
          </w:tcPr>
          <w:p w14:paraId="3D47B6DF" w14:textId="77777777" w:rsidR="00272012" w:rsidRPr="005F1703"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 xml:space="preserve">Branch of science </w:t>
            </w:r>
          </w:p>
        </w:tc>
        <w:tc>
          <w:tcPr>
            <w:tcW w:w="813" w:type="dxa"/>
            <w:shd w:val="clear" w:color="auto" w:fill="auto"/>
            <w:noWrap/>
            <w:vAlign w:val="center"/>
            <w:hideMark/>
          </w:tcPr>
          <w:p w14:paraId="033F5704" w14:textId="77777777" w:rsidR="00272012" w:rsidRPr="005F1703" w:rsidRDefault="00272012" w:rsidP="004130A7">
            <w:pPr>
              <w:spacing w:after="0" w:line="240" w:lineRule="auto"/>
              <w:jc w:val="center"/>
              <w:rPr>
                <w:rFonts w:eastAsia="Times New Roman"/>
                <w:b/>
                <w:bCs/>
                <w:color w:val="000000"/>
                <w:lang w:eastAsia="ko-KR"/>
              </w:rPr>
            </w:pPr>
          </w:p>
        </w:tc>
        <w:tc>
          <w:tcPr>
            <w:tcW w:w="1080" w:type="dxa"/>
            <w:vAlign w:val="center"/>
          </w:tcPr>
          <w:p w14:paraId="2FF9EB4D" w14:textId="77777777" w:rsidR="00272012" w:rsidRPr="005F1703" w:rsidRDefault="00272012" w:rsidP="004130A7">
            <w:pPr>
              <w:spacing w:after="0" w:line="240" w:lineRule="auto"/>
              <w:jc w:val="center"/>
              <w:rPr>
                <w:rFonts w:eastAsia="Times New Roman"/>
                <w:lang w:eastAsia="ko-KR"/>
              </w:rPr>
            </w:pPr>
          </w:p>
        </w:tc>
        <w:tc>
          <w:tcPr>
            <w:tcW w:w="1305" w:type="dxa"/>
            <w:shd w:val="clear" w:color="auto" w:fill="auto"/>
            <w:noWrap/>
            <w:vAlign w:val="center"/>
          </w:tcPr>
          <w:p w14:paraId="21C4C151" w14:textId="77777777" w:rsidR="00272012" w:rsidRPr="005F1703" w:rsidRDefault="00272012" w:rsidP="004130A7">
            <w:pPr>
              <w:spacing w:after="0" w:line="240" w:lineRule="auto"/>
              <w:jc w:val="center"/>
              <w:rPr>
                <w:rFonts w:eastAsia="Times New Roman"/>
                <w:lang w:eastAsia="ko-KR"/>
              </w:rPr>
            </w:pPr>
          </w:p>
        </w:tc>
        <w:tc>
          <w:tcPr>
            <w:tcW w:w="2087" w:type="dxa"/>
            <w:vAlign w:val="center"/>
          </w:tcPr>
          <w:p w14:paraId="143910D4" w14:textId="77777777" w:rsidR="00272012" w:rsidRPr="00785940" w:rsidRDefault="00272012" w:rsidP="004130A7">
            <w:pPr>
              <w:spacing w:after="0" w:line="240" w:lineRule="auto"/>
              <w:jc w:val="center"/>
              <w:rPr>
                <w:rFonts w:eastAsia="Times New Roman"/>
                <w:lang w:eastAsia="ko-KR"/>
              </w:rPr>
            </w:pPr>
          </w:p>
        </w:tc>
      </w:tr>
      <w:tr w:rsidR="00272012" w:rsidRPr="00785940" w14:paraId="3CA40C0B" w14:textId="77777777" w:rsidTr="004130A7">
        <w:trPr>
          <w:trHeight w:val="234"/>
        </w:trPr>
        <w:tc>
          <w:tcPr>
            <w:tcW w:w="3247" w:type="dxa"/>
            <w:shd w:val="clear" w:color="auto" w:fill="auto"/>
            <w:noWrap/>
            <w:vAlign w:val="center"/>
            <w:hideMark/>
          </w:tcPr>
          <w:p w14:paraId="0522420B"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Life (3)</w:t>
            </w:r>
          </w:p>
        </w:tc>
        <w:tc>
          <w:tcPr>
            <w:tcW w:w="813" w:type="dxa"/>
            <w:shd w:val="clear" w:color="auto" w:fill="auto"/>
            <w:noWrap/>
            <w:vAlign w:val="center"/>
            <w:hideMark/>
          </w:tcPr>
          <w:p w14:paraId="0E4C6575"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2</w:t>
            </w:r>
            <w:r>
              <w:rPr>
                <w:rFonts w:eastAsia="Times New Roman"/>
                <w:color w:val="000000"/>
                <w:lang w:eastAsia="ko-KR"/>
              </w:rPr>
              <w:t>9</w:t>
            </w:r>
          </w:p>
        </w:tc>
        <w:tc>
          <w:tcPr>
            <w:tcW w:w="1080" w:type="dxa"/>
            <w:vAlign w:val="center"/>
          </w:tcPr>
          <w:p w14:paraId="23DCFB98" w14:textId="77777777" w:rsidR="00272012"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1</w:t>
            </w:r>
            <w:r>
              <w:rPr>
                <w:rFonts w:eastAsia="Times New Roman"/>
                <w:color w:val="000000"/>
                <w:lang w:eastAsia="ko-KR"/>
              </w:rPr>
              <w:t>2</w:t>
            </w:r>
          </w:p>
        </w:tc>
        <w:tc>
          <w:tcPr>
            <w:tcW w:w="1305" w:type="dxa"/>
            <w:shd w:val="clear" w:color="auto" w:fill="auto"/>
            <w:noWrap/>
            <w:vAlign w:val="center"/>
          </w:tcPr>
          <w:p w14:paraId="6FACB1A2"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13</w:t>
            </w:r>
          </w:p>
        </w:tc>
        <w:tc>
          <w:tcPr>
            <w:tcW w:w="2087" w:type="dxa"/>
            <w:vAlign w:val="center"/>
          </w:tcPr>
          <w:p w14:paraId="4F2795A0"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45%</w:t>
            </w:r>
          </w:p>
        </w:tc>
      </w:tr>
      <w:tr w:rsidR="00272012" w:rsidRPr="00785940" w14:paraId="7F752423" w14:textId="77777777" w:rsidTr="004130A7">
        <w:trPr>
          <w:trHeight w:val="234"/>
        </w:trPr>
        <w:tc>
          <w:tcPr>
            <w:tcW w:w="3247" w:type="dxa"/>
            <w:shd w:val="clear" w:color="auto" w:fill="auto"/>
            <w:noWrap/>
            <w:vAlign w:val="center"/>
            <w:hideMark/>
          </w:tcPr>
          <w:p w14:paraId="7C6ED191"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Natural (2)</w:t>
            </w:r>
          </w:p>
        </w:tc>
        <w:tc>
          <w:tcPr>
            <w:tcW w:w="813" w:type="dxa"/>
            <w:shd w:val="clear" w:color="auto" w:fill="auto"/>
            <w:noWrap/>
            <w:vAlign w:val="center"/>
            <w:hideMark/>
          </w:tcPr>
          <w:p w14:paraId="426AA422"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13</w:t>
            </w:r>
          </w:p>
        </w:tc>
        <w:tc>
          <w:tcPr>
            <w:tcW w:w="1080" w:type="dxa"/>
            <w:vAlign w:val="center"/>
          </w:tcPr>
          <w:p w14:paraId="10277AF4"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9</w:t>
            </w:r>
          </w:p>
        </w:tc>
        <w:tc>
          <w:tcPr>
            <w:tcW w:w="1305" w:type="dxa"/>
            <w:shd w:val="clear" w:color="auto" w:fill="auto"/>
            <w:noWrap/>
            <w:vAlign w:val="center"/>
          </w:tcPr>
          <w:p w14:paraId="55A4AADF"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5</w:t>
            </w:r>
          </w:p>
        </w:tc>
        <w:tc>
          <w:tcPr>
            <w:tcW w:w="2087" w:type="dxa"/>
            <w:vAlign w:val="center"/>
          </w:tcPr>
          <w:p w14:paraId="293C0AC0"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38%</w:t>
            </w:r>
          </w:p>
        </w:tc>
      </w:tr>
      <w:tr w:rsidR="00272012" w:rsidRPr="00785940" w14:paraId="5ECA11A9" w14:textId="77777777" w:rsidTr="004130A7">
        <w:trPr>
          <w:trHeight w:val="234"/>
        </w:trPr>
        <w:tc>
          <w:tcPr>
            <w:tcW w:w="3247" w:type="dxa"/>
            <w:shd w:val="clear" w:color="auto" w:fill="auto"/>
            <w:noWrap/>
            <w:vAlign w:val="center"/>
            <w:hideMark/>
          </w:tcPr>
          <w:p w14:paraId="4BF8625A"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Formal (3)</w:t>
            </w:r>
          </w:p>
        </w:tc>
        <w:tc>
          <w:tcPr>
            <w:tcW w:w="813" w:type="dxa"/>
            <w:shd w:val="clear" w:color="auto" w:fill="auto"/>
            <w:noWrap/>
            <w:vAlign w:val="center"/>
            <w:hideMark/>
          </w:tcPr>
          <w:p w14:paraId="12E1F87B"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1</w:t>
            </w:r>
            <w:r>
              <w:rPr>
                <w:rFonts w:eastAsia="Times New Roman"/>
                <w:color w:val="000000"/>
                <w:lang w:eastAsia="ko-KR"/>
              </w:rPr>
              <w:t>5</w:t>
            </w:r>
          </w:p>
        </w:tc>
        <w:tc>
          <w:tcPr>
            <w:tcW w:w="1080" w:type="dxa"/>
            <w:vAlign w:val="center"/>
          </w:tcPr>
          <w:p w14:paraId="02063BBD"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8/9</w:t>
            </w:r>
          </w:p>
        </w:tc>
        <w:tc>
          <w:tcPr>
            <w:tcW w:w="1305" w:type="dxa"/>
            <w:shd w:val="clear" w:color="auto" w:fill="auto"/>
            <w:noWrap/>
            <w:vAlign w:val="center"/>
          </w:tcPr>
          <w:p w14:paraId="442E65DA"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4</w:t>
            </w:r>
          </w:p>
        </w:tc>
        <w:tc>
          <w:tcPr>
            <w:tcW w:w="2087" w:type="dxa"/>
            <w:vAlign w:val="center"/>
          </w:tcPr>
          <w:p w14:paraId="43062BC6"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27%</w:t>
            </w:r>
          </w:p>
        </w:tc>
      </w:tr>
      <w:tr w:rsidR="00272012" w:rsidRPr="00785940" w14:paraId="1664B1FE" w14:textId="77777777" w:rsidTr="004130A7">
        <w:trPr>
          <w:trHeight w:val="234"/>
        </w:trPr>
        <w:tc>
          <w:tcPr>
            <w:tcW w:w="3247" w:type="dxa"/>
            <w:shd w:val="clear" w:color="auto" w:fill="auto"/>
            <w:noWrap/>
            <w:vAlign w:val="center"/>
            <w:hideMark/>
          </w:tcPr>
          <w:p w14:paraId="09146C38" w14:textId="77777777" w:rsidR="00272012" w:rsidRPr="005F1703" w:rsidRDefault="00272012" w:rsidP="004130A7">
            <w:pPr>
              <w:spacing w:after="0" w:line="240" w:lineRule="auto"/>
              <w:jc w:val="center"/>
              <w:rPr>
                <w:rFonts w:eastAsia="Times New Roman"/>
                <w:b/>
                <w:bCs/>
                <w:color w:val="000000"/>
                <w:lang w:eastAsia="ko-KR"/>
              </w:rPr>
            </w:pPr>
            <w:r w:rsidRPr="005F1703">
              <w:rPr>
                <w:rFonts w:eastAsia="Times New Roman"/>
                <w:b/>
                <w:bCs/>
                <w:color w:val="000000"/>
                <w:lang w:eastAsia="ko-KR"/>
              </w:rPr>
              <w:t>Departmental rating</w:t>
            </w:r>
          </w:p>
        </w:tc>
        <w:tc>
          <w:tcPr>
            <w:tcW w:w="813" w:type="dxa"/>
            <w:shd w:val="clear" w:color="auto" w:fill="auto"/>
            <w:noWrap/>
            <w:vAlign w:val="center"/>
            <w:hideMark/>
          </w:tcPr>
          <w:p w14:paraId="6F88626E" w14:textId="77777777" w:rsidR="00272012" w:rsidRPr="005F1703" w:rsidRDefault="00272012" w:rsidP="004130A7">
            <w:pPr>
              <w:spacing w:after="0" w:line="240" w:lineRule="auto"/>
              <w:jc w:val="center"/>
              <w:rPr>
                <w:rFonts w:eastAsia="Times New Roman"/>
                <w:b/>
                <w:bCs/>
                <w:color w:val="000000"/>
                <w:lang w:eastAsia="ko-KR"/>
              </w:rPr>
            </w:pPr>
          </w:p>
        </w:tc>
        <w:tc>
          <w:tcPr>
            <w:tcW w:w="1080" w:type="dxa"/>
            <w:vAlign w:val="center"/>
          </w:tcPr>
          <w:p w14:paraId="5E34F7BE" w14:textId="77777777" w:rsidR="00272012" w:rsidRPr="005F1703" w:rsidRDefault="00272012" w:rsidP="004130A7">
            <w:pPr>
              <w:spacing w:after="0" w:line="240" w:lineRule="auto"/>
              <w:jc w:val="center"/>
              <w:rPr>
                <w:rFonts w:eastAsia="Times New Roman"/>
                <w:lang w:eastAsia="ko-KR"/>
              </w:rPr>
            </w:pPr>
          </w:p>
        </w:tc>
        <w:tc>
          <w:tcPr>
            <w:tcW w:w="1305" w:type="dxa"/>
            <w:shd w:val="clear" w:color="auto" w:fill="auto"/>
            <w:noWrap/>
            <w:vAlign w:val="center"/>
          </w:tcPr>
          <w:p w14:paraId="31110F83" w14:textId="77777777" w:rsidR="00272012" w:rsidRPr="005F1703" w:rsidRDefault="00272012" w:rsidP="004130A7">
            <w:pPr>
              <w:spacing w:after="0" w:line="240" w:lineRule="auto"/>
              <w:jc w:val="center"/>
              <w:rPr>
                <w:rFonts w:eastAsia="Times New Roman"/>
                <w:lang w:eastAsia="ko-KR"/>
              </w:rPr>
            </w:pPr>
          </w:p>
        </w:tc>
        <w:tc>
          <w:tcPr>
            <w:tcW w:w="2087" w:type="dxa"/>
            <w:vAlign w:val="center"/>
          </w:tcPr>
          <w:p w14:paraId="768CE61C" w14:textId="77777777" w:rsidR="00272012" w:rsidRPr="00785940" w:rsidRDefault="00272012" w:rsidP="004130A7">
            <w:pPr>
              <w:spacing w:after="0" w:line="240" w:lineRule="auto"/>
              <w:jc w:val="center"/>
              <w:rPr>
                <w:rFonts w:eastAsia="Times New Roman"/>
                <w:lang w:eastAsia="ko-KR"/>
              </w:rPr>
            </w:pPr>
          </w:p>
        </w:tc>
      </w:tr>
      <w:tr w:rsidR="00272012" w:rsidRPr="00785940" w14:paraId="10F46C3B" w14:textId="77777777" w:rsidTr="004130A7">
        <w:trPr>
          <w:trHeight w:val="234"/>
        </w:trPr>
        <w:tc>
          <w:tcPr>
            <w:tcW w:w="3247" w:type="dxa"/>
            <w:shd w:val="clear" w:color="auto" w:fill="auto"/>
            <w:noWrap/>
            <w:vAlign w:val="center"/>
            <w:hideMark/>
          </w:tcPr>
          <w:p w14:paraId="300D0D74"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High (3)</w:t>
            </w:r>
          </w:p>
        </w:tc>
        <w:tc>
          <w:tcPr>
            <w:tcW w:w="813" w:type="dxa"/>
            <w:shd w:val="clear" w:color="auto" w:fill="auto"/>
            <w:noWrap/>
            <w:vAlign w:val="center"/>
            <w:hideMark/>
          </w:tcPr>
          <w:p w14:paraId="7FC9ED1C"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11</w:t>
            </w:r>
          </w:p>
        </w:tc>
        <w:tc>
          <w:tcPr>
            <w:tcW w:w="1080" w:type="dxa"/>
            <w:vAlign w:val="center"/>
          </w:tcPr>
          <w:p w14:paraId="009A4070" w14:textId="77777777" w:rsidR="00272012"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6</w:t>
            </w:r>
          </w:p>
        </w:tc>
        <w:tc>
          <w:tcPr>
            <w:tcW w:w="1305" w:type="dxa"/>
            <w:shd w:val="clear" w:color="auto" w:fill="auto"/>
            <w:noWrap/>
            <w:vAlign w:val="center"/>
          </w:tcPr>
          <w:p w14:paraId="38A6C681"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4</w:t>
            </w:r>
          </w:p>
        </w:tc>
        <w:tc>
          <w:tcPr>
            <w:tcW w:w="2087" w:type="dxa"/>
            <w:vAlign w:val="center"/>
          </w:tcPr>
          <w:p w14:paraId="711A1715"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36%</w:t>
            </w:r>
          </w:p>
        </w:tc>
      </w:tr>
      <w:tr w:rsidR="00272012" w:rsidRPr="00785940" w14:paraId="5E05AC76" w14:textId="77777777" w:rsidTr="004130A7">
        <w:trPr>
          <w:trHeight w:val="234"/>
        </w:trPr>
        <w:tc>
          <w:tcPr>
            <w:tcW w:w="3247" w:type="dxa"/>
            <w:shd w:val="clear" w:color="auto" w:fill="auto"/>
            <w:noWrap/>
            <w:vAlign w:val="center"/>
            <w:hideMark/>
          </w:tcPr>
          <w:p w14:paraId="0BE8C09E"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Medium (4)</w:t>
            </w:r>
          </w:p>
        </w:tc>
        <w:tc>
          <w:tcPr>
            <w:tcW w:w="813" w:type="dxa"/>
            <w:shd w:val="clear" w:color="auto" w:fill="auto"/>
            <w:noWrap/>
            <w:vAlign w:val="center"/>
            <w:hideMark/>
          </w:tcPr>
          <w:p w14:paraId="7B32352D"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34</w:t>
            </w:r>
          </w:p>
        </w:tc>
        <w:tc>
          <w:tcPr>
            <w:tcW w:w="1080" w:type="dxa"/>
            <w:vAlign w:val="center"/>
          </w:tcPr>
          <w:p w14:paraId="502F0000" w14:textId="77777777" w:rsidR="00272012" w:rsidRDefault="00272012" w:rsidP="004130A7">
            <w:pPr>
              <w:spacing w:after="0" w:line="240" w:lineRule="auto"/>
              <w:jc w:val="center"/>
              <w:rPr>
                <w:rFonts w:eastAsia="Times New Roman"/>
                <w:color w:val="000000"/>
                <w:lang w:eastAsia="ko-KR"/>
              </w:rPr>
            </w:pPr>
            <w:r>
              <w:rPr>
                <w:rFonts w:eastAsia="Times New Roman"/>
                <w:color w:val="000000"/>
                <w:lang w:eastAsia="ko-KR"/>
              </w:rPr>
              <w:t>13/</w:t>
            </w:r>
            <w:r w:rsidRPr="005F1703">
              <w:rPr>
                <w:rFonts w:eastAsia="Times New Roman"/>
                <w:color w:val="000000"/>
                <w:lang w:eastAsia="ko-KR"/>
              </w:rPr>
              <w:t>14</w:t>
            </w:r>
          </w:p>
        </w:tc>
        <w:tc>
          <w:tcPr>
            <w:tcW w:w="1305" w:type="dxa"/>
            <w:shd w:val="clear" w:color="auto" w:fill="auto"/>
            <w:noWrap/>
            <w:vAlign w:val="center"/>
          </w:tcPr>
          <w:p w14:paraId="361FD532"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10</w:t>
            </w:r>
          </w:p>
        </w:tc>
        <w:tc>
          <w:tcPr>
            <w:tcW w:w="2087" w:type="dxa"/>
            <w:vAlign w:val="center"/>
          </w:tcPr>
          <w:p w14:paraId="7E42A6CB" w14:textId="77777777" w:rsidR="00272012" w:rsidRPr="00785940" w:rsidRDefault="00272012" w:rsidP="004130A7">
            <w:pPr>
              <w:spacing w:after="0" w:line="240" w:lineRule="auto"/>
              <w:jc w:val="center"/>
              <w:rPr>
                <w:rFonts w:eastAsia="Times New Roman"/>
                <w:color w:val="000000"/>
                <w:lang w:eastAsia="ko-KR"/>
              </w:rPr>
            </w:pPr>
            <w:r>
              <w:rPr>
                <w:rFonts w:eastAsia="Times New Roman"/>
                <w:color w:val="000000"/>
                <w:lang w:eastAsia="ko-KR"/>
              </w:rPr>
              <w:t>29%</w:t>
            </w:r>
          </w:p>
        </w:tc>
      </w:tr>
      <w:tr w:rsidR="00272012" w:rsidRPr="00785940" w14:paraId="7E85C814" w14:textId="77777777" w:rsidTr="004130A7">
        <w:trPr>
          <w:trHeight w:val="234"/>
        </w:trPr>
        <w:tc>
          <w:tcPr>
            <w:tcW w:w="3247" w:type="dxa"/>
            <w:shd w:val="clear" w:color="auto" w:fill="auto"/>
            <w:noWrap/>
            <w:vAlign w:val="center"/>
            <w:hideMark/>
          </w:tcPr>
          <w:p w14:paraId="1AB6084E"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Low (3)</w:t>
            </w:r>
          </w:p>
        </w:tc>
        <w:tc>
          <w:tcPr>
            <w:tcW w:w="813" w:type="dxa"/>
            <w:shd w:val="clear" w:color="auto" w:fill="auto"/>
            <w:noWrap/>
            <w:vAlign w:val="center"/>
            <w:hideMark/>
          </w:tcPr>
          <w:p w14:paraId="54695F38" w14:textId="77777777" w:rsidR="00272012" w:rsidRPr="005F1703"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6</w:t>
            </w:r>
          </w:p>
        </w:tc>
        <w:tc>
          <w:tcPr>
            <w:tcW w:w="1080" w:type="dxa"/>
            <w:vAlign w:val="center"/>
          </w:tcPr>
          <w:p w14:paraId="6976BABD" w14:textId="77777777" w:rsidR="00272012" w:rsidRDefault="00272012" w:rsidP="004130A7">
            <w:pPr>
              <w:spacing w:after="0" w:line="240" w:lineRule="auto"/>
              <w:jc w:val="center"/>
              <w:rPr>
                <w:rFonts w:eastAsia="Times New Roman"/>
                <w:color w:val="000000"/>
                <w:lang w:eastAsia="ko-KR"/>
              </w:rPr>
            </w:pPr>
            <w:r w:rsidRPr="005F1703">
              <w:rPr>
                <w:rFonts w:eastAsia="Times New Roman"/>
                <w:color w:val="000000"/>
                <w:lang w:eastAsia="ko-KR"/>
              </w:rPr>
              <w:t>6</w:t>
            </w:r>
          </w:p>
        </w:tc>
        <w:tc>
          <w:tcPr>
            <w:tcW w:w="1305" w:type="dxa"/>
            <w:shd w:val="clear" w:color="auto" w:fill="auto"/>
            <w:noWrap/>
            <w:vAlign w:val="center"/>
          </w:tcPr>
          <w:p w14:paraId="0AE6C4DF" w14:textId="77777777" w:rsidR="00272012" w:rsidRPr="005F1703" w:rsidRDefault="00272012" w:rsidP="004130A7">
            <w:pPr>
              <w:spacing w:after="0" w:line="240" w:lineRule="auto"/>
              <w:jc w:val="center"/>
              <w:rPr>
                <w:rFonts w:eastAsia="Times New Roman"/>
                <w:color w:val="000000"/>
                <w:lang w:eastAsia="ko-KR"/>
              </w:rPr>
            </w:pPr>
            <w:r>
              <w:rPr>
                <w:rFonts w:eastAsia="Times New Roman"/>
                <w:color w:val="000000"/>
                <w:lang w:eastAsia="ko-KR"/>
              </w:rPr>
              <w:t>5</w:t>
            </w:r>
          </w:p>
        </w:tc>
        <w:tc>
          <w:tcPr>
            <w:tcW w:w="2087" w:type="dxa"/>
            <w:vAlign w:val="center"/>
          </w:tcPr>
          <w:p w14:paraId="521B5B2E" w14:textId="77777777" w:rsidR="00272012" w:rsidRPr="00785940" w:rsidRDefault="00272012" w:rsidP="004130A7">
            <w:pPr>
              <w:keepNext/>
              <w:spacing w:after="0" w:line="240" w:lineRule="auto"/>
              <w:jc w:val="center"/>
              <w:rPr>
                <w:rFonts w:eastAsia="Times New Roman"/>
                <w:color w:val="000000"/>
                <w:lang w:eastAsia="ko-KR"/>
              </w:rPr>
            </w:pPr>
            <w:r>
              <w:rPr>
                <w:rFonts w:eastAsia="Times New Roman"/>
                <w:color w:val="000000"/>
                <w:lang w:eastAsia="ko-KR"/>
              </w:rPr>
              <w:t>83%</w:t>
            </w:r>
          </w:p>
        </w:tc>
      </w:tr>
    </w:tbl>
    <w:p w14:paraId="20C2D7A4" w14:textId="52DECCA5" w:rsidR="00272012" w:rsidRDefault="007C4F7B" w:rsidP="007C4F7B">
      <w:pPr>
        <w:pStyle w:val="Caption"/>
        <w:rPr>
          <w:rFonts w:eastAsiaTheme="majorEastAsia" w:cstheme="majorBidi"/>
          <w:color w:val="2F5496" w:themeColor="accent1" w:themeShade="BF"/>
          <w:sz w:val="28"/>
          <w:szCs w:val="26"/>
        </w:rPr>
      </w:pPr>
      <w:bookmarkStart w:id="246" w:name="_Ref19785077"/>
      <w:bookmarkStart w:id="247" w:name="_Toc31702069"/>
      <w:r>
        <w:t xml:space="preserve">Table </w:t>
      </w:r>
      <w:r w:rsidR="00A56355">
        <w:fldChar w:fldCharType="begin"/>
      </w:r>
      <w:r w:rsidR="00A56355">
        <w:instrText xml:space="preserve"> SEQ Table \* ARABIC </w:instrText>
      </w:r>
      <w:r w:rsidR="00A56355">
        <w:fldChar w:fldCharType="separate"/>
      </w:r>
      <w:r w:rsidR="0011424E">
        <w:rPr>
          <w:noProof/>
        </w:rPr>
        <w:t>40</w:t>
      </w:r>
      <w:r w:rsidR="00A56355">
        <w:rPr>
          <w:noProof/>
        </w:rPr>
        <w:fldChar w:fldCharType="end"/>
      </w:r>
      <w:bookmarkEnd w:id="246"/>
      <w:r>
        <w:t xml:space="preserve">. </w:t>
      </w:r>
      <w:r w:rsidRPr="00A7261D">
        <w:t>Relative representation (%) of each parameter/category among sampled interviewees</w:t>
      </w:r>
      <w:bookmarkEnd w:id="247"/>
      <w:r w:rsidR="00272012">
        <w:br w:type="page"/>
      </w:r>
    </w:p>
    <w:p w14:paraId="6DD7687F" w14:textId="49462B45" w:rsidR="00272012" w:rsidRDefault="00272012" w:rsidP="00272012">
      <w:pPr>
        <w:pStyle w:val="Heading3"/>
      </w:pPr>
      <w:bookmarkStart w:id="248" w:name="_Toc536717990"/>
      <w:bookmarkStart w:id="249" w:name="_Toc31702013"/>
      <w:r>
        <w:t xml:space="preserve">Appendix </w:t>
      </w:r>
      <w:r w:rsidR="004D3BA5">
        <w:t>B</w:t>
      </w:r>
      <w:r>
        <w:t>.2. Letter to potential interview participants</w:t>
      </w:r>
      <w:bookmarkEnd w:id="248"/>
      <w:bookmarkEnd w:id="249"/>
    </w:p>
    <w:p w14:paraId="7BD0B9A2" w14:textId="77777777" w:rsidR="00272012" w:rsidRPr="000669E3" w:rsidRDefault="00272012" w:rsidP="00272012">
      <w:pPr>
        <w:spacing w:after="120" w:line="360" w:lineRule="auto"/>
        <w:jc w:val="right"/>
        <w:rPr>
          <w:sz w:val="26"/>
          <w:szCs w:val="26"/>
        </w:rPr>
      </w:pPr>
      <w:r w:rsidRPr="000669E3">
        <w:rPr>
          <w:sz w:val="26"/>
          <w:szCs w:val="26"/>
        </w:rPr>
        <w:t>Mr. Eliel Cohen</w:t>
      </w:r>
    </w:p>
    <w:p w14:paraId="116E7277" w14:textId="77777777" w:rsidR="00272012" w:rsidRPr="000669E3" w:rsidRDefault="00272012" w:rsidP="00272012">
      <w:pPr>
        <w:spacing w:after="120" w:line="360" w:lineRule="auto"/>
        <w:jc w:val="right"/>
        <w:rPr>
          <w:sz w:val="26"/>
          <w:szCs w:val="26"/>
        </w:rPr>
      </w:pPr>
      <w:r w:rsidRPr="000669E3">
        <w:rPr>
          <w:sz w:val="26"/>
          <w:szCs w:val="26"/>
        </w:rPr>
        <w:t>The School of Education</w:t>
      </w:r>
    </w:p>
    <w:p w14:paraId="552A0763" w14:textId="77777777" w:rsidR="00272012" w:rsidRPr="000669E3" w:rsidRDefault="00272012" w:rsidP="00272012">
      <w:pPr>
        <w:spacing w:after="120" w:line="360" w:lineRule="auto"/>
        <w:jc w:val="right"/>
        <w:rPr>
          <w:sz w:val="26"/>
          <w:szCs w:val="26"/>
        </w:rPr>
      </w:pPr>
      <w:r w:rsidRPr="000669E3">
        <w:rPr>
          <w:sz w:val="26"/>
          <w:szCs w:val="26"/>
        </w:rPr>
        <w:t>The University of Sheffield</w:t>
      </w:r>
    </w:p>
    <w:p w14:paraId="486A37BB" w14:textId="77777777" w:rsidR="00272012" w:rsidRPr="000669E3" w:rsidRDefault="00272012" w:rsidP="00272012">
      <w:pPr>
        <w:spacing w:after="120" w:line="360" w:lineRule="auto"/>
        <w:jc w:val="right"/>
        <w:rPr>
          <w:sz w:val="26"/>
          <w:szCs w:val="26"/>
        </w:rPr>
      </w:pPr>
      <w:r w:rsidRPr="000669E3">
        <w:rPr>
          <w:sz w:val="26"/>
          <w:szCs w:val="26"/>
        </w:rPr>
        <w:t>241 Glossop Road</w:t>
      </w:r>
    </w:p>
    <w:p w14:paraId="2DE8E7D0" w14:textId="77777777" w:rsidR="00272012" w:rsidRPr="000669E3" w:rsidRDefault="00272012" w:rsidP="00272012">
      <w:pPr>
        <w:spacing w:after="120" w:line="360" w:lineRule="auto"/>
        <w:jc w:val="right"/>
        <w:rPr>
          <w:sz w:val="26"/>
          <w:szCs w:val="26"/>
        </w:rPr>
      </w:pPr>
      <w:r w:rsidRPr="000669E3">
        <w:rPr>
          <w:sz w:val="26"/>
          <w:szCs w:val="26"/>
        </w:rPr>
        <w:t>Sheffield</w:t>
      </w:r>
    </w:p>
    <w:p w14:paraId="5B11D919" w14:textId="77777777" w:rsidR="00272012" w:rsidRDefault="00272012" w:rsidP="00272012">
      <w:pPr>
        <w:spacing w:after="120" w:line="360" w:lineRule="auto"/>
        <w:jc w:val="right"/>
        <w:rPr>
          <w:sz w:val="26"/>
          <w:szCs w:val="26"/>
        </w:rPr>
      </w:pPr>
      <w:r w:rsidRPr="000669E3">
        <w:rPr>
          <w:sz w:val="26"/>
          <w:szCs w:val="26"/>
        </w:rPr>
        <w:t>S10 2GW</w:t>
      </w:r>
    </w:p>
    <w:p w14:paraId="56C2794F" w14:textId="5829EFEA" w:rsidR="00272012" w:rsidRDefault="00A56355" w:rsidP="00272012">
      <w:pPr>
        <w:spacing w:after="120" w:line="360" w:lineRule="auto"/>
        <w:jc w:val="right"/>
        <w:rPr>
          <w:sz w:val="26"/>
          <w:szCs w:val="26"/>
        </w:rPr>
      </w:pPr>
      <w:hyperlink r:id="rId49" w:history="1">
        <w:r w:rsidR="00272012" w:rsidRPr="004143E5">
          <w:rPr>
            <w:rStyle w:val="Hyperlink"/>
            <w:sz w:val="26"/>
            <w:szCs w:val="26"/>
          </w:rPr>
          <w:t>ECOHEN1@SHEFFIELD.AC.UK</w:t>
        </w:r>
      </w:hyperlink>
    </w:p>
    <w:p w14:paraId="7DB4B4BF" w14:textId="77777777" w:rsidR="00272012" w:rsidRPr="000669E3" w:rsidRDefault="00272012" w:rsidP="00272012">
      <w:pPr>
        <w:spacing w:after="120" w:line="360" w:lineRule="auto"/>
        <w:jc w:val="right"/>
        <w:rPr>
          <w:sz w:val="26"/>
          <w:szCs w:val="26"/>
        </w:rPr>
      </w:pPr>
      <w:r>
        <w:rPr>
          <w:sz w:val="26"/>
          <w:szCs w:val="26"/>
        </w:rPr>
        <w:t>[Date]</w:t>
      </w:r>
    </w:p>
    <w:p w14:paraId="1886F68E" w14:textId="77777777" w:rsidR="00272012" w:rsidRPr="000669E3" w:rsidRDefault="00272012" w:rsidP="00272012">
      <w:pPr>
        <w:spacing w:after="120" w:line="360" w:lineRule="auto"/>
        <w:rPr>
          <w:sz w:val="26"/>
          <w:szCs w:val="26"/>
        </w:rPr>
      </w:pPr>
    </w:p>
    <w:p w14:paraId="0CAD601C" w14:textId="77777777" w:rsidR="00272012" w:rsidRPr="000669E3" w:rsidRDefault="00272012" w:rsidP="00272012">
      <w:pPr>
        <w:spacing w:after="120" w:line="360" w:lineRule="auto"/>
        <w:rPr>
          <w:sz w:val="26"/>
          <w:szCs w:val="26"/>
        </w:rPr>
      </w:pPr>
      <w:r w:rsidRPr="000669E3">
        <w:rPr>
          <w:sz w:val="26"/>
          <w:szCs w:val="26"/>
        </w:rPr>
        <w:t xml:space="preserve">Dear </w:t>
      </w:r>
      <w:r>
        <w:rPr>
          <w:sz w:val="26"/>
          <w:szCs w:val="26"/>
        </w:rPr>
        <w:t>[Participant name]</w:t>
      </w:r>
    </w:p>
    <w:p w14:paraId="724CC053" w14:textId="77777777" w:rsidR="00272012" w:rsidRPr="000669E3" w:rsidRDefault="00272012" w:rsidP="00272012">
      <w:pPr>
        <w:spacing w:after="120" w:line="360" w:lineRule="auto"/>
        <w:rPr>
          <w:sz w:val="26"/>
          <w:szCs w:val="26"/>
        </w:rPr>
      </w:pPr>
      <w:r w:rsidRPr="000669E3">
        <w:rPr>
          <w:sz w:val="26"/>
          <w:szCs w:val="26"/>
        </w:rPr>
        <w:t xml:space="preserve">This is an invitation to participate in an interview for my study conducted as part of a Faculty-funded doctorate at the University of Sheffield, School of Education. I have contacted you because your work and experience are of special relevance to my research. </w:t>
      </w:r>
    </w:p>
    <w:p w14:paraId="057B2C2A" w14:textId="77777777" w:rsidR="00272012" w:rsidRPr="000669E3" w:rsidRDefault="00272012" w:rsidP="00272012">
      <w:pPr>
        <w:spacing w:after="120" w:line="360" w:lineRule="auto"/>
        <w:rPr>
          <w:sz w:val="26"/>
          <w:szCs w:val="26"/>
        </w:rPr>
      </w:pPr>
      <w:r w:rsidRPr="000669E3">
        <w:rPr>
          <w:sz w:val="26"/>
          <w:szCs w:val="26"/>
        </w:rPr>
        <w:t xml:space="preserve">I research the ways that universities engage with wider society. The aim is not to measure or evaluate such activities, but rather to better understand the organisational structures and collaborative arrangements which underpin them. </w:t>
      </w:r>
    </w:p>
    <w:p w14:paraId="6159EC0C" w14:textId="77777777" w:rsidR="00272012" w:rsidRPr="000669E3" w:rsidRDefault="00272012" w:rsidP="00272012">
      <w:pPr>
        <w:spacing w:after="120" w:line="360" w:lineRule="auto"/>
        <w:rPr>
          <w:sz w:val="26"/>
          <w:szCs w:val="26"/>
        </w:rPr>
      </w:pPr>
      <w:r w:rsidRPr="000669E3">
        <w:rPr>
          <w:sz w:val="26"/>
          <w:szCs w:val="26"/>
        </w:rPr>
        <w:t xml:space="preserve">In order to identify examples of universities interacting with wider society, I have drawn on a selection of submissions to the Impact element of the Research Excellence Framework 2014. One of the submissions included in my study is </w:t>
      </w:r>
      <w:r>
        <w:rPr>
          <w:sz w:val="26"/>
          <w:szCs w:val="26"/>
        </w:rPr>
        <w:t xml:space="preserve">[Institution Name]’s </w:t>
      </w:r>
      <w:r w:rsidRPr="000669E3">
        <w:rPr>
          <w:sz w:val="26"/>
          <w:szCs w:val="26"/>
        </w:rPr>
        <w:t xml:space="preserve">submission to </w:t>
      </w:r>
      <w:r>
        <w:rPr>
          <w:sz w:val="26"/>
          <w:szCs w:val="26"/>
        </w:rPr>
        <w:t>[</w:t>
      </w:r>
      <w:r w:rsidRPr="000669E3">
        <w:rPr>
          <w:sz w:val="26"/>
          <w:szCs w:val="26"/>
        </w:rPr>
        <w:t xml:space="preserve">Unit of Assessment </w:t>
      </w:r>
      <w:r>
        <w:rPr>
          <w:sz w:val="26"/>
          <w:szCs w:val="26"/>
        </w:rPr>
        <w:t xml:space="preserve">No.] ([Unit of Assessment Name]) </w:t>
      </w:r>
      <w:r w:rsidRPr="000669E3">
        <w:rPr>
          <w:sz w:val="26"/>
          <w:szCs w:val="26"/>
        </w:rPr>
        <w:t>– this is how I have come across your work. I have already conducted desk-based research (described in the Information Sheet, enclosed) of these Impact submissions and their underpinning research. I now hope to conduct interviews with key researchers</w:t>
      </w:r>
      <w:r>
        <w:rPr>
          <w:sz w:val="26"/>
          <w:szCs w:val="26"/>
        </w:rPr>
        <w:t xml:space="preserve"> (one researcher per selected Impact Case Study)</w:t>
      </w:r>
      <w:r w:rsidRPr="000669E3">
        <w:rPr>
          <w:sz w:val="26"/>
          <w:szCs w:val="26"/>
        </w:rPr>
        <w:t>.</w:t>
      </w:r>
    </w:p>
    <w:p w14:paraId="51C16951" w14:textId="77777777" w:rsidR="00272012" w:rsidRPr="000669E3" w:rsidRDefault="00272012" w:rsidP="00272012">
      <w:pPr>
        <w:spacing w:after="120" w:line="360" w:lineRule="auto"/>
        <w:rPr>
          <w:sz w:val="26"/>
          <w:szCs w:val="26"/>
        </w:rPr>
      </w:pPr>
      <w:r w:rsidRPr="000669E3">
        <w:rPr>
          <w:sz w:val="26"/>
          <w:szCs w:val="26"/>
        </w:rPr>
        <w:t>The proposed interview will focus on your work</w:t>
      </w:r>
      <w:r>
        <w:rPr>
          <w:sz w:val="26"/>
          <w:szCs w:val="26"/>
        </w:rPr>
        <w:t xml:space="preserve"> on</w:t>
      </w:r>
      <w:r w:rsidRPr="000669E3">
        <w:rPr>
          <w:sz w:val="26"/>
          <w:szCs w:val="26"/>
        </w:rPr>
        <w:t xml:space="preserve"> </w:t>
      </w:r>
      <w:r>
        <w:rPr>
          <w:sz w:val="26"/>
          <w:szCs w:val="26"/>
        </w:rPr>
        <w:t>[detail of research],</w:t>
      </w:r>
      <w:r w:rsidRPr="000669E3">
        <w:rPr>
          <w:sz w:val="26"/>
          <w:szCs w:val="26"/>
        </w:rPr>
        <w:t xml:space="preserve"> as well as touch on some more general issues related to your experiences as a researcher. The Information Sheet enclosed provides further details about the study and what will happen if you agree to participate. </w:t>
      </w:r>
    </w:p>
    <w:p w14:paraId="03F223EB" w14:textId="77777777" w:rsidR="00272012" w:rsidRPr="000669E3" w:rsidRDefault="00272012" w:rsidP="00272012">
      <w:pPr>
        <w:spacing w:after="120" w:line="360" w:lineRule="auto"/>
        <w:rPr>
          <w:sz w:val="26"/>
          <w:szCs w:val="26"/>
        </w:rPr>
      </w:pPr>
      <w:r w:rsidRPr="000669E3">
        <w:rPr>
          <w:sz w:val="26"/>
          <w:szCs w:val="26"/>
        </w:rPr>
        <w:t xml:space="preserve">In order to make responding more convenient for you, I will follow up this letter with a brief e-mail. My e-mail address is also included at the top of this letter should you wish to contact me sooner with a response. </w:t>
      </w:r>
      <w:r w:rsidRPr="000669E3">
        <w:rPr>
          <w:sz w:val="26"/>
          <w:szCs w:val="26"/>
        </w:rPr>
        <w:br/>
      </w:r>
    </w:p>
    <w:p w14:paraId="7B589987" w14:textId="77777777" w:rsidR="00272012" w:rsidRDefault="00272012" w:rsidP="00272012">
      <w:pPr>
        <w:spacing w:after="120" w:line="360" w:lineRule="auto"/>
        <w:rPr>
          <w:sz w:val="26"/>
          <w:szCs w:val="26"/>
        </w:rPr>
      </w:pPr>
      <w:r w:rsidRPr="000669E3">
        <w:rPr>
          <w:sz w:val="26"/>
          <w:szCs w:val="26"/>
        </w:rPr>
        <w:t>Yours sincerely</w:t>
      </w:r>
    </w:p>
    <w:p w14:paraId="1106C1DD" w14:textId="77777777" w:rsidR="00272012" w:rsidRDefault="00272012" w:rsidP="00272012">
      <w:pPr>
        <w:spacing w:after="120" w:line="360" w:lineRule="auto"/>
        <w:rPr>
          <w:sz w:val="26"/>
          <w:szCs w:val="26"/>
        </w:rPr>
      </w:pPr>
    </w:p>
    <w:p w14:paraId="4B47EB77" w14:textId="77777777" w:rsidR="00272012" w:rsidRDefault="00272012" w:rsidP="00272012">
      <w:pPr>
        <w:spacing w:after="120" w:line="360" w:lineRule="auto"/>
        <w:rPr>
          <w:sz w:val="26"/>
          <w:szCs w:val="26"/>
        </w:rPr>
      </w:pPr>
    </w:p>
    <w:p w14:paraId="21210634" w14:textId="77777777" w:rsidR="00272012" w:rsidRPr="000669E3" w:rsidRDefault="00272012" w:rsidP="00272012">
      <w:pPr>
        <w:spacing w:after="120" w:line="360" w:lineRule="auto"/>
        <w:rPr>
          <w:sz w:val="26"/>
          <w:szCs w:val="26"/>
        </w:rPr>
      </w:pPr>
      <w:r w:rsidRPr="000669E3">
        <w:rPr>
          <w:sz w:val="26"/>
          <w:szCs w:val="26"/>
        </w:rPr>
        <w:t>Eliel Cohen</w:t>
      </w:r>
    </w:p>
    <w:p w14:paraId="0AF7C7CB" w14:textId="77777777" w:rsidR="00272012" w:rsidRDefault="00272012" w:rsidP="00272012">
      <w:pPr>
        <w:spacing w:after="120" w:line="360" w:lineRule="auto"/>
        <w:rPr>
          <w:sz w:val="26"/>
          <w:szCs w:val="26"/>
        </w:rPr>
      </w:pPr>
      <w:r w:rsidRPr="000669E3">
        <w:rPr>
          <w:sz w:val="26"/>
          <w:szCs w:val="26"/>
        </w:rPr>
        <w:t>PhD Researcher, University of Sheffield</w:t>
      </w:r>
    </w:p>
    <w:p w14:paraId="5EB8747C" w14:textId="77777777" w:rsidR="00272012" w:rsidRDefault="00272012" w:rsidP="00272012">
      <w:pPr>
        <w:spacing w:after="120" w:line="360" w:lineRule="auto"/>
        <w:rPr>
          <w:rFonts w:eastAsiaTheme="majorEastAsia" w:cstheme="majorBidi"/>
          <w:color w:val="2F5496" w:themeColor="accent1" w:themeShade="BF"/>
          <w:sz w:val="28"/>
          <w:szCs w:val="26"/>
        </w:rPr>
      </w:pPr>
      <w:r>
        <w:br w:type="page"/>
      </w:r>
    </w:p>
    <w:p w14:paraId="6559ACA9" w14:textId="1546154C" w:rsidR="00272012" w:rsidRDefault="00272012" w:rsidP="00AE5853">
      <w:pPr>
        <w:pStyle w:val="Heading3"/>
      </w:pPr>
      <w:bookmarkStart w:id="250" w:name="_Toc536717991"/>
      <w:bookmarkStart w:id="251" w:name="_Toc31702014"/>
      <w:r>
        <w:t xml:space="preserve">Appendix </w:t>
      </w:r>
      <w:r w:rsidR="004D3BA5">
        <w:t>B</w:t>
      </w:r>
      <w:r>
        <w:t>.3. Information Sheet</w:t>
      </w:r>
      <w:bookmarkEnd w:id="250"/>
      <w:bookmarkEnd w:id="251"/>
    </w:p>
    <w:p w14:paraId="3C41B3A6" w14:textId="77777777" w:rsidR="00272012" w:rsidRDefault="00272012" w:rsidP="00272012">
      <w:pPr>
        <w:spacing w:after="120" w:line="360" w:lineRule="auto"/>
      </w:pPr>
      <w:r>
        <w:t>You are invited to take part in a research project. Before you decide it is important for you to understand why the research is being done and what it will involve. Please take time to read the following information carefully and discuss it with others if you wish. Please feel free to ask for further information or clarification.</w:t>
      </w:r>
    </w:p>
    <w:p w14:paraId="3F95C27E" w14:textId="77777777" w:rsidR="00272012" w:rsidRPr="00C61D74" w:rsidRDefault="00272012" w:rsidP="00272012">
      <w:pPr>
        <w:spacing w:after="120" w:line="360" w:lineRule="auto"/>
        <w:rPr>
          <w:b/>
          <w:i/>
        </w:rPr>
      </w:pPr>
      <w:r w:rsidRPr="00C61D74">
        <w:rPr>
          <w:b/>
          <w:i/>
        </w:rPr>
        <w:t>The Research</w:t>
      </w:r>
    </w:p>
    <w:p w14:paraId="6F5337C8" w14:textId="77777777" w:rsidR="00272012" w:rsidRDefault="00272012" w:rsidP="00272012">
      <w:pPr>
        <w:spacing w:after="120" w:line="360" w:lineRule="auto"/>
      </w:pPr>
      <w:r>
        <w:t>This project studies universities’ engagement with non-academic sectors of society. In order to identify examples of such engagement, I have drawn on universities’ submissions to the Impact element of the Research Excellence Framework (REF) 2014.</w:t>
      </w:r>
      <w:r w:rsidRPr="007A1FE5">
        <w:t xml:space="preserve"> </w:t>
      </w:r>
      <w:r>
        <w:t>The research has two main phases of data collection. You are being asked to participate in Phase 2.</w:t>
      </w:r>
    </w:p>
    <w:p w14:paraId="668FF5F4" w14:textId="77777777" w:rsidR="00272012" w:rsidRPr="0066021B" w:rsidRDefault="00272012" w:rsidP="00272012">
      <w:pPr>
        <w:spacing w:after="120" w:line="360" w:lineRule="auto"/>
        <w:rPr>
          <w:u w:val="single"/>
        </w:rPr>
      </w:pPr>
      <w:r>
        <w:rPr>
          <w:u w:val="single"/>
        </w:rPr>
        <w:t>Phase 1: Documents related to REF 2014 submissions</w:t>
      </w:r>
    </w:p>
    <w:p w14:paraId="3BDB8D0C" w14:textId="77777777" w:rsidR="00272012" w:rsidRDefault="00272012" w:rsidP="00272012">
      <w:pPr>
        <w:pStyle w:val="ListParagraph"/>
        <w:spacing w:after="120" w:line="360" w:lineRule="auto"/>
        <w:ind w:left="0"/>
        <w:contextualSpacing w:val="0"/>
      </w:pPr>
      <w:r>
        <w:t xml:space="preserve">Information is collected from: (a) Impact and Environment Templates, (b) Impact Case Studies (c) academic outputs cited under the ‘References to the Research’ section of each selected Impact Case Study, (d) web pages of the relevant researchers, departments and schools and (e) web pages of other organisations described in the Impact Case Study as being important in the process of the research. </w:t>
      </w:r>
    </w:p>
    <w:p w14:paraId="70BEE56A" w14:textId="77777777" w:rsidR="00272012" w:rsidRDefault="00272012" w:rsidP="00272012">
      <w:pPr>
        <w:spacing w:after="120" w:line="360" w:lineRule="auto"/>
      </w:pPr>
      <w:r>
        <w:rPr>
          <w:u w:val="single"/>
        </w:rPr>
        <w:t xml:space="preserve">Phase 2: </w:t>
      </w:r>
      <w:r w:rsidRPr="0066021B">
        <w:rPr>
          <w:u w:val="single"/>
        </w:rPr>
        <w:t>Interview</w:t>
      </w:r>
      <w:r>
        <w:rPr>
          <w:u w:val="single"/>
        </w:rPr>
        <w:t>s with researchers</w:t>
      </w:r>
    </w:p>
    <w:p w14:paraId="66740E77" w14:textId="77777777" w:rsidR="00272012" w:rsidRDefault="00272012" w:rsidP="00272012">
      <w:pPr>
        <w:spacing w:after="120" w:line="360" w:lineRule="auto"/>
      </w:pPr>
      <w:r>
        <w:t xml:space="preserve">This involves interviews with researchers associated with the Impact Case Studies (one researcher per Case Study). Interviews will focus on the research described in the Impact Case Study, particularly on the relationships and collaborations which underpinned the research. Some questions may also touch on more general experiences of being an academic researcher. </w:t>
      </w:r>
    </w:p>
    <w:p w14:paraId="0D5BC7EC" w14:textId="77777777" w:rsidR="00272012" w:rsidRPr="00C1746D" w:rsidRDefault="00272012" w:rsidP="00272012">
      <w:pPr>
        <w:spacing w:after="120" w:line="360" w:lineRule="auto"/>
        <w:rPr>
          <w:b/>
          <w:i/>
        </w:rPr>
      </w:pPr>
      <w:r w:rsidRPr="00C1746D">
        <w:rPr>
          <w:b/>
          <w:i/>
        </w:rPr>
        <w:t xml:space="preserve">Why have I been chosen? </w:t>
      </w:r>
    </w:p>
    <w:p w14:paraId="1511504D" w14:textId="77777777" w:rsidR="00272012" w:rsidRDefault="00272012" w:rsidP="00272012">
      <w:pPr>
        <w:spacing w:after="120" w:line="360" w:lineRule="auto"/>
      </w:pPr>
      <w:r>
        <w:t xml:space="preserve">You have been identified as having been a key researcher underpinning one of the selected Impact Case Studies. As such, your experiences are of special relevance to my research. </w:t>
      </w:r>
    </w:p>
    <w:p w14:paraId="544249DA" w14:textId="77777777" w:rsidR="00272012" w:rsidRPr="00D8728F" w:rsidRDefault="00272012" w:rsidP="00272012">
      <w:pPr>
        <w:spacing w:after="120" w:line="360" w:lineRule="auto"/>
        <w:rPr>
          <w:b/>
          <w:i/>
        </w:rPr>
      </w:pPr>
      <w:r w:rsidRPr="00D8728F">
        <w:rPr>
          <w:b/>
          <w:i/>
        </w:rPr>
        <w:t xml:space="preserve">Do I have to take part? </w:t>
      </w:r>
    </w:p>
    <w:p w14:paraId="0E180CA9" w14:textId="77777777" w:rsidR="00272012" w:rsidRDefault="00272012" w:rsidP="00272012">
      <w:pPr>
        <w:spacing w:after="120" w:line="360" w:lineRule="auto"/>
      </w:pPr>
      <w:r>
        <w:t>It is up to you to decide whether or not to take part. After having decided to participate, you can still withdraw at any time without giving a reason.</w:t>
      </w:r>
    </w:p>
    <w:p w14:paraId="4BAA686A" w14:textId="77777777" w:rsidR="00272012" w:rsidRPr="00D8728F" w:rsidRDefault="00272012" w:rsidP="00272012">
      <w:pPr>
        <w:spacing w:after="120" w:line="360" w:lineRule="auto"/>
        <w:rPr>
          <w:b/>
          <w:i/>
        </w:rPr>
      </w:pPr>
      <w:r w:rsidRPr="00D8728F">
        <w:rPr>
          <w:b/>
          <w:i/>
        </w:rPr>
        <w:t xml:space="preserve">What will happen to me if I take part? </w:t>
      </w:r>
    </w:p>
    <w:p w14:paraId="63748D1D" w14:textId="77777777" w:rsidR="00272012" w:rsidRDefault="00272012" w:rsidP="00272012">
      <w:pPr>
        <w:spacing w:after="120" w:line="360" w:lineRule="auto"/>
      </w:pPr>
      <w:r>
        <w:t>We will arrange an interview to take place at a time that is convenient for you, either in person or via a video calling programme (such as Skype). It should last up to approximately one hour. However, any time you can give for the interview will be much appreciated.</w:t>
      </w:r>
    </w:p>
    <w:p w14:paraId="09566CE0" w14:textId="77777777" w:rsidR="00272012" w:rsidRDefault="00272012" w:rsidP="00272012">
      <w:pPr>
        <w:spacing w:after="120" w:line="360" w:lineRule="auto"/>
      </w:pPr>
      <w:r>
        <w:t xml:space="preserve">Prior to the interview, you will be asked to sign a Consent Form stating that you have been provided with this Information Sheet and have had the opportunity to ask any questions, and that you understand your right to withdraw from the study at any time without giving a reason. </w:t>
      </w:r>
    </w:p>
    <w:p w14:paraId="539B90F6" w14:textId="77777777" w:rsidR="00272012" w:rsidRDefault="00272012" w:rsidP="00272012">
      <w:pPr>
        <w:spacing w:after="120" w:line="360" w:lineRule="auto"/>
      </w:pPr>
      <w:r>
        <w:rPr>
          <w:b/>
          <w:i/>
        </w:rPr>
        <w:t>Will the universities be identified in the study?</w:t>
      </w:r>
    </w:p>
    <w:p w14:paraId="12150111" w14:textId="77777777" w:rsidR="00272012" w:rsidRDefault="00272012" w:rsidP="00272012">
      <w:pPr>
        <w:spacing w:after="120" w:line="360" w:lineRule="auto"/>
      </w:pPr>
      <w:r>
        <w:t xml:space="preserve">My study’s aims require that some details of the research underpinning the Impact Case Studies be provided in the report. Therefore, the universities whose Impact submissions have been selected </w:t>
      </w:r>
      <w:r w:rsidRPr="00AC6B02">
        <w:t>will be identified</w:t>
      </w:r>
      <w:r>
        <w:t xml:space="preserve"> in the research. However, my discussion of these will be based on documentary sources which are publicly available. </w:t>
      </w:r>
    </w:p>
    <w:p w14:paraId="4AD69888" w14:textId="77777777" w:rsidR="00272012" w:rsidRPr="00291514" w:rsidRDefault="00272012" w:rsidP="00272012">
      <w:pPr>
        <w:spacing w:after="120" w:line="360" w:lineRule="auto"/>
      </w:pPr>
      <w:r>
        <w:t>The aim of my research is not to evaluate institutions, departments or staff, nor to make any arguments that may negatively affect their reputation</w:t>
      </w:r>
      <w:r w:rsidRPr="005D12EE">
        <w:t>; indeed, the Impact Case Studies have all been selected precisely because they achieved a relatively high rating in the REF</w:t>
      </w:r>
      <w:r>
        <w:t xml:space="preserve">. </w:t>
      </w:r>
    </w:p>
    <w:p w14:paraId="25A66B74" w14:textId="77777777" w:rsidR="00272012" w:rsidRPr="00117FD0" w:rsidRDefault="00272012" w:rsidP="00272012">
      <w:pPr>
        <w:spacing w:after="120" w:line="360" w:lineRule="auto"/>
        <w:rPr>
          <w:b/>
          <w:i/>
        </w:rPr>
      </w:pPr>
      <w:r w:rsidRPr="00117FD0">
        <w:rPr>
          <w:b/>
          <w:i/>
        </w:rPr>
        <w:t>Will my taking part in this project be kept confidential?</w:t>
      </w:r>
      <w:r>
        <w:rPr>
          <w:b/>
          <w:i/>
        </w:rPr>
        <w:t xml:space="preserve"> </w:t>
      </w:r>
    </w:p>
    <w:p w14:paraId="7C751701" w14:textId="77777777" w:rsidR="00272012" w:rsidRDefault="00272012" w:rsidP="00272012">
      <w:pPr>
        <w:spacing w:after="120" w:line="360" w:lineRule="auto"/>
      </w:pPr>
      <w:r>
        <w:t xml:space="preserve">Yes, your participation and information will be kept confidential. In order to ensure your anonymity in the report, discussion of interview data will be aggregated and separated from discussion of specific Impact Case Studies in the thesis. If you are concerned about being identified, you may request to see the relevant section of the thesis prior to submission. </w:t>
      </w:r>
    </w:p>
    <w:p w14:paraId="330087B6" w14:textId="77777777" w:rsidR="00272012" w:rsidRPr="00B35391" w:rsidRDefault="00272012" w:rsidP="00272012">
      <w:pPr>
        <w:spacing w:after="120" w:line="360" w:lineRule="auto"/>
        <w:rPr>
          <w:b/>
          <w:i/>
        </w:rPr>
      </w:pPr>
      <w:r w:rsidRPr="00B35391">
        <w:rPr>
          <w:b/>
          <w:i/>
        </w:rPr>
        <w:t>Will I be recorded</w:t>
      </w:r>
      <w:r>
        <w:rPr>
          <w:b/>
          <w:i/>
        </w:rPr>
        <w:t>? H</w:t>
      </w:r>
      <w:r w:rsidRPr="00B35391">
        <w:rPr>
          <w:b/>
          <w:i/>
        </w:rPr>
        <w:t xml:space="preserve">ow will the recorded media be used? </w:t>
      </w:r>
    </w:p>
    <w:p w14:paraId="36631ED2" w14:textId="77777777" w:rsidR="00272012" w:rsidRDefault="00272012" w:rsidP="00272012">
      <w:pPr>
        <w:spacing w:after="120" w:line="360" w:lineRule="auto"/>
      </w:pPr>
      <w:r>
        <w:t xml:space="preserve">Yes, I intend to audio record the interview, which will be transcribed for analysis. Quotes used in any publications or presentations will not be attributed to you, and will be subject to the principles for safeguarding your anonymity as explained above. No other use will be made of them without your written permission, and no one outside the project will be allowed access to the data. </w:t>
      </w:r>
    </w:p>
    <w:p w14:paraId="13A21FA1" w14:textId="77777777" w:rsidR="00272012" w:rsidRDefault="00272012" w:rsidP="00272012">
      <w:pPr>
        <w:spacing w:after="120" w:line="360" w:lineRule="auto"/>
        <w:rPr>
          <w:b/>
          <w:i/>
        </w:rPr>
      </w:pPr>
      <w:r>
        <w:rPr>
          <w:b/>
          <w:i/>
        </w:rPr>
        <w:t>What are the benefits of participating?</w:t>
      </w:r>
    </w:p>
    <w:p w14:paraId="4DA425F3" w14:textId="77777777" w:rsidR="00272012" w:rsidRDefault="00272012" w:rsidP="00272012">
      <w:pPr>
        <w:spacing w:after="120" w:line="360" w:lineRule="auto"/>
      </w:pPr>
      <w:r>
        <w:t>There are no immediate benefits of participating. However, by deepening understanding of universities’ relationship with external organisations, the findings may be useful for those who work in or with the sector.</w:t>
      </w:r>
    </w:p>
    <w:p w14:paraId="2D50B98A" w14:textId="77777777" w:rsidR="00272012" w:rsidRDefault="00272012" w:rsidP="00272012">
      <w:pPr>
        <w:spacing w:after="120" w:line="360" w:lineRule="auto"/>
        <w:rPr>
          <w:b/>
          <w:i/>
        </w:rPr>
      </w:pPr>
      <w:r>
        <w:rPr>
          <w:b/>
          <w:i/>
        </w:rPr>
        <w:t>What are the disadvantages of participating?</w:t>
      </w:r>
    </w:p>
    <w:p w14:paraId="0CEAA9F2" w14:textId="77777777" w:rsidR="00272012" w:rsidRDefault="00272012" w:rsidP="00272012">
      <w:pPr>
        <w:spacing w:after="120" w:line="360" w:lineRule="auto"/>
      </w:pPr>
      <w:r>
        <w:t xml:space="preserve">There are no expected disadvantages beyond any inconvenience associated with the actual interview, which I will of course aim to minimise by conducting it at a time to suit you.  </w:t>
      </w:r>
    </w:p>
    <w:p w14:paraId="21864EFB" w14:textId="77777777" w:rsidR="00272012" w:rsidRPr="00173A2D" w:rsidRDefault="00272012" w:rsidP="00272012">
      <w:pPr>
        <w:spacing w:after="120" w:line="360" w:lineRule="auto"/>
        <w:rPr>
          <w:b/>
          <w:i/>
        </w:rPr>
      </w:pPr>
      <w:r w:rsidRPr="00173A2D">
        <w:rPr>
          <w:b/>
          <w:i/>
        </w:rPr>
        <w:t xml:space="preserve">What if something goes wrong? </w:t>
      </w:r>
    </w:p>
    <w:p w14:paraId="3890B126" w14:textId="77777777" w:rsidR="00272012" w:rsidRDefault="00272012" w:rsidP="00272012">
      <w:pPr>
        <w:spacing w:after="120" w:line="360" w:lineRule="auto"/>
      </w:pPr>
      <w:r>
        <w:t xml:space="preserve">If there is anything that you are concerned about or would like to complain about, regarding the interview or any other aspect or outcome of your participation or the research, you can contact myself, my supervisor, or my Head of Department.  All contact details are included on this form. </w:t>
      </w:r>
    </w:p>
    <w:p w14:paraId="21E8E0F7" w14:textId="77777777" w:rsidR="00272012" w:rsidRPr="00BE6DE8" w:rsidRDefault="00272012" w:rsidP="00272012">
      <w:pPr>
        <w:spacing w:after="120" w:line="360" w:lineRule="auto"/>
        <w:rPr>
          <w:b/>
          <w:i/>
        </w:rPr>
      </w:pPr>
      <w:r w:rsidRPr="00BE6DE8">
        <w:rPr>
          <w:b/>
          <w:i/>
        </w:rPr>
        <w:t xml:space="preserve">What will happen to the results of the research project? </w:t>
      </w:r>
    </w:p>
    <w:p w14:paraId="7E0B1541" w14:textId="77777777" w:rsidR="00272012" w:rsidRDefault="00272012" w:rsidP="00272012">
      <w:pPr>
        <w:spacing w:after="120" w:line="360" w:lineRule="auto"/>
      </w:pPr>
      <w:r>
        <w:t>The results will be published in my doctoral thesis, with a hard and soft copy available via the University of Sheffield. The results may also be used in future publications, such as journals.</w:t>
      </w:r>
    </w:p>
    <w:p w14:paraId="0A3B614B" w14:textId="77777777" w:rsidR="00272012" w:rsidRPr="00B275EE" w:rsidRDefault="00272012" w:rsidP="00272012">
      <w:pPr>
        <w:spacing w:after="120" w:line="360" w:lineRule="auto"/>
        <w:rPr>
          <w:b/>
          <w:i/>
        </w:rPr>
      </w:pPr>
      <w:r w:rsidRPr="00B275EE">
        <w:rPr>
          <w:b/>
          <w:i/>
        </w:rPr>
        <w:t>Who has ethically reviewed the project</w:t>
      </w:r>
      <w:r>
        <w:rPr>
          <w:b/>
          <w:i/>
        </w:rPr>
        <w:t>?</w:t>
      </w:r>
    </w:p>
    <w:p w14:paraId="23102555" w14:textId="77777777" w:rsidR="00272012" w:rsidRDefault="00272012" w:rsidP="00272012">
      <w:pPr>
        <w:spacing w:after="120" w:line="360" w:lineRule="auto"/>
      </w:pPr>
      <w:r>
        <w:t xml:space="preserve">This project has been ethically approved via the School of Education’s ethics review procedure. The School of Education is part of the Faculty of Social Science, which funds the research. The University’s Research Ethics Committee monitors the application and delivery of the University’s Ethics Review Procedure across the University. </w:t>
      </w:r>
    </w:p>
    <w:p w14:paraId="3D74F25D" w14:textId="77777777" w:rsidR="00272012" w:rsidRPr="00F4373A" w:rsidRDefault="00272012" w:rsidP="00272012">
      <w:pPr>
        <w:spacing w:after="120" w:line="360" w:lineRule="auto"/>
        <w:rPr>
          <w:b/>
          <w:i/>
        </w:rPr>
      </w:pPr>
      <w:r>
        <w:rPr>
          <w:b/>
          <w:i/>
        </w:rPr>
        <w:t>Contact details</w:t>
      </w:r>
      <w:r w:rsidRPr="00F4373A">
        <w:rPr>
          <w:b/>
          <w:i/>
        </w:rPr>
        <w:t xml:space="preserve"> </w:t>
      </w:r>
    </w:p>
    <w:p w14:paraId="4A82B460" w14:textId="5BE5BB1C" w:rsidR="00272012" w:rsidRDefault="00272012" w:rsidP="00272012">
      <w:pPr>
        <w:spacing w:after="120" w:line="360" w:lineRule="auto"/>
      </w:pPr>
      <w:r>
        <w:t xml:space="preserve">As the researcher I, Eliel Cohen, would be the main contact: </w:t>
      </w:r>
      <w:hyperlink r:id="rId50" w:history="1">
        <w:r w:rsidRPr="004143E5">
          <w:rPr>
            <w:rStyle w:val="Hyperlink"/>
          </w:rPr>
          <w:t>ECOHEN1@SHEFFIELD.AC.UK</w:t>
        </w:r>
      </w:hyperlink>
    </w:p>
    <w:p w14:paraId="134E9182" w14:textId="17481444" w:rsidR="00272012" w:rsidRDefault="00272012" w:rsidP="00272012">
      <w:pPr>
        <w:spacing w:after="120" w:line="360" w:lineRule="auto"/>
      </w:pPr>
      <w:r>
        <w:t xml:space="preserve">My doctoral supervisor is Dr Vassiliki Papatsiba: </w:t>
      </w:r>
      <w:hyperlink r:id="rId51" w:history="1">
        <w:r w:rsidRPr="004143E5">
          <w:rPr>
            <w:rStyle w:val="Hyperlink"/>
          </w:rPr>
          <w:t>V.PAPATSIBA@SHEFFIELD.AC.UK</w:t>
        </w:r>
      </w:hyperlink>
    </w:p>
    <w:p w14:paraId="4830D868" w14:textId="433E282E" w:rsidR="00272012" w:rsidRDefault="00272012" w:rsidP="00272012">
      <w:pPr>
        <w:spacing w:after="120" w:line="360" w:lineRule="auto"/>
      </w:pPr>
      <w:r>
        <w:t xml:space="preserve">The Head of School (Education) is Professor Elizabeth Wood: </w:t>
      </w:r>
      <w:hyperlink r:id="rId52" w:history="1">
        <w:r w:rsidRPr="004143E5">
          <w:rPr>
            <w:rStyle w:val="Hyperlink"/>
          </w:rPr>
          <w:t>E.A.WOOD@SHEFFIELD.AC.UK</w:t>
        </w:r>
      </w:hyperlink>
    </w:p>
    <w:p w14:paraId="14EADFC1" w14:textId="77777777" w:rsidR="00272012" w:rsidRDefault="00272012" w:rsidP="00272012">
      <w:pPr>
        <w:spacing w:after="120" w:line="360" w:lineRule="auto"/>
        <w:rPr>
          <w:rFonts w:eastAsiaTheme="majorEastAsia" w:cstheme="majorBidi"/>
          <w:color w:val="2F5496" w:themeColor="accent1" w:themeShade="BF"/>
          <w:sz w:val="28"/>
          <w:szCs w:val="26"/>
        </w:rPr>
      </w:pPr>
      <w:r>
        <w:br w:type="page"/>
      </w:r>
    </w:p>
    <w:p w14:paraId="1196BE04" w14:textId="6C77CBB5" w:rsidR="00272012" w:rsidRDefault="00272012" w:rsidP="007A3B97">
      <w:pPr>
        <w:pStyle w:val="Heading3"/>
      </w:pPr>
      <w:bookmarkStart w:id="252" w:name="_Toc536717992"/>
      <w:bookmarkStart w:id="253" w:name="_Toc31702015"/>
      <w:r>
        <w:t xml:space="preserve">Appendix </w:t>
      </w:r>
      <w:r w:rsidR="004D3BA5">
        <w:t>B</w:t>
      </w:r>
      <w:r>
        <w:t>.4. Consent Form</w:t>
      </w:r>
      <w:bookmarkEnd w:id="252"/>
      <w:bookmarkEnd w:id="253"/>
    </w:p>
    <w:p w14:paraId="5F045D31" w14:textId="77777777" w:rsidR="00272012" w:rsidRPr="00C17C74" w:rsidRDefault="00272012" w:rsidP="00272012">
      <w:pPr>
        <w:spacing w:after="120" w:line="360" w:lineRule="auto"/>
        <w:rPr>
          <w:rFonts w:ascii="TUOS Blake" w:hAnsi="TUOS Blake" w:cs="Arial"/>
        </w:rPr>
      </w:pPr>
      <w:r w:rsidRPr="00C17C74">
        <w:rPr>
          <w:rFonts w:ascii="TUOS Blake" w:hAnsi="TUOS Blake" w:cs="Arial"/>
        </w:rPr>
        <w:t>Name of Researcher: Eliel Cohen</w:t>
      </w:r>
    </w:p>
    <w:p w14:paraId="4578146A" w14:textId="77777777" w:rsidR="00272012" w:rsidRDefault="00272012" w:rsidP="00272012">
      <w:pPr>
        <w:pStyle w:val="BodyText2"/>
        <w:spacing w:after="120" w:line="360" w:lineRule="auto"/>
        <w:rPr>
          <w:rFonts w:ascii="TUOS Blake" w:hAnsi="TUOS Blake" w:cs="Arial"/>
        </w:rPr>
      </w:pPr>
      <w:r w:rsidRPr="00187B3F">
        <w:rPr>
          <w:rFonts w:ascii="TUOS Blake" w:hAnsi="TUOS Blake"/>
        </w:rPr>
        <w:t>Participant Identification Number for this project:</w:t>
      </w:r>
      <w:r>
        <w:rPr>
          <w:rFonts w:ascii="TUOS Blake" w:hAnsi="TUOS Blake" w:cs="Arial"/>
        </w:rPr>
        <w:tab/>
        <w:t xml:space="preserve">                                           </w:t>
      </w:r>
      <w:r w:rsidRPr="00187B3F">
        <w:rPr>
          <w:rFonts w:ascii="TUOS Blake" w:hAnsi="TUOS Blake" w:cs="Arial"/>
        </w:rPr>
        <w:t>Please initial box</w:t>
      </w:r>
    </w:p>
    <w:p w14:paraId="2AB40AC3" w14:textId="77777777" w:rsidR="00272012" w:rsidRPr="00187B3F" w:rsidRDefault="00272012" w:rsidP="00272012">
      <w:pPr>
        <w:pStyle w:val="BodyText2"/>
        <w:spacing w:after="120" w:line="360" w:lineRule="auto"/>
        <w:rPr>
          <w:rFonts w:ascii="TUOS Blake" w:hAnsi="TUOS Blake" w:cs="Arial"/>
        </w:rPr>
      </w:pPr>
    </w:p>
    <w:p w14:paraId="580DB607" w14:textId="6EB134A4" w:rsidR="00272012" w:rsidRPr="00E502F7" w:rsidRDefault="00106F64" w:rsidP="00E502F7">
      <w:pPr>
        <w:numPr>
          <w:ilvl w:val="0"/>
          <w:numId w:val="1"/>
        </w:numPr>
        <w:tabs>
          <w:tab w:val="clear" w:pos="720"/>
          <w:tab w:val="num" w:pos="360"/>
        </w:tabs>
        <w:spacing w:after="120" w:line="360" w:lineRule="auto"/>
        <w:ind w:left="360"/>
        <w:rPr>
          <w:rFonts w:ascii="TUOS Blake" w:hAnsi="TUOS Blake" w:cs="Arial"/>
        </w:rPr>
      </w:pPr>
      <w:r>
        <w:rPr>
          <w:rFonts w:ascii="TUOS Blake" w:hAnsi="TUOS Blake" w:cs="Arial"/>
          <w:noProof/>
          <w:lang w:eastAsia="zh-CN"/>
        </w:rPr>
        <mc:AlternateContent>
          <mc:Choice Requires="wps">
            <w:drawing>
              <wp:anchor distT="0" distB="0" distL="114300" distR="114300" simplePos="0" relativeHeight="251659264" behindDoc="0" locked="0" layoutInCell="1" allowOverlap="1" wp14:anchorId="159A7D0D" wp14:editId="6A24EA48">
                <wp:simplePos x="0" y="0"/>
                <wp:positionH relativeFrom="column">
                  <wp:posOffset>5143500</wp:posOffset>
                </wp:positionH>
                <wp:positionV relativeFrom="paragraph">
                  <wp:posOffset>34925</wp:posOffset>
                </wp:positionV>
                <wp:extent cx="457200" cy="3429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B9816" id="Rectangle 26" o:spid="_x0000_s1026" style="position:absolute;margin-left:405pt;margin-top:2.7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mVHgIAAD0EAAAOAAAAZHJzL2Uyb0RvYy54bWysU9tuEzEQfUfiHyy/k01CUppVNlWVEoRU&#10;oKLwAROvd9fCN8ZONuHrGXvTkAJPCD9YHs/4+MyZmeXNwWi2lxiUsxWfjMacSStcrWxb8a9fNq+u&#10;OQsRbA3aWVnxowz8ZvXyxbL3pZy6zulaIiMQG8reV7yL0ZdFEUQnDYSR89KSs3FoIJKJbVEj9IRu&#10;dDEdj6+K3mHt0QkZAt3eDU6+yvhNI0X81DRBRqYrTtxi3jHv27QXqyWULYLvlDjRgH9gYUBZ+vQM&#10;dQcR2A7VH1BGCXTBNXEknClc0yghcw6UzWT8WzaPHXiZcyFxgj/LFP4frPi4f0Cm6opPrzizYKhG&#10;n0k1sK2WjO5IoN6HkuIe/QOmFIO/d+JbYNatOwqTt4iu7yTURGuS4otnD5IR6Cnb9h9cTfCwiy5r&#10;dWjQJEBSgR1ySY7nkshDZIIuZ/M3VGbOBLlez6YLOqcfoHx67DHEd9IZlg4VR+KewWF/H+IQ+hSS&#10;yTut6o3SOhvYbtca2R6oOzZ5ndDDZZi2rK/4Yj6dZ+RnvnAJMc7rbxBGRWpzrUzFr89BUCbV3tqa&#10;aEIZQenhTNlpe5IxKTdUYOvqI6mIbuhhmjk6dA5/cNZT/1Y8fN8BSs70e0uVWExms9Tw2cgqcoaX&#10;nu2lB6wgqIpHzobjOg5DsvOo2o5+muTcrbul6jUqK5sqO7A6kaUezbU5zVMagks7R/2a+tVPAAAA&#10;//8DAFBLAwQUAAYACAAAACEAqvzDsNwAAAAIAQAADwAAAGRycy9kb3ducmV2LnhtbEyPwU7DMBBE&#10;70j8g7VI3KjdoKA0xKkQqEgc2/TCzYmXJBCvo9hpA1/PcqLHp1nNvim2ixvECafQe9KwXikQSI23&#10;PbUajtXuLgMRoiFrBk+o4RsDbMvrq8Lk1p9pj6dDbAWXUMiNhi7GMZcyNB06E1Z+ROLsw0/ORMap&#10;lXYyZy53g0yUepDO9MQfOjPic4fN12F2Guo+OZqfffWq3GZ3H9+W6nN+f9H69mZ5egQRcYn/x/Cn&#10;z+pQslPtZ7JBDBqyteItUUOaguA8yxLmmnmTgiwLeTmg/AUAAP//AwBQSwECLQAUAAYACAAAACEA&#10;toM4kv4AAADhAQAAEwAAAAAAAAAAAAAAAAAAAAAAW0NvbnRlbnRfVHlwZXNdLnhtbFBLAQItABQA&#10;BgAIAAAAIQA4/SH/1gAAAJQBAAALAAAAAAAAAAAAAAAAAC8BAABfcmVscy8ucmVsc1BLAQItABQA&#10;BgAIAAAAIQCAigmVHgIAAD0EAAAOAAAAAAAAAAAAAAAAAC4CAABkcnMvZTJvRG9jLnhtbFBLAQIt&#10;ABQABgAIAAAAIQCq/MOw3AAAAAgBAAAPAAAAAAAAAAAAAAAAAHgEAABkcnMvZG93bnJldi54bWxQ&#10;SwUGAAAAAAQABADzAAAAgQUAAAAA&#10;"/>
            </w:pict>
          </mc:Fallback>
        </mc:AlternateContent>
      </w:r>
      <w:r w:rsidR="00272012" w:rsidRPr="00187B3F">
        <w:rPr>
          <w:rFonts w:ascii="TUOS Blake" w:hAnsi="TUOS Blake" w:cs="Arial"/>
        </w:rPr>
        <w:t>I confirm that I have read and understand the information sheet</w:t>
      </w:r>
      <w:r w:rsidR="00272012">
        <w:rPr>
          <w:rFonts w:ascii="TUOS Blake" w:hAnsi="TUOS Blake" w:cs="Arial"/>
        </w:rPr>
        <w:t xml:space="preserve">, </w:t>
      </w:r>
      <w:r w:rsidR="00272012" w:rsidRPr="00187B3F">
        <w:rPr>
          <w:rFonts w:ascii="TUOS Blake" w:hAnsi="TUOS Blake" w:cs="Arial"/>
        </w:rPr>
        <w:t>dated</w:t>
      </w:r>
      <w:r w:rsidR="00272012">
        <w:rPr>
          <w:rFonts w:ascii="TUOS Blake" w:hAnsi="TUOS Blake" w:cs="Arial"/>
        </w:rPr>
        <w:t xml:space="preserve"> </w:t>
      </w:r>
      <w:r w:rsidR="00272012" w:rsidRPr="008748AB">
        <w:rPr>
          <w:rFonts w:ascii="TUOS Blake" w:hAnsi="TUOS Blake" w:cs="Arial"/>
        </w:rPr>
        <w:t>29.12.17</w:t>
      </w:r>
      <w:r w:rsidR="00272012">
        <w:rPr>
          <w:rFonts w:ascii="TUOS Blake" w:hAnsi="TUOS Blake" w:cs="Arial"/>
        </w:rPr>
        <w:t xml:space="preserve">, </w:t>
      </w:r>
      <w:r w:rsidR="00272012" w:rsidRPr="004B335E">
        <w:rPr>
          <w:rFonts w:ascii="TUOS Blake" w:hAnsi="TUOS Blake" w:cs="Arial"/>
        </w:rPr>
        <w:t>explaining</w:t>
      </w:r>
      <w:r w:rsidR="00272012">
        <w:rPr>
          <w:rFonts w:ascii="TUOS Blake" w:hAnsi="TUOS Blake" w:cs="Arial"/>
        </w:rPr>
        <w:t xml:space="preserve">  </w:t>
      </w:r>
      <w:r w:rsidR="00E502F7">
        <w:rPr>
          <w:rFonts w:ascii="TUOS Blake" w:hAnsi="TUOS Blake" w:cs="Arial"/>
        </w:rPr>
        <w:t xml:space="preserve">                                                         </w:t>
      </w:r>
      <w:r w:rsidR="00272012" w:rsidRPr="00E502F7">
        <w:rPr>
          <w:rFonts w:ascii="TUOS Blake" w:hAnsi="TUOS Blake" w:cs="Arial"/>
        </w:rPr>
        <w:t xml:space="preserve"> the above research project and that I have had the opportunity to ask questions about the</w:t>
      </w:r>
      <w:r w:rsidR="00E502F7">
        <w:rPr>
          <w:rFonts w:ascii="TUOS Blake" w:hAnsi="TUOS Blake" w:cs="Arial"/>
        </w:rPr>
        <w:t xml:space="preserve"> </w:t>
      </w:r>
      <w:r w:rsidR="00272012" w:rsidRPr="00E502F7">
        <w:rPr>
          <w:rFonts w:ascii="TUOS Blake" w:hAnsi="TUOS Blake" w:cs="Arial"/>
        </w:rPr>
        <w:t xml:space="preserve">                                 project.</w:t>
      </w:r>
    </w:p>
    <w:p w14:paraId="210D068F" w14:textId="77777777" w:rsidR="00272012" w:rsidRPr="00187B3F" w:rsidRDefault="00272012" w:rsidP="00272012">
      <w:pPr>
        <w:spacing w:after="120" w:line="360" w:lineRule="auto"/>
        <w:rPr>
          <w:rFonts w:ascii="TUOS Blake" w:hAnsi="TUOS Blake" w:cs="Arial"/>
        </w:rPr>
      </w:pPr>
    </w:p>
    <w:p w14:paraId="0BC15187" w14:textId="31E93A65" w:rsidR="00272012" w:rsidRPr="00187B3F" w:rsidRDefault="00106F64" w:rsidP="00A17598">
      <w:pPr>
        <w:numPr>
          <w:ilvl w:val="0"/>
          <w:numId w:val="1"/>
        </w:numPr>
        <w:tabs>
          <w:tab w:val="clear" w:pos="720"/>
          <w:tab w:val="num" w:pos="360"/>
        </w:tabs>
        <w:spacing w:after="120" w:line="360" w:lineRule="auto"/>
        <w:ind w:left="360"/>
        <w:rPr>
          <w:rFonts w:ascii="TUOS Blake" w:hAnsi="TUOS Blake" w:cs="Arial"/>
        </w:rPr>
      </w:pPr>
      <w:r>
        <w:rPr>
          <w:rFonts w:ascii="TUOS Blake" w:hAnsi="TUOS Blake" w:cs="Arial"/>
          <w:noProof/>
          <w:lang w:eastAsia="zh-CN"/>
        </w:rPr>
        <mc:AlternateContent>
          <mc:Choice Requires="wps">
            <w:drawing>
              <wp:anchor distT="0" distB="0" distL="114300" distR="114300" simplePos="0" relativeHeight="251660288" behindDoc="0" locked="0" layoutInCell="1" allowOverlap="1" wp14:anchorId="62BC1EC8" wp14:editId="1102C26B">
                <wp:simplePos x="0" y="0"/>
                <wp:positionH relativeFrom="column">
                  <wp:posOffset>5143500</wp:posOffset>
                </wp:positionH>
                <wp:positionV relativeFrom="paragraph">
                  <wp:posOffset>60325</wp:posOffset>
                </wp:positionV>
                <wp:extent cx="457200" cy="34290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44478" id="Rectangle 27" o:spid="_x0000_s1026" style="position:absolute;margin-left:405pt;margin-top:4.7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ubHgIAAD0EAAAOAAAAZHJzL2Uyb0RvYy54bWysU9tuEzEQfUfiHyy/k01CQptVNlWVEoRU&#10;oKLwAROvd9fCN8ZONuHrGXvTkAJPCD9YHs/4+MyZmeXNwWi2lxiUsxWfjMacSStcrWxb8a9fNq+u&#10;OQsRbA3aWVnxowz8ZvXyxbL3pZy6zulaIiMQG8reV7yL0ZdFEUQnDYSR89KSs3FoIJKJbVEj9IRu&#10;dDEdj98UvcPaoxMyBLq9G5x8lfGbRor4qWmCjExXnLjFvGPet2kvVksoWwTfKXGiAf/AwoCy9OkZ&#10;6g4isB2qP6CMEuiCa+JIOFO4plFC5hwom8n4t2weO/Ay50LiBH+WKfw/WPFx/4BM1RWfXnFmwVCN&#10;PpNqYFstGd2RQL0PJcU9+gdMKQZ/78S3wKxbdxQmbxFd30moidYkxRfPHiQj0FO27T+4muBhF13W&#10;6tCgSYCkAjvkkhzPJZGHyARdzuZXVGbOBLlez6YLOqcfoHx67DHEd9IZlg4VR+KewWF/H+IQ+hSS&#10;yTut6o3SOhvYbtca2R6oOzZ5ndDDZZi2rK/4Yj6dZ+RnvnAJMc7rbxBGRWpzrUzFr89BUCbV3tqa&#10;aEIZQenhTNlpe5IxKTdUYOvqI6mIbuhhmjk6dA5/cNZT/1Y8fN8BSs70e0uVWExms9Tw2cgqcoaX&#10;nu2lB6wgqIpHzobjOg5DsvOo2o5+muTcrbul6jUqK5sqO7A6kaUezbU5zVMagks7R/2a+tVPAAAA&#10;//8DAFBLAwQUAAYACAAAACEAtiU9Lt0AAAAIAQAADwAAAGRycy9kb3ducmV2LnhtbEyPwU7DMBBE&#10;70j8g7VI3KjdVK3SkE2FQEXi2KYXbk68JIHYjmKnDXw9y4keRzOaeZPvZtuLM42h8w5huVAgyNXe&#10;dK5BOJX7hxREiNoZ3XtHCN8UYFfc3uQ6M/7iDnQ+xkZwiQuZRmhjHDIpQ92S1WHhB3LsffjR6shy&#10;bKQZ9YXLbS8TpTbS6s7xQqsHem6p/jpOFqHqkpP+OZSvym73q/g2l5/T+wvi/d389Agi0hz/w/CH&#10;z+hQMFPlJ2eC6BHSpeIvEWG7BsF+miasK4TNag2yyOX1geIXAAD//wMAUEsBAi0AFAAGAAgAAAAh&#10;ALaDOJL+AAAA4QEAABMAAAAAAAAAAAAAAAAAAAAAAFtDb250ZW50X1R5cGVzXS54bWxQSwECLQAU&#10;AAYACAAAACEAOP0h/9YAAACUAQAACwAAAAAAAAAAAAAAAAAvAQAAX3JlbHMvLnJlbHNQSwECLQAU&#10;AAYACAAAACEAibq7mx4CAAA9BAAADgAAAAAAAAAAAAAAAAAuAgAAZHJzL2Uyb0RvYy54bWxQSwEC&#10;LQAUAAYACAAAACEAtiU9Lt0AAAAIAQAADwAAAAAAAAAAAAAAAAB4BAAAZHJzL2Rvd25yZXYueG1s&#10;UEsFBgAAAAAEAAQA8wAAAIIFAAAAAA==&#10;"/>
            </w:pict>
          </mc:Fallback>
        </mc:AlternateContent>
      </w:r>
      <w:r w:rsidR="00272012" w:rsidRPr="00187B3F">
        <w:rPr>
          <w:rFonts w:ascii="TUOS Blake" w:hAnsi="TUOS Blake" w:cs="Arial"/>
        </w:rPr>
        <w:t>I understand that my participation is voluntary and that I am free to withdraw</w:t>
      </w:r>
      <w:r w:rsidR="00272012" w:rsidRPr="00187B3F">
        <w:rPr>
          <w:rFonts w:ascii="TUOS Blake" w:hAnsi="TUOS Blake" w:cs="Arial"/>
        </w:rPr>
        <w:br/>
        <w:t>at any time without giving any reason and without there being any negative</w:t>
      </w:r>
      <w:r w:rsidR="00272012" w:rsidRPr="00187B3F">
        <w:rPr>
          <w:rFonts w:ascii="TUOS Blake" w:hAnsi="TUOS Blake" w:cs="Arial"/>
        </w:rPr>
        <w:br/>
        <w:t>consequences. In addition, should I not wish to answer any particular</w:t>
      </w:r>
      <w:r w:rsidR="00272012" w:rsidRPr="00187B3F">
        <w:rPr>
          <w:rFonts w:ascii="TUOS Blake" w:hAnsi="TUOS Blake" w:cs="Arial"/>
        </w:rPr>
        <w:br/>
        <w:t xml:space="preserve">question or questions, I am free to decline. </w:t>
      </w:r>
    </w:p>
    <w:p w14:paraId="126156A7" w14:textId="77777777" w:rsidR="00272012" w:rsidRPr="00187B3F" w:rsidRDefault="00272012" w:rsidP="00272012">
      <w:pPr>
        <w:tabs>
          <w:tab w:val="left" w:pos="360"/>
        </w:tabs>
        <w:spacing w:after="120" w:line="360" w:lineRule="auto"/>
        <w:ind w:left="360"/>
        <w:rPr>
          <w:rFonts w:ascii="TUOS Blake" w:hAnsi="TUOS Blake" w:cs="Arial"/>
        </w:rPr>
      </w:pPr>
    </w:p>
    <w:p w14:paraId="3B45F765" w14:textId="09BB8BF8" w:rsidR="00272012" w:rsidRPr="00187B3F" w:rsidRDefault="00106F64" w:rsidP="00A17598">
      <w:pPr>
        <w:numPr>
          <w:ilvl w:val="0"/>
          <w:numId w:val="1"/>
        </w:numPr>
        <w:tabs>
          <w:tab w:val="left" w:pos="360"/>
        </w:tabs>
        <w:spacing w:after="120" w:line="360" w:lineRule="auto"/>
        <w:ind w:left="360"/>
        <w:rPr>
          <w:rFonts w:ascii="TUOS Blake" w:hAnsi="TUOS Blake" w:cs="Arial"/>
        </w:rPr>
      </w:pPr>
      <w:r>
        <w:rPr>
          <w:rFonts w:ascii="TUOS Blake" w:hAnsi="TUOS Blake" w:cs="Arial"/>
          <w:noProof/>
          <w:lang w:eastAsia="zh-CN"/>
        </w:rPr>
        <mc:AlternateContent>
          <mc:Choice Requires="wps">
            <w:drawing>
              <wp:anchor distT="0" distB="0" distL="114300" distR="114300" simplePos="0" relativeHeight="251661312" behindDoc="0" locked="0" layoutInCell="1" allowOverlap="1" wp14:anchorId="65F5CE4C" wp14:editId="488DF9F8">
                <wp:simplePos x="0" y="0"/>
                <wp:positionH relativeFrom="column">
                  <wp:posOffset>5143500</wp:posOffset>
                </wp:positionH>
                <wp:positionV relativeFrom="paragraph">
                  <wp:posOffset>36830</wp:posOffset>
                </wp:positionV>
                <wp:extent cx="457200" cy="3429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5D111" id="Rectangle 28" o:spid="_x0000_s1026" style="position:absolute;margin-left:405pt;margin-top:2.9pt;width:3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HHQIAAD0EAAAOAAAAZHJzL2Uyb0RvYy54bWysU9tuEzEQfUfiHyy/k01CAs0qm6pKCUIq&#10;UFH4gInXu2vhG2Mnm/D1HXvTkAJPCD9YHs/4eOacmeX1wWi2lxiUsxWfjMacSStcrWxb8W9fN6+u&#10;OAsRbA3aWVnxowz8evXyxbL3pZy6zulaIiMQG8reV7yL0ZdFEUQnDYSR89KSs3FoIJKJbVEj9IRu&#10;dDEdj98UvcPaoxMyBLq9HZx8lfGbRor4uWmCjExXnHKLece8b9NerJZQtgi+U+KUBvxDFgaUpU/P&#10;ULcQge1Q/QFllEAXXBNHwpnCNY0SMtdA1UzGv1Xz0IGXuRYiJ/gzTeH/wYpP+3tkqq74lJSyYEij&#10;L8Qa2FZLRndEUO9DSXEP/h5TicHfOfE9MOvWHYXJG0TXdxJqSmuS4otnD5IR6Cnb9h9dTfCwiy5z&#10;dWjQJEBigR2yJMezJPIQmaDL2fwtycyZINfr2XRB5/QDlE+PPYb4XjrD0qHiSLlncNjfhTiEPoXk&#10;5J1W9UZpnQ1st2uNbA/UHZu8TujhMkxb1ld8MZ/OM/IzX7iEGOf1NwijIrW5VqbiV+cgKBNr72xN&#10;aUIZQenhTNVpe6IxMTcosHX1kVhEN/QwzRwdOoc/OeupfysefuwAJWf6gyUlFpPZLDV8NjKLnOGl&#10;Z3vpASsIquKRs+G4jsOQ7DyqtqOfJrl2625IvUZlZpOyQ1anZKlHszaneUpDcGnnqF9Tv3oEAAD/&#10;/wMAUEsDBBQABgAIAAAAIQC5UWha2wAAAAgBAAAPAAAAZHJzL2Rvd25yZXYueG1sTI/BTsMwEETv&#10;SPyDtUjcqN0gkBviVAhUJI5teuHmxEsSiNdR7LSBr2c5wXE0q9n3iu3iB3HCKfaBDKxXCgRSE1xP&#10;rYFjtbvRIGKy5OwQCA18YYRteXlR2NyFM+3xdEit4BGKuTXQpTTmUsamQ2/jKoxI3L2HydvEcWql&#10;m+yZx/0gM6Xupbc98YfOjvjUYfN5mL2Bus+O9ntfvSi/2d2m16X6mN+ejbm+Wh4fQCRc0t8x/OIz&#10;OpTMVIeZXBSDAb1W7JIM3LEB91pnnGvOGw2yLOR/gfIHAAD//wMAUEsBAi0AFAAGAAgAAAAhALaD&#10;OJL+AAAA4QEAABMAAAAAAAAAAAAAAAAAAAAAAFtDb250ZW50X1R5cGVzXS54bWxQSwECLQAUAAYA&#10;CAAAACEAOP0h/9YAAACUAQAACwAAAAAAAAAAAAAAAAAvAQAAX3JlbHMvLnJlbHNQSwECLQAUAAYA&#10;CAAAACEA/qo0xx0CAAA9BAAADgAAAAAAAAAAAAAAAAAuAgAAZHJzL2Uyb0RvYy54bWxQSwECLQAU&#10;AAYACAAAACEAuVFoWtsAAAAIAQAADwAAAAAAAAAAAAAAAAB3BAAAZHJzL2Rvd25yZXYueG1sUEsF&#10;BgAAAAAEAAQA8wAAAH8FAAAAAA==&#10;"/>
            </w:pict>
          </mc:Fallback>
        </mc:AlternateContent>
      </w:r>
      <w:r w:rsidR="00272012" w:rsidRPr="00187B3F">
        <w:rPr>
          <w:rFonts w:ascii="TUOS Blake" w:hAnsi="TUOS Blake" w:cs="Arial"/>
        </w:rPr>
        <w:t>I understand that my responses will be kept strictly confidential.</w:t>
      </w:r>
      <w:r w:rsidR="00272012" w:rsidRPr="00187B3F">
        <w:rPr>
          <w:rFonts w:ascii="TUOS Blake" w:hAnsi="TUOS Blake" w:cs="Arial"/>
        </w:rPr>
        <w:br/>
        <w:t>I give permission for members of the research team to have access to my</w:t>
      </w:r>
      <w:r w:rsidR="00272012" w:rsidRPr="00187B3F">
        <w:rPr>
          <w:rFonts w:ascii="TUOS Blake" w:hAnsi="TUOS Blake" w:cs="Arial"/>
        </w:rPr>
        <w:br/>
        <w:t>responses. I understand that my name will not be linked with</w:t>
      </w:r>
      <w:r w:rsidR="00272012" w:rsidRPr="00187B3F">
        <w:rPr>
          <w:rFonts w:ascii="TUOS Blake" w:hAnsi="TUOS Blake" w:cs="Arial"/>
        </w:rPr>
        <w:br/>
        <w:t>the research materials, and I will not be identified or identifiable in the</w:t>
      </w:r>
      <w:r w:rsidR="00272012" w:rsidRPr="00187B3F">
        <w:rPr>
          <w:rFonts w:ascii="TUOS Blake" w:hAnsi="TUOS Blake" w:cs="Arial"/>
        </w:rPr>
        <w:br/>
        <w:t xml:space="preserve">report or reports that result from the research.  </w:t>
      </w:r>
    </w:p>
    <w:p w14:paraId="0630B669" w14:textId="18A0DA67" w:rsidR="00272012" w:rsidRPr="00187B3F" w:rsidRDefault="00106F64" w:rsidP="00272012">
      <w:pPr>
        <w:tabs>
          <w:tab w:val="left" w:pos="360"/>
        </w:tabs>
        <w:spacing w:after="120" w:line="360" w:lineRule="auto"/>
        <w:rPr>
          <w:rFonts w:ascii="TUOS Blake" w:hAnsi="TUOS Blake" w:cs="Arial"/>
        </w:rPr>
      </w:pPr>
      <w:r>
        <w:rPr>
          <w:rFonts w:ascii="TUOS Blake" w:hAnsi="TUOS Blake" w:cs="Arial"/>
          <w:noProof/>
          <w:lang w:eastAsia="zh-CN"/>
        </w:rPr>
        <mc:AlternateContent>
          <mc:Choice Requires="wps">
            <w:drawing>
              <wp:anchor distT="0" distB="0" distL="114300" distR="114300" simplePos="0" relativeHeight="251662336" behindDoc="0" locked="0" layoutInCell="1" allowOverlap="1" wp14:anchorId="21F82C2D" wp14:editId="303FBF76">
                <wp:simplePos x="0" y="0"/>
                <wp:positionH relativeFrom="column">
                  <wp:posOffset>5137785</wp:posOffset>
                </wp:positionH>
                <wp:positionV relativeFrom="paragraph">
                  <wp:posOffset>105410</wp:posOffset>
                </wp:positionV>
                <wp:extent cx="457200" cy="3429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1D176" id="Rectangle 29" o:spid="_x0000_s1026" style="position:absolute;margin-left:404.55pt;margin-top:8.3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bJHgIAAD0EAAAOAAAAZHJzL2Uyb0RvYy54bWysU8FuEzEQvSPxD5bvZJOQQLPKpqpSgpAK&#10;VBQ+wPF6dy1sjxk72YSv79ibhhQ4IXywPJ7x85s3M8vrgzVsrzBocBWfjMacKSeh1q6t+Levm1dX&#10;nIUoXC0MOFXxowr8evXyxbL3pZpCB6ZWyAjEhbL3Fe9i9GVRBNkpK8IIvHLkbACtiGRiW9QoekK3&#10;ppiOx2+KHrD2CFKFQLe3g5OvMn7TKBk/N01QkZmKE7eYd8z7Nu3FainKFoXvtDzREP/Awgrt6NMz&#10;1K2Igu1Q/wFltUQI0MSRBFtA02ipcg6UzWT8WzYPnfAq50LiBH+WKfw/WPlpf49M1xWfLjhzwlKN&#10;vpBqwrVGMbojgXofSop78PeYUgz+DuT3wBysOwpTN4jQd0rURGuS4otnD5IR6Cnb9h+hJnixi5C1&#10;OjRoEyCpwA65JMdzSdQhMkmXs/lbKjNnklyvZ9MFndMPonx67DHE9wosS4eKI3HP4GJ/F+IQ+hSS&#10;yYPR9UYbkw1st2uDbC+oOzZ5ndDDZZhxrK/4Yj6dZ+RnvnAJMc7rbxBWR2pzo23Fr85BokyqvXM1&#10;0RRlFNoMZ8rOuJOMSbmhAluoj6QiwtDDNHN06AB/ctZT/1Y8/NgJVJyZD44qsZjMZqnhs5FV5Awv&#10;PdtLj3CSoCoeORuO6zgMyc6jbjv6aZJzd3BD1Wt0VjZVdmB1Iks9mmtzmqc0BJd2jvo19atHAAAA&#10;//8DAFBLAwQUAAYACAAAACEAKgTag90AAAAJAQAADwAAAGRycy9kb3ducmV2LnhtbEyPwU7DMAyG&#10;70i8Q2QkbizpkEpXmk4INCSOW3fh5jamLTRJ1aRb4ekxJ3a0/0+/PxfbxQ7iRFPovdOQrBQIco03&#10;vWs1HKvdXQYiRHQGB+9IwzcF2JbXVwXmxp/dnk6H2AoucSFHDV2MYy5laDqyGFZ+JMfZh58sRh6n&#10;VpoJz1xuB7lWKpUWe8cXOhzpuaPm6zBbDXW/PuLPvnpVdrO7j29L9Tm/v2h9e7M8PYKItMR/GP70&#10;WR1Kdqr97EwQg4ZMbRJGOUhTEAxkWcKLWsODSkGWhbz8oPwFAAD//wMAUEsBAi0AFAAGAAgAAAAh&#10;ALaDOJL+AAAA4QEAABMAAAAAAAAAAAAAAAAAAAAAAFtDb250ZW50X1R5cGVzXS54bWxQSwECLQAU&#10;AAYACAAAACEAOP0h/9YAAACUAQAACwAAAAAAAAAAAAAAAAAvAQAAX3JlbHMvLnJlbHNQSwECLQAU&#10;AAYACAAAACEA95qGyR4CAAA9BAAADgAAAAAAAAAAAAAAAAAuAgAAZHJzL2Uyb0RvYy54bWxQSwEC&#10;LQAUAAYACAAAACEAKgTag90AAAAJAQAADwAAAAAAAAAAAAAAAAB4BAAAZHJzL2Rvd25yZXYueG1s&#10;UEsFBgAAAAAEAAQA8wAAAIIFAAAAAA==&#10;"/>
            </w:pict>
          </mc:Fallback>
        </mc:AlternateContent>
      </w:r>
    </w:p>
    <w:p w14:paraId="15D29005" w14:textId="77777777" w:rsidR="00272012" w:rsidRDefault="00272012" w:rsidP="00272012">
      <w:pPr>
        <w:tabs>
          <w:tab w:val="left" w:pos="360"/>
        </w:tabs>
        <w:spacing w:after="120" w:line="360" w:lineRule="auto"/>
        <w:rPr>
          <w:rFonts w:ascii="TUOS Blake" w:hAnsi="TUOS Blake" w:cs="Arial"/>
        </w:rPr>
      </w:pPr>
      <w:r w:rsidRPr="00187B3F">
        <w:rPr>
          <w:rFonts w:ascii="TUOS Blake" w:hAnsi="TUOS Blake" w:cs="Arial"/>
        </w:rPr>
        <w:t xml:space="preserve">4.     I agree </w:t>
      </w:r>
      <w:r>
        <w:rPr>
          <w:rFonts w:ascii="TUOS Blake" w:hAnsi="TUOS Blake" w:cs="Arial"/>
        </w:rPr>
        <w:t>to take part in the above research project.</w:t>
      </w:r>
    </w:p>
    <w:p w14:paraId="49EBDA4B" w14:textId="77777777" w:rsidR="00272012" w:rsidRDefault="00272012" w:rsidP="00272012">
      <w:pPr>
        <w:tabs>
          <w:tab w:val="left" w:pos="3600"/>
          <w:tab w:val="left" w:pos="6480"/>
        </w:tabs>
        <w:spacing w:after="120" w:line="360" w:lineRule="auto"/>
        <w:rPr>
          <w:rFonts w:ascii="TUOS Blake" w:hAnsi="TUOS Blake" w:cs="Arial"/>
        </w:rPr>
      </w:pPr>
    </w:p>
    <w:p w14:paraId="78225E36" w14:textId="77777777" w:rsidR="00272012" w:rsidRPr="00187B3F" w:rsidRDefault="00272012" w:rsidP="00272012">
      <w:pPr>
        <w:tabs>
          <w:tab w:val="left" w:pos="3600"/>
          <w:tab w:val="left" w:pos="6480"/>
        </w:tabs>
        <w:spacing w:after="120" w:line="360" w:lineRule="auto"/>
        <w:rPr>
          <w:rFonts w:ascii="TUOS Blake" w:hAnsi="TUOS Blake" w:cs="Arial"/>
        </w:rPr>
      </w:pPr>
      <w:r w:rsidRPr="00187B3F">
        <w:rPr>
          <w:rFonts w:ascii="TUOS Blake" w:hAnsi="TUOS Blake" w:cs="Arial"/>
        </w:rPr>
        <w:t>________________________</w:t>
      </w:r>
      <w:r w:rsidRPr="00187B3F">
        <w:rPr>
          <w:rFonts w:ascii="TUOS Blake" w:hAnsi="TUOS Blake" w:cs="Arial"/>
        </w:rPr>
        <w:tab/>
        <w:t>________________         ____________________</w:t>
      </w:r>
    </w:p>
    <w:p w14:paraId="59853E31" w14:textId="77777777" w:rsidR="00272012" w:rsidRPr="00187B3F" w:rsidRDefault="00272012" w:rsidP="00272012">
      <w:pPr>
        <w:tabs>
          <w:tab w:val="left" w:pos="3600"/>
          <w:tab w:val="left" w:pos="6480"/>
        </w:tabs>
        <w:spacing w:after="120" w:line="360" w:lineRule="auto"/>
        <w:rPr>
          <w:rFonts w:ascii="TUOS Blake" w:hAnsi="TUOS Blake" w:cs="Arial"/>
        </w:rPr>
      </w:pPr>
      <w:r w:rsidRPr="00187B3F">
        <w:rPr>
          <w:rFonts w:ascii="TUOS Blake" w:hAnsi="TUOS Blake" w:cs="Arial"/>
        </w:rPr>
        <w:t>Name of Participant</w:t>
      </w:r>
      <w:r w:rsidRPr="00187B3F">
        <w:rPr>
          <w:rFonts w:ascii="TUOS Blake" w:hAnsi="TUOS Blake" w:cs="Arial"/>
        </w:rPr>
        <w:tab/>
        <w:t>Date</w:t>
      </w:r>
      <w:r w:rsidRPr="00187B3F">
        <w:rPr>
          <w:rFonts w:ascii="TUOS Blake" w:hAnsi="TUOS Blake" w:cs="Arial"/>
        </w:rPr>
        <w:tab/>
        <w:t>Signature</w:t>
      </w:r>
    </w:p>
    <w:p w14:paraId="67AFD250" w14:textId="77777777" w:rsidR="00272012" w:rsidRPr="00187B3F" w:rsidRDefault="00272012" w:rsidP="00272012">
      <w:pPr>
        <w:pStyle w:val="Header"/>
        <w:spacing w:after="120" w:line="360" w:lineRule="auto"/>
        <w:rPr>
          <w:rFonts w:ascii="TUOS Blake" w:hAnsi="TUOS Blake" w:cs="Arial"/>
        </w:rPr>
      </w:pPr>
    </w:p>
    <w:p w14:paraId="5F243235" w14:textId="77777777" w:rsidR="00272012" w:rsidRPr="00187B3F" w:rsidRDefault="00272012" w:rsidP="00272012">
      <w:pPr>
        <w:pStyle w:val="Header"/>
        <w:tabs>
          <w:tab w:val="left" w:pos="3600"/>
          <w:tab w:val="left" w:pos="6480"/>
        </w:tabs>
        <w:spacing w:after="120" w:line="360" w:lineRule="auto"/>
        <w:rPr>
          <w:rFonts w:ascii="TUOS Blake" w:hAnsi="TUOS Blake" w:cs="Arial"/>
        </w:rPr>
      </w:pPr>
      <w:r w:rsidRPr="00187B3F">
        <w:rPr>
          <w:rFonts w:ascii="TUOS Blake" w:hAnsi="TUOS Blake" w:cs="Arial"/>
        </w:rPr>
        <w:t>_________________________</w:t>
      </w:r>
      <w:r w:rsidRPr="00187B3F">
        <w:rPr>
          <w:rFonts w:ascii="TUOS Blake" w:hAnsi="TUOS Blake" w:cs="Arial"/>
        </w:rPr>
        <w:tab/>
        <w:t>________________         ____________________</w:t>
      </w:r>
    </w:p>
    <w:p w14:paraId="0AA711B8" w14:textId="77777777" w:rsidR="00272012" w:rsidRPr="00187B3F" w:rsidRDefault="00272012" w:rsidP="00272012">
      <w:pPr>
        <w:tabs>
          <w:tab w:val="left" w:pos="3600"/>
          <w:tab w:val="left" w:pos="6480"/>
        </w:tabs>
        <w:spacing w:after="120" w:line="360" w:lineRule="auto"/>
        <w:rPr>
          <w:rFonts w:ascii="TUOS Blake" w:hAnsi="TUOS Blake" w:cs="Arial"/>
        </w:rPr>
      </w:pPr>
      <w:r w:rsidRPr="00187B3F">
        <w:rPr>
          <w:rFonts w:ascii="TUOS Blake" w:hAnsi="TUOS Blake" w:cs="Arial"/>
        </w:rPr>
        <w:t xml:space="preserve"> Lead Researcher</w:t>
      </w:r>
      <w:r w:rsidRPr="00187B3F">
        <w:rPr>
          <w:rFonts w:ascii="TUOS Blake" w:hAnsi="TUOS Blake" w:cs="Arial"/>
        </w:rPr>
        <w:tab/>
        <w:t>Date</w:t>
      </w:r>
      <w:r w:rsidRPr="00187B3F">
        <w:rPr>
          <w:rFonts w:ascii="TUOS Blake" w:hAnsi="TUOS Blake" w:cs="Arial"/>
        </w:rPr>
        <w:tab/>
        <w:t>Signature</w:t>
      </w:r>
    </w:p>
    <w:p w14:paraId="465F79FD" w14:textId="77777777" w:rsidR="00272012" w:rsidRPr="00187B3F" w:rsidRDefault="00272012" w:rsidP="00272012">
      <w:pPr>
        <w:spacing w:after="120" w:line="360" w:lineRule="auto"/>
        <w:rPr>
          <w:rFonts w:ascii="TUOS Blake" w:hAnsi="TUOS Blake" w:cs="Arial"/>
          <w:i/>
          <w:iCs/>
        </w:rPr>
      </w:pPr>
      <w:r w:rsidRPr="00187B3F">
        <w:rPr>
          <w:rFonts w:ascii="TUOS Blake" w:hAnsi="TUOS Blake" w:cs="Arial"/>
          <w:i/>
          <w:iCs/>
        </w:rPr>
        <w:t>To be signed and dated in presence of the participant</w:t>
      </w:r>
    </w:p>
    <w:p w14:paraId="57D7B6F3" w14:textId="77777777" w:rsidR="00272012" w:rsidRPr="00187B3F" w:rsidRDefault="00272012" w:rsidP="00272012">
      <w:pPr>
        <w:pStyle w:val="Header"/>
        <w:spacing w:after="120" w:line="360" w:lineRule="auto"/>
        <w:rPr>
          <w:rFonts w:ascii="TUOS Blake" w:hAnsi="TUOS Blake" w:cs="Arial"/>
        </w:rPr>
      </w:pPr>
      <w:r w:rsidRPr="00187B3F">
        <w:rPr>
          <w:rFonts w:ascii="TUOS Blake" w:hAnsi="TUOS Blake" w:cs="Arial"/>
        </w:rPr>
        <w:t>Copies:</w:t>
      </w:r>
    </w:p>
    <w:p w14:paraId="52406E3F" w14:textId="6381EC03" w:rsidR="00272012" w:rsidRDefault="00272012" w:rsidP="00AA00A5">
      <w:pPr>
        <w:spacing w:after="120" w:line="360" w:lineRule="auto"/>
      </w:pPr>
      <w:r w:rsidRPr="00187B3F">
        <w:rPr>
          <w:rFonts w:ascii="TUOS Blake" w:hAnsi="TUOS Blake" w:cs="Arial"/>
          <w:i/>
          <w:iCs/>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p w14:paraId="0CD2527D" w14:textId="77777777" w:rsidR="00272012" w:rsidRDefault="00272012" w:rsidP="00272012">
      <w:pPr>
        <w:rPr>
          <w:rFonts w:asciiTheme="majorHAnsi" w:eastAsiaTheme="majorEastAsia" w:hAnsiTheme="majorHAnsi" w:cstheme="majorBidi"/>
          <w:color w:val="1F3763" w:themeColor="accent1" w:themeShade="7F"/>
          <w:sz w:val="24"/>
          <w:szCs w:val="24"/>
        </w:rPr>
      </w:pPr>
      <w:r>
        <w:br w:type="page"/>
      </w:r>
    </w:p>
    <w:p w14:paraId="7BB33297" w14:textId="256E4B3D" w:rsidR="00272012" w:rsidRDefault="00272012" w:rsidP="007A3B97">
      <w:pPr>
        <w:pStyle w:val="Heading3"/>
      </w:pPr>
      <w:bookmarkStart w:id="254" w:name="_Toc536717993"/>
      <w:bookmarkStart w:id="255" w:name="_Toc31702016"/>
      <w:r>
        <w:t xml:space="preserve">Appendix </w:t>
      </w:r>
      <w:r w:rsidR="004D3BA5">
        <w:t>B</w:t>
      </w:r>
      <w:r>
        <w:t>.5 Ethics approval letter</w:t>
      </w:r>
      <w:bookmarkEnd w:id="254"/>
      <w:bookmarkEnd w:id="255"/>
    </w:p>
    <w:p w14:paraId="24A8B901" w14:textId="77777777" w:rsidR="00272012" w:rsidRDefault="00272012" w:rsidP="00272012">
      <w:pPr>
        <w:pStyle w:val="BodyText"/>
        <w:ind w:left="106"/>
        <w:rPr>
          <w:b/>
          <w:sz w:val="20"/>
        </w:rPr>
      </w:pPr>
      <w:r>
        <w:rPr>
          <w:b/>
          <w:noProof/>
          <w:sz w:val="20"/>
          <w:lang w:eastAsia="en-GB"/>
        </w:rPr>
        <w:drawing>
          <wp:inline distT="0" distB="0" distL="0" distR="0" wp14:anchorId="48C389C5" wp14:editId="10893917">
            <wp:extent cx="1899277" cy="762761"/>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3" cstate="print"/>
                    <a:stretch>
                      <a:fillRect/>
                    </a:stretch>
                  </pic:blipFill>
                  <pic:spPr>
                    <a:xfrm>
                      <a:off x="0" y="0"/>
                      <a:ext cx="1899277" cy="762761"/>
                    </a:xfrm>
                    <a:prstGeom prst="rect">
                      <a:avLst/>
                    </a:prstGeom>
                  </pic:spPr>
                </pic:pic>
              </a:graphicData>
            </a:graphic>
          </wp:inline>
        </w:drawing>
      </w:r>
    </w:p>
    <w:p w14:paraId="77CE0F6F" w14:textId="77777777" w:rsidR="00272012" w:rsidRPr="00184C98" w:rsidRDefault="00272012" w:rsidP="00272012">
      <w:pPr>
        <w:pStyle w:val="BodyText"/>
        <w:ind w:left="106"/>
        <w:rPr>
          <w:b/>
          <w:sz w:val="20"/>
        </w:rPr>
      </w:pPr>
      <w:r>
        <w:rPr>
          <w:w w:val="95"/>
        </w:rPr>
        <w:t xml:space="preserve">Downloaded: 18/12/2018 </w:t>
      </w:r>
      <w:r>
        <w:t>Approved: 20/11/2017</w:t>
      </w:r>
    </w:p>
    <w:p w14:paraId="37331EBE" w14:textId="77777777" w:rsidR="00272012" w:rsidRDefault="00272012" w:rsidP="00272012">
      <w:pPr>
        <w:pStyle w:val="BodyText"/>
        <w:ind w:left="106"/>
      </w:pPr>
      <w:r>
        <w:t>Eliel Cohen</w:t>
      </w:r>
    </w:p>
    <w:p w14:paraId="3F2F3DF5" w14:textId="77777777" w:rsidR="00272012" w:rsidRDefault="00272012" w:rsidP="00272012">
      <w:pPr>
        <w:pStyle w:val="BodyText"/>
        <w:spacing w:before="21" w:line="266" w:lineRule="auto"/>
        <w:ind w:left="106" w:right="8049"/>
      </w:pPr>
      <w:r>
        <w:rPr>
          <w:w w:val="95"/>
        </w:rPr>
        <w:t xml:space="preserve">Registration number: 150215538 </w:t>
      </w:r>
      <w:r>
        <w:t>School of Education Programme: PhD in Education</w:t>
      </w:r>
    </w:p>
    <w:p w14:paraId="1268BF2A" w14:textId="77777777" w:rsidR="00272012" w:rsidRDefault="00272012" w:rsidP="00272012">
      <w:pPr>
        <w:pStyle w:val="BodyText"/>
        <w:spacing w:before="1"/>
        <w:rPr>
          <w:sz w:val="15"/>
        </w:rPr>
      </w:pPr>
    </w:p>
    <w:p w14:paraId="577A7BF5" w14:textId="77777777" w:rsidR="00272012" w:rsidRDefault="00272012" w:rsidP="00272012">
      <w:pPr>
        <w:pStyle w:val="BodyText"/>
        <w:ind w:left="106"/>
      </w:pPr>
      <w:r>
        <w:t>Dear Eliel</w:t>
      </w:r>
    </w:p>
    <w:p w14:paraId="10F24DB5" w14:textId="77777777" w:rsidR="00272012" w:rsidRDefault="00272012" w:rsidP="00272012">
      <w:pPr>
        <w:pStyle w:val="BodyText"/>
        <w:tabs>
          <w:tab w:val="left" w:pos="1503"/>
        </w:tabs>
      </w:pPr>
      <w:r>
        <w:rPr>
          <w:sz w:val="16"/>
        </w:rPr>
        <w:tab/>
      </w:r>
    </w:p>
    <w:p w14:paraId="3A9BDB37" w14:textId="77777777" w:rsidR="00272012" w:rsidRDefault="00272012" w:rsidP="00272012">
      <w:pPr>
        <w:pStyle w:val="BodyText"/>
        <w:ind w:left="106"/>
      </w:pPr>
      <w:r>
        <w:t>PROJECT TITLE: Academic Structure and the Impact of Academic Research: A Sociological Analysis</w:t>
      </w:r>
    </w:p>
    <w:p w14:paraId="0835AB3E" w14:textId="77777777" w:rsidR="00272012" w:rsidRDefault="00272012" w:rsidP="00272012">
      <w:pPr>
        <w:pStyle w:val="BodyText"/>
        <w:spacing w:before="33"/>
        <w:ind w:left="106"/>
      </w:pPr>
      <w:r>
        <w:t>APPLICATION: Reference Number 015962</w:t>
      </w:r>
    </w:p>
    <w:p w14:paraId="0DF73056" w14:textId="77777777" w:rsidR="00272012" w:rsidRDefault="00272012" w:rsidP="00272012">
      <w:pPr>
        <w:pStyle w:val="BodyText"/>
        <w:spacing w:before="5"/>
      </w:pPr>
    </w:p>
    <w:p w14:paraId="5F05F94E" w14:textId="77777777" w:rsidR="00272012" w:rsidRDefault="00272012" w:rsidP="00272012">
      <w:pPr>
        <w:pStyle w:val="BodyText"/>
        <w:spacing w:line="266" w:lineRule="auto"/>
        <w:ind w:left="106"/>
      </w:pPr>
      <w:r>
        <w:t>On</w:t>
      </w:r>
      <w:r>
        <w:rPr>
          <w:spacing w:val="-29"/>
        </w:rPr>
        <w:t xml:space="preserve"> </w:t>
      </w:r>
      <w:r>
        <w:t>behalf</w:t>
      </w:r>
      <w:r>
        <w:rPr>
          <w:spacing w:val="-28"/>
        </w:rPr>
        <w:t xml:space="preserve"> </w:t>
      </w:r>
      <w:r>
        <w:t>of</w:t>
      </w:r>
      <w:r>
        <w:rPr>
          <w:spacing w:val="-28"/>
        </w:rPr>
        <w:t xml:space="preserve"> </w:t>
      </w:r>
      <w:r>
        <w:t>the</w:t>
      </w:r>
      <w:r>
        <w:rPr>
          <w:spacing w:val="-28"/>
        </w:rPr>
        <w:t xml:space="preserve"> </w:t>
      </w:r>
      <w:r>
        <w:t>University</w:t>
      </w:r>
      <w:r>
        <w:rPr>
          <w:spacing w:val="-28"/>
        </w:rPr>
        <w:t xml:space="preserve"> </w:t>
      </w:r>
      <w:r>
        <w:t>ethics</w:t>
      </w:r>
      <w:r>
        <w:rPr>
          <w:spacing w:val="-29"/>
        </w:rPr>
        <w:t xml:space="preserve"> </w:t>
      </w:r>
      <w:r>
        <w:t>reviewers</w:t>
      </w:r>
      <w:r>
        <w:rPr>
          <w:spacing w:val="-28"/>
        </w:rPr>
        <w:t xml:space="preserve"> </w:t>
      </w:r>
      <w:r>
        <w:t>who</w:t>
      </w:r>
      <w:r>
        <w:rPr>
          <w:spacing w:val="-28"/>
        </w:rPr>
        <w:t xml:space="preserve"> </w:t>
      </w:r>
      <w:r>
        <w:t>reviewed</w:t>
      </w:r>
      <w:r>
        <w:rPr>
          <w:spacing w:val="-28"/>
        </w:rPr>
        <w:t xml:space="preserve"> </w:t>
      </w:r>
      <w:r>
        <w:t>your</w:t>
      </w:r>
      <w:r>
        <w:rPr>
          <w:spacing w:val="-28"/>
        </w:rPr>
        <w:t xml:space="preserve"> </w:t>
      </w:r>
      <w:r>
        <w:t>project,</w:t>
      </w:r>
      <w:r>
        <w:rPr>
          <w:spacing w:val="-29"/>
        </w:rPr>
        <w:t xml:space="preserve"> </w:t>
      </w:r>
      <w:r>
        <w:t>I</w:t>
      </w:r>
      <w:r>
        <w:rPr>
          <w:spacing w:val="-28"/>
        </w:rPr>
        <w:t xml:space="preserve"> </w:t>
      </w:r>
      <w:r>
        <w:t>am</w:t>
      </w:r>
      <w:r>
        <w:rPr>
          <w:spacing w:val="-28"/>
        </w:rPr>
        <w:t xml:space="preserve"> </w:t>
      </w:r>
      <w:r>
        <w:t>pleased</w:t>
      </w:r>
      <w:r>
        <w:rPr>
          <w:spacing w:val="-28"/>
        </w:rPr>
        <w:t xml:space="preserve"> </w:t>
      </w:r>
      <w:r>
        <w:t>to</w:t>
      </w:r>
      <w:r>
        <w:rPr>
          <w:spacing w:val="-28"/>
        </w:rPr>
        <w:t xml:space="preserve"> </w:t>
      </w:r>
      <w:r>
        <w:t>inform</w:t>
      </w:r>
      <w:r>
        <w:rPr>
          <w:spacing w:val="-29"/>
        </w:rPr>
        <w:t xml:space="preserve"> </w:t>
      </w:r>
      <w:r>
        <w:t>you</w:t>
      </w:r>
      <w:r>
        <w:rPr>
          <w:spacing w:val="-28"/>
        </w:rPr>
        <w:t xml:space="preserve"> </w:t>
      </w:r>
      <w:r>
        <w:t>that</w:t>
      </w:r>
      <w:r>
        <w:rPr>
          <w:spacing w:val="-28"/>
        </w:rPr>
        <w:t xml:space="preserve"> </w:t>
      </w:r>
      <w:r>
        <w:t>on</w:t>
      </w:r>
      <w:r>
        <w:rPr>
          <w:spacing w:val="-28"/>
        </w:rPr>
        <w:t xml:space="preserve"> </w:t>
      </w:r>
      <w:r>
        <w:t>20/11/2017</w:t>
      </w:r>
      <w:r>
        <w:rPr>
          <w:spacing w:val="-28"/>
        </w:rPr>
        <w:t xml:space="preserve"> </w:t>
      </w:r>
      <w:r>
        <w:t>the</w:t>
      </w:r>
      <w:r>
        <w:rPr>
          <w:spacing w:val="-29"/>
        </w:rPr>
        <w:t xml:space="preserve"> </w:t>
      </w:r>
      <w:r>
        <w:t xml:space="preserve">above-named </w:t>
      </w:r>
      <w:r>
        <w:rPr>
          <w:w w:val="95"/>
        </w:rPr>
        <w:t>project</w:t>
      </w:r>
      <w:r>
        <w:rPr>
          <w:spacing w:val="-22"/>
          <w:w w:val="95"/>
        </w:rPr>
        <w:t xml:space="preserve"> </w:t>
      </w:r>
      <w:r>
        <w:rPr>
          <w:w w:val="95"/>
        </w:rPr>
        <w:t>was</w:t>
      </w:r>
      <w:r>
        <w:rPr>
          <w:spacing w:val="-20"/>
          <w:w w:val="95"/>
        </w:rPr>
        <w:t xml:space="preserve"> </w:t>
      </w:r>
      <w:r>
        <w:rPr>
          <w:w w:val="95"/>
        </w:rPr>
        <w:t>approved</w:t>
      </w:r>
      <w:r>
        <w:rPr>
          <w:spacing w:val="-21"/>
          <w:w w:val="95"/>
        </w:rPr>
        <w:t xml:space="preserve"> </w:t>
      </w:r>
      <w:r>
        <w:rPr>
          <w:w w:val="95"/>
        </w:rPr>
        <w:t>on</w:t>
      </w:r>
      <w:r>
        <w:rPr>
          <w:spacing w:val="-22"/>
          <w:w w:val="95"/>
        </w:rPr>
        <w:t xml:space="preserve"> </w:t>
      </w:r>
      <w:r>
        <w:rPr>
          <w:w w:val="95"/>
        </w:rPr>
        <w:t>ethics</w:t>
      </w:r>
      <w:r>
        <w:rPr>
          <w:spacing w:val="-22"/>
          <w:w w:val="95"/>
        </w:rPr>
        <w:t xml:space="preserve"> </w:t>
      </w:r>
      <w:r>
        <w:rPr>
          <w:w w:val="95"/>
        </w:rPr>
        <w:t>grounds,</w:t>
      </w:r>
      <w:r>
        <w:rPr>
          <w:spacing w:val="-21"/>
          <w:w w:val="95"/>
        </w:rPr>
        <w:t xml:space="preserve"> </w:t>
      </w:r>
      <w:r>
        <w:rPr>
          <w:w w:val="95"/>
        </w:rPr>
        <w:t>on</w:t>
      </w:r>
      <w:r>
        <w:rPr>
          <w:spacing w:val="-22"/>
          <w:w w:val="95"/>
        </w:rPr>
        <w:t xml:space="preserve"> </w:t>
      </w:r>
      <w:r>
        <w:rPr>
          <w:w w:val="95"/>
        </w:rPr>
        <w:t>the</w:t>
      </w:r>
      <w:r>
        <w:rPr>
          <w:spacing w:val="-22"/>
          <w:w w:val="95"/>
        </w:rPr>
        <w:t xml:space="preserve"> </w:t>
      </w:r>
      <w:r>
        <w:rPr>
          <w:w w:val="95"/>
        </w:rPr>
        <w:t>basis</w:t>
      </w:r>
      <w:r>
        <w:rPr>
          <w:spacing w:val="-21"/>
          <w:w w:val="95"/>
        </w:rPr>
        <w:t xml:space="preserve"> </w:t>
      </w:r>
      <w:r>
        <w:rPr>
          <w:w w:val="95"/>
        </w:rPr>
        <w:t>that</w:t>
      </w:r>
      <w:r>
        <w:rPr>
          <w:spacing w:val="-22"/>
          <w:w w:val="95"/>
        </w:rPr>
        <w:t xml:space="preserve"> </w:t>
      </w:r>
      <w:r>
        <w:rPr>
          <w:w w:val="95"/>
        </w:rPr>
        <w:t>you</w:t>
      </w:r>
      <w:r>
        <w:rPr>
          <w:spacing w:val="-22"/>
          <w:w w:val="95"/>
        </w:rPr>
        <w:t xml:space="preserve"> </w:t>
      </w:r>
      <w:r>
        <w:rPr>
          <w:w w:val="95"/>
        </w:rPr>
        <w:t>will</w:t>
      </w:r>
      <w:r>
        <w:rPr>
          <w:spacing w:val="-21"/>
          <w:w w:val="95"/>
        </w:rPr>
        <w:t xml:space="preserve"> </w:t>
      </w:r>
      <w:r>
        <w:rPr>
          <w:w w:val="95"/>
        </w:rPr>
        <w:t>adhere</w:t>
      </w:r>
      <w:r>
        <w:rPr>
          <w:spacing w:val="-22"/>
          <w:w w:val="95"/>
        </w:rPr>
        <w:t xml:space="preserve"> </w:t>
      </w:r>
      <w:r>
        <w:rPr>
          <w:w w:val="95"/>
        </w:rPr>
        <w:t>to</w:t>
      </w:r>
      <w:r>
        <w:rPr>
          <w:spacing w:val="-21"/>
          <w:w w:val="95"/>
        </w:rPr>
        <w:t xml:space="preserve"> </w:t>
      </w:r>
      <w:r>
        <w:rPr>
          <w:w w:val="95"/>
        </w:rPr>
        <w:t>the</w:t>
      </w:r>
      <w:r>
        <w:rPr>
          <w:spacing w:val="-22"/>
          <w:w w:val="95"/>
        </w:rPr>
        <w:t xml:space="preserve"> </w:t>
      </w:r>
      <w:r>
        <w:rPr>
          <w:w w:val="95"/>
        </w:rPr>
        <w:t>following</w:t>
      </w:r>
      <w:r>
        <w:rPr>
          <w:spacing w:val="-22"/>
          <w:w w:val="95"/>
        </w:rPr>
        <w:t xml:space="preserve"> </w:t>
      </w:r>
      <w:r>
        <w:rPr>
          <w:w w:val="95"/>
        </w:rPr>
        <w:t>documentation</w:t>
      </w:r>
      <w:r>
        <w:rPr>
          <w:spacing w:val="-21"/>
          <w:w w:val="95"/>
        </w:rPr>
        <w:t xml:space="preserve"> </w:t>
      </w:r>
      <w:r>
        <w:rPr>
          <w:w w:val="95"/>
        </w:rPr>
        <w:t>that</w:t>
      </w:r>
      <w:r>
        <w:rPr>
          <w:spacing w:val="-22"/>
          <w:w w:val="95"/>
        </w:rPr>
        <w:t xml:space="preserve"> </w:t>
      </w:r>
      <w:r>
        <w:rPr>
          <w:w w:val="95"/>
        </w:rPr>
        <w:t>you</w:t>
      </w:r>
      <w:r>
        <w:rPr>
          <w:spacing w:val="-22"/>
          <w:w w:val="95"/>
        </w:rPr>
        <w:t xml:space="preserve"> </w:t>
      </w:r>
      <w:r>
        <w:rPr>
          <w:w w:val="95"/>
        </w:rPr>
        <w:t>submitted</w:t>
      </w:r>
      <w:r>
        <w:rPr>
          <w:spacing w:val="-21"/>
          <w:w w:val="95"/>
        </w:rPr>
        <w:t xml:space="preserve"> </w:t>
      </w:r>
      <w:r>
        <w:rPr>
          <w:w w:val="95"/>
        </w:rPr>
        <w:t>for</w:t>
      </w:r>
      <w:r>
        <w:rPr>
          <w:spacing w:val="-22"/>
          <w:w w:val="95"/>
        </w:rPr>
        <w:t xml:space="preserve"> </w:t>
      </w:r>
      <w:r>
        <w:rPr>
          <w:w w:val="95"/>
        </w:rPr>
        <w:t>ethics</w:t>
      </w:r>
      <w:r>
        <w:rPr>
          <w:spacing w:val="-22"/>
          <w:w w:val="95"/>
        </w:rPr>
        <w:t xml:space="preserve"> </w:t>
      </w:r>
      <w:r>
        <w:rPr>
          <w:w w:val="95"/>
        </w:rPr>
        <w:t>review:</w:t>
      </w:r>
    </w:p>
    <w:p w14:paraId="033A09AB" w14:textId="77777777" w:rsidR="00272012" w:rsidRDefault="00272012" w:rsidP="00272012">
      <w:pPr>
        <w:pStyle w:val="BodyText"/>
        <w:spacing w:before="4"/>
        <w:rPr>
          <w:sz w:val="9"/>
        </w:rPr>
      </w:pPr>
    </w:p>
    <w:p w14:paraId="6491A0E9" w14:textId="2301DB26" w:rsidR="00272012" w:rsidRDefault="00106F64" w:rsidP="00272012">
      <w:pPr>
        <w:pStyle w:val="BodyText"/>
        <w:spacing w:before="71" w:line="266" w:lineRule="auto"/>
        <w:ind w:left="586" w:right="4088"/>
      </w:pPr>
      <w:r>
        <w:rPr>
          <w:noProof/>
        </w:rPr>
        <mc:AlternateContent>
          <mc:Choice Requires="wpg">
            <w:drawing>
              <wp:anchor distT="0" distB="0" distL="114300" distR="114300" simplePos="0" relativeHeight="251671552" behindDoc="0" locked="0" layoutInCell="1" allowOverlap="1" wp14:anchorId="7B5FD7C1" wp14:editId="6EB4A3EE">
                <wp:simplePos x="0" y="0"/>
                <wp:positionH relativeFrom="page">
                  <wp:posOffset>601980</wp:posOffset>
                </wp:positionH>
                <wp:positionV relativeFrom="paragraph">
                  <wp:posOffset>88900</wp:posOffset>
                </wp:positionV>
                <wp:extent cx="46355" cy="4635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46355"/>
                          <a:chOff x="948" y="140"/>
                          <a:chExt cx="73" cy="73"/>
                        </a:xfrm>
                      </wpg:grpSpPr>
                      <wps:wsp>
                        <wps:cNvPr id="21" name="Freeform 3"/>
                        <wps:cNvSpPr>
                          <a:spLocks/>
                        </wps:cNvSpPr>
                        <wps:spPr bwMode="auto">
                          <a:xfrm>
                            <a:off x="954" y="146"/>
                            <a:ext cx="61" cy="61"/>
                          </a:xfrm>
                          <a:custGeom>
                            <a:avLst/>
                            <a:gdLst>
                              <a:gd name="T0" fmla="+- 0 984 954"/>
                              <a:gd name="T1" fmla="*/ T0 w 61"/>
                              <a:gd name="T2" fmla="+- 0 206 146"/>
                              <a:gd name="T3" fmla="*/ 206 h 61"/>
                              <a:gd name="T4" fmla="+- 0 972 954"/>
                              <a:gd name="T5" fmla="*/ T4 w 61"/>
                              <a:gd name="T6" fmla="+- 0 204 146"/>
                              <a:gd name="T7" fmla="*/ 204 h 61"/>
                              <a:gd name="T8" fmla="+- 0 963 954"/>
                              <a:gd name="T9" fmla="*/ T8 w 61"/>
                              <a:gd name="T10" fmla="+- 0 198 146"/>
                              <a:gd name="T11" fmla="*/ 198 h 61"/>
                              <a:gd name="T12" fmla="+- 0 956 954"/>
                              <a:gd name="T13" fmla="*/ T12 w 61"/>
                              <a:gd name="T14" fmla="+- 0 188 146"/>
                              <a:gd name="T15" fmla="*/ 188 h 61"/>
                              <a:gd name="T16" fmla="+- 0 954 954"/>
                              <a:gd name="T17" fmla="*/ T16 w 61"/>
                              <a:gd name="T18" fmla="+- 0 176 146"/>
                              <a:gd name="T19" fmla="*/ 176 h 61"/>
                              <a:gd name="T20" fmla="+- 0 956 954"/>
                              <a:gd name="T21" fmla="*/ T20 w 61"/>
                              <a:gd name="T22" fmla="+- 0 165 146"/>
                              <a:gd name="T23" fmla="*/ 165 h 61"/>
                              <a:gd name="T24" fmla="+- 0 963 954"/>
                              <a:gd name="T25" fmla="*/ T24 w 61"/>
                              <a:gd name="T26" fmla="+- 0 155 146"/>
                              <a:gd name="T27" fmla="*/ 155 h 61"/>
                              <a:gd name="T28" fmla="+- 0 972 954"/>
                              <a:gd name="T29" fmla="*/ T28 w 61"/>
                              <a:gd name="T30" fmla="+- 0 149 146"/>
                              <a:gd name="T31" fmla="*/ 149 h 61"/>
                              <a:gd name="T32" fmla="+- 0 984 954"/>
                              <a:gd name="T33" fmla="*/ T32 w 61"/>
                              <a:gd name="T34" fmla="+- 0 146 146"/>
                              <a:gd name="T35" fmla="*/ 146 h 61"/>
                              <a:gd name="T36" fmla="+- 0 996 954"/>
                              <a:gd name="T37" fmla="*/ T36 w 61"/>
                              <a:gd name="T38" fmla="+- 0 149 146"/>
                              <a:gd name="T39" fmla="*/ 149 h 61"/>
                              <a:gd name="T40" fmla="+- 0 1005 954"/>
                              <a:gd name="T41" fmla="*/ T40 w 61"/>
                              <a:gd name="T42" fmla="+- 0 155 146"/>
                              <a:gd name="T43" fmla="*/ 155 h 61"/>
                              <a:gd name="T44" fmla="+- 0 1012 954"/>
                              <a:gd name="T45" fmla="*/ T44 w 61"/>
                              <a:gd name="T46" fmla="+- 0 165 146"/>
                              <a:gd name="T47" fmla="*/ 165 h 61"/>
                              <a:gd name="T48" fmla="+- 0 1014 954"/>
                              <a:gd name="T49" fmla="*/ T48 w 61"/>
                              <a:gd name="T50" fmla="+- 0 176 146"/>
                              <a:gd name="T51" fmla="*/ 176 h 61"/>
                              <a:gd name="T52" fmla="+- 0 1012 954"/>
                              <a:gd name="T53" fmla="*/ T52 w 61"/>
                              <a:gd name="T54" fmla="+- 0 188 146"/>
                              <a:gd name="T55" fmla="*/ 188 h 61"/>
                              <a:gd name="T56" fmla="+- 0 1005 954"/>
                              <a:gd name="T57" fmla="*/ T56 w 61"/>
                              <a:gd name="T58" fmla="+- 0 198 146"/>
                              <a:gd name="T59" fmla="*/ 198 h 61"/>
                              <a:gd name="T60" fmla="+- 0 996 954"/>
                              <a:gd name="T61" fmla="*/ T60 w 61"/>
                              <a:gd name="T62" fmla="+- 0 204 146"/>
                              <a:gd name="T63" fmla="*/ 204 h 61"/>
                              <a:gd name="T64" fmla="+- 0 984 954"/>
                              <a:gd name="T65" fmla="*/ T64 w 61"/>
                              <a:gd name="T66" fmla="+- 0 206 146"/>
                              <a:gd name="T67" fmla="*/ 20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60"/>
                                </a:moveTo>
                                <a:lnTo>
                                  <a:pt x="18" y="58"/>
                                </a:lnTo>
                                <a:lnTo>
                                  <a:pt x="9" y="52"/>
                                </a:lnTo>
                                <a:lnTo>
                                  <a:pt x="2" y="42"/>
                                </a:lnTo>
                                <a:lnTo>
                                  <a:pt x="0" y="30"/>
                                </a:lnTo>
                                <a:lnTo>
                                  <a:pt x="2" y="19"/>
                                </a:lnTo>
                                <a:lnTo>
                                  <a:pt x="9" y="9"/>
                                </a:lnTo>
                                <a:lnTo>
                                  <a:pt x="18" y="3"/>
                                </a:lnTo>
                                <a:lnTo>
                                  <a:pt x="30" y="0"/>
                                </a:lnTo>
                                <a:lnTo>
                                  <a:pt x="42" y="3"/>
                                </a:lnTo>
                                <a:lnTo>
                                  <a:pt x="51" y="9"/>
                                </a:lnTo>
                                <a:lnTo>
                                  <a:pt x="58" y="19"/>
                                </a:lnTo>
                                <a:lnTo>
                                  <a:pt x="60" y="30"/>
                                </a:lnTo>
                                <a:lnTo>
                                  <a:pt x="58" y="42"/>
                                </a:lnTo>
                                <a:lnTo>
                                  <a:pt x="51" y="52"/>
                                </a:lnTo>
                                <a:lnTo>
                                  <a:pt x="42" y="58"/>
                                </a:lnTo>
                                <a:lnTo>
                                  <a:pt x="3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954" y="146"/>
                            <a:ext cx="61" cy="61"/>
                          </a:xfrm>
                          <a:custGeom>
                            <a:avLst/>
                            <a:gdLst>
                              <a:gd name="T0" fmla="+- 0 1014 954"/>
                              <a:gd name="T1" fmla="*/ T0 w 61"/>
                              <a:gd name="T2" fmla="+- 0 176 146"/>
                              <a:gd name="T3" fmla="*/ 176 h 61"/>
                              <a:gd name="T4" fmla="+- 0 1012 954"/>
                              <a:gd name="T5" fmla="*/ T4 w 61"/>
                              <a:gd name="T6" fmla="+- 0 188 146"/>
                              <a:gd name="T7" fmla="*/ 188 h 61"/>
                              <a:gd name="T8" fmla="+- 0 1005 954"/>
                              <a:gd name="T9" fmla="*/ T8 w 61"/>
                              <a:gd name="T10" fmla="+- 0 198 146"/>
                              <a:gd name="T11" fmla="*/ 198 h 61"/>
                              <a:gd name="T12" fmla="+- 0 996 954"/>
                              <a:gd name="T13" fmla="*/ T12 w 61"/>
                              <a:gd name="T14" fmla="+- 0 204 146"/>
                              <a:gd name="T15" fmla="*/ 204 h 61"/>
                              <a:gd name="T16" fmla="+- 0 984 954"/>
                              <a:gd name="T17" fmla="*/ T16 w 61"/>
                              <a:gd name="T18" fmla="+- 0 206 146"/>
                              <a:gd name="T19" fmla="*/ 206 h 61"/>
                              <a:gd name="T20" fmla="+- 0 972 954"/>
                              <a:gd name="T21" fmla="*/ T20 w 61"/>
                              <a:gd name="T22" fmla="+- 0 204 146"/>
                              <a:gd name="T23" fmla="*/ 204 h 61"/>
                              <a:gd name="T24" fmla="+- 0 963 954"/>
                              <a:gd name="T25" fmla="*/ T24 w 61"/>
                              <a:gd name="T26" fmla="+- 0 198 146"/>
                              <a:gd name="T27" fmla="*/ 198 h 61"/>
                              <a:gd name="T28" fmla="+- 0 956 954"/>
                              <a:gd name="T29" fmla="*/ T28 w 61"/>
                              <a:gd name="T30" fmla="+- 0 188 146"/>
                              <a:gd name="T31" fmla="*/ 188 h 61"/>
                              <a:gd name="T32" fmla="+- 0 954 954"/>
                              <a:gd name="T33" fmla="*/ T32 w 61"/>
                              <a:gd name="T34" fmla="+- 0 176 146"/>
                              <a:gd name="T35" fmla="*/ 176 h 61"/>
                              <a:gd name="T36" fmla="+- 0 956 954"/>
                              <a:gd name="T37" fmla="*/ T36 w 61"/>
                              <a:gd name="T38" fmla="+- 0 165 146"/>
                              <a:gd name="T39" fmla="*/ 165 h 61"/>
                              <a:gd name="T40" fmla="+- 0 963 954"/>
                              <a:gd name="T41" fmla="*/ T40 w 61"/>
                              <a:gd name="T42" fmla="+- 0 155 146"/>
                              <a:gd name="T43" fmla="*/ 155 h 61"/>
                              <a:gd name="T44" fmla="+- 0 972 954"/>
                              <a:gd name="T45" fmla="*/ T44 w 61"/>
                              <a:gd name="T46" fmla="+- 0 149 146"/>
                              <a:gd name="T47" fmla="*/ 149 h 61"/>
                              <a:gd name="T48" fmla="+- 0 984 954"/>
                              <a:gd name="T49" fmla="*/ T48 w 61"/>
                              <a:gd name="T50" fmla="+- 0 146 146"/>
                              <a:gd name="T51" fmla="*/ 146 h 61"/>
                              <a:gd name="T52" fmla="+- 0 996 954"/>
                              <a:gd name="T53" fmla="*/ T52 w 61"/>
                              <a:gd name="T54" fmla="+- 0 149 146"/>
                              <a:gd name="T55" fmla="*/ 149 h 61"/>
                              <a:gd name="T56" fmla="+- 0 1005 954"/>
                              <a:gd name="T57" fmla="*/ T56 w 61"/>
                              <a:gd name="T58" fmla="+- 0 155 146"/>
                              <a:gd name="T59" fmla="*/ 155 h 61"/>
                              <a:gd name="T60" fmla="+- 0 1012 954"/>
                              <a:gd name="T61" fmla="*/ T60 w 61"/>
                              <a:gd name="T62" fmla="+- 0 165 146"/>
                              <a:gd name="T63" fmla="*/ 165 h 61"/>
                              <a:gd name="T64" fmla="+- 0 1014 954"/>
                              <a:gd name="T65" fmla="*/ T64 w 61"/>
                              <a:gd name="T66" fmla="+- 0 176 146"/>
                              <a:gd name="T67" fmla="*/ 17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60" y="30"/>
                                </a:moveTo>
                                <a:lnTo>
                                  <a:pt x="58" y="42"/>
                                </a:lnTo>
                                <a:lnTo>
                                  <a:pt x="51" y="52"/>
                                </a:lnTo>
                                <a:lnTo>
                                  <a:pt x="42" y="58"/>
                                </a:lnTo>
                                <a:lnTo>
                                  <a:pt x="30" y="60"/>
                                </a:lnTo>
                                <a:lnTo>
                                  <a:pt x="18" y="58"/>
                                </a:lnTo>
                                <a:lnTo>
                                  <a:pt x="9" y="52"/>
                                </a:lnTo>
                                <a:lnTo>
                                  <a:pt x="2" y="42"/>
                                </a:lnTo>
                                <a:lnTo>
                                  <a:pt x="0" y="30"/>
                                </a:lnTo>
                                <a:lnTo>
                                  <a:pt x="2" y="19"/>
                                </a:lnTo>
                                <a:lnTo>
                                  <a:pt x="9" y="9"/>
                                </a:lnTo>
                                <a:lnTo>
                                  <a:pt x="18" y="3"/>
                                </a:lnTo>
                                <a:lnTo>
                                  <a:pt x="30" y="0"/>
                                </a:lnTo>
                                <a:lnTo>
                                  <a:pt x="42" y="3"/>
                                </a:lnTo>
                                <a:lnTo>
                                  <a:pt x="51" y="9"/>
                                </a:lnTo>
                                <a:lnTo>
                                  <a:pt x="58" y="19"/>
                                </a:lnTo>
                                <a:lnTo>
                                  <a:pt x="60" y="30"/>
                                </a:lnTo>
                                <a:close/>
                              </a:path>
                            </a:pathLst>
                          </a:custGeom>
                          <a:noFill/>
                          <a:ln w="7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DDB1E" id="Group 20" o:spid="_x0000_s1026" style="position:absolute;margin-left:47.4pt;margin-top:7pt;width:3.65pt;height:3.65pt;z-index:251671552;mso-position-horizontal-relative:page" coordorigin="948,140" coordsize="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zwcAAKEpAAAOAAAAZHJzL2Uyb0RvYy54bWzsmlFvo0YQx98r9TsgHlv5zMKCjXXO6RrH&#10;p0rX9qSjH4AANqgYKJA416rfvTMLOLvcrEN9vfZaJQ8xDuNl5r+zs7O/+OWrh0Nu3Cd1k5XF2mQv&#10;LNNIiqiMs2K/Nn8OtrOlaTRtWMRhXhbJ2vyQNOarq6+/enmsVoldpmUeJ7UBgxTN6litzbRtq9V8&#10;3kRpcgibF2WVFHBzV9aHsIW39X4e1+ERRj/kc9uyvPmxrOOqLqOkaeCvm+6meSXG3+2SqP1pt2uS&#10;1sjXJvjWit+1+H2Lv+dXL8PVvg6rNIt6N8ILvDiEWQEPPQ21CdvQuKuzj4Y6ZFFdNuWufRGVh3m5&#10;22VRImKAaJg1iuZNXd5VIpb96rivTjKBtCOdLh42+vH+XW1k8dq0QZ4iPMAcicca8B7EOVb7Fdi8&#10;qav31bu6ixAu35bRLw3cno/v4/t9Z2zcHn8oYxgvvGtLIc7Drj7gEBC28SDm4MNpDpKH1ojgj9xz&#10;XNc0IrjTXYoZilKYRvyMzyGh4B7j/dxF6U3/yYXTfQxe0bNw1T1OuNi7hPFAnjWPUjafJuX7NKwS&#10;MUMNyjRIyQYpt3WSYPIawid8OFgNSjayjNIdNGtA7ScF9F3ei+F1iTyI6IEDqCC8ylKEq+iuad8k&#10;pZiF8P5t0wp19zFcibmN+xQIIBl2hxyWwrczwzL8JTfwYb31YARP6Yy+mRuBZRyN7nmwCk7j2IOJ&#10;GMe2PIPx3tlHI5i40zhokhIDQaSyQwubcggS5zRQwEmHvMGkd4hTDi0GIwjMtjjpEOSh7JDnUA75&#10;gxEqtCQdYqrUzF9SHjFZa7ShNGKq2r7rUT4xWe6A2bRXqt5sSXslC442pFeq5JBHpFey5gHzaK9U&#10;0dmCTCcmq442lFdY7uT5o7WyZdkDW5PjquzMc6kZtGXZ0Yb0SpXdp7PKlmUPbDrRbVV25tJeybKj&#10;DemVKrtPLz5blj2w6Wx3VNkZ9ymtHFl2tKG8clTZNTXKkWUPHDrbHVV2KFGkV7LsaEN6pcru++Qa&#10;dGTZA4fOdkeVXaeVLLtOK9gt5WxnluVSi5DLugecTneu6q5JLC7rrkssPtLdgmpE7DNcFj7gdL7D&#10;tqKESK9CLguvW4XYY0i1gVmMLFlcVj7gdMK7I+XpkuXKwutKljsSXqOWKysfuHTGY+cgh0jXd+zE&#10;OivYv3T13R0Jr8ktV1Y+gHJLtQvuSHl6M3Rl4XWboacKr1mI2CmdIgw8OuM9VXjsCIguxpN113UN&#10;nqq7pmh5su6BRye8p+qu6a08WXa5uYIG+dT3henQCkYPRd8LwpUR4inOEr17VTbYfwegFzSWwdBj&#10;gxU2jhpjCAONF30Xet4YJhWNodPpetbz1tjFCHN3mjnIIMz9Sea476M5bNpTnMENWZhPixR3SjSH&#10;bW7K6LiFCfNpoeLeIsynhYo1H82hYE9xBmuxMJ8WKtZINIcCN2V0rF3CfFqoWFOE+bRQcbGjOazU&#10;Kc7gKhTmSqiwbiAz+0VSA2AYo4XaNAAt3OIjwlUVtri2hkvjKA5lRipe8K+H8j4JSnG/xQWGDRI8&#10;FKpX5+Lj/byQ7RhUSrCDgtnZDXeH10qM1qkPG8c5I6huMBJs6+eMOrfAu3NG3UjQf58z6nw6b9NH&#10;N8zTENTw2gXXS3XeJexWILrzI+H2C0bnfcK9CYyeiA63HXzeea/6sZ7QvHfrienrI3wiE8Z5NUgZ&#10;5WWTdNOFuSrAySlpMdclYtCUeRZvszzHdG3q/e11Xhv3IaI18dNPu2KWi/2hKPFjQ1bgxwFV9OsC&#10;oYVAZb/7zObWd7Y/23rLxYxvuTvzF9ZyZjH/O9+zuM832z9wN2J8lWZxnBRvsyIZsB3j01hODxA7&#10;4CbAHa5K34UiLuK6IEjgdEUM0YWrNAnjm/66DbO8u56rHguRIezhVQgBnKrDPh2kui3jD4CA6rJD&#10;loBY4SIt699M4wi4cm02v96FdWIa+fcFQCyfcezxW/GGuws83tbynVv5TlhEMNTabE3Y4vHyuu2Y&#10;6F1VZ/sUnsSEFkX5GtjdLkNMJPzrvOrfAEf7p4AaLOKOTZ6AmoBR/1mgpjtSQB167EbpZhSkkBt3&#10;+jwht6K644TaiYJH5NkL9sBHjzSN6GAikJoGFcltqO4kMWr+NQcJ2D8ePaIPXZ+RqdHn+UuYmuYY&#10;wWTFdccIpvb+mmMEk0WfyNQ0xwiFqcnHCAX2QtGRclPHiZQkn8bUNFopTE2nla0m+t/J1OjjqS3L&#10;rjue2mqya1jtRUyNPsurTE3DasdMjWa1FzE1TaGSs11XqZxRttOs9iKmRlMiR64xWko0ynaa1f7L&#10;SE2zBi8iajSrVYmahtWOiJqmXl0E1GhWqwI1DasdATUNIrqIp9FaqTxNo9Xn5Gn0PwFUnqb5J8CI&#10;p+n6hUuAmuY/JgpQ063CEVDTNVaXEDUsRxTnU8o72Az/BngmangC0qDAZ6KmU+aZqH1eojYmMjqi&#10;9uUwmYHNdJjrmfQNUPQ8U/tSSN9fIWonLhau8gIx1MKz7YsxVFU37SZs0o7JCQyHSC5cPc2n4PFo&#10;SFI5y79Z3iz5jNvezYxbm83s9faaz7wtW7gbZ3N9vWEqlUPW9+lUDv1RUKJCHLfi52PiKKG2jlTC&#10;rvw/QW3im2zwPUCBDfvvLOIXDeX3As09frPy6k8AAAD//wMAUEsDBBQABgAIAAAAIQDBNy/L3wAA&#10;AAgBAAAPAAAAZHJzL2Rvd25yZXYueG1sTI/BTsMwEETvSPyDtUjcqOO0IAhxqqoCThVSWyTEbRtv&#10;k6ixHcVukv492xMcZ2c18yZfTrYVA/Wh8U6DmiUgyJXeNK7S8LV/f3gGESI6g613pOFCAZbF7U2O&#10;mfGj29Kwi5XgEBcy1FDH2GVShrImi2HmO3LsHX1vMbLsK2l6HDnctjJNkidpsXHcUGNH65rK0+5s&#10;NXyMOK7m6m3YnI7ry8/+8fN7o0jr+7tp9Qoi0hT/nuGKz+hQMNPBn50JotXwsmDyyPcFT7r6SapA&#10;HDSkag6yyOX/AcUvAAAA//8DAFBLAQItABQABgAIAAAAIQC2gziS/gAAAOEBAAATAAAAAAAAAAAA&#10;AAAAAAAAAABbQ29udGVudF9UeXBlc10ueG1sUEsBAi0AFAAGAAgAAAAhADj9If/WAAAAlAEAAAsA&#10;AAAAAAAAAAAAAAAALwEAAF9yZWxzLy5yZWxzUEsBAi0AFAAGAAgAAAAhAK39b5PPBwAAoSkAAA4A&#10;AAAAAAAAAAAAAAAALgIAAGRycy9lMm9Eb2MueG1sUEsBAi0AFAAGAAgAAAAhAME3L8vfAAAACAEA&#10;AA8AAAAAAAAAAAAAAAAAKQoAAGRycy9kb3ducmV2LnhtbFBLBQYAAAAABAAEAPMAAAA1CwAAAAA=&#10;">
                <v:shape id="Freeform 3" o:spid="_x0000_s1027" style="position:absolute;left:954;top:14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HPwwAAANsAAAAPAAAAZHJzL2Rvd25yZXYueG1sRI9Bi8Iw&#10;FITvC/6H8ARva2pB2a1GEUUU9mS36PXZPNtq81KaqPXfbwRhj8PMfMPMFp2pxZ1aV1lWMBpGIIhz&#10;qysuFGS/m88vEM4ja6wtk4InOVjMex8zTLR98J7uqS9EgLBLUEHpfZNI6fKSDLqhbYiDd7atQR9k&#10;W0jd4iPATS3jKJpIgxWHhRIbWpWUX9ObUbCJz6vJZa238uf0ne3TU3Y8jK9KDfrdcgrCU+f/w+/2&#10;TiuIR/D6En6AnP8BAAD//wMAUEsBAi0AFAAGAAgAAAAhANvh9svuAAAAhQEAABMAAAAAAAAAAAAA&#10;AAAAAAAAAFtDb250ZW50X1R5cGVzXS54bWxQSwECLQAUAAYACAAAACEAWvQsW78AAAAVAQAACwAA&#10;AAAAAAAAAAAAAAAfAQAAX3JlbHMvLnJlbHNQSwECLQAUAAYACAAAACEAHRjRz8MAAADbAAAADwAA&#10;AAAAAAAAAAAAAAAHAgAAZHJzL2Rvd25yZXYueG1sUEsFBgAAAAADAAMAtwAAAPcCAAAAAA==&#10;" path="m30,60l18,58,9,52,2,42,,30,2,19,9,9,18,3,30,,42,3r9,6l58,19r2,11l58,42,51,52r-9,6l30,60xe" fillcolor="black" stroked="f">
                  <v:path arrowok="t" o:connecttype="custom" o:connectlocs="30,206;18,204;9,198;2,188;0,176;2,165;9,155;18,149;30,146;42,149;51,155;58,165;60,176;58,188;51,198;42,204;30,206" o:connectangles="0,0,0,0,0,0,0,0,0,0,0,0,0,0,0,0,0"/>
                </v:shape>
                <v:shape id="Freeform 4" o:spid="_x0000_s1028" style="position:absolute;left:954;top:14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emxQAAANsAAAAPAAAAZHJzL2Rvd25yZXYueG1sRI9Ba8JA&#10;FITvQv/D8gQvohtDWyS6Si0IQi+aBIq3R/aZBLNvY3araX+9KxQ8DjPzDbNc96YRV+pcbVnBbBqB&#10;IC6srrlUkGfbyRyE88gaG8uk4JccrFcvgyUm2t74QNfUlyJA2CWooPK+TaR0RUUG3dS2xME72c6g&#10;D7Irpe7wFuCmkXEUvUuDNYeFClv6rKg4pz9GQboZ/2VlPmu+X7dfb7i/tD6bH5UaDfuPBQhPvX+G&#10;/9s7rSCO4fEl/AC5ugMAAP//AwBQSwECLQAUAAYACAAAACEA2+H2y+4AAACFAQAAEwAAAAAAAAAA&#10;AAAAAAAAAAAAW0NvbnRlbnRfVHlwZXNdLnhtbFBLAQItABQABgAIAAAAIQBa9CxbvwAAABUBAAAL&#10;AAAAAAAAAAAAAAAAAB8BAABfcmVscy8ucmVsc1BLAQItABQABgAIAAAAIQCPFkemxQAAANsAAAAP&#10;AAAAAAAAAAAAAAAAAAcCAABkcnMvZG93bnJldi54bWxQSwUGAAAAAAMAAwC3AAAA+QIAAAAA&#10;" path="m60,30l58,42,51,52r-9,6l30,60,18,58,9,52,2,42,,30,2,19,9,9,18,3,30,,42,3r9,6l58,19r2,11xe" filled="f" strokeweight=".21172mm">
                  <v:path arrowok="t" o:connecttype="custom" o:connectlocs="60,176;58,188;51,198;42,204;30,206;18,204;9,198;2,188;0,176;2,165;9,155;18,149;30,146;42,149;51,155;58,165;60,176" o:connectangles="0,0,0,0,0,0,0,0,0,0,0,0,0,0,0,0,0"/>
                </v:shape>
                <w10:wrap anchorx="page"/>
              </v:group>
            </w:pict>
          </mc:Fallback>
        </mc:AlternateContent>
      </w:r>
      <w:r>
        <w:rPr>
          <w:noProof/>
        </w:rPr>
        <mc:AlternateContent>
          <mc:Choice Requires="wpg">
            <w:drawing>
              <wp:anchor distT="0" distB="0" distL="114300" distR="114300" simplePos="0" relativeHeight="251672576" behindDoc="0" locked="0" layoutInCell="1" allowOverlap="1" wp14:anchorId="26E5145B" wp14:editId="57AA6E15">
                <wp:simplePos x="0" y="0"/>
                <wp:positionH relativeFrom="page">
                  <wp:posOffset>601980</wp:posOffset>
                </wp:positionH>
                <wp:positionV relativeFrom="paragraph">
                  <wp:posOffset>226060</wp:posOffset>
                </wp:positionV>
                <wp:extent cx="46355" cy="4635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46355"/>
                          <a:chOff x="948" y="356"/>
                          <a:chExt cx="73" cy="73"/>
                        </a:xfrm>
                      </wpg:grpSpPr>
                      <wps:wsp>
                        <wps:cNvPr id="18" name="Freeform 6"/>
                        <wps:cNvSpPr>
                          <a:spLocks/>
                        </wps:cNvSpPr>
                        <wps:spPr bwMode="auto">
                          <a:xfrm>
                            <a:off x="954" y="362"/>
                            <a:ext cx="61" cy="61"/>
                          </a:xfrm>
                          <a:custGeom>
                            <a:avLst/>
                            <a:gdLst>
                              <a:gd name="T0" fmla="+- 0 984 954"/>
                              <a:gd name="T1" fmla="*/ T0 w 61"/>
                              <a:gd name="T2" fmla="+- 0 423 362"/>
                              <a:gd name="T3" fmla="*/ 423 h 61"/>
                              <a:gd name="T4" fmla="+- 0 972 954"/>
                              <a:gd name="T5" fmla="*/ T4 w 61"/>
                              <a:gd name="T6" fmla="+- 0 420 362"/>
                              <a:gd name="T7" fmla="*/ 420 h 61"/>
                              <a:gd name="T8" fmla="+- 0 963 954"/>
                              <a:gd name="T9" fmla="*/ T8 w 61"/>
                              <a:gd name="T10" fmla="+- 0 414 362"/>
                              <a:gd name="T11" fmla="*/ 414 h 61"/>
                              <a:gd name="T12" fmla="+- 0 956 954"/>
                              <a:gd name="T13" fmla="*/ T12 w 61"/>
                              <a:gd name="T14" fmla="+- 0 404 362"/>
                              <a:gd name="T15" fmla="*/ 404 h 61"/>
                              <a:gd name="T16" fmla="+- 0 954 954"/>
                              <a:gd name="T17" fmla="*/ T16 w 61"/>
                              <a:gd name="T18" fmla="+- 0 393 362"/>
                              <a:gd name="T19" fmla="*/ 393 h 61"/>
                              <a:gd name="T20" fmla="+- 0 956 954"/>
                              <a:gd name="T21" fmla="*/ T20 w 61"/>
                              <a:gd name="T22" fmla="+- 0 381 362"/>
                              <a:gd name="T23" fmla="*/ 381 h 61"/>
                              <a:gd name="T24" fmla="+- 0 963 954"/>
                              <a:gd name="T25" fmla="*/ T24 w 61"/>
                              <a:gd name="T26" fmla="+- 0 371 362"/>
                              <a:gd name="T27" fmla="*/ 371 h 61"/>
                              <a:gd name="T28" fmla="+- 0 972 954"/>
                              <a:gd name="T29" fmla="*/ T28 w 61"/>
                              <a:gd name="T30" fmla="+- 0 365 362"/>
                              <a:gd name="T31" fmla="*/ 365 h 61"/>
                              <a:gd name="T32" fmla="+- 0 984 954"/>
                              <a:gd name="T33" fmla="*/ T32 w 61"/>
                              <a:gd name="T34" fmla="+- 0 362 362"/>
                              <a:gd name="T35" fmla="*/ 362 h 61"/>
                              <a:gd name="T36" fmla="+- 0 996 954"/>
                              <a:gd name="T37" fmla="*/ T36 w 61"/>
                              <a:gd name="T38" fmla="+- 0 365 362"/>
                              <a:gd name="T39" fmla="*/ 365 h 61"/>
                              <a:gd name="T40" fmla="+- 0 1005 954"/>
                              <a:gd name="T41" fmla="*/ T40 w 61"/>
                              <a:gd name="T42" fmla="+- 0 371 362"/>
                              <a:gd name="T43" fmla="*/ 371 h 61"/>
                              <a:gd name="T44" fmla="+- 0 1012 954"/>
                              <a:gd name="T45" fmla="*/ T44 w 61"/>
                              <a:gd name="T46" fmla="+- 0 381 362"/>
                              <a:gd name="T47" fmla="*/ 381 h 61"/>
                              <a:gd name="T48" fmla="+- 0 1014 954"/>
                              <a:gd name="T49" fmla="*/ T48 w 61"/>
                              <a:gd name="T50" fmla="+- 0 393 362"/>
                              <a:gd name="T51" fmla="*/ 393 h 61"/>
                              <a:gd name="T52" fmla="+- 0 1012 954"/>
                              <a:gd name="T53" fmla="*/ T52 w 61"/>
                              <a:gd name="T54" fmla="+- 0 404 362"/>
                              <a:gd name="T55" fmla="*/ 404 h 61"/>
                              <a:gd name="T56" fmla="+- 0 1005 954"/>
                              <a:gd name="T57" fmla="*/ T56 w 61"/>
                              <a:gd name="T58" fmla="+- 0 414 362"/>
                              <a:gd name="T59" fmla="*/ 414 h 61"/>
                              <a:gd name="T60" fmla="+- 0 996 954"/>
                              <a:gd name="T61" fmla="*/ T60 w 61"/>
                              <a:gd name="T62" fmla="+- 0 420 362"/>
                              <a:gd name="T63" fmla="*/ 420 h 61"/>
                              <a:gd name="T64" fmla="+- 0 984 954"/>
                              <a:gd name="T65" fmla="*/ T64 w 61"/>
                              <a:gd name="T66" fmla="+- 0 423 362"/>
                              <a:gd name="T67" fmla="*/ 4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61"/>
                                </a:moveTo>
                                <a:lnTo>
                                  <a:pt x="18" y="58"/>
                                </a:lnTo>
                                <a:lnTo>
                                  <a:pt x="9" y="52"/>
                                </a:lnTo>
                                <a:lnTo>
                                  <a:pt x="2" y="42"/>
                                </a:lnTo>
                                <a:lnTo>
                                  <a:pt x="0" y="31"/>
                                </a:lnTo>
                                <a:lnTo>
                                  <a:pt x="2" y="19"/>
                                </a:lnTo>
                                <a:lnTo>
                                  <a:pt x="9" y="9"/>
                                </a:lnTo>
                                <a:lnTo>
                                  <a:pt x="18" y="3"/>
                                </a:lnTo>
                                <a:lnTo>
                                  <a:pt x="30" y="0"/>
                                </a:lnTo>
                                <a:lnTo>
                                  <a:pt x="42" y="3"/>
                                </a:lnTo>
                                <a:lnTo>
                                  <a:pt x="51" y="9"/>
                                </a:lnTo>
                                <a:lnTo>
                                  <a:pt x="58" y="19"/>
                                </a:lnTo>
                                <a:lnTo>
                                  <a:pt x="60" y="31"/>
                                </a:lnTo>
                                <a:lnTo>
                                  <a:pt x="58" y="42"/>
                                </a:lnTo>
                                <a:lnTo>
                                  <a:pt x="51" y="52"/>
                                </a:lnTo>
                                <a:lnTo>
                                  <a:pt x="42" y="58"/>
                                </a:lnTo>
                                <a:lnTo>
                                  <a:pt x="3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954" y="362"/>
                            <a:ext cx="61" cy="61"/>
                          </a:xfrm>
                          <a:custGeom>
                            <a:avLst/>
                            <a:gdLst>
                              <a:gd name="T0" fmla="+- 0 1014 954"/>
                              <a:gd name="T1" fmla="*/ T0 w 61"/>
                              <a:gd name="T2" fmla="+- 0 393 362"/>
                              <a:gd name="T3" fmla="*/ 393 h 61"/>
                              <a:gd name="T4" fmla="+- 0 1012 954"/>
                              <a:gd name="T5" fmla="*/ T4 w 61"/>
                              <a:gd name="T6" fmla="+- 0 404 362"/>
                              <a:gd name="T7" fmla="*/ 404 h 61"/>
                              <a:gd name="T8" fmla="+- 0 1005 954"/>
                              <a:gd name="T9" fmla="*/ T8 w 61"/>
                              <a:gd name="T10" fmla="+- 0 414 362"/>
                              <a:gd name="T11" fmla="*/ 414 h 61"/>
                              <a:gd name="T12" fmla="+- 0 996 954"/>
                              <a:gd name="T13" fmla="*/ T12 w 61"/>
                              <a:gd name="T14" fmla="+- 0 420 362"/>
                              <a:gd name="T15" fmla="*/ 420 h 61"/>
                              <a:gd name="T16" fmla="+- 0 984 954"/>
                              <a:gd name="T17" fmla="*/ T16 w 61"/>
                              <a:gd name="T18" fmla="+- 0 423 362"/>
                              <a:gd name="T19" fmla="*/ 423 h 61"/>
                              <a:gd name="T20" fmla="+- 0 972 954"/>
                              <a:gd name="T21" fmla="*/ T20 w 61"/>
                              <a:gd name="T22" fmla="+- 0 420 362"/>
                              <a:gd name="T23" fmla="*/ 420 h 61"/>
                              <a:gd name="T24" fmla="+- 0 963 954"/>
                              <a:gd name="T25" fmla="*/ T24 w 61"/>
                              <a:gd name="T26" fmla="+- 0 414 362"/>
                              <a:gd name="T27" fmla="*/ 414 h 61"/>
                              <a:gd name="T28" fmla="+- 0 956 954"/>
                              <a:gd name="T29" fmla="*/ T28 w 61"/>
                              <a:gd name="T30" fmla="+- 0 404 362"/>
                              <a:gd name="T31" fmla="*/ 404 h 61"/>
                              <a:gd name="T32" fmla="+- 0 954 954"/>
                              <a:gd name="T33" fmla="*/ T32 w 61"/>
                              <a:gd name="T34" fmla="+- 0 393 362"/>
                              <a:gd name="T35" fmla="*/ 393 h 61"/>
                              <a:gd name="T36" fmla="+- 0 956 954"/>
                              <a:gd name="T37" fmla="*/ T36 w 61"/>
                              <a:gd name="T38" fmla="+- 0 381 362"/>
                              <a:gd name="T39" fmla="*/ 381 h 61"/>
                              <a:gd name="T40" fmla="+- 0 963 954"/>
                              <a:gd name="T41" fmla="*/ T40 w 61"/>
                              <a:gd name="T42" fmla="+- 0 371 362"/>
                              <a:gd name="T43" fmla="*/ 371 h 61"/>
                              <a:gd name="T44" fmla="+- 0 972 954"/>
                              <a:gd name="T45" fmla="*/ T44 w 61"/>
                              <a:gd name="T46" fmla="+- 0 365 362"/>
                              <a:gd name="T47" fmla="*/ 365 h 61"/>
                              <a:gd name="T48" fmla="+- 0 984 954"/>
                              <a:gd name="T49" fmla="*/ T48 w 61"/>
                              <a:gd name="T50" fmla="+- 0 362 362"/>
                              <a:gd name="T51" fmla="*/ 362 h 61"/>
                              <a:gd name="T52" fmla="+- 0 996 954"/>
                              <a:gd name="T53" fmla="*/ T52 w 61"/>
                              <a:gd name="T54" fmla="+- 0 365 362"/>
                              <a:gd name="T55" fmla="*/ 365 h 61"/>
                              <a:gd name="T56" fmla="+- 0 1005 954"/>
                              <a:gd name="T57" fmla="*/ T56 w 61"/>
                              <a:gd name="T58" fmla="+- 0 371 362"/>
                              <a:gd name="T59" fmla="*/ 371 h 61"/>
                              <a:gd name="T60" fmla="+- 0 1012 954"/>
                              <a:gd name="T61" fmla="*/ T60 w 61"/>
                              <a:gd name="T62" fmla="+- 0 381 362"/>
                              <a:gd name="T63" fmla="*/ 381 h 61"/>
                              <a:gd name="T64" fmla="+- 0 1014 954"/>
                              <a:gd name="T65" fmla="*/ T64 w 61"/>
                              <a:gd name="T66" fmla="+- 0 393 362"/>
                              <a:gd name="T67" fmla="*/ 39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60" y="31"/>
                                </a:moveTo>
                                <a:lnTo>
                                  <a:pt x="58" y="42"/>
                                </a:lnTo>
                                <a:lnTo>
                                  <a:pt x="51" y="52"/>
                                </a:lnTo>
                                <a:lnTo>
                                  <a:pt x="42" y="58"/>
                                </a:lnTo>
                                <a:lnTo>
                                  <a:pt x="30" y="61"/>
                                </a:lnTo>
                                <a:lnTo>
                                  <a:pt x="18" y="58"/>
                                </a:lnTo>
                                <a:lnTo>
                                  <a:pt x="9" y="52"/>
                                </a:lnTo>
                                <a:lnTo>
                                  <a:pt x="2" y="42"/>
                                </a:lnTo>
                                <a:lnTo>
                                  <a:pt x="0" y="31"/>
                                </a:lnTo>
                                <a:lnTo>
                                  <a:pt x="2" y="19"/>
                                </a:lnTo>
                                <a:lnTo>
                                  <a:pt x="9" y="9"/>
                                </a:lnTo>
                                <a:lnTo>
                                  <a:pt x="18" y="3"/>
                                </a:lnTo>
                                <a:lnTo>
                                  <a:pt x="30" y="0"/>
                                </a:lnTo>
                                <a:lnTo>
                                  <a:pt x="42" y="3"/>
                                </a:lnTo>
                                <a:lnTo>
                                  <a:pt x="51" y="9"/>
                                </a:lnTo>
                                <a:lnTo>
                                  <a:pt x="58" y="19"/>
                                </a:lnTo>
                                <a:lnTo>
                                  <a:pt x="60" y="31"/>
                                </a:lnTo>
                                <a:close/>
                              </a:path>
                            </a:pathLst>
                          </a:custGeom>
                          <a:noFill/>
                          <a:ln w="7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F6054" id="Group 17" o:spid="_x0000_s1026" style="position:absolute;margin-left:47.4pt;margin-top:17.8pt;width:3.65pt;height:3.65pt;z-index:251672576;mso-position-horizontal-relative:page" coordorigin="948,356" coordsize="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Cw1gcAAKEpAAAOAAAAZHJzL2Uyb0RvYy54bWzsmm2PozYQx99X6ndAvGyVCw+GhOiyp+tm&#10;c6p0bU86+gG8QAIqAQrsZq9Vv3tnbJy1OTtLc722V+2+CLBM7PHf4/H4p7x89XAorfus7Yq6Wtvu&#10;C8e2siqp06Lar+2f4+1saVtdT6uUlnWVre0PWWe/uvr6q5fHZpV5dV6XadZa0EjVrY7N2s77vlnN&#10;512SZwfavaibrIKXu7o90B4e2/08bekRWj+Uc89xwvmxbtOmrZOs6+C/G/7SvmLt73ZZ0v+023VZ&#10;b5VrG3zr2WfLPm/xc371kq72LW3yIhncoBd4caBFBZ2emtrQnlp3bfFRU4ciaeuu3vUvkvowr3e7&#10;IsnYGGA0rjMazZu2vmvYWPar4745yQTSjnS6uNnkx/t3rVWkMHcL26roAeaIdWvBM4hzbPYrsHnT&#10;Nu+bdy0fIdy+rZNfOng9H7/H5z03tm6PP9QptEfv+pqJ87BrD9gEDNt6YHPw4TQH2UNvJfBPEvpB&#10;YFsJvOG3bIaSHKYRvxMRCCh45wchn7skvxm+ufD51+CKntEV7465OLiE44E46x6l7D5Nyvc5bTI2&#10;Qx3KJKQEH7mU2zbLMHgt5i12DlZCyU6WUXqDZh2o/aSAUUC4GKHHxRAihi6XAq6yFHSV3HX9m6xm&#10;s0Dv33Y9U3efwh2b23TwO4a1sjuUsBS+nVmOFS2JhZ0N1sIIeuFG38yt2LGOFu8PVsGpHU+YsHaI&#10;51u+cPbRCCbu1A6a5JqGYKSyQwtP5xAEzqmhmGgdCoXJ4JCjcwiWwqkd4jlah2COZYdCX+dQJIxQ&#10;oaXWIVeVmrhE55Era402Oo1cVe0oCHU+ubLcsevpvVL1Jo7eK1lwtNF6pUoOcaT1StY8dkO9V6ro&#10;fqQNJ1dWHW10Xnmq7AatPFn2GCJBG+Oq7P7S1c2gJ8uONlqvVNkjfVR5suyxpw90T5XdX+i9kmVH&#10;G61XquyRfvF5suyxp492X5XdDwOdVr4sO9rovPJV2Q05ypdlj319tPuq7JCitF7JsqON1itV9ijS&#10;rkFflj329dHuq7KbtJJlN2lFVNldxwl0i5DIusdEH+5E1d0QWETW3RRYRNXddSAbafYZIgsfE328&#10;E1V4wyoksvCmVYg1hpTbwS1tyiKy8jHRB3ygKm9IWYEsvCllBarwJrUCWfk40Ec8Vg7SEA35HSux&#10;x43QkN+hEpObMsVWICsfw9akS6WBqrxhMwxk4U2bYagKb1iIWCmdRhiH+oiHikUeIVYEmiomlHU3&#10;VQ2hqrshaYWy7nGoD/hQ1d1QW4Wy7HJxBQXyqe6juSgFk4dqqAXhzqJ4inNY7d7UHdbfMegF5Xcs&#10;amywwsLRYAzDQGN2koD+zhvDpKIxVDq8Zj1vjVUMMw+mmYMMzDyaZI77PprDpj3FGdyQmfm0keJO&#10;ieawzU1pHbcwZj5tqLi3MPNpQ8Wcj+aQsKc4g7mYmU8bKuZINIcEN6V1zF3MfNpQMacw82lDxcWO&#10;5rBSpziDq5CZK0PlcTwskhYAwxgttLYFaOEWu6Crhva4tsStdVzb6EXOLvjfQ32fxTV73+MCwwIJ&#10;OuUnKejr8X1ZyXYuZEqwg4TJhyLeimvDWuPqw8ZxzgiyG7QE2/o5I+7WKWJFN+LKu+MtQf19riXu&#10;03mbYXRinkQv4sp7G6RiEAeUEi/FlRthtQKjO98Sbr9gdN4n3JvA6InR4baD/Yl4F96IK/dqaOsJ&#10;zQe3npi+YYRPRMI4roQ/SVl3GZ8ujFUGTk5Bi7EuEYOuLot0W5QlhmvX7m+vy9a6p4jW2N8w7YpZ&#10;yfaHqsaviajArwOqGNYFQguGyn6PXI8433nRbBsuFzOyJcEsWjjLmeNG30WhQyKy2f6Bu5FLVnmR&#10;pln1tqgyge1cMo3lDACRAzcG7nBVRgEkcTauCwYJnK5KYXR0lWc0vRnue1qU/H6uesxEhmGLKxMC&#10;OBXHPhxS3dbpB0BAbc2RJSBWuMnr9jfbOgKuXNvdr3e0zWyr/L4CiBW5BGv8nj2QYIHH21Z+cyu/&#10;oVUCTa3t3oYtHm+ve85E75q22OfQk8u0qOrXwO52BWIi5h/3angAjvZPATXIGSOgxnLyFwvUTEcK&#10;yEOP1ai+GIV8JhXuhvOEXIqajhNqJWo8TYjukGAZClFhwpGaHhUpZajhJKEW/6aDBMTCo0b6Q9dn&#10;ZGr68/xFTE1/jHCh6jiNz3SMcNXa33CMQKR/amoiUzMcIxSmJh8jFNgLSUeKTRMnUoJ8GlMzHLkU&#10;pmbSylMD/W9kaobjqSfLbjqeemqwm/ijEuzTmJrhLK8wNROrHTM1Pau9iKnpWa0vR7spU/mjaNdz&#10;7YuYmp7V+rLsRko0inY9q/2XkZphDV5E1PSsViVqBlY7ImqGfHURUNOzWhWoGVjtCKgZENElPM3A&#10;ahWeZmK1n5GnGVitwtNMrHbE00z1wiVAzcBqFaBmWoUjoGYqrC4haobaSiFqcsqC09IzUTOhwGei&#10;ZlLmmagxMvzZiNqYyJiI2n+HyQg2w1nRM+kTUPTLIH1/haiduBjiS8RQi9DzLsZQTdv1G9rlnMkx&#10;DIdIjq6e5lPQPRpqqZwT3SxvlmRGvPBmRpzNZvZ6e01m4dZdBBt/c329cVUqh6zv06nceRi3ZX8f&#10;E0cJtXFSCbvy/wS1sV+ywe8AGTYcfrOIPzSUnxmae/xl5dWfAAAA//8DAFBLAwQUAAYACAAAACEA&#10;33n+Zt8AAAAIAQAADwAAAGRycy9kb3ducmV2LnhtbEyPzWrDMBCE74W+g9hCb41s54fG9TqE0PYU&#10;Ck0KIbeNtbFNLMlYiu28fZVTexxmmPkmW426ET13rrYGIZ5EINgUVtWmRPjZf7y8gnCejKLGGka4&#10;sYNV/viQUarsYL653/lShBLjUkKovG9TKV1RsSY3sS2b4J1tp8kH2ZVSdTSEct3IJIoWUlNtwkJF&#10;LW8qLi67q0b4HGhYT+P3fns5b27H/fzrsI0Z8flpXL+B8Dz6vzDc8QM65IHpZK9GOdEgLGeB3CNM&#10;5wsQdz9KYhAnhFmyBJln8v+B/BcAAP//AwBQSwECLQAUAAYACAAAACEAtoM4kv4AAADhAQAAEwAA&#10;AAAAAAAAAAAAAAAAAAAAW0NvbnRlbnRfVHlwZXNdLnhtbFBLAQItABQABgAIAAAAIQA4/SH/1gAA&#10;AJQBAAALAAAAAAAAAAAAAAAAAC8BAABfcmVscy8ucmVsc1BLAQItABQABgAIAAAAIQC7xfCw1gcA&#10;AKEpAAAOAAAAAAAAAAAAAAAAAC4CAABkcnMvZTJvRG9jLnhtbFBLAQItABQABgAIAAAAIQDfef5m&#10;3wAAAAgBAAAPAAAAAAAAAAAAAAAAADAKAABkcnMvZG93bnJldi54bWxQSwUGAAAAAAQABADzAAAA&#10;PAsAAAAA&#10;">
                <v:shape id="Freeform 6" o:spid="_x0000_s1027" style="position:absolute;left:954;top:36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LvxAAAANsAAAAPAAAAZHJzL2Rvd25yZXYueG1sRI9Ba8JA&#10;EIXvgv9hGaE33VRQauoqRRELPRlDex2zY5KanQ3ZVdN/7xyE3mZ4b977ZrnuXaNu1IXas4HXSQKK&#10;uPC25tJAftyN30CFiGyx8UwG/ijAejUcLDG1/s4HumWxVBLCIUUDVYxtqnUoKnIYJr4lFu3sO4dR&#10;1q7UtsO7hLtGT5Nkrh3WLA0VtrSpqLhkV2dgNz1v5r9bu9dfp0V+yE75z/fsYszLqP94BxWpj//m&#10;5/WnFXyBlV9kAL16AAAA//8DAFBLAQItABQABgAIAAAAIQDb4fbL7gAAAIUBAAATAAAAAAAAAAAA&#10;AAAAAAAAAABbQ29udGVudF9UeXBlc10ueG1sUEsBAi0AFAAGAAgAAAAhAFr0LFu/AAAAFQEAAAsA&#10;AAAAAAAAAAAAAAAAHwEAAF9yZWxzLy5yZWxzUEsBAi0AFAAGAAgAAAAhAEJOsu/EAAAA2wAAAA8A&#10;AAAAAAAAAAAAAAAABwIAAGRycy9kb3ducmV2LnhtbFBLBQYAAAAAAwADALcAAAD4AgAAAAA=&#10;" path="m30,61l18,58,9,52,2,42,,31,2,19,9,9,18,3,30,,42,3r9,6l58,19r2,12l58,42,51,52r-9,6l30,61xe" fillcolor="black" stroked="f">
                  <v:path arrowok="t" o:connecttype="custom" o:connectlocs="30,423;18,420;9,414;2,404;0,393;2,381;9,371;18,365;30,362;42,365;51,371;58,381;60,393;58,404;51,414;42,420;30,423" o:connectangles="0,0,0,0,0,0,0,0,0,0,0,0,0,0,0,0,0"/>
                </v:shape>
                <v:shape id="Freeform 7" o:spid="_x0000_s1028" style="position:absolute;left:954;top:36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9qxAAAANsAAAAPAAAAZHJzL2Rvd25yZXYueG1sRE9Na8JA&#10;EL0L/odlCl6kbpRWbJqNWEEo9KJJoPQ2ZKdJaHY2za4a/fVdoeBtHu9zkvVgWnGi3jWWFcxnEQji&#10;0uqGKwVFvntcgXAeWWNrmRRcyME6HY8SjLU984FOma9ECGEXo4La+y6W0pU1GXQz2xEH7tv2Bn2A&#10;fSV1j+cQblq5iKKlNNhwaKixo21N5U92NAqyt+k1r4p5+/m0+3jG/W/n89WXUpOHYfMKwtPg7+J/&#10;97sO81/g9ks4QKZ/AAAA//8DAFBLAQItABQABgAIAAAAIQDb4fbL7gAAAIUBAAATAAAAAAAAAAAA&#10;AAAAAAAAAABbQ29udGVudF9UeXBlc10ueG1sUEsBAi0AFAAGAAgAAAAhAFr0LFu/AAAAFQEAAAsA&#10;AAAAAAAAAAAAAAAAHwEAAF9yZWxzLy5yZWxzUEsBAi0AFAAGAAgAAAAhAE/eH2rEAAAA2wAAAA8A&#10;AAAAAAAAAAAAAAAABwIAAGRycy9kb3ducmV2LnhtbFBLBQYAAAAAAwADALcAAAD4AgAAAAA=&#10;" path="m60,31l58,42,51,52r-9,6l30,61,18,58,9,52,2,42,,31,2,19,9,9,18,3,30,,42,3r9,6l58,19r2,12xe" filled="f" strokeweight=".21172mm">
                  <v:path arrowok="t" o:connecttype="custom" o:connectlocs="60,393;58,404;51,414;42,420;30,423;18,420;9,414;2,404;0,393;2,381;9,371;18,365;30,362;42,365;51,371;58,381;60,393" o:connectangles="0,0,0,0,0,0,0,0,0,0,0,0,0,0,0,0,0"/>
                </v:shape>
                <w10:wrap anchorx="page"/>
              </v:group>
            </w:pict>
          </mc:Fallback>
        </mc:AlternateContent>
      </w:r>
      <w:r w:rsidR="00272012">
        <w:rPr>
          <w:w w:val="95"/>
        </w:rPr>
        <w:t>University</w:t>
      </w:r>
      <w:r w:rsidR="00272012">
        <w:rPr>
          <w:spacing w:val="-19"/>
          <w:w w:val="95"/>
        </w:rPr>
        <w:t xml:space="preserve"> </w:t>
      </w:r>
      <w:r w:rsidR="00272012">
        <w:rPr>
          <w:w w:val="95"/>
        </w:rPr>
        <w:t>research</w:t>
      </w:r>
      <w:r w:rsidR="00272012">
        <w:rPr>
          <w:spacing w:val="-18"/>
          <w:w w:val="95"/>
        </w:rPr>
        <w:t xml:space="preserve"> </w:t>
      </w:r>
      <w:r w:rsidR="00272012">
        <w:rPr>
          <w:w w:val="95"/>
        </w:rPr>
        <w:t>ethics</w:t>
      </w:r>
      <w:r w:rsidR="00272012">
        <w:rPr>
          <w:spacing w:val="-19"/>
          <w:w w:val="95"/>
        </w:rPr>
        <w:t xml:space="preserve"> </w:t>
      </w:r>
      <w:r w:rsidR="00272012">
        <w:rPr>
          <w:w w:val="95"/>
        </w:rPr>
        <w:t>application</w:t>
      </w:r>
      <w:r w:rsidR="00272012">
        <w:rPr>
          <w:spacing w:val="-18"/>
          <w:w w:val="95"/>
        </w:rPr>
        <w:t xml:space="preserve"> </w:t>
      </w:r>
      <w:r w:rsidR="00272012">
        <w:rPr>
          <w:w w:val="95"/>
        </w:rPr>
        <w:t>form</w:t>
      </w:r>
      <w:r w:rsidR="00272012">
        <w:rPr>
          <w:spacing w:val="-19"/>
          <w:w w:val="95"/>
        </w:rPr>
        <w:t xml:space="preserve"> </w:t>
      </w:r>
      <w:r w:rsidR="00272012">
        <w:rPr>
          <w:w w:val="95"/>
        </w:rPr>
        <w:t>015962</w:t>
      </w:r>
      <w:r w:rsidR="00272012">
        <w:rPr>
          <w:spacing w:val="-18"/>
          <w:w w:val="95"/>
        </w:rPr>
        <w:t xml:space="preserve"> </w:t>
      </w:r>
      <w:r w:rsidR="00272012">
        <w:rPr>
          <w:w w:val="95"/>
        </w:rPr>
        <w:t>(dated</w:t>
      </w:r>
      <w:r w:rsidR="00272012">
        <w:rPr>
          <w:spacing w:val="-19"/>
          <w:w w:val="95"/>
        </w:rPr>
        <w:t xml:space="preserve"> </w:t>
      </w:r>
      <w:r w:rsidR="00272012">
        <w:rPr>
          <w:w w:val="95"/>
        </w:rPr>
        <w:t xml:space="preserve">15/10/2017). </w:t>
      </w:r>
      <w:r w:rsidR="00272012">
        <w:t>Participant</w:t>
      </w:r>
      <w:r w:rsidR="00272012">
        <w:rPr>
          <w:spacing w:val="-18"/>
        </w:rPr>
        <w:t xml:space="preserve"> </w:t>
      </w:r>
      <w:r w:rsidR="00272012">
        <w:t>information</w:t>
      </w:r>
      <w:r w:rsidR="00272012">
        <w:rPr>
          <w:spacing w:val="-17"/>
        </w:rPr>
        <w:t xml:space="preserve"> </w:t>
      </w:r>
      <w:r w:rsidR="00272012">
        <w:t>sheet</w:t>
      </w:r>
      <w:r w:rsidR="00272012">
        <w:rPr>
          <w:spacing w:val="-17"/>
        </w:rPr>
        <w:t xml:space="preserve"> </w:t>
      </w:r>
      <w:r w:rsidR="00272012">
        <w:t>1036115</w:t>
      </w:r>
      <w:r w:rsidR="00272012">
        <w:rPr>
          <w:spacing w:val="-17"/>
        </w:rPr>
        <w:t xml:space="preserve"> </w:t>
      </w:r>
      <w:r w:rsidR="00272012">
        <w:t>version</w:t>
      </w:r>
      <w:r w:rsidR="00272012">
        <w:rPr>
          <w:spacing w:val="-17"/>
        </w:rPr>
        <w:t xml:space="preserve"> </w:t>
      </w:r>
      <w:r w:rsidR="00272012">
        <w:t>1</w:t>
      </w:r>
      <w:r w:rsidR="00272012">
        <w:rPr>
          <w:spacing w:val="-18"/>
        </w:rPr>
        <w:t xml:space="preserve"> </w:t>
      </w:r>
      <w:r w:rsidR="00272012">
        <w:t>(10/10/2017).</w:t>
      </w:r>
    </w:p>
    <w:p w14:paraId="41D708E7" w14:textId="22D3856A" w:rsidR="00272012" w:rsidRDefault="00106F64" w:rsidP="00272012">
      <w:pPr>
        <w:pStyle w:val="BodyText"/>
        <w:spacing w:line="194" w:lineRule="exact"/>
        <w:ind w:left="586"/>
      </w:pPr>
      <w:r>
        <w:rPr>
          <w:noProof/>
        </w:rPr>
        <mc:AlternateContent>
          <mc:Choice Requires="wpg">
            <w:drawing>
              <wp:anchor distT="0" distB="0" distL="114300" distR="114300" simplePos="0" relativeHeight="251673600" behindDoc="0" locked="0" layoutInCell="1" allowOverlap="1" wp14:anchorId="3D4AA9AC" wp14:editId="65A5C06A">
                <wp:simplePos x="0" y="0"/>
                <wp:positionH relativeFrom="page">
                  <wp:posOffset>601980</wp:posOffset>
                </wp:positionH>
                <wp:positionV relativeFrom="paragraph">
                  <wp:posOffset>43180</wp:posOffset>
                </wp:positionV>
                <wp:extent cx="46355" cy="4635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46355"/>
                          <a:chOff x="948" y="68"/>
                          <a:chExt cx="73" cy="73"/>
                        </a:xfrm>
                      </wpg:grpSpPr>
                      <wps:wsp>
                        <wps:cNvPr id="15" name="Freeform 9"/>
                        <wps:cNvSpPr>
                          <a:spLocks/>
                        </wps:cNvSpPr>
                        <wps:spPr bwMode="auto">
                          <a:xfrm>
                            <a:off x="954" y="73"/>
                            <a:ext cx="61" cy="61"/>
                          </a:xfrm>
                          <a:custGeom>
                            <a:avLst/>
                            <a:gdLst>
                              <a:gd name="T0" fmla="+- 0 984 954"/>
                              <a:gd name="T1" fmla="*/ T0 w 61"/>
                              <a:gd name="T2" fmla="+- 0 134 74"/>
                              <a:gd name="T3" fmla="*/ 134 h 61"/>
                              <a:gd name="T4" fmla="+- 0 972 954"/>
                              <a:gd name="T5" fmla="*/ T4 w 61"/>
                              <a:gd name="T6" fmla="+- 0 131 74"/>
                              <a:gd name="T7" fmla="*/ 131 h 61"/>
                              <a:gd name="T8" fmla="+- 0 963 954"/>
                              <a:gd name="T9" fmla="*/ T8 w 61"/>
                              <a:gd name="T10" fmla="+- 0 125 74"/>
                              <a:gd name="T11" fmla="*/ 125 h 61"/>
                              <a:gd name="T12" fmla="+- 0 956 954"/>
                              <a:gd name="T13" fmla="*/ T12 w 61"/>
                              <a:gd name="T14" fmla="+- 0 115 74"/>
                              <a:gd name="T15" fmla="*/ 115 h 61"/>
                              <a:gd name="T16" fmla="+- 0 954 954"/>
                              <a:gd name="T17" fmla="*/ T16 w 61"/>
                              <a:gd name="T18" fmla="+- 0 104 74"/>
                              <a:gd name="T19" fmla="*/ 104 h 61"/>
                              <a:gd name="T20" fmla="+- 0 956 954"/>
                              <a:gd name="T21" fmla="*/ T20 w 61"/>
                              <a:gd name="T22" fmla="+- 0 92 74"/>
                              <a:gd name="T23" fmla="*/ 92 h 61"/>
                              <a:gd name="T24" fmla="+- 0 963 954"/>
                              <a:gd name="T25" fmla="*/ T24 w 61"/>
                              <a:gd name="T26" fmla="+- 0 82 74"/>
                              <a:gd name="T27" fmla="*/ 82 h 61"/>
                              <a:gd name="T28" fmla="+- 0 972 954"/>
                              <a:gd name="T29" fmla="*/ T28 w 61"/>
                              <a:gd name="T30" fmla="+- 0 76 74"/>
                              <a:gd name="T31" fmla="*/ 76 h 61"/>
                              <a:gd name="T32" fmla="+- 0 984 954"/>
                              <a:gd name="T33" fmla="*/ T32 w 61"/>
                              <a:gd name="T34" fmla="+- 0 74 74"/>
                              <a:gd name="T35" fmla="*/ 74 h 61"/>
                              <a:gd name="T36" fmla="+- 0 996 954"/>
                              <a:gd name="T37" fmla="*/ T36 w 61"/>
                              <a:gd name="T38" fmla="+- 0 76 74"/>
                              <a:gd name="T39" fmla="*/ 76 h 61"/>
                              <a:gd name="T40" fmla="+- 0 1005 954"/>
                              <a:gd name="T41" fmla="*/ T40 w 61"/>
                              <a:gd name="T42" fmla="+- 0 82 74"/>
                              <a:gd name="T43" fmla="*/ 82 h 61"/>
                              <a:gd name="T44" fmla="+- 0 1012 954"/>
                              <a:gd name="T45" fmla="*/ T44 w 61"/>
                              <a:gd name="T46" fmla="+- 0 92 74"/>
                              <a:gd name="T47" fmla="*/ 92 h 61"/>
                              <a:gd name="T48" fmla="+- 0 1014 954"/>
                              <a:gd name="T49" fmla="*/ T48 w 61"/>
                              <a:gd name="T50" fmla="+- 0 104 74"/>
                              <a:gd name="T51" fmla="*/ 104 h 61"/>
                              <a:gd name="T52" fmla="+- 0 1012 954"/>
                              <a:gd name="T53" fmla="*/ T52 w 61"/>
                              <a:gd name="T54" fmla="+- 0 115 74"/>
                              <a:gd name="T55" fmla="*/ 115 h 61"/>
                              <a:gd name="T56" fmla="+- 0 1005 954"/>
                              <a:gd name="T57" fmla="*/ T56 w 61"/>
                              <a:gd name="T58" fmla="+- 0 125 74"/>
                              <a:gd name="T59" fmla="*/ 125 h 61"/>
                              <a:gd name="T60" fmla="+- 0 996 954"/>
                              <a:gd name="T61" fmla="*/ T60 w 61"/>
                              <a:gd name="T62" fmla="+- 0 131 74"/>
                              <a:gd name="T63" fmla="*/ 131 h 61"/>
                              <a:gd name="T64" fmla="+- 0 984 954"/>
                              <a:gd name="T65" fmla="*/ T64 w 61"/>
                              <a:gd name="T66" fmla="+- 0 134 74"/>
                              <a:gd name="T67" fmla="*/ 13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60"/>
                                </a:move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lnTo>
                                  <a:pt x="58" y="41"/>
                                </a:lnTo>
                                <a:lnTo>
                                  <a:pt x="51" y="51"/>
                                </a:lnTo>
                                <a:lnTo>
                                  <a:pt x="42" y="57"/>
                                </a:lnTo>
                                <a:lnTo>
                                  <a:pt x="3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954" y="73"/>
                            <a:ext cx="61" cy="61"/>
                          </a:xfrm>
                          <a:custGeom>
                            <a:avLst/>
                            <a:gdLst>
                              <a:gd name="T0" fmla="+- 0 1014 954"/>
                              <a:gd name="T1" fmla="*/ T0 w 61"/>
                              <a:gd name="T2" fmla="+- 0 104 74"/>
                              <a:gd name="T3" fmla="*/ 104 h 61"/>
                              <a:gd name="T4" fmla="+- 0 1012 954"/>
                              <a:gd name="T5" fmla="*/ T4 w 61"/>
                              <a:gd name="T6" fmla="+- 0 115 74"/>
                              <a:gd name="T7" fmla="*/ 115 h 61"/>
                              <a:gd name="T8" fmla="+- 0 1005 954"/>
                              <a:gd name="T9" fmla="*/ T8 w 61"/>
                              <a:gd name="T10" fmla="+- 0 125 74"/>
                              <a:gd name="T11" fmla="*/ 125 h 61"/>
                              <a:gd name="T12" fmla="+- 0 996 954"/>
                              <a:gd name="T13" fmla="*/ T12 w 61"/>
                              <a:gd name="T14" fmla="+- 0 131 74"/>
                              <a:gd name="T15" fmla="*/ 131 h 61"/>
                              <a:gd name="T16" fmla="+- 0 984 954"/>
                              <a:gd name="T17" fmla="*/ T16 w 61"/>
                              <a:gd name="T18" fmla="+- 0 134 74"/>
                              <a:gd name="T19" fmla="*/ 134 h 61"/>
                              <a:gd name="T20" fmla="+- 0 972 954"/>
                              <a:gd name="T21" fmla="*/ T20 w 61"/>
                              <a:gd name="T22" fmla="+- 0 131 74"/>
                              <a:gd name="T23" fmla="*/ 131 h 61"/>
                              <a:gd name="T24" fmla="+- 0 963 954"/>
                              <a:gd name="T25" fmla="*/ T24 w 61"/>
                              <a:gd name="T26" fmla="+- 0 125 74"/>
                              <a:gd name="T27" fmla="*/ 125 h 61"/>
                              <a:gd name="T28" fmla="+- 0 956 954"/>
                              <a:gd name="T29" fmla="*/ T28 w 61"/>
                              <a:gd name="T30" fmla="+- 0 115 74"/>
                              <a:gd name="T31" fmla="*/ 115 h 61"/>
                              <a:gd name="T32" fmla="+- 0 954 954"/>
                              <a:gd name="T33" fmla="*/ T32 w 61"/>
                              <a:gd name="T34" fmla="+- 0 104 74"/>
                              <a:gd name="T35" fmla="*/ 104 h 61"/>
                              <a:gd name="T36" fmla="+- 0 956 954"/>
                              <a:gd name="T37" fmla="*/ T36 w 61"/>
                              <a:gd name="T38" fmla="+- 0 92 74"/>
                              <a:gd name="T39" fmla="*/ 92 h 61"/>
                              <a:gd name="T40" fmla="+- 0 963 954"/>
                              <a:gd name="T41" fmla="*/ T40 w 61"/>
                              <a:gd name="T42" fmla="+- 0 82 74"/>
                              <a:gd name="T43" fmla="*/ 82 h 61"/>
                              <a:gd name="T44" fmla="+- 0 972 954"/>
                              <a:gd name="T45" fmla="*/ T44 w 61"/>
                              <a:gd name="T46" fmla="+- 0 76 74"/>
                              <a:gd name="T47" fmla="*/ 76 h 61"/>
                              <a:gd name="T48" fmla="+- 0 984 954"/>
                              <a:gd name="T49" fmla="*/ T48 w 61"/>
                              <a:gd name="T50" fmla="+- 0 74 74"/>
                              <a:gd name="T51" fmla="*/ 74 h 61"/>
                              <a:gd name="T52" fmla="+- 0 996 954"/>
                              <a:gd name="T53" fmla="*/ T52 w 61"/>
                              <a:gd name="T54" fmla="+- 0 76 74"/>
                              <a:gd name="T55" fmla="*/ 76 h 61"/>
                              <a:gd name="T56" fmla="+- 0 1005 954"/>
                              <a:gd name="T57" fmla="*/ T56 w 61"/>
                              <a:gd name="T58" fmla="+- 0 82 74"/>
                              <a:gd name="T59" fmla="*/ 82 h 61"/>
                              <a:gd name="T60" fmla="+- 0 1012 954"/>
                              <a:gd name="T61" fmla="*/ T60 w 61"/>
                              <a:gd name="T62" fmla="+- 0 92 74"/>
                              <a:gd name="T63" fmla="*/ 92 h 61"/>
                              <a:gd name="T64" fmla="+- 0 1014 954"/>
                              <a:gd name="T65" fmla="*/ T64 w 61"/>
                              <a:gd name="T66" fmla="+- 0 104 74"/>
                              <a:gd name="T67" fmla="*/ 10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close/>
                              </a:path>
                            </a:pathLst>
                          </a:custGeom>
                          <a:noFill/>
                          <a:ln w="7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E18A1" id="Group 14" o:spid="_x0000_s1026" style="position:absolute;margin-left:47.4pt;margin-top:3.4pt;width:3.65pt;height:3.65pt;z-index:251673600;mso-position-horizontal-relative:page" coordorigin="948,68" coordsize="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vCywcAAGEpAAAOAAAAZHJzL2Uyb0RvYy54bWzsmm2PozYQx99X6ndAvGyVCwZDQnS7p+tm&#10;c6p0bU8q/QBeQh5UAhTYzV6rfvfO2JC12XGWpr2qrW5fBFhPzMzfY3v8U16/eTzkzkNWN/uyuHLZ&#10;K891siIt1/tie+X+lKwmc9dpWlGsRV4W2ZX7MWvcN9dffvH6WC0yv9yV+TqrHeikaBbH6srdtW21&#10;mE6bdJcdRPOqrLICGjdlfRAtPNbb6boWR+j9kE99z4umx7JeV3WZZk0D/12qRvda9r/ZZGn7w2bT&#10;ZK2TX7ngWys/a/l5h5/T69disa1FtdunnRviAi8OYl/AS09dLUUrnPt6/6yrwz6ty6bctK/S8jAt&#10;N5t9mskYIBrmDaJ5V5f3lYxluzhuq5NMIO1Ap4u7Tb9/+FA7+zWMHXedQhxgjORrHXgGcY7VdgE2&#10;7+rqx+pDrSKE2/dl+nMDzdNhOz5vlbFzd/yuXEN/4r4tpTiPm/qAXUDYzqMcg4+nMcgeWyeFf/Io&#10;CEPXSaFF3coRSncwjPidmENCQVs0V0OX7m67L84C9S24omNiod4mPew8wnAgzZonJZu/puSPO1Fl&#10;coAaVKlXEvxXSq7qLMPcdWKlpbTqhWx0FbUW9LEBsV/ULw5hyEALFbFY9BJGTCkBV10JsUjvm/Zd&#10;VsoxEA/vm1Zqu13DnRzZded2AjNlc8hhInw9cTwnnnMH39VZ90bwFmX01dRJPOfoqPfBHDj14/cm&#10;sh8WcGf2rBsYtlM3aLEj+oE4dX9mPuUPqH7qKOGkP1Fv0vnDCH9mvQ2ExQJG+gM5qPsTBZQ/cW+E&#10;+sxJf5gpNPNDwiGmC40mlELMlDoOI8olpoudMJ92ylSbMdIpXW00IZ0y9YYcIp3SFU9YRDtlSs48&#10;KpWYLjmaUE75puYWpXxd9MS3pPdAdJ8YPV+XPPZpl0zFYzqffF3yxKcz3Dcln5Mu6YKDBamSqXdM&#10;TzlfFzzx6SQPTMFnEaFSoMsNFpRLwUBtelUKdL2TgE7xwBR8RiVToMsNFqRLptpxTM66QNc7CegE&#10;D0zBaZV0uS0qcVNt5nkhNem4LnjC6fzmpuJkMnFdb0sycVNu5sHKQ2woXFc84XSC84HkVIJzXXDL&#10;nMM6QlvDwSdyceK65AmnMzwcak7lU6grblucQlNxm1KhLnoS0kmO1YEeIbmOY6112jVt63hoam7L&#10;qVCXPYEdiCoJwoHu5JYX6qrbtrzIVN0y+bAYOgWYRHSiRwPZYdt/XqhEuui2yiAyRbeUTpGuehLR&#10;mR4NVCerp0jXXC+foAA+FXZi19d66WPRFXtw5wg8pHmyNK/KBsvrBNSCijLpa2iwwsrQYgxRoPGs&#10;KzPPG8OQojFUM6ooPW+NlYo0D8eZgwzSXBbaEPv53nF3R3PYnMc4gzuvNB8XKe6KaA6b2pjecceS&#10;5uNCxd1Emo8LFRd6NId1eowzuAZL83Gh4vKI5rC4jekd1y1pPi5UXFCk+bhQcaqjOUzUMc7gJJTm&#10;Rqgqd7pJUgM/GJKD2nWAHNzhK8SiEi3Orf7WOcLJFLzYyQv+91A+ZEkp21ucYFgMwUth7VIuPrXn&#10;hW7HYJkEO1BA2fWt/bWSvSn1T+L3jf1VGcHaBj1BHpzrSbkF3p0zUj2Ba+eMlE/nbbro/LMddVKd&#10;dwlLFIjufE+49YLReZ9wYwKjF6LDTQesXhCq6+sFzTu3Xhi+LsIXMmGYV30KpHnZZGq4MFclGDkl&#10;Lea6hgSaMt+vV/s8x3Rt6u3dTV47DwLJmfzrRsswy+X+UJT4tT4r8OvAIrp5gVRCkrDfYuZz7xs/&#10;nqyi+WzCVzycxDNvPvFY/E0ceTzmy9XvuBsxvtjt1+useL8vsp7KMT6O1XR8UPE0yeVwVsYhLOIy&#10;rguCBAxXrCE6sdhlYn3b3bdin6v7qemxFBnC7q9SCOBQCusoCHVXrj8C4qlLRSSBoMLNrqx/dZ0j&#10;0Mgrt/nlXtSZ6+TfFgCpYsaxsG/lAw9neIit9ZY7vUUUKXR15bYubPF4e9Mq5Hlf1fvtDt7EpBZF&#10;+RbQ3GaPHEj6p7zqHoCT/VPADCqdATADMgJOoWbA1f5zxMx2moB16KkWpUtRWM/0op3kHEYhasEc&#10;Zh1qPUj0b0NGZSlDexPFzMhThFGEWmDQoO63nEth93hSiD5tfTpoRh/fL4Jm5AmCQcVxis52gmBm&#10;2W85QTBd8rHQjDxBmNDMAmCH0MyCg4z8HgfNUIbnZy2DmtmU8s0c/xuxGQ1ifV1z26nUN/PchheN&#10;PB8HzmgQa5Az2wF+iM5oEHsJOqNBrMHObKwjGCQ6jawvgWeAfJ6nVKBLboNCsK1qq68lo/BIdZrG&#10;/zA7s4DYS9AZiRgNdGZDjIMUp0HsJeSMBLFYJp/ktoDYATezsKBLsBmpkkHNLCp9QmhGgliDmVlA&#10;7ACZ2aqCS5gZOecMZGaZcwNiZiudLkJmZPVkIjOtfPqMzPCIY2F9n5GZTZnPyEwmzSdDZkPkYkNm&#10;/x7o0sMXxd8+o7yeev43UN6fQWYn8CUWeYGcaRb5/sWcqaqbdimanYJukrMhBRGLlwEUvB4NSezm&#10;xbfz2zmfcD+6nXBvuZy8Xd3wSbRis3AZLG9ulszEbgjz/jp2Q38MVmggxZX8e44UNZamUCTsyv8T&#10;liZ/iga/45NcsPvNIf5QUH+W7O3pl5HXfwAAAP//AwBQSwMEFAAGAAgAAAAhAM5sCevdAAAABwEA&#10;AA8AAABkcnMvZG93bnJldi54bWxMjkFrwkAQhe+F/odlCr3VzVorNc1GRNqepFAtFG9jdkyC2d2Q&#10;XZP47zue6mne8B7vfdlytI3oqQu1dxrUJAFBrvCmdqWGn93H0yuIENEZbLwjDRcKsMzv7zJMjR/c&#10;N/XbWAoucSFFDVWMbSplKCqyGCa+Jcfe0XcWI79dKU2HA5fbRk6TZC4t1o4XKmxpXVFx2p6ths8B&#10;h9Wzeu83p+P6st+9fP1uFGn9+DCu3kBEGuN/GK74jA45Mx382ZkgGg2LGZNHDXM+VzuZKhAHFjMF&#10;Ms/kLX/+BwAA//8DAFBLAQItABQABgAIAAAAIQC2gziS/gAAAOEBAAATAAAAAAAAAAAAAAAAAAAA&#10;AABbQ29udGVudF9UeXBlc10ueG1sUEsBAi0AFAAGAAgAAAAhADj9If/WAAAAlAEAAAsAAAAAAAAA&#10;AAAAAAAALwEAAF9yZWxzLy5yZWxzUEsBAi0AFAAGAAgAAAAhAKCWC8LLBwAAYSkAAA4AAAAAAAAA&#10;AAAAAAAALgIAAGRycy9lMm9Eb2MueG1sUEsBAi0AFAAGAAgAAAAhAM5sCevdAAAABwEAAA8AAAAA&#10;AAAAAAAAAAAAJQoAAGRycy9kb3ducmV2LnhtbFBLBQYAAAAABAAEAPMAAAAvCwAAAAA=&#10;">
                <v:shape id="Freeform 9" o:spid="_x0000_s1027" style="position:absolute;left:954;top:7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1xwQAAANsAAAAPAAAAZHJzL2Rvd25yZXYueG1sRE9Ni8Iw&#10;EL0L+x/CLOzNpgqKVqOIi6zgyVr0OjZjW20mpclq/fdmYcHbPN7nzJedqcWdWldZVjCIYhDEudUV&#10;Fwqyw6Y/AeE8ssbaMil4koPl4qM3x0TbB+/pnvpChBB2CSoovW8SKV1ekkEX2YY4cBfbGvQBtoXU&#10;LT5CuKnlMI7H0mDFoaHEhtYl5bf01yjYDC/r8fVb/8jdeZrt03N2Oo5uSn19dqsZCE+df4v/3Vsd&#10;5o/g75dwgFy8AAAA//8DAFBLAQItABQABgAIAAAAIQDb4fbL7gAAAIUBAAATAAAAAAAAAAAAAAAA&#10;AAAAAABbQ29udGVudF9UeXBlc10ueG1sUEsBAi0AFAAGAAgAAAAhAFr0LFu/AAAAFQEAAAsAAAAA&#10;AAAAAAAAAAAAHwEAAF9yZWxzLy5yZWxzUEsBAi0AFAAGAAgAAAAhAKxPHXHBAAAA2wAAAA8AAAAA&#10;AAAAAAAAAAAABwIAAGRycy9kb3ducmV2LnhtbFBLBQYAAAAAAwADALcAAAD1AgAAAAA=&#10;" path="m30,60l18,57,9,51,2,41,,30,2,18,9,8,18,2,30,,42,2r9,6l58,18r2,12l58,41,51,51r-9,6l30,60xe" fillcolor="black" stroked="f">
                  <v:path arrowok="t" o:connecttype="custom" o:connectlocs="30,134;18,131;9,125;2,115;0,104;2,92;9,82;18,76;30,74;42,76;51,82;58,92;60,104;58,115;51,125;42,131;30,134" o:connectangles="0,0,0,0,0,0,0,0,0,0,0,0,0,0,0,0,0"/>
                </v:shape>
                <v:shape id="Freeform 10" o:spid="_x0000_s1028" style="position:absolute;left:954;top:7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YxAAAANsAAAAPAAAAZHJzL2Rvd25yZXYueG1sRE9Na8JA&#10;EL0L/Q/LFHqRZmNRkTSrtIIgeKmJIL0N2WkSmp1Nd1eN/fXdguBtHu9z8tVgOnEm51vLCiZJCoK4&#10;srrlWsGh3DwvQPiArLGzTAqu5GG1fBjlmGl74T2di1CLGMI+QwVNCH0mpa8aMugT2xNH7ss6gyFC&#10;V0vt8BLDTSdf0nQuDbYcGxrsad1Q9V2cjILiffxb1odJd5xudjP8+OlDufhU6ulxeHsFEWgId/HN&#10;vdVx/hz+f4kHyOUfAAAA//8DAFBLAQItABQABgAIAAAAIQDb4fbL7gAAAIUBAAATAAAAAAAAAAAA&#10;AAAAAAAAAABbQ29udGVudF9UeXBlc10ueG1sUEsBAi0AFAAGAAgAAAAhAFr0LFu/AAAAFQEAAAsA&#10;AAAAAAAAAAAAAAAAHwEAAF9yZWxzLy5yZWxzUEsBAi0AFAAGAAgAAAAhAD5BixjEAAAA2wAAAA8A&#10;AAAAAAAAAAAAAAAABwIAAGRycy9kb3ducmV2LnhtbFBLBQYAAAAAAwADALcAAAD4AgAAAAA=&#10;" path="m60,30l58,41,51,51r-9,6l30,60,18,57,9,51,2,41,,30,2,18,9,8,18,2,30,,42,2r9,6l58,18r2,12xe" filled="f" strokeweight=".21172mm">
                  <v:path arrowok="t" o:connecttype="custom" o:connectlocs="60,104;58,115;51,125;42,131;30,134;18,131;9,125;2,115;0,104;2,92;9,82;18,76;30,74;42,76;51,82;58,92;60,104" o:connectangles="0,0,0,0,0,0,0,0,0,0,0,0,0,0,0,0,0"/>
                </v:shape>
                <w10:wrap anchorx="page"/>
              </v:group>
            </w:pict>
          </mc:Fallback>
        </mc:AlternateContent>
      </w:r>
      <w:r w:rsidR="00272012">
        <w:t>Participant consent form 1036108 version 1 (10/10/2017).</w:t>
      </w:r>
    </w:p>
    <w:p w14:paraId="717D52DE" w14:textId="77777777" w:rsidR="00272012" w:rsidRDefault="00272012" w:rsidP="00272012">
      <w:pPr>
        <w:pStyle w:val="BodyText"/>
        <w:spacing w:before="4"/>
        <w:rPr>
          <w:sz w:val="16"/>
        </w:rPr>
      </w:pPr>
    </w:p>
    <w:p w14:paraId="6FE0FD64" w14:textId="42983E62" w:rsidR="00272012" w:rsidRDefault="00272012" w:rsidP="00272012">
      <w:pPr>
        <w:pStyle w:val="BodyText"/>
        <w:spacing w:line="266" w:lineRule="auto"/>
        <w:ind w:left="106"/>
      </w:pPr>
      <w:r>
        <w:rPr>
          <w:w w:val="95"/>
        </w:rPr>
        <w:t>If</w:t>
      </w:r>
      <w:r>
        <w:rPr>
          <w:spacing w:val="-24"/>
          <w:w w:val="95"/>
        </w:rPr>
        <w:t xml:space="preserve"> </w:t>
      </w:r>
      <w:r>
        <w:rPr>
          <w:w w:val="95"/>
        </w:rPr>
        <w:t>during</w:t>
      </w:r>
      <w:r>
        <w:rPr>
          <w:spacing w:val="-24"/>
          <w:w w:val="95"/>
        </w:rPr>
        <w:t xml:space="preserve"> </w:t>
      </w:r>
      <w:r>
        <w:rPr>
          <w:w w:val="95"/>
        </w:rPr>
        <w:t>the</w:t>
      </w:r>
      <w:r>
        <w:rPr>
          <w:spacing w:val="-24"/>
          <w:w w:val="95"/>
        </w:rPr>
        <w:t xml:space="preserve"> </w:t>
      </w:r>
      <w:r>
        <w:rPr>
          <w:w w:val="95"/>
        </w:rPr>
        <w:t>course</w:t>
      </w:r>
      <w:r>
        <w:rPr>
          <w:spacing w:val="-24"/>
          <w:w w:val="95"/>
        </w:rPr>
        <w:t xml:space="preserve"> </w:t>
      </w:r>
      <w:r>
        <w:rPr>
          <w:w w:val="95"/>
        </w:rPr>
        <w:t>of</w:t>
      </w:r>
      <w:r>
        <w:rPr>
          <w:spacing w:val="-24"/>
          <w:w w:val="95"/>
        </w:rPr>
        <w:t xml:space="preserve"> </w:t>
      </w:r>
      <w:r>
        <w:rPr>
          <w:w w:val="95"/>
        </w:rPr>
        <w:t>the</w:t>
      </w:r>
      <w:r>
        <w:rPr>
          <w:spacing w:val="-24"/>
          <w:w w:val="95"/>
        </w:rPr>
        <w:t xml:space="preserve"> </w:t>
      </w:r>
      <w:r>
        <w:rPr>
          <w:w w:val="95"/>
        </w:rPr>
        <w:t>project</w:t>
      </w:r>
      <w:r>
        <w:rPr>
          <w:spacing w:val="-24"/>
          <w:w w:val="95"/>
        </w:rPr>
        <w:t xml:space="preserve"> </w:t>
      </w:r>
      <w:r>
        <w:rPr>
          <w:w w:val="95"/>
        </w:rPr>
        <w:t>you</w:t>
      </w:r>
      <w:r>
        <w:rPr>
          <w:spacing w:val="-24"/>
          <w:w w:val="95"/>
        </w:rPr>
        <w:t xml:space="preserve"> </w:t>
      </w:r>
      <w:r>
        <w:rPr>
          <w:w w:val="95"/>
        </w:rPr>
        <w:t>need</w:t>
      </w:r>
      <w:r>
        <w:rPr>
          <w:spacing w:val="-24"/>
          <w:w w:val="95"/>
        </w:rPr>
        <w:t xml:space="preserve"> </w:t>
      </w:r>
      <w:r>
        <w:rPr>
          <w:w w:val="95"/>
        </w:rPr>
        <w:t>to</w:t>
      </w:r>
      <w:r>
        <w:rPr>
          <w:spacing w:val="-26"/>
          <w:w w:val="95"/>
        </w:rPr>
        <w:t xml:space="preserve"> </w:t>
      </w:r>
      <w:hyperlink r:id="rId54">
        <w:r>
          <w:rPr>
            <w:color w:val="0000ED"/>
            <w:w w:val="95"/>
            <w:u w:val="single" w:color="0000ED"/>
          </w:rPr>
          <w:t>deviate</w:t>
        </w:r>
        <w:r>
          <w:rPr>
            <w:color w:val="0000ED"/>
            <w:spacing w:val="-24"/>
            <w:w w:val="95"/>
            <w:u w:val="single" w:color="0000ED"/>
          </w:rPr>
          <w:t xml:space="preserve"> </w:t>
        </w:r>
        <w:r>
          <w:rPr>
            <w:color w:val="0000ED"/>
            <w:w w:val="95"/>
            <w:u w:val="single" w:color="0000ED"/>
          </w:rPr>
          <w:t>significantly</w:t>
        </w:r>
        <w:r>
          <w:rPr>
            <w:color w:val="0000ED"/>
            <w:spacing w:val="-24"/>
            <w:w w:val="95"/>
            <w:u w:val="single" w:color="0000ED"/>
          </w:rPr>
          <w:t xml:space="preserve"> </w:t>
        </w:r>
        <w:r>
          <w:rPr>
            <w:color w:val="0000ED"/>
            <w:w w:val="95"/>
            <w:u w:val="single" w:color="0000ED"/>
          </w:rPr>
          <w:t>from</w:t>
        </w:r>
        <w:r>
          <w:rPr>
            <w:color w:val="0000ED"/>
            <w:spacing w:val="-24"/>
            <w:w w:val="95"/>
            <w:u w:val="single" w:color="0000ED"/>
          </w:rPr>
          <w:t xml:space="preserve"> </w:t>
        </w:r>
        <w:r>
          <w:rPr>
            <w:color w:val="0000ED"/>
            <w:w w:val="95"/>
            <w:u w:val="single" w:color="0000ED"/>
          </w:rPr>
          <w:t>the</w:t>
        </w:r>
        <w:r>
          <w:rPr>
            <w:color w:val="0000ED"/>
            <w:spacing w:val="-24"/>
            <w:w w:val="95"/>
            <w:u w:val="single" w:color="0000ED"/>
          </w:rPr>
          <w:t xml:space="preserve"> </w:t>
        </w:r>
        <w:r>
          <w:rPr>
            <w:color w:val="0000ED"/>
            <w:w w:val="95"/>
            <w:u w:val="single" w:color="0000ED"/>
          </w:rPr>
          <w:t>above-approved</w:t>
        </w:r>
        <w:r>
          <w:rPr>
            <w:color w:val="0000ED"/>
            <w:spacing w:val="-24"/>
            <w:w w:val="95"/>
            <w:u w:val="single" w:color="0000ED"/>
          </w:rPr>
          <w:t xml:space="preserve"> </w:t>
        </w:r>
        <w:r>
          <w:rPr>
            <w:color w:val="0000ED"/>
            <w:w w:val="95"/>
            <w:u w:val="single" w:color="0000ED"/>
          </w:rPr>
          <w:t>documentation</w:t>
        </w:r>
        <w:r>
          <w:rPr>
            <w:color w:val="0000ED"/>
            <w:spacing w:val="-24"/>
            <w:w w:val="95"/>
          </w:rPr>
          <w:t xml:space="preserve"> </w:t>
        </w:r>
      </w:hyperlink>
      <w:r>
        <w:rPr>
          <w:w w:val="95"/>
        </w:rPr>
        <w:t>please</w:t>
      </w:r>
      <w:r>
        <w:rPr>
          <w:spacing w:val="-24"/>
          <w:w w:val="95"/>
        </w:rPr>
        <w:t xml:space="preserve"> </w:t>
      </w:r>
      <w:r>
        <w:rPr>
          <w:w w:val="95"/>
        </w:rPr>
        <w:t>inform</w:t>
      </w:r>
      <w:r>
        <w:rPr>
          <w:spacing w:val="-24"/>
          <w:w w:val="95"/>
        </w:rPr>
        <w:t xml:space="preserve"> </w:t>
      </w:r>
      <w:r>
        <w:rPr>
          <w:w w:val="95"/>
        </w:rPr>
        <w:t>me</w:t>
      </w:r>
      <w:r>
        <w:rPr>
          <w:spacing w:val="-24"/>
          <w:w w:val="95"/>
        </w:rPr>
        <w:t xml:space="preserve"> </w:t>
      </w:r>
      <w:r>
        <w:rPr>
          <w:w w:val="95"/>
        </w:rPr>
        <w:t>since</w:t>
      </w:r>
      <w:r>
        <w:rPr>
          <w:spacing w:val="-24"/>
          <w:w w:val="95"/>
        </w:rPr>
        <w:t xml:space="preserve"> </w:t>
      </w:r>
      <w:r>
        <w:rPr>
          <w:w w:val="95"/>
        </w:rPr>
        <w:t xml:space="preserve">written </w:t>
      </w:r>
      <w:r>
        <w:t>approval will be</w:t>
      </w:r>
      <w:r>
        <w:rPr>
          <w:spacing w:val="-7"/>
        </w:rPr>
        <w:t xml:space="preserve"> </w:t>
      </w:r>
      <w:r>
        <w:t>required.</w:t>
      </w:r>
    </w:p>
    <w:p w14:paraId="2565D127" w14:textId="77777777" w:rsidR="00272012" w:rsidRDefault="00272012" w:rsidP="00272012">
      <w:pPr>
        <w:pStyle w:val="BodyText"/>
        <w:spacing w:before="5"/>
        <w:rPr>
          <w:sz w:val="14"/>
        </w:rPr>
      </w:pPr>
    </w:p>
    <w:p w14:paraId="4E158754" w14:textId="77777777" w:rsidR="00272012" w:rsidRDefault="00272012" w:rsidP="00272012">
      <w:pPr>
        <w:pStyle w:val="BodyText"/>
        <w:ind w:left="106"/>
        <w:rPr>
          <w:sz w:val="19"/>
        </w:rPr>
      </w:pPr>
      <w:r>
        <w:t>Yours sincerely</w:t>
      </w:r>
    </w:p>
    <w:p w14:paraId="2AF58A44" w14:textId="77777777" w:rsidR="00272012" w:rsidRDefault="00272012" w:rsidP="00272012">
      <w:pPr>
        <w:pStyle w:val="BodyText"/>
        <w:spacing w:before="1"/>
        <w:ind w:left="106"/>
      </w:pPr>
      <w:r>
        <w:t xml:space="preserve">David Hyatt </w:t>
      </w:r>
    </w:p>
    <w:p w14:paraId="28C629FF" w14:textId="77777777" w:rsidR="00272012" w:rsidRDefault="00272012" w:rsidP="00272012">
      <w:pPr>
        <w:pStyle w:val="BodyText"/>
        <w:spacing w:before="1"/>
        <w:ind w:left="106"/>
      </w:pPr>
      <w:r>
        <w:rPr>
          <w:w w:val="90"/>
        </w:rPr>
        <w:t>Ethics Administrator School of Education</w:t>
      </w:r>
    </w:p>
    <w:p w14:paraId="5545E690" w14:textId="77777777" w:rsidR="00272012" w:rsidRDefault="00272012" w:rsidP="00272012">
      <w:pPr>
        <w:rPr>
          <w:rFonts w:eastAsiaTheme="majorEastAsia" w:cstheme="majorBidi"/>
          <w:color w:val="2F5496" w:themeColor="accent1" w:themeShade="BF"/>
          <w:sz w:val="28"/>
          <w:szCs w:val="26"/>
        </w:rPr>
      </w:pPr>
      <w:r>
        <w:br w:type="page"/>
      </w:r>
    </w:p>
    <w:p w14:paraId="75AB14BA" w14:textId="0BC3C871" w:rsidR="00272012" w:rsidRDefault="00272012" w:rsidP="00272012">
      <w:pPr>
        <w:pStyle w:val="Heading2"/>
      </w:pPr>
      <w:bookmarkStart w:id="256" w:name="_Toc536717994"/>
      <w:bookmarkStart w:id="257" w:name="_Toc31702017"/>
      <w:r>
        <w:t xml:space="preserve">Appendix </w:t>
      </w:r>
      <w:r w:rsidR="004D3BA5">
        <w:t>C</w:t>
      </w:r>
      <w:r>
        <w:t xml:space="preserve">. </w:t>
      </w:r>
      <w:bookmarkEnd w:id="256"/>
      <w:r w:rsidR="00FE0120" w:rsidRPr="007C78FA">
        <w:t>Document and webpage database</w:t>
      </w:r>
      <w:bookmarkEnd w:id="257"/>
    </w:p>
    <w:tbl>
      <w:tblPr>
        <w:tblW w:w="9776" w:type="dxa"/>
        <w:tblLook w:val="04A0" w:firstRow="1" w:lastRow="0" w:firstColumn="1" w:lastColumn="0" w:noHBand="0" w:noVBand="1"/>
      </w:tblPr>
      <w:tblGrid>
        <w:gridCol w:w="551"/>
        <w:gridCol w:w="9225"/>
      </w:tblGrid>
      <w:tr w:rsidR="008B4713" w:rsidRPr="007C3701" w14:paraId="00A011C5"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B868FA" w14:textId="77777777" w:rsidR="008B4713" w:rsidRPr="007C3701" w:rsidRDefault="008B4713" w:rsidP="004E0087">
            <w:pPr>
              <w:spacing w:after="0" w:line="240" w:lineRule="auto"/>
              <w:jc w:val="center"/>
              <w:rPr>
                <w:rFonts w:ascii="Calibri" w:eastAsia="Times New Roman" w:hAnsi="Calibri" w:cs="Calibri"/>
                <w:b/>
                <w:bCs/>
                <w:color w:val="000000"/>
                <w:lang w:eastAsia="en-GB"/>
              </w:rPr>
            </w:pPr>
            <w:r w:rsidRPr="007C3701">
              <w:rPr>
                <w:rFonts w:ascii="Calibri" w:eastAsia="Times New Roman" w:hAnsi="Calibri" w:cs="Calibri"/>
                <w:b/>
                <w:bCs/>
                <w:color w:val="000000"/>
                <w:lang w:eastAsia="en-GB"/>
              </w:rPr>
              <w:t>Unit of Assessment 1</w:t>
            </w:r>
          </w:p>
        </w:tc>
      </w:tr>
      <w:tr w:rsidR="008B4713" w:rsidRPr="007C3701" w14:paraId="7C6FF7BF"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17D668F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w:t>
            </w:r>
          </w:p>
        </w:tc>
        <w:tc>
          <w:tcPr>
            <w:tcW w:w="9225" w:type="dxa"/>
            <w:tcBorders>
              <w:top w:val="nil"/>
              <w:left w:val="single" w:sz="4" w:space="0" w:color="auto"/>
              <w:bottom w:val="nil"/>
              <w:right w:val="single" w:sz="4" w:space="0" w:color="auto"/>
            </w:tcBorders>
            <w:shd w:val="clear" w:color="auto" w:fill="auto"/>
            <w:vAlign w:val="center"/>
            <w:hideMark/>
          </w:tcPr>
          <w:p w14:paraId="1785A0A1" w14:textId="659E0EFD" w:rsidR="008B4713" w:rsidRPr="007C3701" w:rsidRDefault="00851004"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(2014). </w:t>
            </w:r>
            <w:r w:rsidR="008B4713" w:rsidRPr="007C3701">
              <w:rPr>
                <w:rFonts w:ascii="Calibri" w:eastAsia="Times New Roman" w:hAnsi="Calibri" w:cs="Calibri"/>
                <w:color w:val="000000"/>
                <w:lang w:eastAsia="en-GB"/>
              </w:rPr>
              <w:t>REF2014 Impact Template</w:t>
            </w:r>
            <w:r w:rsidR="008D44A7">
              <w:rPr>
                <w:rFonts w:ascii="Calibri" w:eastAsia="Times New Roman" w:hAnsi="Calibri" w:cs="Calibri"/>
                <w:color w:val="000000"/>
                <w:lang w:eastAsia="en-GB"/>
              </w:rPr>
              <w:t>.</w:t>
            </w:r>
            <w:r>
              <w:rPr>
                <w:rFonts w:ascii="Calibri" w:eastAsia="Times New Roman" w:hAnsi="Calibri" w:cs="Calibri"/>
                <w:color w:val="000000"/>
                <w:lang w:eastAsia="en-GB"/>
              </w:rPr>
              <w:t xml:space="preserve"> </w:t>
            </w:r>
            <w:hyperlink r:id="rId55" w:history="1">
              <w:r>
                <w:rPr>
                  <w:rStyle w:val="Hyperlink"/>
                </w:rPr>
                <w:t>https://results.ref.ac.uk/(S(5mhsdcrlek45dkop3v4uw5gx))/Submissions/Impact/394</w:t>
              </w:r>
            </w:hyperlink>
          </w:p>
        </w:tc>
      </w:tr>
      <w:tr w:rsidR="008B4713" w:rsidRPr="007C3701" w14:paraId="4A1D198B"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6E8045D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w:t>
            </w:r>
          </w:p>
        </w:tc>
        <w:tc>
          <w:tcPr>
            <w:tcW w:w="9225" w:type="dxa"/>
            <w:tcBorders>
              <w:top w:val="nil"/>
              <w:left w:val="single" w:sz="4" w:space="0" w:color="auto"/>
              <w:bottom w:val="nil"/>
              <w:right w:val="single" w:sz="4" w:space="0" w:color="auto"/>
            </w:tcBorders>
            <w:shd w:val="clear" w:color="auto" w:fill="auto"/>
            <w:vAlign w:val="center"/>
            <w:hideMark/>
          </w:tcPr>
          <w:p w14:paraId="4A055866" w14:textId="7BB1F47F" w:rsidR="008B4713" w:rsidRPr="007C3701" w:rsidRDefault="00851004"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(2014). </w:t>
            </w:r>
            <w:r w:rsidR="008B4713" w:rsidRPr="007C3701">
              <w:rPr>
                <w:rFonts w:ascii="Calibri" w:eastAsia="Times New Roman" w:hAnsi="Calibri" w:cs="Calibri"/>
                <w:color w:val="000000"/>
                <w:lang w:eastAsia="en-GB"/>
              </w:rPr>
              <w:t>REF2014 Environment Template</w:t>
            </w:r>
            <w:r w:rsidR="008D44A7">
              <w:rPr>
                <w:rFonts w:ascii="Calibri" w:eastAsia="Times New Roman" w:hAnsi="Calibri" w:cs="Calibri"/>
                <w:color w:val="000000"/>
                <w:lang w:eastAsia="en-GB"/>
              </w:rPr>
              <w:t xml:space="preserve">. </w:t>
            </w:r>
            <w:hyperlink r:id="rId56" w:history="1">
              <w:r w:rsidR="008D44A7" w:rsidRPr="000562AF">
                <w:rPr>
                  <w:rStyle w:val="Hyperlink"/>
                </w:rPr>
                <w:t>https://results.ref.ac.uk/(S(5mhsdcrlek45dkop3v4uw5gx))/Submissions/Environment/394</w:t>
              </w:r>
            </w:hyperlink>
          </w:p>
        </w:tc>
      </w:tr>
      <w:tr w:rsidR="008B4713" w:rsidRPr="007C3701" w14:paraId="4C7149A4"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69D731"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1.1</w:t>
            </w:r>
          </w:p>
        </w:tc>
      </w:tr>
      <w:tr w:rsidR="008B4713" w:rsidRPr="007C3701" w14:paraId="2F8352B2"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3123066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w:t>
            </w:r>
          </w:p>
        </w:tc>
        <w:tc>
          <w:tcPr>
            <w:tcW w:w="9225" w:type="dxa"/>
            <w:tcBorders>
              <w:top w:val="nil"/>
              <w:left w:val="single" w:sz="4" w:space="0" w:color="auto"/>
              <w:bottom w:val="nil"/>
              <w:right w:val="single" w:sz="4" w:space="0" w:color="auto"/>
            </w:tcBorders>
            <w:shd w:val="clear" w:color="auto" w:fill="auto"/>
            <w:vAlign w:val="center"/>
            <w:hideMark/>
          </w:tcPr>
          <w:p w14:paraId="27BA4204" w14:textId="74FD9E40" w:rsidR="008B4713" w:rsidRPr="007C3701" w:rsidRDefault="00851004"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(2014). </w:t>
            </w:r>
            <w:r w:rsidR="008B4713" w:rsidRPr="007C3701">
              <w:rPr>
                <w:rFonts w:ascii="Calibri" w:eastAsia="Times New Roman" w:hAnsi="Calibri" w:cs="Calibri"/>
                <w:color w:val="000000"/>
                <w:lang w:eastAsia="en-GB"/>
              </w:rPr>
              <w:t>REF Impact Case Study no. 41138</w:t>
            </w:r>
            <w:r w:rsidR="008D44A7">
              <w:rPr>
                <w:rFonts w:ascii="Calibri" w:eastAsia="Times New Roman" w:hAnsi="Calibri" w:cs="Calibri"/>
                <w:color w:val="000000"/>
                <w:lang w:eastAsia="en-GB"/>
              </w:rPr>
              <w:t>.</w:t>
            </w:r>
            <w:r>
              <w:rPr>
                <w:rFonts w:ascii="Calibri" w:eastAsia="Times New Roman" w:hAnsi="Calibri" w:cs="Calibri"/>
                <w:color w:val="000000"/>
                <w:lang w:eastAsia="en-GB"/>
              </w:rPr>
              <w:t xml:space="preserve"> </w:t>
            </w:r>
            <w:hyperlink r:id="rId57" w:history="1">
              <w:r>
                <w:rPr>
                  <w:rStyle w:val="Hyperlink"/>
                </w:rPr>
                <w:t>https://results.ref.ac.uk/(S(5mhsdcrlek45dkop3v4uw5gx))/Submissions/Impact/394</w:t>
              </w:r>
            </w:hyperlink>
          </w:p>
        </w:tc>
      </w:tr>
      <w:tr w:rsidR="008B4713" w:rsidRPr="007C3701" w14:paraId="771EBE14"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5C0835D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w:t>
            </w:r>
          </w:p>
        </w:tc>
        <w:tc>
          <w:tcPr>
            <w:tcW w:w="9225" w:type="dxa"/>
            <w:tcBorders>
              <w:top w:val="nil"/>
              <w:left w:val="single" w:sz="4" w:space="0" w:color="auto"/>
              <w:bottom w:val="nil"/>
              <w:right w:val="single" w:sz="4" w:space="0" w:color="auto"/>
            </w:tcBorders>
            <w:shd w:val="clear" w:color="auto" w:fill="auto"/>
            <w:vAlign w:val="center"/>
            <w:hideMark/>
          </w:tcPr>
          <w:p w14:paraId="4205E493" w14:textId="40ACEFAA" w:rsidR="008B4713" w:rsidRPr="007C3701" w:rsidRDefault="00851004"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(2014). </w:t>
            </w:r>
            <w:r w:rsidR="008B4713" w:rsidRPr="007C3701">
              <w:rPr>
                <w:rFonts w:ascii="Calibri" w:eastAsia="Times New Roman" w:hAnsi="Calibri" w:cs="Calibri"/>
                <w:color w:val="000000"/>
                <w:lang w:eastAsia="en-GB"/>
              </w:rPr>
              <w:t>REF Impact Case Study no. 41144</w:t>
            </w:r>
            <w:r w:rsidR="008D44A7">
              <w:rPr>
                <w:rFonts w:ascii="Calibri" w:eastAsia="Times New Roman" w:hAnsi="Calibri" w:cs="Calibri"/>
                <w:color w:val="000000"/>
                <w:lang w:eastAsia="en-GB"/>
              </w:rPr>
              <w:t>.</w:t>
            </w:r>
            <w:r>
              <w:rPr>
                <w:rFonts w:ascii="Calibri" w:eastAsia="Times New Roman" w:hAnsi="Calibri" w:cs="Calibri"/>
                <w:color w:val="000000"/>
                <w:lang w:eastAsia="en-GB"/>
              </w:rPr>
              <w:t xml:space="preserve"> </w:t>
            </w:r>
            <w:hyperlink r:id="rId58" w:history="1">
              <w:r>
                <w:rPr>
                  <w:rStyle w:val="Hyperlink"/>
                </w:rPr>
                <w:t>https://results.ref.ac.uk/(S(5mhsdcrlek45dkop3v4uw5gx))/Submissions/Impact/394</w:t>
              </w:r>
            </w:hyperlink>
          </w:p>
        </w:tc>
      </w:tr>
      <w:tr w:rsidR="008B4713" w:rsidRPr="007C3701" w14:paraId="76A62DCF"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716F0DE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w:t>
            </w:r>
          </w:p>
        </w:tc>
        <w:tc>
          <w:tcPr>
            <w:tcW w:w="9225" w:type="dxa"/>
            <w:tcBorders>
              <w:top w:val="nil"/>
              <w:left w:val="single" w:sz="4" w:space="0" w:color="auto"/>
              <w:bottom w:val="nil"/>
              <w:right w:val="single" w:sz="4" w:space="0" w:color="auto"/>
            </w:tcBorders>
            <w:shd w:val="clear" w:color="auto" w:fill="auto"/>
            <w:vAlign w:val="center"/>
            <w:hideMark/>
          </w:tcPr>
          <w:p w14:paraId="4C766FA7" w14:textId="457334AF" w:rsidR="008B4713" w:rsidRPr="007C3701" w:rsidRDefault="00851004"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(2014). </w:t>
            </w:r>
            <w:r w:rsidR="008B4713" w:rsidRPr="007C3701">
              <w:rPr>
                <w:rFonts w:ascii="Calibri" w:eastAsia="Times New Roman" w:hAnsi="Calibri" w:cs="Calibri"/>
                <w:color w:val="000000"/>
                <w:lang w:eastAsia="en-GB"/>
              </w:rPr>
              <w:t>REF Impact Case Study no. 41155</w:t>
            </w:r>
            <w:r w:rsidR="008D44A7">
              <w:rPr>
                <w:rFonts w:ascii="Calibri" w:eastAsia="Times New Roman" w:hAnsi="Calibri" w:cs="Calibri"/>
                <w:color w:val="000000"/>
                <w:lang w:eastAsia="en-GB"/>
              </w:rPr>
              <w:t>.</w:t>
            </w:r>
            <w:r>
              <w:rPr>
                <w:rFonts w:ascii="Calibri" w:eastAsia="Times New Roman" w:hAnsi="Calibri" w:cs="Calibri"/>
                <w:color w:val="000000"/>
                <w:lang w:eastAsia="en-GB"/>
              </w:rPr>
              <w:t xml:space="preserve"> </w:t>
            </w:r>
            <w:hyperlink r:id="rId59" w:history="1">
              <w:r>
                <w:rPr>
                  <w:rStyle w:val="Hyperlink"/>
                </w:rPr>
                <w:t>https://results.ref.ac.uk/(S(5mhsdcrlek45dkop3v4uw5gx))/Submissions/Impact/394</w:t>
              </w:r>
            </w:hyperlink>
          </w:p>
        </w:tc>
      </w:tr>
      <w:tr w:rsidR="008B4713" w:rsidRPr="007C3701" w14:paraId="112DBD79"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60385DB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w:t>
            </w:r>
          </w:p>
        </w:tc>
        <w:tc>
          <w:tcPr>
            <w:tcW w:w="9225" w:type="dxa"/>
            <w:tcBorders>
              <w:top w:val="nil"/>
              <w:left w:val="single" w:sz="4" w:space="0" w:color="auto"/>
              <w:bottom w:val="nil"/>
              <w:right w:val="single" w:sz="4" w:space="0" w:color="auto"/>
            </w:tcBorders>
            <w:shd w:val="clear" w:color="auto" w:fill="auto"/>
            <w:vAlign w:val="center"/>
            <w:hideMark/>
          </w:tcPr>
          <w:p w14:paraId="6D708867" w14:textId="3EA56DB9"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Macfarlane PW. Age, sex and the ST amplitude in health and disease. J Electrocardiol</w:t>
            </w:r>
            <w:r w:rsidR="00D32E77">
              <w:rPr>
                <w:rFonts w:ascii="Calibri" w:eastAsia="Times New Roman" w:hAnsi="Calibri" w:cs="Calibri"/>
                <w:color w:val="000000"/>
                <w:lang w:eastAsia="en-GB"/>
              </w:rPr>
              <w:t>.</w:t>
            </w:r>
            <w:r w:rsidRPr="007C3701">
              <w:rPr>
                <w:rFonts w:ascii="Calibri" w:eastAsia="Times New Roman" w:hAnsi="Calibri" w:cs="Calibri"/>
                <w:color w:val="000000"/>
                <w:lang w:eastAsia="en-GB"/>
              </w:rPr>
              <w:t xml:space="preserve"> 2001; 34 (suppl):235-41. doi: 10.1054/jelc.2001.28906</w:t>
            </w:r>
          </w:p>
        </w:tc>
      </w:tr>
      <w:tr w:rsidR="008B4713" w:rsidRPr="007C3701" w14:paraId="061726BA" w14:textId="77777777" w:rsidTr="00250B22">
        <w:trPr>
          <w:trHeight w:val="638"/>
        </w:trPr>
        <w:tc>
          <w:tcPr>
            <w:tcW w:w="551" w:type="dxa"/>
            <w:tcBorders>
              <w:top w:val="nil"/>
              <w:left w:val="single" w:sz="4" w:space="0" w:color="auto"/>
              <w:bottom w:val="nil"/>
              <w:right w:val="nil"/>
            </w:tcBorders>
            <w:shd w:val="clear" w:color="auto" w:fill="auto"/>
            <w:noWrap/>
            <w:vAlign w:val="center"/>
            <w:hideMark/>
          </w:tcPr>
          <w:p w14:paraId="22CA8DB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w:t>
            </w:r>
          </w:p>
        </w:tc>
        <w:tc>
          <w:tcPr>
            <w:tcW w:w="9225" w:type="dxa"/>
            <w:tcBorders>
              <w:top w:val="nil"/>
              <w:left w:val="single" w:sz="4" w:space="0" w:color="auto"/>
              <w:bottom w:val="nil"/>
              <w:right w:val="single" w:sz="4" w:space="0" w:color="auto"/>
            </w:tcBorders>
            <w:shd w:val="clear" w:color="auto" w:fill="auto"/>
            <w:vAlign w:val="center"/>
            <w:hideMark/>
          </w:tcPr>
          <w:p w14:paraId="4FAB9F9D" w14:textId="6B6F1724"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Macfarlane PW, Browne D, Devine B, Clark E, Miller E, Seyal J, Hampton D. Modification of ACC/ESC criteria for acute myocardial infarction. J Electrocardiol</w:t>
            </w:r>
            <w:r w:rsidR="00D32E77">
              <w:rPr>
                <w:rFonts w:ascii="Calibri" w:eastAsia="Times New Roman" w:hAnsi="Calibri" w:cs="Calibri"/>
                <w:color w:val="000000"/>
                <w:lang w:eastAsia="en-GB"/>
              </w:rPr>
              <w:t>.</w:t>
            </w:r>
            <w:r w:rsidRPr="007C3701">
              <w:rPr>
                <w:rFonts w:ascii="Calibri" w:eastAsia="Times New Roman" w:hAnsi="Calibri" w:cs="Calibri"/>
                <w:color w:val="000000"/>
                <w:lang w:eastAsia="en-GB"/>
              </w:rPr>
              <w:t xml:space="preserve"> 2004; 37 (suppl</w:t>
            </w:r>
            <w:r w:rsidR="00AD0AB4">
              <w:rPr>
                <w:rFonts w:ascii="Calibri" w:eastAsia="Times New Roman" w:hAnsi="Calibri" w:cs="Calibri"/>
                <w:color w:val="000000"/>
                <w:lang w:eastAsia="en-GB"/>
              </w:rPr>
              <w:t>.</w:t>
            </w:r>
            <w:r w:rsidRPr="007C3701">
              <w:rPr>
                <w:rFonts w:ascii="Calibri" w:eastAsia="Times New Roman" w:hAnsi="Calibri" w:cs="Calibri"/>
                <w:color w:val="000000"/>
                <w:lang w:eastAsia="en-GB"/>
              </w:rPr>
              <w:t>):98-103. doi: 10.1016/j.jelectrocard.2004.08.032</w:t>
            </w:r>
          </w:p>
        </w:tc>
      </w:tr>
      <w:tr w:rsidR="008B4713" w:rsidRPr="007C3701" w14:paraId="179BD6AF" w14:textId="77777777" w:rsidTr="00250B22">
        <w:trPr>
          <w:trHeight w:val="706"/>
        </w:trPr>
        <w:tc>
          <w:tcPr>
            <w:tcW w:w="551" w:type="dxa"/>
            <w:tcBorders>
              <w:top w:val="nil"/>
              <w:left w:val="single" w:sz="4" w:space="0" w:color="auto"/>
              <w:bottom w:val="nil"/>
              <w:right w:val="nil"/>
            </w:tcBorders>
            <w:shd w:val="clear" w:color="auto" w:fill="auto"/>
            <w:noWrap/>
            <w:vAlign w:val="center"/>
            <w:hideMark/>
          </w:tcPr>
          <w:p w14:paraId="4135552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w:t>
            </w:r>
          </w:p>
        </w:tc>
        <w:tc>
          <w:tcPr>
            <w:tcW w:w="9225" w:type="dxa"/>
            <w:tcBorders>
              <w:top w:val="nil"/>
              <w:left w:val="single" w:sz="4" w:space="0" w:color="auto"/>
              <w:bottom w:val="nil"/>
              <w:right w:val="single" w:sz="4" w:space="0" w:color="auto"/>
            </w:tcBorders>
            <w:shd w:val="clear" w:color="auto" w:fill="auto"/>
            <w:vAlign w:val="center"/>
            <w:hideMark/>
          </w:tcPr>
          <w:p w14:paraId="360FCF9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Clark EN, Sejersten M, Clemmensen P, Macfarlane PW. Automated electrocardiogram interpretation programs versus cardiologists’ triage decision making based on teletransmitted data in patients with suspected acute coronary syndrome. Am J Cardiol. 2010; 106(12):1696-702. doi: 10.1016/j.amjcard.2010.07.047.</w:t>
            </w:r>
          </w:p>
        </w:tc>
      </w:tr>
      <w:tr w:rsidR="008B4713" w:rsidRPr="007C3701" w14:paraId="79B00EFD"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5087B09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w:t>
            </w:r>
          </w:p>
        </w:tc>
        <w:tc>
          <w:tcPr>
            <w:tcW w:w="9225" w:type="dxa"/>
            <w:tcBorders>
              <w:top w:val="nil"/>
              <w:left w:val="single" w:sz="4" w:space="0" w:color="auto"/>
              <w:bottom w:val="nil"/>
              <w:right w:val="single" w:sz="4" w:space="0" w:color="auto"/>
            </w:tcBorders>
            <w:shd w:val="clear" w:color="auto" w:fill="auto"/>
            <w:vAlign w:val="center"/>
            <w:hideMark/>
          </w:tcPr>
          <w:p w14:paraId="008E99D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Macfarlane PW, McLaughlin SC, Devine B, Yang TF. Effects of age, sex, and race on ECG interval measurements. J Electrocardiol. 1994;27 Suppl:14-19</w:t>
            </w:r>
          </w:p>
        </w:tc>
      </w:tr>
      <w:tr w:rsidR="008B4713" w:rsidRPr="007C3701" w14:paraId="0BB2DF47"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723BE9D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w:t>
            </w:r>
          </w:p>
        </w:tc>
        <w:tc>
          <w:tcPr>
            <w:tcW w:w="9225" w:type="dxa"/>
            <w:tcBorders>
              <w:top w:val="nil"/>
              <w:left w:val="single" w:sz="4" w:space="0" w:color="auto"/>
              <w:bottom w:val="nil"/>
              <w:right w:val="single" w:sz="4" w:space="0" w:color="auto"/>
            </w:tcBorders>
            <w:shd w:val="clear" w:color="auto" w:fill="auto"/>
            <w:vAlign w:val="center"/>
            <w:hideMark/>
          </w:tcPr>
          <w:p w14:paraId="7F877C27"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Shepherd J, Cobbe SM, Ford I, Isles CG, Lorimer AR, MacFarlane PW, McKillop JH, Packard CJ. Prevention of coronary heart disease with pravastatin in men with hypercholesterolemia. West of Scotland Coronary Prevention Study Group. N Engl J Med. 1995; 333(20):1301-7. doi: 10.1056/NEJM199511163332001</w:t>
            </w:r>
          </w:p>
        </w:tc>
      </w:tr>
      <w:tr w:rsidR="008B4713" w:rsidRPr="007C3701" w14:paraId="0F640590"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682C6B0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w:t>
            </w:r>
          </w:p>
        </w:tc>
        <w:tc>
          <w:tcPr>
            <w:tcW w:w="9225" w:type="dxa"/>
            <w:tcBorders>
              <w:top w:val="nil"/>
              <w:left w:val="single" w:sz="4" w:space="0" w:color="auto"/>
              <w:bottom w:val="nil"/>
              <w:right w:val="single" w:sz="4" w:space="0" w:color="auto"/>
            </w:tcBorders>
            <w:shd w:val="clear" w:color="auto" w:fill="auto"/>
            <w:vAlign w:val="center"/>
            <w:hideMark/>
          </w:tcPr>
          <w:p w14:paraId="0B13BDC6"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Emerging Risk Factors Collaboration et al. Major lipids, apolipoproteins, and risk of vascular disease. JAMA 2009; 11;302(18):1993-2000. doi: 10.1001/jama.2009.1619</w:t>
            </w:r>
          </w:p>
        </w:tc>
      </w:tr>
      <w:tr w:rsidR="008B4713" w:rsidRPr="007C3701" w14:paraId="1A16BDEE"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B36145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w:t>
            </w:r>
          </w:p>
        </w:tc>
        <w:tc>
          <w:tcPr>
            <w:tcW w:w="9225" w:type="dxa"/>
            <w:tcBorders>
              <w:top w:val="nil"/>
              <w:left w:val="single" w:sz="4" w:space="0" w:color="auto"/>
              <w:bottom w:val="nil"/>
              <w:right w:val="single" w:sz="4" w:space="0" w:color="auto"/>
            </w:tcBorders>
            <w:shd w:val="clear" w:color="auto" w:fill="auto"/>
            <w:vAlign w:val="center"/>
            <w:hideMark/>
          </w:tcPr>
          <w:p w14:paraId="34B836B0"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McCarey DW, et al. Trial of Atorvastatin in Rheumatoid Arthritis (TARA): double-blind, randomised placebo-controlled trial. Lancet 2004; 19;363(9426):2015-21. doi:10.1016/S0140-6736(04)16449-0</w:t>
            </w:r>
          </w:p>
        </w:tc>
      </w:tr>
      <w:tr w:rsidR="008B4713" w:rsidRPr="007C3701" w14:paraId="6C5FD488"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75810B9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w:t>
            </w:r>
          </w:p>
        </w:tc>
        <w:tc>
          <w:tcPr>
            <w:tcW w:w="9225" w:type="dxa"/>
            <w:tcBorders>
              <w:top w:val="nil"/>
              <w:left w:val="single" w:sz="4" w:space="0" w:color="auto"/>
              <w:bottom w:val="nil"/>
              <w:right w:val="single" w:sz="4" w:space="0" w:color="auto"/>
            </w:tcBorders>
            <w:shd w:val="clear" w:color="auto" w:fill="auto"/>
            <w:vAlign w:val="center"/>
            <w:hideMark/>
          </w:tcPr>
          <w:p w14:paraId="72A62ED7"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Sattar N, et al. Statins and risk of incident diabetes: a collaborative meta-analysis of randomised statin trials. Lancet 2010; 27;375(9716):735-42. doi:10.1016/S0140-6736(09)61965-6</w:t>
            </w:r>
          </w:p>
        </w:tc>
      </w:tr>
      <w:tr w:rsidR="008B4713" w:rsidRPr="007C3701" w14:paraId="05151F28"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3694AE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w:t>
            </w:r>
          </w:p>
        </w:tc>
        <w:tc>
          <w:tcPr>
            <w:tcW w:w="9225" w:type="dxa"/>
            <w:tcBorders>
              <w:top w:val="nil"/>
              <w:left w:val="single" w:sz="4" w:space="0" w:color="auto"/>
              <w:bottom w:val="nil"/>
              <w:right w:val="single" w:sz="4" w:space="0" w:color="auto"/>
            </w:tcBorders>
            <w:shd w:val="clear" w:color="auto" w:fill="auto"/>
            <w:vAlign w:val="center"/>
            <w:hideMark/>
          </w:tcPr>
          <w:p w14:paraId="696C9175"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Preiss D, et al. Risk of incident diabetes with intensive-dose compared with moderate-dose statin therapy: a meta-analysis. JAMA 2011; 22;305(24):2556-64. doi: 10.1001/jama.2011.860.</w:t>
            </w:r>
          </w:p>
        </w:tc>
      </w:tr>
      <w:tr w:rsidR="008B4713" w:rsidRPr="007C3701" w14:paraId="6101631A"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1658F95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w:t>
            </w:r>
          </w:p>
        </w:tc>
        <w:tc>
          <w:tcPr>
            <w:tcW w:w="9225" w:type="dxa"/>
            <w:tcBorders>
              <w:top w:val="nil"/>
              <w:left w:val="single" w:sz="4" w:space="0" w:color="auto"/>
              <w:bottom w:val="nil"/>
              <w:right w:val="single" w:sz="4" w:space="0" w:color="auto"/>
            </w:tcBorders>
            <w:shd w:val="clear" w:color="auto" w:fill="auto"/>
            <w:vAlign w:val="center"/>
            <w:hideMark/>
          </w:tcPr>
          <w:p w14:paraId="6E62D7E5"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Ford I et al., for the WOSCOPS Group. Long-term follow-up of the West of Scotland Coronary Prevention Study. N Engl J Med. 2007; 357: 1477–1486 doi: 10.1056/NEJMoa065994.</w:t>
            </w:r>
          </w:p>
        </w:tc>
      </w:tr>
      <w:tr w:rsidR="008B4713" w:rsidRPr="007C3701" w14:paraId="4071D252"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0D43C07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w:t>
            </w:r>
          </w:p>
        </w:tc>
        <w:tc>
          <w:tcPr>
            <w:tcW w:w="9225" w:type="dxa"/>
            <w:tcBorders>
              <w:top w:val="nil"/>
              <w:left w:val="single" w:sz="4" w:space="0" w:color="auto"/>
              <w:bottom w:val="nil"/>
              <w:right w:val="single" w:sz="4" w:space="0" w:color="auto"/>
            </w:tcBorders>
            <w:shd w:val="clear" w:color="auto" w:fill="auto"/>
            <w:vAlign w:val="center"/>
            <w:hideMark/>
          </w:tcPr>
          <w:p w14:paraId="7B3BCE9A"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PROSPER Study Group. PROspective Study of Pravastatin in the Elderly at Risk. Pravastatin in elderly individuals at risk of vascular disease (PROSPER): a randomised controlled trial. Lancet 2002; 360: 1623–1630 doi: 10.1016/S0140-6736(02)11600-X.</w:t>
            </w:r>
          </w:p>
        </w:tc>
      </w:tr>
      <w:tr w:rsidR="008B4713" w:rsidRPr="007C3701" w14:paraId="322147C1"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699E6EA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w:t>
            </w:r>
          </w:p>
        </w:tc>
        <w:tc>
          <w:tcPr>
            <w:tcW w:w="9225" w:type="dxa"/>
            <w:tcBorders>
              <w:top w:val="nil"/>
              <w:left w:val="single" w:sz="4" w:space="0" w:color="auto"/>
              <w:bottom w:val="nil"/>
              <w:right w:val="single" w:sz="4" w:space="0" w:color="auto"/>
            </w:tcBorders>
            <w:shd w:val="clear" w:color="auto" w:fill="auto"/>
            <w:vAlign w:val="center"/>
            <w:hideMark/>
          </w:tcPr>
          <w:p w14:paraId="7E08C959"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McConnachie A et al. Long-term impact on healthcare resource utilization of statin treatment, and its cost effectiveness in the primary prevention of cardiovascular disease: a record linkage study. Eur Heart J. 2013 (published online Jul 9) doi:10.1093/eurheartj/eht232.</w:t>
            </w:r>
          </w:p>
        </w:tc>
      </w:tr>
      <w:tr w:rsidR="008B4713" w:rsidRPr="007C3701" w14:paraId="45D5C1A3" w14:textId="77777777" w:rsidTr="004E0087">
        <w:trPr>
          <w:trHeight w:val="1200"/>
        </w:trPr>
        <w:tc>
          <w:tcPr>
            <w:tcW w:w="551" w:type="dxa"/>
            <w:tcBorders>
              <w:top w:val="nil"/>
              <w:left w:val="single" w:sz="4" w:space="0" w:color="auto"/>
              <w:bottom w:val="nil"/>
              <w:right w:val="nil"/>
            </w:tcBorders>
            <w:shd w:val="clear" w:color="auto" w:fill="auto"/>
            <w:noWrap/>
            <w:vAlign w:val="center"/>
            <w:hideMark/>
          </w:tcPr>
          <w:p w14:paraId="41CA8AA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w:t>
            </w:r>
          </w:p>
        </w:tc>
        <w:tc>
          <w:tcPr>
            <w:tcW w:w="9225" w:type="dxa"/>
            <w:tcBorders>
              <w:top w:val="nil"/>
              <w:left w:val="single" w:sz="4" w:space="0" w:color="auto"/>
              <w:bottom w:val="nil"/>
              <w:right w:val="single" w:sz="4" w:space="0" w:color="auto"/>
            </w:tcBorders>
            <w:shd w:val="clear" w:color="auto" w:fill="auto"/>
            <w:vAlign w:val="center"/>
            <w:hideMark/>
          </w:tcPr>
          <w:p w14:paraId="12363D2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Sever PS et al. Prevention of coronary and stroke events with atorvastatin in hypertensive patients who have average or lower-than-average cholesterol concentrations, in the Anglo-Scandinavian Cardiac Outcomes Trial-Lipid Lowering Arm (ASCOT-LLA): a multicentre randomised controlled trial. Lancet. 2003; 361:1149–1158 doi:10.1016/S0140-6736(03)12948-0.</w:t>
            </w:r>
          </w:p>
        </w:tc>
      </w:tr>
      <w:tr w:rsidR="008B4713" w:rsidRPr="007C3701" w14:paraId="40A162C1" w14:textId="77777777" w:rsidTr="004E0087">
        <w:trPr>
          <w:trHeight w:val="600"/>
        </w:trPr>
        <w:tc>
          <w:tcPr>
            <w:tcW w:w="551" w:type="dxa"/>
            <w:tcBorders>
              <w:top w:val="nil"/>
              <w:left w:val="single" w:sz="4" w:space="0" w:color="auto"/>
              <w:bottom w:val="single" w:sz="4" w:space="0" w:color="auto"/>
              <w:right w:val="nil"/>
            </w:tcBorders>
            <w:shd w:val="clear" w:color="auto" w:fill="auto"/>
            <w:noWrap/>
            <w:vAlign w:val="center"/>
            <w:hideMark/>
          </w:tcPr>
          <w:p w14:paraId="34725F5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w:t>
            </w:r>
          </w:p>
        </w:tc>
        <w:tc>
          <w:tcPr>
            <w:tcW w:w="9225" w:type="dxa"/>
            <w:tcBorders>
              <w:top w:val="nil"/>
              <w:left w:val="single" w:sz="4" w:space="0" w:color="auto"/>
              <w:bottom w:val="single" w:sz="4" w:space="0" w:color="auto"/>
              <w:right w:val="single" w:sz="4" w:space="0" w:color="auto"/>
            </w:tcBorders>
            <w:shd w:val="clear" w:color="auto" w:fill="auto"/>
            <w:vAlign w:val="center"/>
            <w:hideMark/>
          </w:tcPr>
          <w:p w14:paraId="22C026E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Ridker PM et al., for the JUPITER Study Group. Rosuvastatin to prevent vascular events in men and women with elevated C-reactive protein. N Engl J Med. 2008; 359: 2195-2207 doi: 10.1056/NEJMoa0807646.</w:t>
            </w:r>
          </w:p>
        </w:tc>
      </w:tr>
      <w:tr w:rsidR="008B4713" w:rsidRPr="007C3701" w14:paraId="2F249FE2"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56631A"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1.2</w:t>
            </w:r>
          </w:p>
        </w:tc>
      </w:tr>
      <w:tr w:rsidR="008B4713" w:rsidRPr="007C3701" w14:paraId="40572666"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2B1666D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w:t>
            </w:r>
          </w:p>
        </w:tc>
        <w:tc>
          <w:tcPr>
            <w:tcW w:w="9225" w:type="dxa"/>
            <w:tcBorders>
              <w:top w:val="nil"/>
              <w:left w:val="single" w:sz="4" w:space="0" w:color="auto"/>
              <w:bottom w:val="nil"/>
              <w:right w:val="single" w:sz="4" w:space="0" w:color="auto"/>
            </w:tcBorders>
            <w:shd w:val="clear" w:color="auto" w:fill="auto"/>
            <w:vAlign w:val="center"/>
            <w:hideMark/>
          </w:tcPr>
          <w:p w14:paraId="1574E3E3" w14:textId="6FB8F4F0" w:rsidR="008B4713" w:rsidRPr="007C3701" w:rsidRDefault="006140DB"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University of Glasgow (2014)</w:t>
            </w:r>
            <w:r w:rsidR="000C0AA0">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008B4713" w:rsidRPr="007C3701">
              <w:rPr>
                <w:rFonts w:ascii="Calibri" w:eastAsia="Times New Roman" w:hAnsi="Calibri" w:cs="Calibri"/>
                <w:color w:val="000000"/>
                <w:lang w:eastAsia="en-GB"/>
              </w:rPr>
              <w:t>REF Impact Case Study no. 41153</w:t>
            </w:r>
            <w:r>
              <w:rPr>
                <w:rFonts w:ascii="Calibri" w:eastAsia="Times New Roman" w:hAnsi="Calibri" w:cs="Calibri"/>
                <w:color w:val="000000"/>
                <w:lang w:eastAsia="en-GB"/>
              </w:rPr>
              <w:t xml:space="preserve">. </w:t>
            </w:r>
            <w:hyperlink r:id="rId60" w:history="1">
              <w:r>
                <w:rPr>
                  <w:rStyle w:val="Hyperlink"/>
                </w:rPr>
                <w:t>https://results.ref.ac.uk/(S(5mhsdcrlek45dkop3v4uw5gx))/Submissions/Impact/394</w:t>
              </w:r>
            </w:hyperlink>
          </w:p>
        </w:tc>
      </w:tr>
      <w:tr w:rsidR="008B4713" w:rsidRPr="007C3701" w14:paraId="3934B731"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6A68F3F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w:t>
            </w:r>
          </w:p>
        </w:tc>
        <w:tc>
          <w:tcPr>
            <w:tcW w:w="9225" w:type="dxa"/>
            <w:tcBorders>
              <w:top w:val="nil"/>
              <w:left w:val="single" w:sz="4" w:space="0" w:color="auto"/>
              <w:bottom w:val="nil"/>
              <w:right w:val="single" w:sz="4" w:space="0" w:color="auto"/>
            </w:tcBorders>
            <w:shd w:val="clear" w:color="auto" w:fill="auto"/>
            <w:vAlign w:val="center"/>
            <w:hideMark/>
          </w:tcPr>
          <w:p w14:paraId="57642D8F" w14:textId="25999373" w:rsidR="008B4713" w:rsidRPr="007C3701" w:rsidRDefault="006140DB"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University of Glasgow (2014)</w:t>
            </w:r>
            <w:r w:rsidR="000C0AA0">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008B4713" w:rsidRPr="007C3701">
              <w:rPr>
                <w:rFonts w:ascii="Calibri" w:eastAsia="Times New Roman" w:hAnsi="Calibri" w:cs="Calibri"/>
                <w:color w:val="000000"/>
                <w:lang w:eastAsia="en-GB"/>
              </w:rPr>
              <w:t>REF Impact Case Study no. 41156</w:t>
            </w:r>
            <w:r w:rsidR="008D44A7">
              <w:rPr>
                <w:rFonts w:ascii="Calibri" w:eastAsia="Times New Roman" w:hAnsi="Calibri" w:cs="Calibri"/>
                <w:color w:val="000000"/>
                <w:lang w:eastAsia="en-GB"/>
              </w:rPr>
              <w:t>.</w:t>
            </w:r>
            <w:r>
              <w:rPr>
                <w:rFonts w:ascii="Calibri" w:eastAsia="Times New Roman" w:hAnsi="Calibri" w:cs="Calibri"/>
                <w:color w:val="000000"/>
                <w:lang w:eastAsia="en-GB"/>
              </w:rPr>
              <w:t xml:space="preserve"> </w:t>
            </w:r>
            <w:hyperlink r:id="rId61" w:history="1">
              <w:r>
                <w:rPr>
                  <w:rStyle w:val="Hyperlink"/>
                </w:rPr>
                <w:t>https://results.ref.ac.uk/(S(5mhsdcrlek45dkop3v4uw5gx))/Submissions/Impact/394</w:t>
              </w:r>
            </w:hyperlink>
          </w:p>
        </w:tc>
      </w:tr>
      <w:tr w:rsidR="008B4713" w:rsidRPr="007C3701" w14:paraId="6A71DC2C"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664B06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w:t>
            </w:r>
          </w:p>
        </w:tc>
        <w:tc>
          <w:tcPr>
            <w:tcW w:w="9225" w:type="dxa"/>
            <w:tcBorders>
              <w:top w:val="nil"/>
              <w:left w:val="single" w:sz="4" w:space="0" w:color="auto"/>
              <w:bottom w:val="nil"/>
              <w:right w:val="single" w:sz="4" w:space="0" w:color="auto"/>
            </w:tcBorders>
            <w:shd w:val="clear" w:color="auto" w:fill="auto"/>
            <w:vAlign w:val="center"/>
            <w:hideMark/>
          </w:tcPr>
          <w:p w14:paraId="4FCF9AC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CIBIS-2 Investigators and Committees. The Cardiac Insufficiency Bisoprolol Study II (CIBIS-II): a randomised trial. Lancet 1999; 353: 9–13. doi: 10.1016/S0140-6736(98)11181-9.</w:t>
            </w:r>
          </w:p>
        </w:tc>
      </w:tr>
      <w:tr w:rsidR="008B4713" w:rsidRPr="007C3701" w14:paraId="46C94A28"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2D1864F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w:t>
            </w:r>
          </w:p>
        </w:tc>
        <w:tc>
          <w:tcPr>
            <w:tcW w:w="9225" w:type="dxa"/>
            <w:tcBorders>
              <w:top w:val="nil"/>
              <w:left w:val="single" w:sz="4" w:space="0" w:color="auto"/>
              <w:bottom w:val="nil"/>
              <w:right w:val="single" w:sz="4" w:space="0" w:color="auto"/>
            </w:tcBorders>
            <w:shd w:val="clear" w:color="auto" w:fill="auto"/>
            <w:vAlign w:val="center"/>
            <w:hideMark/>
          </w:tcPr>
          <w:p w14:paraId="1BE54D0A"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ATLAS Study Group. Comparative effects of low and high doses of the angiotensin-converting enzyme inhibitor, lisinopril, on morbidity and mortality in chronic heart failure. Circulation 1999; 100: 2312–2318. doi: 10.1161/01.CIR.100.23.2312</w:t>
            </w:r>
          </w:p>
        </w:tc>
      </w:tr>
      <w:tr w:rsidR="008B4713" w:rsidRPr="007C3701" w14:paraId="382E9975"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32EABF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w:t>
            </w:r>
          </w:p>
        </w:tc>
        <w:tc>
          <w:tcPr>
            <w:tcW w:w="9225" w:type="dxa"/>
            <w:tcBorders>
              <w:top w:val="nil"/>
              <w:left w:val="single" w:sz="4" w:space="0" w:color="auto"/>
              <w:bottom w:val="nil"/>
              <w:right w:val="single" w:sz="4" w:space="0" w:color="auto"/>
            </w:tcBorders>
            <w:shd w:val="clear" w:color="auto" w:fill="auto"/>
            <w:vAlign w:val="center"/>
            <w:hideMark/>
          </w:tcPr>
          <w:p w14:paraId="2088B90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CHARM Investigators and Committees. Effects of candesartan in patients with chronic heart failure and reduced left-ventricular systolic function taking angiotensin-converting-enzyme inhibitors: the CHARM-Added trial. Lancet 2003; 362:767–771. doi: 10.1016/S0140-6736(03)14283.</w:t>
            </w:r>
          </w:p>
        </w:tc>
      </w:tr>
      <w:tr w:rsidR="008B4713" w:rsidRPr="007C3701" w14:paraId="0F5C14FF"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6EC1F08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w:t>
            </w:r>
          </w:p>
        </w:tc>
        <w:tc>
          <w:tcPr>
            <w:tcW w:w="9225" w:type="dxa"/>
            <w:tcBorders>
              <w:top w:val="nil"/>
              <w:left w:val="single" w:sz="4" w:space="0" w:color="auto"/>
              <w:bottom w:val="nil"/>
              <w:right w:val="single" w:sz="4" w:space="0" w:color="auto"/>
            </w:tcBorders>
            <w:shd w:val="clear" w:color="auto" w:fill="auto"/>
            <w:vAlign w:val="center"/>
            <w:hideMark/>
          </w:tcPr>
          <w:p w14:paraId="21352869"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Valsartan in Acute Myocardial Infarction Trial (VALIANT) Investigators. Valsartan, captopril, or both in myocardial infarction complicated by heart failure, left ventricular dysfunction, or both. N Engl J Med 2003; 349:1893–1906. doi: 10.1056/NEJMoa032292.</w:t>
            </w:r>
          </w:p>
        </w:tc>
      </w:tr>
      <w:tr w:rsidR="008B4713" w:rsidRPr="007C3701" w14:paraId="1555193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5A9E2DB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w:t>
            </w:r>
          </w:p>
        </w:tc>
        <w:tc>
          <w:tcPr>
            <w:tcW w:w="9225" w:type="dxa"/>
            <w:tcBorders>
              <w:top w:val="nil"/>
              <w:left w:val="single" w:sz="4" w:space="0" w:color="auto"/>
              <w:bottom w:val="nil"/>
              <w:right w:val="single" w:sz="4" w:space="0" w:color="auto"/>
            </w:tcBorders>
            <w:shd w:val="clear" w:color="auto" w:fill="auto"/>
            <w:vAlign w:val="center"/>
            <w:hideMark/>
          </w:tcPr>
          <w:p w14:paraId="014D80D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EMPHASIS-HF Study Group. Eplerenone in patients with systolic heart failure and mild symptoms. N Engl J Med 2011; 364:11–21. doi: 10.1056/NEJMoa1009492.</w:t>
            </w:r>
          </w:p>
        </w:tc>
      </w:tr>
      <w:tr w:rsidR="008B4713" w:rsidRPr="007C3701" w14:paraId="3819DF82"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7CB4392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w:t>
            </w:r>
          </w:p>
        </w:tc>
        <w:tc>
          <w:tcPr>
            <w:tcW w:w="9225" w:type="dxa"/>
            <w:tcBorders>
              <w:top w:val="nil"/>
              <w:left w:val="single" w:sz="4" w:space="0" w:color="auto"/>
              <w:bottom w:val="nil"/>
              <w:right w:val="single" w:sz="4" w:space="0" w:color="auto"/>
            </w:tcBorders>
            <w:shd w:val="clear" w:color="auto" w:fill="auto"/>
            <w:vAlign w:val="center"/>
            <w:hideMark/>
          </w:tcPr>
          <w:p w14:paraId="2901760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McDonagh TA, et al. Biochemical detection of left-ventricular systolic dysfunction. Lancet 1998; 351: 9–13. doi: 10.1016/S0140-6736(97)03034-1</w:t>
            </w:r>
          </w:p>
        </w:tc>
      </w:tr>
      <w:tr w:rsidR="008B4713" w:rsidRPr="007C3701" w14:paraId="2ECA0AEB"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53A0467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w:t>
            </w:r>
          </w:p>
        </w:tc>
        <w:tc>
          <w:tcPr>
            <w:tcW w:w="9225" w:type="dxa"/>
            <w:tcBorders>
              <w:top w:val="nil"/>
              <w:left w:val="single" w:sz="4" w:space="0" w:color="auto"/>
              <w:bottom w:val="nil"/>
              <w:right w:val="single" w:sz="4" w:space="0" w:color="auto"/>
            </w:tcBorders>
            <w:shd w:val="clear" w:color="auto" w:fill="auto"/>
            <w:vAlign w:val="center"/>
            <w:hideMark/>
          </w:tcPr>
          <w:p w14:paraId="46BBD43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Blue L, et al. Randomised controlled trial of specialist nurse intervention in heart failure. BMJ 2001; 323715-718. doi:10.1136/bmj.323.7315.715</w:t>
            </w:r>
          </w:p>
        </w:tc>
      </w:tr>
      <w:tr w:rsidR="008B4713" w:rsidRPr="007C3701" w14:paraId="40288DBB"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18119C4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w:t>
            </w:r>
          </w:p>
        </w:tc>
        <w:tc>
          <w:tcPr>
            <w:tcW w:w="9225" w:type="dxa"/>
            <w:tcBorders>
              <w:top w:val="nil"/>
              <w:left w:val="single" w:sz="4" w:space="0" w:color="auto"/>
              <w:bottom w:val="nil"/>
              <w:right w:val="single" w:sz="4" w:space="0" w:color="auto"/>
            </w:tcBorders>
            <w:shd w:val="clear" w:color="auto" w:fill="auto"/>
            <w:vAlign w:val="center"/>
            <w:hideMark/>
          </w:tcPr>
          <w:p w14:paraId="76A557D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McMurray J et al. Antiarrhythmic effect of carvedilol after acute myocardial infarction: results of the Carvedilol Post-Infarct Survival Control in Left Ventricular Dysfunction (CAPRICORN) trial. J Am Coll Cardiol 2005; 45: 525–530 doi:10.1016/j.jacc.2004.09.076.</w:t>
            </w:r>
          </w:p>
        </w:tc>
      </w:tr>
      <w:tr w:rsidR="008B4713" w:rsidRPr="007C3701" w14:paraId="0E18F6AB"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6ED20DA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w:t>
            </w:r>
          </w:p>
        </w:tc>
        <w:tc>
          <w:tcPr>
            <w:tcW w:w="9225" w:type="dxa"/>
            <w:tcBorders>
              <w:top w:val="nil"/>
              <w:left w:val="single" w:sz="4" w:space="0" w:color="auto"/>
              <w:bottom w:val="nil"/>
              <w:right w:val="single" w:sz="4" w:space="0" w:color="auto"/>
            </w:tcBorders>
            <w:shd w:val="clear" w:color="auto" w:fill="auto"/>
            <w:vAlign w:val="center"/>
            <w:hideMark/>
          </w:tcPr>
          <w:p w14:paraId="0B63C8BF"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Ducharme A et al. Prevention of atrial fibrillation in patients with symptomatic chronic heart failure by candesartan in the Candesartan in Heart failure: assessment of Reduction in Mortality and morbidity (CHARM) program. Am Heart J 2006; 151: 985–991 doi:10.1016/j.ahj.2005.06.036.</w:t>
            </w:r>
          </w:p>
        </w:tc>
      </w:tr>
      <w:tr w:rsidR="008B4713" w:rsidRPr="007C3701" w14:paraId="081C3EA4"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6EBBC93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w:t>
            </w:r>
          </w:p>
        </w:tc>
        <w:tc>
          <w:tcPr>
            <w:tcW w:w="9225" w:type="dxa"/>
            <w:tcBorders>
              <w:top w:val="nil"/>
              <w:left w:val="single" w:sz="4" w:space="0" w:color="auto"/>
              <w:bottom w:val="nil"/>
              <w:right w:val="single" w:sz="4" w:space="0" w:color="auto"/>
            </w:tcBorders>
            <w:shd w:val="clear" w:color="auto" w:fill="auto"/>
            <w:vAlign w:val="center"/>
            <w:hideMark/>
          </w:tcPr>
          <w:p w14:paraId="3522838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Khand AU et al. Carvedilol alone or in combination with digoxin for the management of atrial fibrillation in patients with heart failure? J Am Coll Cardiol 2003; 42: 1944–1951 doi:10.1016/j.jacc.2003.07.020.</w:t>
            </w:r>
          </w:p>
        </w:tc>
      </w:tr>
      <w:tr w:rsidR="008B4713" w:rsidRPr="007C3701" w14:paraId="5FAA5F61"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E9BCB5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w:t>
            </w:r>
          </w:p>
        </w:tc>
        <w:tc>
          <w:tcPr>
            <w:tcW w:w="9225" w:type="dxa"/>
            <w:tcBorders>
              <w:top w:val="nil"/>
              <w:left w:val="single" w:sz="4" w:space="0" w:color="auto"/>
              <w:bottom w:val="nil"/>
              <w:right w:val="single" w:sz="4" w:space="0" w:color="auto"/>
            </w:tcBorders>
            <w:shd w:val="clear" w:color="auto" w:fill="auto"/>
            <w:vAlign w:val="center"/>
            <w:hideMark/>
          </w:tcPr>
          <w:p w14:paraId="79D446B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MacDonald MR et al. Radiofrequency ablation for persistent atrial fibrillation in patients with advanced heart failure and severe left ventricular systolic dysfunction: a randomised controlled trial. Heart 2011; 97: 740–747 doi:10.1136/hrt.2010.207340.</w:t>
            </w:r>
          </w:p>
        </w:tc>
      </w:tr>
      <w:tr w:rsidR="008B4713" w:rsidRPr="007C3701" w14:paraId="070FE3E7"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2619F85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w:t>
            </w:r>
          </w:p>
        </w:tc>
        <w:tc>
          <w:tcPr>
            <w:tcW w:w="9225" w:type="dxa"/>
            <w:tcBorders>
              <w:top w:val="nil"/>
              <w:left w:val="single" w:sz="4" w:space="0" w:color="auto"/>
              <w:bottom w:val="nil"/>
              <w:right w:val="single" w:sz="4" w:space="0" w:color="auto"/>
            </w:tcBorders>
            <w:shd w:val="clear" w:color="auto" w:fill="auto"/>
            <w:vAlign w:val="center"/>
            <w:hideMark/>
          </w:tcPr>
          <w:p w14:paraId="4D59BF62"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Køber L et al. Increased mortality after dronedarone therapy for severe heart failure. N Engl J Med 2008; 358: 2678–2687 doi:10.1056/NEJMoa0800456.</w:t>
            </w:r>
          </w:p>
        </w:tc>
      </w:tr>
      <w:tr w:rsidR="008B4713" w:rsidRPr="007C3701" w14:paraId="1F5C6AB2"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7A6CB7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34</w:t>
            </w:r>
          </w:p>
        </w:tc>
        <w:tc>
          <w:tcPr>
            <w:tcW w:w="9225" w:type="dxa"/>
            <w:tcBorders>
              <w:top w:val="nil"/>
              <w:left w:val="single" w:sz="4" w:space="0" w:color="auto"/>
              <w:bottom w:val="nil"/>
              <w:right w:val="single" w:sz="4" w:space="0" w:color="auto"/>
            </w:tcBorders>
            <w:shd w:val="clear" w:color="auto" w:fill="auto"/>
            <w:vAlign w:val="center"/>
            <w:hideMark/>
          </w:tcPr>
          <w:p w14:paraId="24D87710"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Granger CB et al. Apixaban versus warfarin in patients with atrial fibrillation. N Engl J Med 2011; 365: 981–992 doi:10.1056/NEJMoa1107039.</w:t>
            </w:r>
          </w:p>
        </w:tc>
      </w:tr>
      <w:tr w:rsidR="008B4713" w:rsidRPr="007C3701" w14:paraId="5FF45DAC" w14:textId="77777777" w:rsidTr="00047667">
        <w:trPr>
          <w:trHeight w:val="300"/>
        </w:trPr>
        <w:tc>
          <w:tcPr>
            <w:tcW w:w="551" w:type="dxa"/>
            <w:tcBorders>
              <w:top w:val="nil"/>
              <w:left w:val="single" w:sz="4" w:space="0" w:color="auto"/>
              <w:bottom w:val="nil"/>
              <w:right w:val="nil"/>
            </w:tcBorders>
            <w:shd w:val="clear" w:color="auto" w:fill="auto"/>
            <w:noWrap/>
            <w:vAlign w:val="center"/>
            <w:hideMark/>
          </w:tcPr>
          <w:p w14:paraId="3775E5E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35</w:t>
            </w:r>
          </w:p>
        </w:tc>
        <w:tc>
          <w:tcPr>
            <w:tcW w:w="9225" w:type="dxa"/>
            <w:tcBorders>
              <w:top w:val="nil"/>
              <w:left w:val="single" w:sz="4" w:space="0" w:color="auto"/>
              <w:bottom w:val="nil"/>
              <w:right w:val="single" w:sz="4" w:space="0" w:color="auto"/>
            </w:tcBorders>
            <w:shd w:val="clear" w:color="auto" w:fill="auto"/>
            <w:vAlign w:val="center"/>
            <w:hideMark/>
          </w:tcPr>
          <w:p w14:paraId="41010A49" w14:textId="0FBA6AC9" w:rsidR="008B4713" w:rsidRPr="007C3701" w:rsidRDefault="00A56355" w:rsidP="004E0087">
            <w:pPr>
              <w:spacing w:after="0" w:line="240" w:lineRule="auto"/>
              <w:rPr>
                <w:rFonts w:ascii="Calibri" w:eastAsia="Times New Roman" w:hAnsi="Calibri" w:cs="Calibri"/>
                <w:color w:val="000000"/>
                <w:lang w:eastAsia="en-GB"/>
              </w:rPr>
            </w:pPr>
            <w:hyperlink r:id="rId62" w:history="1">
              <w:r w:rsidR="00047667" w:rsidRPr="000562AF">
                <w:rPr>
                  <w:rStyle w:val="Hyperlink"/>
                  <w:rFonts w:ascii="Calibri" w:eastAsia="Times New Roman" w:hAnsi="Calibri" w:cs="Calibri"/>
                  <w:lang w:eastAsia="en-GB"/>
                </w:rPr>
                <w:t>https://www.linkedin.com/in/marc-henis-a171b716/</w:t>
              </w:r>
            </w:hyperlink>
            <w:r w:rsidR="00047667">
              <w:rPr>
                <w:rFonts w:ascii="Calibri" w:eastAsia="Times New Roman" w:hAnsi="Calibri" w:cs="Calibri"/>
                <w:color w:val="000000"/>
                <w:lang w:eastAsia="en-GB"/>
              </w:rPr>
              <w:t xml:space="preserve"> (accessed 4 September 2019)</w:t>
            </w:r>
          </w:p>
        </w:tc>
      </w:tr>
      <w:tr w:rsidR="008B4713" w:rsidRPr="007C3701" w14:paraId="4401D1A8" w14:textId="77777777" w:rsidTr="00047667">
        <w:trPr>
          <w:trHeight w:val="300"/>
        </w:trPr>
        <w:tc>
          <w:tcPr>
            <w:tcW w:w="551" w:type="dxa"/>
            <w:tcBorders>
              <w:top w:val="nil"/>
              <w:left w:val="single" w:sz="4" w:space="0" w:color="auto"/>
              <w:bottom w:val="nil"/>
              <w:right w:val="nil"/>
            </w:tcBorders>
            <w:shd w:val="clear" w:color="auto" w:fill="auto"/>
            <w:noWrap/>
            <w:vAlign w:val="center"/>
            <w:hideMark/>
          </w:tcPr>
          <w:p w14:paraId="3CBA707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36</w:t>
            </w:r>
          </w:p>
        </w:tc>
        <w:tc>
          <w:tcPr>
            <w:tcW w:w="9225" w:type="dxa"/>
            <w:tcBorders>
              <w:top w:val="nil"/>
              <w:left w:val="single" w:sz="4" w:space="0" w:color="auto"/>
              <w:bottom w:val="nil"/>
              <w:right w:val="single" w:sz="4" w:space="0" w:color="auto"/>
            </w:tcBorders>
            <w:shd w:val="clear" w:color="auto" w:fill="auto"/>
            <w:vAlign w:val="center"/>
            <w:hideMark/>
          </w:tcPr>
          <w:p w14:paraId="57787A8A" w14:textId="7D9F69D9" w:rsidR="008B4713" w:rsidRPr="007C3701" w:rsidRDefault="00A56355" w:rsidP="004E0087">
            <w:pPr>
              <w:spacing w:after="0" w:line="240" w:lineRule="auto"/>
              <w:rPr>
                <w:rFonts w:ascii="Calibri" w:eastAsia="Times New Roman" w:hAnsi="Calibri" w:cs="Calibri"/>
                <w:color w:val="000000"/>
                <w:lang w:eastAsia="en-GB"/>
              </w:rPr>
            </w:pPr>
            <w:hyperlink r:id="rId63" w:history="1">
              <w:r w:rsidR="00047667" w:rsidRPr="000562AF">
                <w:rPr>
                  <w:rStyle w:val="Hyperlink"/>
                  <w:rFonts w:ascii="Calibri" w:eastAsia="Times New Roman" w:hAnsi="Calibri" w:cs="Calibri"/>
                  <w:lang w:eastAsia="en-GB"/>
                </w:rPr>
                <w:t>http://www.uniqure.com/about/about-management-team-steve-zelenkofske.php</w:t>
              </w:r>
            </w:hyperlink>
            <w:r w:rsidR="00047667">
              <w:rPr>
                <w:rFonts w:ascii="Calibri" w:eastAsia="Times New Roman" w:hAnsi="Calibri" w:cs="Calibri"/>
                <w:color w:val="000000"/>
                <w:lang w:eastAsia="en-GB"/>
              </w:rPr>
              <w:t xml:space="preserve"> (accessed 4 September 2019)</w:t>
            </w:r>
          </w:p>
        </w:tc>
      </w:tr>
      <w:tr w:rsidR="008B4713" w:rsidRPr="007C3701" w14:paraId="02A53EF6" w14:textId="77777777" w:rsidTr="00047667">
        <w:trPr>
          <w:trHeight w:val="600"/>
        </w:trPr>
        <w:tc>
          <w:tcPr>
            <w:tcW w:w="551" w:type="dxa"/>
            <w:tcBorders>
              <w:top w:val="nil"/>
              <w:left w:val="single" w:sz="4" w:space="0" w:color="auto"/>
              <w:bottom w:val="nil"/>
              <w:right w:val="nil"/>
            </w:tcBorders>
            <w:shd w:val="clear" w:color="auto" w:fill="auto"/>
            <w:noWrap/>
            <w:vAlign w:val="center"/>
            <w:hideMark/>
          </w:tcPr>
          <w:p w14:paraId="14D4E57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37</w:t>
            </w:r>
          </w:p>
        </w:tc>
        <w:tc>
          <w:tcPr>
            <w:tcW w:w="9225" w:type="dxa"/>
            <w:tcBorders>
              <w:top w:val="nil"/>
              <w:left w:val="single" w:sz="4" w:space="0" w:color="auto"/>
              <w:bottom w:val="nil"/>
              <w:right w:val="single" w:sz="4" w:space="0" w:color="auto"/>
            </w:tcBorders>
            <w:shd w:val="clear" w:color="auto" w:fill="auto"/>
            <w:vAlign w:val="center"/>
            <w:hideMark/>
          </w:tcPr>
          <w:p w14:paraId="46749C84" w14:textId="67AC98F3" w:rsidR="008B4713" w:rsidRPr="007C3701" w:rsidRDefault="00A56355" w:rsidP="004E0087">
            <w:pPr>
              <w:spacing w:after="0" w:line="240" w:lineRule="auto"/>
              <w:rPr>
                <w:rFonts w:ascii="Calibri" w:eastAsia="Times New Roman" w:hAnsi="Calibri" w:cs="Calibri"/>
                <w:color w:val="0563C1"/>
                <w:u w:val="single"/>
                <w:lang w:eastAsia="en-GB"/>
              </w:rPr>
            </w:pPr>
            <w:hyperlink r:id="rId64" w:history="1">
              <w:r w:rsidR="008B4713" w:rsidRPr="007C3701">
                <w:rPr>
                  <w:rFonts w:ascii="Calibri" w:eastAsia="Times New Roman" w:hAnsi="Calibri" w:cs="Calibri"/>
                  <w:color w:val="0563C1"/>
                  <w:u w:val="single"/>
                  <w:lang w:eastAsia="en-GB"/>
                </w:rPr>
                <w:t>https://globenewswire.com/news-release/2017/06/06/1008503/0/en/uniQure-Announces-Appointment-of-Steven-L-Zelenkofske-as-Chief-Medical-Officer.html</w:t>
              </w:r>
            </w:hyperlink>
            <w:r w:rsidR="00047667">
              <w:rPr>
                <w:rFonts w:ascii="Calibri" w:eastAsia="Times New Roman" w:hAnsi="Calibri" w:cs="Calibri"/>
                <w:color w:val="0563C1"/>
                <w:u w:val="single"/>
                <w:lang w:eastAsia="en-GB"/>
              </w:rPr>
              <w:t xml:space="preserve"> </w:t>
            </w:r>
            <w:r w:rsidR="00047667">
              <w:rPr>
                <w:rFonts w:ascii="Calibri" w:eastAsia="Times New Roman" w:hAnsi="Calibri" w:cs="Calibri"/>
                <w:color w:val="000000"/>
                <w:lang w:eastAsia="en-GB"/>
              </w:rPr>
              <w:t>(accessed 4 September 2019)</w:t>
            </w:r>
          </w:p>
        </w:tc>
      </w:tr>
      <w:tr w:rsidR="008B4713" w:rsidRPr="007C3701" w14:paraId="1D79676C" w14:textId="77777777" w:rsidTr="00047667">
        <w:trPr>
          <w:trHeight w:val="600"/>
        </w:trPr>
        <w:tc>
          <w:tcPr>
            <w:tcW w:w="551" w:type="dxa"/>
            <w:tcBorders>
              <w:top w:val="nil"/>
              <w:left w:val="single" w:sz="4" w:space="0" w:color="auto"/>
              <w:bottom w:val="nil"/>
              <w:right w:val="nil"/>
            </w:tcBorders>
            <w:shd w:val="clear" w:color="auto" w:fill="auto"/>
            <w:noWrap/>
            <w:vAlign w:val="center"/>
            <w:hideMark/>
          </w:tcPr>
          <w:p w14:paraId="186D100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38</w:t>
            </w:r>
          </w:p>
        </w:tc>
        <w:tc>
          <w:tcPr>
            <w:tcW w:w="9225" w:type="dxa"/>
            <w:tcBorders>
              <w:top w:val="nil"/>
              <w:left w:val="single" w:sz="4" w:space="0" w:color="auto"/>
              <w:bottom w:val="nil"/>
              <w:right w:val="single" w:sz="4" w:space="0" w:color="auto"/>
            </w:tcBorders>
            <w:shd w:val="clear" w:color="auto" w:fill="auto"/>
            <w:vAlign w:val="center"/>
            <w:hideMark/>
          </w:tcPr>
          <w:p w14:paraId="2B0C99EA" w14:textId="63748A80" w:rsidR="008B4713" w:rsidRPr="007C3701" w:rsidRDefault="00A56355" w:rsidP="004E0087">
            <w:pPr>
              <w:spacing w:after="0" w:line="240" w:lineRule="auto"/>
              <w:rPr>
                <w:rFonts w:ascii="Calibri" w:eastAsia="Times New Roman" w:hAnsi="Calibri" w:cs="Calibri"/>
                <w:color w:val="0563C1"/>
                <w:u w:val="single"/>
                <w:lang w:eastAsia="en-GB"/>
              </w:rPr>
            </w:pPr>
            <w:hyperlink r:id="rId65" w:history="1">
              <w:r w:rsidR="008B4713" w:rsidRPr="007C3701">
                <w:rPr>
                  <w:rFonts w:ascii="Calibri" w:eastAsia="Times New Roman" w:hAnsi="Calibri" w:cs="Calibri"/>
                  <w:color w:val="0563C1"/>
                  <w:u w:val="single"/>
                  <w:lang w:eastAsia="en-GB"/>
                </w:rPr>
                <w:t>http://theconferenceforum.org/conferences/chief-medical-officer-summit/speakers/steven-zelenkofske-do-facc/</w:t>
              </w:r>
            </w:hyperlink>
          </w:p>
        </w:tc>
      </w:tr>
      <w:tr w:rsidR="008B4713" w:rsidRPr="007C3701" w14:paraId="2E1B20BD" w14:textId="77777777" w:rsidTr="00047667">
        <w:trPr>
          <w:trHeight w:val="300"/>
        </w:trPr>
        <w:tc>
          <w:tcPr>
            <w:tcW w:w="551" w:type="dxa"/>
            <w:tcBorders>
              <w:top w:val="nil"/>
              <w:left w:val="single" w:sz="4" w:space="0" w:color="auto"/>
              <w:bottom w:val="nil"/>
              <w:right w:val="nil"/>
            </w:tcBorders>
            <w:shd w:val="clear" w:color="auto" w:fill="auto"/>
            <w:noWrap/>
            <w:vAlign w:val="center"/>
            <w:hideMark/>
          </w:tcPr>
          <w:p w14:paraId="558163A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39</w:t>
            </w:r>
          </w:p>
        </w:tc>
        <w:tc>
          <w:tcPr>
            <w:tcW w:w="9225" w:type="dxa"/>
            <w:tcBorders>
              <w:top w:val="nil"/>
              <w:left w:val="single" w:sz="4" w:space="0" w:color="auto"/>
              <w:bottom w:val="nil"/>
              <w:right w:val="single" w:sz="4" w:space="0" w:color="auto"/>
            </w:tcBorders>
            <w:shd w:val="clear" w:color="auto" w:fill="auto"/>
            <w:vAlign w:val="center"/>
            <w:hideMark/>
          </w:tcPr>
          <w:p w14:paraId="5FD94AE5" w14:textId="08F243BE" w:rsidR="008B4713" w:rsidRPr="007C3701" w:rsidRDefault="00A56355" w:rsidP="004E0087">
            <w:pPr>
              <w:spacing w:after="0" w:line="240" w:lineRule="auto"/>
              <w:rPr>
                <w:rFonts w:ascii="Calibri" w:eastAsia="Times New Roman" w:hAnsi="Calibri" w:cs="Calibri"/>
                <w:color w:val="000000"/>
                <w:lang w:eastAsia="en-GB"/>
              </w:rPr>
            </w:pPr>
            <w:hyperlink r:id="rId66" w:history="1">
              <w:r w:rsidR="00047667" w:rsidRPr="000562AF">
                <w:rPr>
                  <w:rStyle w:val="Hyperlink"/>
                  <w:rFonts w:ascii="Calibri" w:eastAsia="Times New Roman" w:hAnsi="Calibri" w:cs="Calibri"/>
                  <w:lang w:eastAsia="en-GB"/>
                </w:rPr>
                <w:t>https://www.linkedin.com/in/susan-watkins-34613323/</w:t>
              </w:r>
            </w:hyperlink>
            <w:r w:rsidR="00047667">
              <w:rPr>
                <w:rFonts w:ascii="Calibri" w:eastAsia="Times New Roman" w:hAnsi="Calibri" w:cs="Calibri"/>
                <w:color w:val="000000"/>
                <w:lang w:eastAsia="en-GB"/>
              </w:rPr>
              <w:t xml:space="preserve"> (accessed 4 September 2019)</w:t>
            </w:r>
          </w:p>
        </w:tc>
      </w:tr>
      <w:tr w:rsidR="008B4713" w:rsidRPr="007C3701" w14:paraId="5FE12215" w14:textId="77777777" w:rsidTr="00047667">
        <w:trPr>
          <w:trHeight w:val="300"/>
        </w:trPr>
        <w:tc>
          <w:tcPr>
            <w:tcW w:w="551" w:type="dxa"/>
            <w:tcBorders>
              <w:top w:val="nil"/>
              <w:left w:val="single" w:sz="4" w:space="0" w:color="auto"/>
              <w:bottom w:val="nil"/>
              <w:right w:val="nil"/>
            </w:tcBorders>
            <w:shd w:val="clear" w:color="auto" w:fill="auto"/>
            <w:noWrap/>
            <w:vAlign w:val="center"/>
            <w:hideMark/>
          </w:tcPr>
          <w:p w14:paraId="61C3BB9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40</w:t>
            </w:r>
          </w:p>
        </w:tc>
        <w:tc>
          <w:tcPr>
            <w:tcW w:w="9225" w:type="dxa"/>
            <w:tcBorders>
              <w:top w:val="nil"/>
              <w:left w:val="single" w:sz="4" w:space="0" w:color="auto"/>
              <w:bottom w:val="nil"/>
              <w:right w:val="single" w:sz="4" w:space="0" w:color="auto"/>
            </w:tcBorders>
            <w:shd w:val="clear" w:color="auto" w:fill="auto"/>
            <w:vAlign w:val="center"/>
            <w:hideMark/>
          </w:tcPr>
          <w:p w14:paraId="2CFF7967" w14:textId="511D916F" w:rsidR="008B4713" w:rsidRPr="007C3701" w:rsidRDefault="00A56355" w:rsidP="004E0087">
            <w:pPr>
              <w:spacing w:after="0" w:line="240" w:lineRule="auto"/>
              <w:rPr>
                <w:rFonts w:ascii="Calibri" w:eastAsia="Times New Roman" w:hAnsi="Calibri" w:cs="Calibri"/>
                <w:color w:val="000000"/>
                <w:lang w:eastAsia="en-GB"/>
              </w:rPr>
            </w:pPr>
            <w:hyperlink r:id="rId67" w:history="1">
              <w:r w:rsidR="00047667" w:rsidRPr="000562AF">
                <w:rPr>
                  <w:rStyle w:val="Hyperlink"/>
                  <w:rFonts w:ascii="Calibri" w:eastAsia="Times New Roman" w:hAnsi="Calibri" w:cs="Calibri"/>
                  <w:lang w:eastAsia="en-GB"/>
                </w:rPr>
                <w:t>https://clinicaltrials.gov/ct2/show/NCT00412984</w:t>
              </w:r>
            </w:hyperlink>
            <w:r w:rsidR="00047667">
              <w:rPr>
                <w:rFonts w:ascii="Calibri" w:eastAsia="Times New Roman" w:hAnsi="Calibri" w:cs="Calibri"/>
                <w:color w:val="000000"/>
                <w:lang w:eastAsia="en-GB"/>
              </w:rPr>
              <w:t xml:space="preserve"> (accessed 4 September 2019)</w:t>
            </w:r>
          </w:p>
        </w:tc>
      </w:tr>
      <w:tr w:rsidR="008B4713" w:rsidRPr="007C3701" w14:paraId="2E77A1CE"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56C46" w14:textId="77777777" w:rsidR="008B4713" w:rsidRPr="007C3701" w:rsidRDefault="008B4713" w:rsidP="004E0087">
            <w:pPr>
              <w:spacing w:after="0" w:line="240" w:lineRule="auto"/>
              <w:jc w:val="center"/>
              <w:rPr>
                <w:rFonts w:ascii="Calibri" w:eastAsia="Times New Roman" w:hAnsi="Calibri" w:cs="Calibri"/>
                <w:b/>
                <w:bCs/>
                <w:color w:val="000000"/>
                <w:lang w:eastAsia="en-GB"/>
              </w:rPr>
            </w:pPr>
            <w:r w:rsidRPr="007C3701">
              <w:rPr>
                <w:rFonts w:ascii="Calibri" w:eastAsia="Times New Roman" w:hAnsi="Calibri" w:cs="Calibri"/>
                <w:b/>
                <w:bCs/>
                <w:color w:val="000000"/>
                <w:lang w:eastAsia="en-GB"/>
              </w:rPr>
              <w:t>Unit of Assessment 4</w:t>
            </w:r>
          </w:p>
        </w:tc>
      </w:tr>
      <w:tr w:rsidR="008B4713" w:rsidRPr="007C3701" w14:paraId="4744CB49"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3E8736A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41</w:t>
            </w:r>
          </w:p>
        </w:tc>
        <w:tc>
          <w:tcPr>
            <w:tcW w:w="9225" w:type="dxa"/>
            <w:tcBorders>
              <w:top w:val="nil"/>
              <w:left w:val="single" w:sz="4" w:space="0" w:color="auto"/>
              <w:bottom w:val="nil"/>
              <w:right w:val="single" w:sz="4" w:space="0" w:color="auto"/>
            </w:tcBorders>
            <w:shd w:val="clear" w:color="auto" w:fill="auto"/>
            <w:vAlign w:val="center"/>
            <w:hideMark/>
          </w:tcPr>
          <w:p w14:paraId="64485DD6" w14:textId="76613F1D" w:rsidR="008B4713" w:rsidRPr="007C3701" w:rsidRDefault="000C0AA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University of East London (2014)</w:t>
            </w:r>
            <w:r w:rsidR="00DC30F6">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008B4713" w:rsidRPr="007C3701">
              <w:rPr>
                <w:rFonts w:ascii="Calibri" w:eastAsia="Times New Roman" w:hAnsi="Calibri" w:cs="Calibri"/>
                <w:color w:val="000000"/>
                <w:lang w:eastAsia="en-GB"/>
              </w:rPr>
              <w:t>REF2014 Impact Template</w:t>
            </w:r>
            <w:r w:rsidR="008D44A7">
              <w:rPr>
                <w:rFonts w:ascii="Calibri" w:eastAsia="Times New Roman" w:hAnsi="Calibri" w:cs="Calibri"/>
                <w:color w:val="000000"/>
                <w:lang w:eastAsia="en-GB"/>
              </w:rPr>
              <w:t xml:space="preserve">. </w:t>
            </w:r>
            <w:hyperlink r:id="rId68" w:history="1">
              <w:r w:rsidR="008D44A7">
                <w:rPr>
                  <w:rStyle w:val="Hyperlink"/>
                </w:rPr>
                <w:t>https://results.ref.ac.uk/(S(5mhsdcrlek45dkop3v4uw5gx))/Submissions/Impact/752</w:t>
              </w:r>
            </w:hyperlink>
          </w:p>
        </w:tc>
      </w:tr>
      <w:tr w:rsidR="008B4713" w:rsidRPr="007C3701" w14:paraId="21BB17F3"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3537829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42</w:t>
            </w:r>
          </w:p>
        </w:tc>
        <w:tc>
          <w:tcPr>
            <w:tcW w:w="9225" w:type="dxa"/>
            <w:tcBorders>
              <w:top w:val="nil"/>
              <w:left w:val="single" w:sz="4" w:space="0" w:color="auto"/>
              <w:bottom w:val="nil"/>
              <w:right w:val="single" w:sz="4" w:space="0" w:color="auto"/>
            </w:tcBorders>
            <w:shd w:val="clear" w:color="auto" w:fill="auto"/>
            <w:vAlign w:val="center"/>
            <w:hideMark/>
          </w:tcPr>
          <w:p w14:paraId="2D9AABBC" w14:textId="0BBF3C0A" w:rsidR="008B4713" w:rsidRPr="007C3701" w:rsidRDefault="00DC30F6"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East London (2014). </w:t>
            </w:r>
            <w:r w:rsidR="008B4713" w:rsidRPr="007C3701">
              <w:rPr>
                <w:rFonts w:ascii="Calibri" w:eastAsia="Times New Roman" w:hAnsi="Calibri" w:cs="Calibri"/>
                <w:color w:val="000000"/>
                <w:lang w:eastAsia="en-GB"/>
              </w:rPr>
              <w:t>REF2014 Environment Template</w:t>
            </w:r>
            <w:r w:rsidR="008D44A7">
              <w:rPr>
                <w:rFonts w:ascii="Calibri" w:eastAsia="Times New Roman" w:hAnsi="Calibri" w:cs="Calibri"/>
                <w:color w:val="000000"/>
                <w:lang w:eastAsia="en-GB"/>
              </w:rPr>
              <w:t xml:space="preserve">. </w:t>
            </w:r>
            <w:hyperlink r:id="rId69" w:history="1">
              <w:r w:rsidR="008D44A7">
                <w:rPr>
                  <w:rStyle w:val="Hyperlink"/>
                </w:rPr>
                <w:t>https://results.ref.ac.uk/(S(5mhsdcrlek45dkop3v4uw5gx))/Submissions/Environment/752</w:t>
              </w:r>
            </w:hyperlink>
          </w:p>
        </w:tc>
      </w:tr>
      <w:tr w:rsidR="008B4713" w:rsidRPr="007C3701" w14:paraId="2F3A2999" w14:textId="77777777" w:rsidTr="00F07276">
        <w:trPr>
          <w:trHeight w:val="426"/>
        </w:trPr>
        <w:tc>
          <w:tcPr>
            <w:tcW w:w="551" w:type="dxa"/>
            <w:tcBorders>
              <w:top w:val="nil"/>
              <w:left w:val="single" w:sz="4" w:space="0" w:color="auto"/>
              <w:bottom w:val="nil"/>
              <w:right w:val="nil"/>
            </w:tcBorders>
            <w:shd w:val="clear" w:color="auto" w:fill="auto"/>
            <w:noWrap/>
            <w:vAlign w:val="center"/>
            <w:hideMark/>
          </w:tcPr>
          <w:p w14:paraId="2192982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43</w:t>
            </w:r>
          </w:p>
        </w:tc>
        <w:tc>
          <w:tcPr>
            <w:tcW w:w="9225" w:type="dxa"/>
            <w:tcBorders>
              <w:top w:val="nil"/>
              <w:left w:val="single" w:sz="4" w:space="0" w:color="auto"/>
              <w:bottom w:val="nil"/>
              <w:right w:val="single" w:sz="4" w:space="0" w:color="auto"/>
            </w:tcBorders>
            <w:shd w:val="clear" w:color="auto" w:fill="auto"/>
            <w:vAlign w:val="center"/>
            <w:hideMark/>
          </w:tcPr>
          <w:p w14:paraId="0FE3BF9A" w14:textId="426F12E4" w:rsidR="008B4713" w:rsidRPr="00FD2D99" w:rsidRDefault="00AB47D6" w:rsidP="004E0087">
            <w:pPr>
              <w:spacing w:after="0" w:line="240" w:lineRule="auto"/>
              <w:rPr>
                <w:rFonts w:ascii="Calibri" w:eastAsia="Times New Roman" w:hAnsi="Calibri" w:cs="Calibri"/>
                <w:color w:val="000000"/>
                <w:lang w:eastAsia="en-GB"/>
              </w:rPr>
            </w:pPr>
            <w:r w:rsidRPr="00FD2D99">
              <w:rPr>
                <w:rFonts w:ascii="Calibri" w:eastAsia="Times New Roman" w:hAnsi="Calibri" w:cs="Calibri"/>
                <w:color w:val="000000"/>
                <w:lang w:eastAsia="en-GB"/>
              </w:rPr>
              <w:t xml:space="preserve">University of East London. Drugs and Addictive Behaviour Research Group. </w:t>
            </w:r>
            <w:hyperlink r:id="rId70" w:history="1">
              <w:r w:rsidRPr="00FD2D99">
                <w:rPr>
                  <w:rStyle w:val="Hyperlink"/>
                </w:rPr>
                <w:t>https://www.uel.ac.uk/research/drugs-and-addictive-behaviour</w:t>
              </w:r>
            </w:hyperlink>
            <w:r w:rsidR="00F07276">
              <w:t xml:space="preserve"> </w:t>
            </w:r>
            <w:r w:rsidR="00F07276">
              <w:rPr>
                <w:rFonts w:ascii="Calibri" w:eastAsia="Times New Roman" w:hAnsi="Calibri" w:cs="Calibri"/>
                <w:color w:val="000000"/>
                <w:lang w:eastAsia="en-GB"/>
              </w:rPr>
              <w:t>(accessed 4 September 2019)</w:t>
            </w:r>
          </w:p>
        </w:tc>
      </w:tr>
      <w:tr w:rsidR="008B4713" w:rsidRPr="007C3701" w14:paraId="1630FD7B" w14:textId="77777777" w:rsidTr="00F07276">
        <w:trPr>
          <w:trHeight w:val="300"/>
        </w:trPr>
        <w:tc>
          <w:tcPr>
            <w:tcW w:w="551" w:type="dxa"/>
            <w:tcBorders>
              <w:top w:val="nil"/>
              <w:left w:val="single" w:sz="4" w:space="0" w:color="auto"/>
              <w:bottom w:val="nil"/>
              <w:right w:val="nil"/>
            </w:tcBorders>
            <w:shd w:val="clear" w:color="auto" w:fill="auto"/>
            <w:noWrap/>
            <w:vAlign w:val="center"/>
            <w:hideMark/>
          </w:tcPr>
          <w:p w14:paraId="655AA45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44</w:t>
            </w:r>
          </w:p>
        </w:tc>
        <w:tc>
          <w:tcPr>
            <w:tcW w:w="9225" w:type="dxa"/>
            <w:tcBorders>
              <w:top w:val="nil"/>
              <w:left w:val="single" w:sz="4" w:space="0" w:color="auto"/>
              <w:bottom w:val="nil"/>
              <w:right w:val="single" w:sz="4" w:space="0" w:color="auto"/>
            </w:tcBorders>
            <w:shd w:val="clear" w:color="auto" w:fill="auto"/>
            <w:vAlign w:val="center"/>
            <w:hideMark/>
          </w:tcPr>
          <w:p w14:paraId="615F0ADF" w14:textId="3A3484B4" w:rsidR="008B4713" w:rsidRPr="00FD2D99" w:rsidRDefault="00AB47D6" w:rsidP="004E0087">
            <w:pPr>
              <w:spacing w:after="0" w:line="240" w:lineRule="auto"/>
              <w:rPr>
                <w:rFonts w:ascii="Calibri" w:eastAsia="Times New Roman" w:hAnsi="Calibri" w:cs="Calibri"/>
                <w:color w:val="000000"/>
                <w:lang w:eastAsia="en-GB"/>
              </w:rPr>
            </w:pPr>
            <w:r w:rsidRPr="00FD2D99">
              <w:rPr>
                <w:rFonts w:ascii="Calibri" w:eastAsia="Times New Roman" w:hAnsi="Calibri" w:cs="Calibri"/>
                <w:color w:val="000000"/>
                <w:lang w:eastAsia="en-GB"/>
              </w:rPr>
              <w:t xml:space="preserve">Substance Use and Misuse Network. </w:t>
            </w:r>
            <w:hyperlink r:id="rId71" w:history="1">
              <w:r w:rsidRPr="00FD2D99">
                <w:rPr>
                  <w:rStyle w:val="Hyperlink"/>
                </w:rPr>
                <w:t>https://sumresearchuel.wordpress.com/</w:t>
              </w:r>
            </w:hyperlink>
            <w:r w:rsidR="00F07276">
              <w:t xml:space="preserve"> </w:t>
            </w:r>
            <w:r w:rsidR="00F07276">
              <w:rPr>
                <w:rFonts w:ascii="Calibri" w:eastAsia="Times New Roman" w:hAnsi="Calibri" w:cs="Calibri"/>
                <w:color w:val="000000"/>
                <w:lang w:eastAsia="en-GB"/>
              </w:rPr>
              <w:t>(accessed 4 September 2019)</w:t>
            </w:r>
          </w:p>
        </w:tc>
      </w:tr>
      <w:tr w:rsidR="008B4713" w:rsidRPr="007C3701" w14:paraId="5B30AB2B" w14:textId="77777777" w:rsidTr="00F07276">
        <w:trPr>
          <w:trHeight w:val="300"/>
        </w:trPr>
        <w:tc>
          <w:tcPr>
            <w:tcW w:w="551" w:type="dxa"/>
            <w:tcBorders>
              <w:top w:val="nil"/>
              <w:left w:val="single" w:sz="4" w:space="0" w:color="auto"/>
              <w:bottom w:val="nil"/>
              <w:right w:val="nil"/>
            </w:tcBorders>
            <w:shd w:val="clear" w:color="auto" w:fill="auto"/>
            <w:noWrap/>
            <w:vAlign w:val="center"/>
            <w:hideMark/>
          </w:tcPr>
          <w:p w14:paraId="707923C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45</w:t>
            </w:r>
          </w:p>
        </w:tc>
        <w:tc>
          <w:tcPr>
            <w:tcW w:w="9225" w:type="dxa"/>
            <w:tcBorders>
              <w:top w:val="nil"/>
              <w:left w:val="single" w:sz="4" w:space="0" w:color="auto"/>
              <w:bottom w:val="nil"/>
              <w:right w:val="single" w:sz="4" w:space="0" w:color="auto"/>
            </w:tcBorders>
            <w:shd w:val="clear" w:color="auto" w:fill="auto"/>
            <w:vAlign w:val="center"/>
            <w:hideMark/>
          </w:tcPr>
          <w:p w14:paraId="725FAB04" w14:textId="0BD3B8FF" w:rsidR="008B4713" w:rsidRPr="00FD2D99" w:rsidRDefault="00A81F15" w:rsidP="004E0087">
            <w:pPr>
              <w:spacing w:after="0" w:line="240" w:lineRule="auto"/>
              <w:rPr>
                <w:rFonts w:ascii="Calibri" w:eastAsia="Times New Roman" w:hAnsi="Calibri" w:cs="Calibri"/>
                <w:color w:val="000000"/>
                <w:lang w:eastAsia="en-GB"/>
              </w:rPr>
            </w:pPr>
            <w:r w:rsidRPr="00FD2D99">
              <w:rPr>
                <w:rFonts w:ascii="Calibri" w:eastAsia="Times New Roman" w:hAnsi="Calibri" w:cs="Calibri"/>
                <w:color w:val="000000"/>
                <w:lang w:eastAsia="en-GB"/>
              </w:rPr>
              <w:t>National Institute on Drug Abuse. Research and Activities</w:t>
            </w:r>
            <w:r w:rsidR="00AB1C4D" w:rsidRPr="00FD2D99">
              <w:rPr>
                <w:rFonts w:ascii="Calibri" w:eastAsia="Times New Roman" w:hAnsi="Calibri" w:cs="Calibri"/>
                <w:color w:val="000000"/>
                <w:lang w:eastAsia="en-GB"/>
              </w:rPr>
              <w:t xml:space="preserve"> – Neuroscience and behavior</w:t>
            </w:r>
            <w:r w:rsidRPr="00FD2D99">
              <w:rPr>
                <w:rFonts w:ascii="Calibri" w:eastAsia="Times New Roman" w:hAnsi="Calibri" w:cs="Calibri"/>
                <w:color w:val="000000"/>
                <w:lang w:eastAsia="en-GB"/>
              </w:rPr>
              <w:t xml:space="preserve">. </w:t>
            </w:r>
            <w:hyperlink r:id="rId72" w:history="1">
              <w:r w:rsidR="00AB1C4D" w:rsidRPr="00FD2D99">
                <w:rPr>
                  <w:rStyle w:val="Hyperlink"/>
                </w:rPr>
                <w:t>https://www.drugabuse.gov/about-nida/organization/divisions/division-neuroscience-behavior-dnb</w:t>
              </w:r>
            </w:hyperlink>
            <w:r w:rsidR="00F07276">
              <w:t xml:space="preserve"> </w:t>
            </w:r>
            <w:r w:rsidR="00F07276">
              <w:rPr>
                <w:rFonts w:ascii="Calibri" w:eastAsia="Times New Roman" w:hAnsi="Calibri" w:cs="Calibri"/>
                <w:color w:val="000000"/>
                <w:lang w:eastAsia="en-GB"/>
              </w:rPr>
              <w:t>(accessed 4 September 2019)</w:t>
            </w:r>
          </w:p>
        </w:tc>
      </w:tr>
      <w:tr w:rsidR="008B4713" w:rsidRPr="007C3701" w14:paraId="5D7A1C6C" w14:textId="77777777" w:rsidTr="00F07276">
        <w:trPr>
          <w:trHeight w:val="300"/>
        </w:trPr>
        <w:tc>
          <w:tcPr>
            <w:tcW w:w="551" w:type="dxa"/>
            <w:tcBorders>
              <w:top w:val="nil"/>
              <w:left w:val="single" w:sz="4" w:space="0" w:color="auto"/>
              <w:bottom w:val="single" w:sz="4" w:space="0" w:color="auto"/>
              <w:right w:val="nil"/>
            </w:tcBorders>
            <w:shd w:val="clear" w:color="auto" w:fill="auto"/>
            <w:noWrap/>
            <w:vAlign w:val="center"/>
            <w:hideMark/>
          </w:tcPr>
          <w:p w14:paraId="75236E0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46</w:t>
            </w:r>
          </w:p>
        </w:tc>
        <w:tc>
          <w:tcPr>
            <w:tcW w:w="9225" w:type="dxa"/>
            <w:tcBorders>
              <w:top w:val="nil"/>
              <w:left w:val="single" w:sz="4" w:space="0" w:color="auto"/>
              <w:bottom w:val="single" w:sz="4" w:space="0" w:color="auto"/>
              <w:right w:val="single" w:sz="4" w:space="0" w:color="auto"/>
            </w:tcBorders>
            <w:shd w:val="clear" w:color="auto" w:fill="auto"/>
            <w:vAlign w:val="center"/>
            <w:hideMark/>
          </w:tcPr>
          <w:p w14:paraId="6B41FC54" w14:textId="546CCCAD" w:rsidR="008B4713" w:rsidRPr="00FD2D99" w:rsidRDefault="008B4713" w:rsidP="004E0087">
            <w:pPr>
              <w:spacing w:after="0" w:line="240" w:lineRule="auto"/>
              <w:rPr>
                <w:rFonts w:ascii="Calibri" w:eastAsia="Times New Roman" w:hAnsi="Calibri" w:cs="Calibri"/>
                <w:color w:val="000000"/>
                <w:lang w:eastAsia="en-GB"/>
              </w:rPr>
            </w:pPr>
            <w:r w:rsidRPr="00FD2D99">
              <w:rPr>
                <w:rFonts w:ascii="Calibri" w:eastAsia="Times New Roman" w:hAnsi="Calibri" w:cs="Calibri"/>
                <w:color w:val="000000"/>
                <w:lang w:eastAsia="en-GB"/>
              </w:rPr>
              <w:t>Journal of Psychopharmacology</w:t>
            </w:r>
            <w:r w:rsidR="00B4274E">
              <w:rPr>
                <w:rFonts w:ascii="Calibri" w:eastAsia="Times New Roman" w:hAnsi="Calibri" w:cs="Calibri"/>
                <w:color w:val="000000"/>
                <w:lang w:eastAsia="en-GB"/>
              </w:rPr>
              <w:t xml:space="preserve">. </w:t>
            </w:r>
            <w:hyperlink r:id="rId73" w:anchor="description" w:history="1">
              <w:r w:rsidR="00B4274E">
                <w:rPr>
                  <w:rStyle w:val="Hyperlink"/>
                </w:rPr>
                <w:t>https://us.sagepub.com/en-us/nam/journal/journal-psychopharmacology#description</w:t>
              </w:r>
            </w:hyperlink>
            <w:r w:rsidR="00F07276">
              <w:t xml:space="preserve"> </w:t>
            </w:r>
            <w:r w:rsidR="00F07276">
              <w:rPr>
                <w:rFonts w:ascii="Calibri" w:eastAsia="Times New Roman" w:hAnsi="Calibri" w:cs="Calibri"/>
                <w:color w:val="000000"/>
                <w:lang w:eastAsia="en-GB"/>
              </w:rPr>
              <w:t>(accessed 4 September 2019)</w:t>
            </w:r>
          </w:p>
        </w:tc>
      </w:tr>
      <w:tr w:rsidR="008B4713" w:rsidRPr="007C3701" w14:paraId="368BC866" w14:textId="77777777" w:rsidTr="00E44E9B">
        <w:trPr>
          <w:trHeight w:val="300"/>
        </w:trPr>
        <w:tc>
          <w:tcPr>
            <w:tcW w:w="9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14975"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4.1</w:t>
            </w:r>
          </w:p>
        </w:tc>
      </w:tr>
      <w:tr w:rsidR="008B4713" w:rsidRPr="007C3701" w14:paraId="2F101C94" w14:textId="77777777" w:rsidTr="00E44E9B">
        <w:trPr>
          <w:trHeight w:val="300"/>
        </w:trPr>
        <w:tc>
          <w:tcPr>
            <w:tcW w:w="551" w:type="dxa"/>
            <w:tcBorders>
              <w:top w:val="single" w:sz="4" w:space="0" w:color="auto"/>
              <w:left w:val="single" w:sz="4" w:space="0" w:color="auto"/>
              <w:bottom w:val="nil"/>
              <w:right w:val="nil"/>
            </w:tcBorders>
            <w:shd w:val="clear" w:color="auto" w:fill="auto"/>
            <w:noWrap/>
            <w:vAlign w:val="center"/>
            <w:hideMark/>
          </w:tcPr>
          <w:p w14:paraId="2B93C20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47</w:t>
            </w:r>
          </w:p>
        </w:tc>
        <w:tc>
          <w:tcPr>
            <w:tcW w:w="9225" w:type="dxa"/>
            <w:tcBorders>
              <w:top w:val="single" w:sz="4" w:space="0" w:color="auto"/>
              <w:left w:val="single" w:sz="4" w:space="0" w:color="auto"/>
              <w:bottom w:val="nil"/>
              <w:right w:val="single" w:sz="4" w:space="0" w:color="auto"/>
            </w:tcBorders>
            <w:shd w:val="clear" w:color="auto" w:fill="auto"/>
            <w:vAlign w:val="center"/>
            <w:hideMark/>
          </w:tcPr>
          <w:p w14:paraId="5E88541F" w14:textId="6CF4F1F8" w:rsidR="008B4713" w:rsidRPr="007C3701" w:rsidRDefault="00DC30F6"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East London (2014). </w:t>
            </w:r>
            <w:r w:rsidR="008B4713" w:rsidRPr="007C3701">
              <w:rPr>
                <w:rFonts w:ascii="Calibri" w:eastAsia="Times New Roman" w:hAnsi="Calibri" w:cs="Calibri"/>
                <w:color w:val="000000"/>
                <w:lang w:eastAsia="en-GB"/>
              </w:rPr>
              <w:t>REF Impact Case Study no. 41149</w:t>
            </w:r>
            <w:r w:rsidR="008D44A7">
              <w:rPr>
                <w:rFonts w:ascii="Calibri" w:eastAsia="Times New Roman" w:hAnsi="Calibri" w:cs="Calibri"/>
                <w:color w:val="000000"/>
                <w:lang w:eastAsia="en-GB"/>
              </w:rPr>
              <w:t xml:space="preserve">. </w:t>
            </w:r>
            <w:hyperlink r:id="rId74" w:history="1">
              <w:r w:rsidR="00BE22B2">
                <w:rPr>
                  <w:rStyle w:val="Hyperlink"/>
                </w:rPr>
                <w:t>https://results.ref.ac.uk/(S(5mhsdcrlek45dkop3v4uw5gx))/Submissions/Impact/752</w:t>
              </w:r>
            </w:hyperlink>
          </w:p>
        </w:tc>
      </w:tr>
      <w:tr w:rsidR="008B4713" w:rsidRPr="007C3701" w14:paraId="6BB2200C"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1825222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48</w:t>
            </w:r>
          </w:p>
        </w:tc>
        <w:tc>
          <w:tcPr>
            <w:tcW w:w="9225" w:type="dxa"/>
            <w:tcBorders>
              <w:top w:val="nil"/>
              <w:left w:val="single" w:sz="4" w:space="0" w:color="auto"/>
              <w:bottom w:val="nil"/>
              <w:right w:val="single" w:sz="4" w:space="0" w:color="auto"/>
            </w:tcBorders>
            <w:shd w:val="clear" w:color="auto" w:fill="auto"/>
            <w:vAlign w:val="center"/>
            <w:hideMark/>
          </w:tcPr>
          <w:p w14:paraId="639BD11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Parrott AC, Garnham NJ, Wesnes K, Pincock C (1996). Cigarette smoking and abstinence: comparative effects upon cognitive task performance and mood state over 24 hours. Human Psychopharmacology, 11: 391-400. http://bit.ly/17zMKJM</w:t>
            </w:r>
          </w:p>
        </w:tc>
      </w:tr>
      <w:tr w:rsidR="008B4713" w:rsidRPr="007C3701" w14:paraId="12FC8A2C" w14:textId="77777777" w:rsidTr="004E0087">
        <w:trPr>
          <w:trHeight w:val="1200"/>
        </w:trPr>
        <w:tc>
          <w:tcPr>
            <w:tcW w:w="551" w:type="dxa"/>
            <w:tcBorders>
              <w:top w:val="nil"/>
              <w:left w:val="single" w:sz="4" w:space="0" w:color="auto"/>
              <w:bottom w:val="nil"/>
              <w:right w:val="nil"/>
            </w:tcBorders>
            <w:shd w:val="clear" w:color="auto" w:fill="auto"/>
            <w:noWrap/>
            <w:vAlign w:val="center"/>
            <w:hideMark/>
          </w:tcPr>
          <w:p w14:paraId="2B84566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49</w:t>
            </w:r>
          </w:p>
        </w:tc>
        <w:tc>
          <w:tcPr>
            <w:tcW w:w="9225" w:type="dxa"/>
            <w:tcBorders>
              <w:top w:val="nil"/>
              <w:left w:val="single" w:sz="4" w:space="0" w:color="auto"/>
              <w:bottom w:val="nil"/>
              <w:right w:val="single" w:sz="4" w:space="0" w:color="auto"/>
            </w:tcBorders>
            <w:shd w:val="clear" w:color="auto" w:fill="auto"/>
            <w:vAlign w:val="center"/>
            <w:hideMark/>
          </w:tcPr>
          <w:p w14:paraId="0EF2C85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Dawkins, L., Powell, J.H., West, R., Powell, J. &amp; Pickering, A. (2007). A double-blind placebo controlled experimental study of nicotine: II effects on response inhibition and executive functioning. Psychopharmacology, 190 (4): 457-467. doi:10.1007/s00213-006-0634-6 Submitted to RAE2008 submission, which rated 97.9% of Dawkins’ outputs at 2* or above.</w:t>
            </w:r>
          </w:p>
        </w:tc>
      </w:tr>
      <w:tr w:rsidR="008B4713" w:rsidRPr="007C3701" w14:paraId="10F1B162"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7D4D884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50</w:t>
            </w:r>
          </w:p>
        </w:tc>
        <w:tc>
          <w:tcPr>
            <w:tcW w:w="9225" w:type="dxa"/>
            <w:tcBorders>
              <w:top w:val="nil"/>
              <w:left w:val="single" w:sz="4" w:space="0" w:color="auto"/>
              <w:bottom w:val="nil"/>
              <w:right w:val="single" w:sz="4" w:space="0" w:color="auto"/>
            </w:tcBorders>
            <w:shd w:val="clear" w:color="auto" w:fill="auto"/>
            <w:vAlign w:val="center"/>
            <w:hideMark/>
          </w:tcPr>
          <w:p w14:paraId="22722B3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Dawkins, L., Powell, J.H., Pickering, A., Powell, J. &amp; West, R. (2009). Patterns of change in withdrawal symptoms, desire to smoke, reward motivation, and response inhibition across three months of smoking abstinence. Addiction, 104 (3): 850-858. doi:10.1111/j.1360-0443.2009.02522.x</w:t>
            </w:r>
          </w:p>
        </w:tc>
      </w:tr>
      <w:tr w:rsidR="008B4713" w:rsidRPr="007C3701" w14:paraId="55A283C0"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232EB77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51</w:t>
            </w:r>
          </w:p>
        </w:tc>
        <w:tc>
          <w:tcPr>
            <w:tcW w:w="9225" w:type="dxa"/>
            <w:tcBorders>
              <w:top w:val="nil"/>
              <w:left w:val="single" w:sz="4" w:space="0" w:color="auto"/>
              <w:bottom w:val="nil"/>
              <w:right w:val="single" w:sz="4" w:space="0" w:color="auto"/>
            </w:tcBorders>
            <w:shd w:val="clear" w:color="auto" w:fill="auto"/>
            <w:vAlign w:val="center"/>
            <w:hideMark/>
          </w:tcPr>
          <w:p w14:paraId="52425422"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Powell, J., Dawkins, L., West, R., Powell, J. &amp; Pickering (2010). Relapse to smoking during unaided cessation: Clinical, cognitive, and motivational predictors. Psychopharmacology, 212(4): 537-49. doi:10.1007/s00213-010-1975-8</w:t>
            </w:r>
          </w:p>
        </w:tc>
      </w:tr>
      <w:tr w:rsidR="008B4713" w:rsidRPr="007C3701" w14:paraId="7A07874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56A5501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52</w:t>
            </w:r>
          </w:p>
        </w:tc>
        <w:tc>
          <w:tcPr>
            <w:tcW w:w="9225" w:type="dxa"/>
            <w:tcBorders>
              <w:top w:val="nil"/>
              <w:left w:val="single" w:sz="4" w:space="0" w:color="auto"/>
              <w:bottom w:val="nil"/>
              <w:right w:val="single" w:sz="4" w:space="0" w:color="auto"/>
            </w:tcBorders>
            <w:shd w:val="clear" w:color="auto" w:fill="auto"/>
            <w:vAlign w:val="center"/>
            <w:hideMark/>
          </w:tcPr>
          <w:p w14:paraId="1EFD648F"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Dawkins, L., Turner, J., Hasna, S. &amp; Soar, K. (2012). The electronic-cigarette: Effects on desire to smoke, mood and cognition. Addictive Behaviours, 37: 970-973. doi:10.1016/j.addbeh.2012.03.004</w:t>
            </w:r>
          </w:p>
        </w:tc>
      </w:tr>
      <w:tr w:rsidR="008B4713" w:rsidRPr="007C3701" w14:paraId="01D93EFE"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0DDCC97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53</w:t>
            </w:r>
          </w:p>
        </w:tc>
        <w:tc>
          <w:tcPr>
            <w:tcW w:w="9225" w:type="dxa"/>
            <w:tcBorders>
              <w:top w:val="nil"/>
              <w:left w:val="single" w:sz="4" w:space="0" w:color="auto"/>
              <w:bottom w:val="nil"/>
              <w:right w:val="single" w:sz="4" w:space="0" w:color="auto"/>
            </w:tcBorders>
            <w:shd w:val="clear" w:color="auto" w:fill="auto"/>
            <w:vAlign w:val="center"/>
            <w:hideMark/>
          </w:tcPr>
          <w:p w14:paraId="6A2AAA6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Dawkins L, Turner J, Crowe E. (2013) Nicotine derived from the electronic cigarette improves time-based prospective memory in abstinent smokers. Psychopharmacology 227(3): 377-84. doi: 10.1007/s00213-013-2983-2</w:t>
            </w:r>
          </w:p>
        </w:tc>
      </w:tr>
      <w:tr w:rsidR="008B4713" w:rsidRPr="007C3701" w14:paraId="70E1CBA4"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652418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54</w:t>
            </w:r>
          </w:p>
        </w:tc>
        <w:tc>
          <w:tcPr>
            <w:tcW w:w="9225" w:type="dxa"/>
            <w:tcBorders>
              <w:top w:val="nil"/>
              <w:left w:val="single" w:sz="4" w:space="0" w:color="auto"/>
              <w:bottom w:val="nil"/>
              <w:right w:val="single" w:sz="4" w:space="0" w:color="auto"/>
            </w:tcBorders>
            <w:shd w:val="clear" w:color="auto" w:fill="auto"/>
            <w:vAlign w:val="center"/>
            <w:hideMark/>
          </w:tcPr>
          <w:p w14:paraId="1CA7EAA7"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Dawkins, L., Turner, J., Roberts, A. &amp; Soar, K. (2013). Vaping profiles and preferences: An online survey of electronic cigarette users. Addiction, 108 (6)” 1115-1125. doi:10.1111/add.12150</w:t>
            </w:r>
          </w:p>
        </w:tc>
      </w:tr>
      <w:tr w:rsidR="008B4713" w:rsidRPr="007C3701" w14:paraId="1C275D72" w14:textId="77777777" w:rsidTr="00D347FF">
        <w:trPr>
          <w:trHeight w:val="300"/>
        </w:trPr>
        <w:tc>
          <w:tcPr>
            <w:tcW w:w="551" w:type="dxa"/>
            <w:tcBorders>
              <w:top w:val="nil"/>
              <w:left w:val="single" w:sz="4" w:space="0" w:color="auto"/>
              <w:bottom w:val="nil"/>
              <w:right w:val="nil"/>
            </w:tcBorders>
            <w:shd w:val="clear" w:color="auto" w:fill="auto"/>
            <w:noWrap/>
            <w:vAlign w:val="center"/>
            <w:hideMark/>
          </w:tcPr>
          <w:p w14:paraId="214E525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55</w:t>
            </w:r>
          </w:p>
        </w:tc>
        <w:tc>
          <w:tcPr>
            <w:tcW w:w="9225" w:type="dxa"/>
            <w:tcBorders>
              <w:top w:val="nil"/>
              <w:left w:val="single" w:sz="4" w:space="0" w:color="auto"/>
              <w:bottom w:val="nil"/>
              <w:right w:val="single" w:sz="4" w:space="0" w:color="auto"/>
            </w:tcBorders>
            <w:shd w:val="clear" w:color="auto" w:fill="auto"/>
            <w:vAlign w:val="center"/>
            <w:hideMark/>
          </w:tcPr>
          <w:p w14:paraId="54BAC513" w14:textId="0ABE97DE" w:rsidR="008B4713" w:rsidRPr="007C3701" w:rsidRDefault="004913B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Department of Health (2008). Consultation on the Future of </w:t>
            </w:r>
            <w:r w:rsidR="008B4713" w:rsidRPr="007C3701">
              <w:rPr>
                <w:rFonts w:ascii="Calibri" w:eastAsia="Times New Roman" w:hAnsi="Calibri" w:cs="Calibri"/>
                <w:color w:val="000000"/>
                <w:lang w:eastAsia="en-GB"/>
              </w:rPr>
              <w:t>Tobacco Contro</w:t>
            </w:r>
            <w:r>
              <w:rPr>
                <w:rFonts w:ascii="Calibri" w:eastAsia="Times New Roman" w:hAnsi="Calibri" w:cs="Calibri"/>
                <w:color w:val="000000"/>
                <w:lang w:eastAsia="en-GB"/>
              </w:rPr>
              <w:t>l. Consultation Report: December 2008.</w:t>
            </w:r>
          </w:p>
        </w:tc>
      </w:tr>
      <w:tr w:rsidR="008B4713" w:rsidRPr="007C3701" w14:paraId="38B773DC" w14:textId="77777777" w:rsidTr="00D347FF">
        <w:trPr>
          <w:trHeight w:val="300"/>
        </w:trPr>
        <w:tc>
          <w:tcPr>
            <w:tcW w:w="551" w:type="dxa"/>
            <w:tcBorders>
              <w:top w:val="nil"/>
              <w:left w:val="single" w:sz="4" w:space="0" w:color="auto"/>
              <w:bottom w:val="nil"/>
              <w:right w:val="nil"/>
            </w:tcBorders>
            <w:shd w:val="clear" w:color="auto" w:fill="auto"/>
            <w:noWrap/>
            <w:vAlign w:val="center"/>
            <w:hideMark/>
          </w:tcPr>
          <w:p w14:paraId="2D38955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56</w:t>
            </w:r>
          </w:p>
        </w:tc>
        <w:tc>
          <w:tcPr>
            <w:tcW w:w="9225" w:type="dxa"/>
            <w:tcBorders>
              <w:top w:val="nil"/>
              <w:left w:val="single" w:sz="4" w:space="0" w:color="auto"/>
              <w:bottom w:val="nil"/>
              <w:right w:val="single" w:sz="4" w:space="0" w:color="auto"/>
            </w:tcBorders>
            <w:shd w:val="clear" w:color="auto" w:fill="auto"/>
            <w:vAlign w:val="center"/>
            <w:hideMark/>
          </w:tcPr>
          <w:p w14:paraId="6EC5E38C" w14:textId="36EC58BE"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Tobacco Control Consultation</w:t>
            </w:r>
            <w:r w:rsidR="004913B0">
              <w:rPr>
                <w:rFonts w:ascii="Calibri" w:eastAsia="Times New Roman" w:hAnsi="Calibri" w:cs="Calibri"/>
                <w:color w:val="000000"/>
                <w:lang w:eastAsia="en-GB"/>
              </w:rPr>
              <w:t xml:space="preserve"> (2008). Consultation on the Future of </w:t>
            </w:r>
            <w:r w:rsidR="004913B0" w:rsidRPr="007C3701">
              <w:rPr>
                <w:rFonts w:ascii="Calibri" w:eastAsia="Times New Roman" w:hAnsi="Calibri" w:cs="Calibri"/>
                <w:color w:val="000000"/>
                <w:lang w:eastAsia="en-GB"/>
              </w:rPr>
              <w:t>Tobacco Contro</w:t>
            </w:r>
            <w:r w:rsidR="004913B0">
              <w:rPr>
                <w:rFonts w:ascii="Calibri" w:eastAsia="Times New Roman" w:hAnsi="Calibri" w:cs="Calibri"/>
                <w:color w:val="000000"/>
                <w:lang w:eastAsia="en-GB"/>
              </w:rPr>
              <w:t>l</w:t>
            </w:r>
            <w:r w:rsidR="00D0098F">
              <w:rPr>
                <w:rFonts w:ascii="Calibri" w:eastAsia="Times New Roman" w:hAnsi="Calibri" w:cs="Calibri"/>
                <w:color w:val="000000"/>
                <w:lang w:eastAsia="en-GB"/>
              </w:rPr>
              <w:t>: May 2008.</w:t>
            </w:r>
          </w:p>
        </w:tc>
      </w:tr>
      <w:tr w:rsidR="008B4713" w:rsidRPr="007C3701" w14:paraId="437CE4D2" w14:textId="77777777" w:rsidTr="00D347FF">
        <w:trPr>
          <w:trHeight w:val="300"/>
        </w:trPr>
        <w:tc>
          <w:tcPr>
            <w:tcW w:w="551" w:type="dxa"/>
            <w:tcBorders>
              <w:top w:val="nil"/>
              <w:left w:val="single" w:sz="4" w:space="0" w:color="auto"/>
              <w:bottom w:val="nil"/>
              <w:right w:val="nil"/>
            </w:tcBorders>
            <w:shd w:val="clear" w:color="auto" w:fill="auto"/>
            <w:noWrap/>
            <w:vAlign w:val="center"/>
            <w:hideMark/>
          </w:tcPr>
          <w:p w14:paraId="70E49E7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57</w:t>
            </w:r>
          </w:p>
        </w:tc>
        <w:tc>
          <w:tcPr>
            <w:tcW w:w="9225" w:type="dxa"/>
            <w:tcBorders>
              <w:top w:val="nil"/>
              <w:left w:val="single" w:sz="4" w:space="0" w:color="auto"/>
              <w:bottom w:val="nil"/>
              <w:right w:val="single" w:sz="4" w:space="0" w:color="auto"/>
            </w:tcBorders>
            <w:shd w:val="clear" w:color="auto" w:fill="auto"/>
            <w:vAlign w:val="center"/>
            <w:hideMark/>
          </w:tcPr>
          <w:p w14:paraId="0D9FB8B0" w14:textId="74C1FC50"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w:t>
            </w:r>
            <w:r w:rsidR="00D0098F">
              <w:rPr>
                <w:rFonts w:ascii="Calibri" w:eastAsia="Times New Roman" w:hAnsi="Calibri" w:cs="Calibri"/>
                <w:color w:val="000000"/>
                <w:lang w:eastAsia="en-GB"/>
              </w:rPr>
              <w:t>ritish Psychological Society (2008).</w:t>
            </w:r>
            <w:r w:rsidRPr="007C3701">
              <w:rPr>
                <w:rFonts w:ascii="Calibri" w:eastAsia="Times New Roman" w:hAnsi="Calibri" w:cs="Calibri"/>
                <w:color w:val="000000"/>
                <w:lang w:eastAsia="en-GB"/>
              </w:rPr>
              <w:t xml:space="preserve"> Response to</w:t>
            </w:r>
            <w:r w:rsidR="00D0098F">
              <w:rPr>
                <w:rFonts w:ascii="Calibri" w:eastAsia="Times New Roman" w:hAnsi="Calibri" w:cs="Calibri"/>
                <w:color w:val="000000"/>
                <w:lang w:eastAsia="en-GB"/>
              </w:rPr>
              <w:t xml:space="preserve"> the Department of Health Consultation: Consultation on the Future</w:t>
            </w:r>
            <w:r w:rsidRPr="007C3701">
              <w:rPr>
                <w:rFonts w:ascii="Calibri" w:eastAsia="Times New Roman" w:hAnsi="Calibri" w:cs="Calibri"/>
                <w:color w:val="000000"/>
                <w:lang w:eastAsia="en-GB"/>
              </w:rPr>
              <w:t xml:space="preserve"> Tobacco </w:t>
            </w:r>
            <w:r w:rsidR="00D0098F">
              <w:rPr>
                <w:rFonts w:ascii="Calibri" w:eastAsia="Times New Roman" w:hAnsi="Calibri" w:cs="Calibri"/>
                <w:color w:val="000000"/>
                <w:lang w:eastAsia="en-GB"/>
              </w:rPr>
              <w:t>Control.</w:t>
            </w:r>
          </w:p>
        </w:tc>
      </w:tr>
      <w:tr w:rsidR="008B4713" w:rsidRPr="007C3701" w14:paraId="1DAB12D4"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29631E9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58</w:t>
            </w:r>
          </w:p>
        </w:tc>
        <w:tc>
          <w:tcPr>
            <w:tcW w:w="9225" w:type="dxa"/>
            <w:tcBorders>
              <w:top w:val="nil"/>
              <w:left w:val="single" w:sz="4" w:space="0" w:color="auto"/>
              <w:bottom w:val="nil"/>
              <w:right w:val="single" w:sz="4" w:space="0" w:color="auto"/>
            </w:tcBorders>
            <w:shd w:val="clear" w:color="auto" w:fill="auto"/>
            <w:vAlign w:val="center"/>
            <w:hideMark/>
          </w:tcPr>
          <w:p w14:paraId="5A983EB9"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PARROTT AC* and N. J. GARNHAM, Comparative Mood States and Cognitive Skills of</w:t>
            </w:r>
            <w:r w:rsidRPr="007C3701">
              <w:rPr>
                <w:rFonts w:ascii="Calibri" w:eastAsia="Times New Roman" w:hAnsi="Calibri" w:cs="Calibri"/>
                <w:color w:val="000000"/>
                <w:lang w:eastAsia="en-GB"/>
              </w:rPr>
              <w:br/>
              <w:t>Cigarette Smokers, Deprived Smokers and Nonsmokers. Hum. Psychopharmacol. Clin. Exp. 13, 367±376 (1998)</w:t>
            </w:r>
          </w:p>
        </w:tc>
      </w:tr>
      <w:tr w:rsidR="008B4713" w:rsidRPr="007C3701" w14:paraId="1DC8BE60"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FE1DC4"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4.2</w:t>
            </w:r>
          </w:p>
        </w:tc>
      </w:tr>
      <w:tr w:rsidR="008B4713" w:rsidRPr="007C3701" w14:paraId="142743E2"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393C180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59</w:t>
            </w:r>
          </w:p>
        </w:tc>
        <w:tc>
          <w:tcPr>
            <w:tcW w:w="9225" w:type="dxa"/>
            <w:tcBorders>
              <w:top w:val="nil"/>
              <w:left w:val="single" w:sz="4" w:space="0" w:color="auto"/>
              <w:bottom w:val="nil"/>
              <w:right w:val="single" w:sz="4" w:space="0" w:color="auto"/>
            </w:tcBorders>
            <w:shd w:val="clear" w:color="auto" w:fill="auto"/>
            <w:vAlign w:val="center"/>
            <w:hideMark/>
          </w:tcPr>
          <w:p w14:paraId="5171C1DE" w14:textId="0BF3B13B" w:rsidR="008B4713" w:rsidRPr="007C3701" w:rsidRDefault="00F70DD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East London (2014). </w:t>
            </w:r>
            <w:r w:rsidR="008B4713" w:rsidRPr="007C3701">
              <w:rPr>
                <w:rFonts w:ascii="Calibri" w:eastAsia="Times New Roman" w:hAnsi="Calibri" w:cs="Calibri"/>
                <w:color w:val="000000"/>
                <w:lang w:eastAsia="en-GB"/>
              </w:rPr>
              <w:t>REF Impact Case Study no. 44507</w:t>
            </w:r>
            <w:r w:rsidR="00BE22B2">
              <w:rPr>
                <w:rFonts w:ascii="Calibri" w:eastAsia="Times New Roman" w:hAnsi="Calibri" w:cs="Calibri"/>
                <w:color w:val="000000"/>
                <w:lang w:eastAsia="en-GB"/>
              </w:rPr>
              <w:t xml:space="preserve">. </w:t>
            </w:r>
            <w:hyperlink r:id="rId75" w:history="1">
              <w:r w:rsidR="00BE22B2">
                <w:rPr>
                  <w:rStyle w:val="Hyperlink"/>
                </w:rPr>
                <w:t>https://results.ref.ac.uk/(S(5mhsdcrlek45dkop3v4uw5gx))/Submissions/Impact/752</w:t>
              </w:r>
            </w:hyperlink>
          </w:p>
        </w:tc>
      </w:tr>
      <w:tr w:rsidR="008B4713" w:rsidRPr="007C3701" w14:paraId="36D523C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4163ED9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60</w:t>
            </w:r>
          </w:p>
        </w:tc>
        <w:tc>
          <w:tcPr>
            <w:tcW w:w="9225" w:type="dxa"/>
            <w:tcBorders>
              <w:top w:val="nil"/>
              <w:left w:val="single" w:sz="4" w:space="0" w:color="auto"/>
              <w:bottom w:val="nil"/>
              <w:right w:val="single" w:sz="4" w:space="0" w:color="auto"/>
            </w:tcBorders>
            <w:shd w:val="clear" w:color="auto" w:fill="auto"/>
            <w:vAlign w:val="center"/>
            <w:hideMark/>
          </w:tcPr>
          <w:p w14:paraId="319EDEC6"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Parrott, A.C. &amp; Lasky, J. (1998). Ecstasy (MDMA) effects upon mood and cognition: before, during, and after a Saturday night dance. Psychopharmacology, 139, 261-268. http://bit.ly/1hzK3cx</w:t>
            </w:r>
          </w:p>
        </w:tc>
      </w:tr>
      <w:tr w:rsidR="008B4713" w:rsidRPr="007C3701" w14:paraId="610278C0"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29C9641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61</w:t>
            </w:r>
          </w:p>
        </w:tc>
        <w:tc>
          <w:tcPr>
            <w:tcW w:w="9225" w:type="dxa"/>
            <w:tcBorders>
              <w:top w:val="nil"/>
              <w:left w:val="single" w:sz="4" w:space="0" w:color="auto"/>
              <w:bottom w:val="nil"/>
              <w:right w:val="single" w:sz="4" w:space="0" w:color="auto"/>
            </w:tcBorders>
            <w:shd w:val="clear" w:color="auto" w:fill="auto"/>
            <w:vAlign w:val="center"/>
            <w:hideMark/>
          </w:tcPr>
          <w:p w14:paraId="2E111940"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Parrott, A.C. (2002). Recreational Ecstasy/MDMA, the serotonin syndrome, and serotonergic neurotoxicity. Pharmacology, Biochemistry and Behavior, 71, 837–844. http://bit.ly/17BUCIt</w:t>
            </w:r>
          </w:p>
        </w:tc>
      </w:tr>
      <w:tr w:rsidR="008B4713" w:rsidRPr="007C3701" w14:paraId="01E10DF6"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6DF490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62</w:t>
            </w:r>
          </w:p>
        </w:tc>
        <w:tc>
          <w:tcPr>
            <w:tcW w:w="9225" w:type="dxa"/>
            <w:tcBorders>
              <w:top w:val="nil"/>
              <w:left w:val="single" w:sz="4" w:space="0" w:color="auto"/>
              <w:bottom w:val="nil"/>
              <w:right w:val="single" w:sz="4" w:space="0" w:color="auto"/>
            </w:tcBorders>
            <w:shd w:val="clear" w:color="auto" w:fill="auto"/>
            <w:vAlign w:val="center"/>
            <w:hideMark/>
          </w:tcPr>
          <w:p w14:paraId="2F022F65"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Parrott, A.C., Buchanan, T., Scholey, A.B., Heffernan, T., Ling, J. &amp; Rodgers, J. (2002). Ecstasy/MDMA attributed problems reported by novice, moderate and heavy recreational users. Human Psychopharmacology: Clinical and Experimental, 17(6), 309–312. http://bit.ly/17xzOUu</w:t>
            </w:r>
          </w:p>
        </w:tc>
      </w:tr>
      <w:tr w:rsidR="008B4713" w:rsidRPr="007C3701" w14:paraId="1B8A4C01" w14:textId="77777777" w:rsidTr="001B45BE">
        <w:trPr>
          <w:trHeight w:val="993"/>
        </w:trPr>
        <w:tc>
          <w:tcPr>
            <w:tcW w:w="551" w:type="dxa"/>
            <w:tcBorders>
              <w:top w:val="nil"/>
              <w:left w:val="single" w:sz="4" w:space="0" w:color="auto"/>
              <w:bottom w:val="nil"/>
              <w:right w:val="nil"/>
            </w:tcBorders>
            <w:shd w:val="clear" w:color="auto" w:fill="auto"/>
            <w:noWrap/>
            <w:vAlign w:val="center"/>
            <w:hideMark/>
          </w:tcPr>
          <w:p w14:paraId="31E148C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63</w:t>
            </w:r>
          </w:p>
        </w:tc>
        <w:tc>
          <w:tcPr>
            <w:tcW w:w="9225" w:type="dxa"/>
            <w:tcBorders>
              <w:top w:val="nil"/>
              <w:left w:val="single" w:sz="4" w:space="0" w:color="auto"/>
              <w:bottom w:val="nil"/>
              <w:right w:val="single" w:sz="4" w:space="0" w:color="auto"/>
            </w:tcBorders>
            <w:shd w:val="clear" w:color="auto" w:fill="auto"/>
            <w:vAlign w:val="center"/>
            <w:hideMark/>
          </w:tcPr>
          <w:p w14:paraId="2AB276F5"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Moore, D.G., Turner, J.J.T., Parrott, A.C, Goodwin, J.E., Fulton, S.E. Min, M.O., Fox, H.C., Braddick, F.M.B., Toplis, A., Axelsson, E.L., Lynch, S., Ribeiro, H., Frostick, C.J. &amp; Singer L.T. (2010). During pregnancy, recreational drug-using women stop taking ecstasy (MDMA) and reduce alcohol consumption but continue to smoke tobacco and cannabis. Journal of Psychopharmacology, 24(9), 1403–1410. http://bit.ly/1dyjSAq</w:t>
            </w:r>
          </w:p>
        </w:tc>
      </w:tr>
      <w:tr w:rsidR="008B4713" w:rsidRPr="007C3701" w14:paraId="04E47789" w14:textId="77777777" w:rsidTr="001B45BE">
        <w:trPr>
          <w:trHeight w:val="655"/>
        </w:trPr>
        <w:tc>
          <w:tcPr>
            <w:tcW w:w="551" w:type="dxa"/>
            <w:tcBorders>
              <w:top w:val="nil"/>
              <w:left w:val="single" w:sz="4" w:space="0" w:color="auto"/>
              <w:bottom w:val="nil"/>
              <w:right w:val="nil"/>
            </w:tcBorders>
            <w:shd w:val="clear" w:color="auto" w:fill="auto"/>
            <w:noWrap/>
            <w:vAlign w:val="center"/>
            <w:hideMark/>
          </w:tcPr>
          <w:p w14:paraId="2392824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64</w:t>
            </w:r>
          </w:p>
        </w:tc>
        <w:tc>
          <w:tcPr>
            <w:tcW w:w="9225" w:type="dxa"/>
            <w:tcBorders>
              <w:top w:val="nil"/>
              <w:left w:val="single" w:sz="4" w:space="0" w:color="auto"/>
              <w:bottom w:val="nil"/>
              <w:right w:val="single" w:sz="4" w:space="0" w:color="auto"/>
            </w:tcBorders>
            <w:shd w:val="clear" w:color="auto" w:fill="auto"/>
            <w:vAlign w:val="center"/>
            <w:hideMark/>
          </w:tcPr>
          <w:p w14:paraId="469CB54F"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Singer, L.T., Moore, D.G., Fulton, S., Goodwin, J.E., Turner, J.J.D., Min, M.O. &amp; Parrott, A.C. (2012). Neurobehavioral outcomes of infants exposed to MDMA (Ecstasy) and other recreational drugs during pregnancy. Neurotoxicology and Teratology, 34(3), 303–310. http://1.usa.gov/16SZ2XH</w:t>
            </w:r>
          </w:p>
        </w:tc>
      </w:tr>
      <w:tr w:rsidR="008B4713" w:rsidRPr="007C3701" w14:paraId="7BEE5383" w14:textId="77777777" w:rsidTr="001B45BE">
        <w:trPr>
          <w:trHeight w:val="441"/>
        </w:trPr>
        <w:tc>
          <w:tcPr>
            <w:tcW w:w="551" w:type="dxa"/>
            <w:tcBorders>
              <w:top w:val="nil"/>
              <w:left w:val="single" w:sz="4" w:space="0" w:color="auto"/>
              <w:bottom w:val="nil"/>
              <w:right w:val="nil"/>
            </w:tcBorders>
            <w:shd w:val="clear" w:color="auto" w:fill="auto"/>
            <w:noWrap/>
            <w:vAlign w:val="center"/>
            <w:hideMark/>
          </w:tcPr>
          <w:p w14:paraId="4BCA827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65</w:t>
            </w:r>
          </w:p>
        </w:tc>
        <w:tc>
          <w:tcPr>
            <w:tcW w:w="9225" w:type="dxa"/>
            <w:tcBorders>
              <w:top w:val="nil"/>
              <w:left w:val="single" w:sz="4" w:space="0" w:color="auto"/>
              <w:bottom w:val="nil"/>
              <w:right w:val="single" w:sz="4" w:space="0" w:color="auto"/>
            </w:tcBorders>
            <w:shd w:val="clear" w:color="auto" w:fill="auto"/>
            <w:vAlign w:val="center"/>
            <w:hideMark/>
          </w:tcPr>
          <w:p w14:paraId="32FBAB7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Singer, L.T., Moore, D.G., Min, M.O., Goodwin, J.E., Turner, J.J.D., Fulton, S. &amp; Parrott, A.C. (2012). One-Year Outcomes of Prenatal Exposure to MDMA and Other Recreational Drugs. Pediatrics, 130(3), 407–413. DOI 10.1542/peds.2012-0666</w:t>
            </w:r>
          </w:p>
        </w:tc>
      </w:tr>
      <w:tr w:rsidR="008B4713" w:rsidRPr="007C3701" w14:paraId="2D932AF4" w14:textId="77777777" w:rsidTr="00F07276">
        <w:trPr>
          <w:trHeight w:val="74"/>
        </w:trPr>
        <w:tc>
          <w:tcPr>
            <w:tcW w:w="551" w:type="dxa"/>
            <w:tcBorders>
              <w:top w:val="nil"/>
              <w:left w:val="single" w:sz="4" w:space="0" w:color="auto"/>
              <w:bottom w:val="nil"/>
              <w:right w:val="nil"/>
            </w:tcBorders>
            <w:shd w:val="clear" w:color="auto" w:fill="auto"/>
            <w:noWrap/>
            <w:vAlign w:val="center"/>
            <w:hideMark/>
          </w:tcPr>
          <w:p w14:paraId="0106D3E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66</w:t>
            </w:r>
          </w:p>
        </w:tc>
        <w:tc>
          <w:tcPr>
            <w:tcW w:w="9225" w:type="dxa"/>
            <w:tcBorders>
              <w:top w:val="nil"/>
              <w:left w:val="single" w:sz="4" w:space="0" w:color="auto"/>
              <w:bottom w:val="nil"/>
              <w:right w:val="single" w:sz="4" w:space="0" w:color="auto"/>
            </w:tcBorders>
            <w:shd w:val="clear" w:color="auto" w:fill="auto"/>
            <w:vAlign w:val="center"/>
            <w:hideMark/>
          </w:tcPr>
          <w:p w14:paraId="7DFB5259" w14:textId="218D10A5" w:rsidR="008B4713" w:rsidRPr="007C3701" w:rsidRDefault="008B4713" w:rsidP="004E0087">
            <w:pPr>
              <w:spacing w:after="0" w:line="240" w:lineRule="auto"/>
              <w:rPr>
                <w:rFonts w:ascii="Calibri" w:eastAsia="Times New Roman" w:hAnsi="Calibri" w:cs="Calibri"/>
                <w:lang w:eastAsia="en-GB"/>
              </w:rPr>
            </w:pPr>
            <w:r w:rsidRPr="007C3701">
              <w:rPr>
                <w:rFonts w:ascii="Calibri" w:eastAsia="Times New Roman" w:hAnsi="Calibri" w:cs="Calibri"/>
                <w:lang w:eastAsia="en-GB"/>
              </w:rPr>
              <w:t xml:space="preserve">Parrott, AC. 2001. Human psychopharmacology of Ecstasy (MDMA): a review of 15 years of empirical research. Human Psychopharmacology. 2001; 16: 557-577. DOI: 10.1002/hup.351   </w:t>
            </w:r>
          </w:p>
        </w:tc>
      </w:tr>
      <w:tr w:rsidR="008B4713" w:rsidRPr="007C3701" w14:paraId="092E25A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1E3930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67</w:t>
            </w:r>
          </w:p>
        </w:tc>
        <w:tc>
          <w:tcPr>
            <w:tcW w:w="9225" w:type="dxa"/>
            <w:tcBorders>
              <w:top w:val="nil"/>
              <w:left w:val="single" w:sz="4" w:space="0" w:color="auto"/>
              <w:bottom w:val="nil"/>
              <w:right w:val="single" w:sz="4" w:space="0" w:color="auto"/>
            </w:tcBorders>
            <w:shd w:val="clear" w:color="auto" w:fill="auto"/>
            <w:vAlign w:val="center"/>
            <w:hideMark/>
          </w:tcPr>
          <w:p w14:paraId="128B685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Advisory Council on the Misuse of Drugs. Home Office report: MDMA ('ecstasy'): A review of its harms and classification under the Misuse of Drugs Act 1971. 2008</w:t>
            </w:r>
          </w:p>
        </w:tc>
      </w:tr>
      <w:tr w:rsidR="008B4713" w:rsidRPr="007C3701" w14:paraId="5D07171E" w14:textId="77777777" w:rsidTr="00F07276">
        <w:trPr>
          <w:trHeight w:val="600"/>
        </w:trPr>
        <w:tc>
          <w:tcPr>
            <w:tcW w:w="551" w:type="dxa"/>
            <w:tcBorders>
              <w:top w:val="nil"/>
              <w:left w:val="single" w:sz="4" w:space="0" w:color="auto"/>
              <w:bottom w:val="nil"/>
              <w:right w:val="nil"/>
            </w:tcBorders>
            <w:shd w:val="clear" w:color="auto" w:fill="auto"/>
            <w:noWrap/>
            <w:vAlign w:val="center"/>
            <w:hideMark/>
          </w:tcPr>
          <w:p w14:paraId="4A66441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68</w:t>
            </w:r>
          </w:p>
        </w:tc>
        <w:tc>
          <w:tcPr>
            <w:tcW w:w="9225" w:type="dxa"/>
            <w:tcBorders>
              <w:top w:val="nil"/>
              <w:left w:val="single" w:sz="4" w:space="0" w:color="auto"/>
              <w:bottom w:val="nil"/>
              <w:right w:val="single" w:sz="4" w:space="0" w:color="auto"/>
            </w:tcBorders>
            <w:shd w:val="clear" w:color="auto" w:fill="auto"/>
            <w:vAlign w:val="center"/>
            <w:hideMark/>
          </w:tcPr>
          <w:p w14:paraId="504E0AF4" w14:textId="77777777" w:rsidR="008B4713" w:rsidRPr="007C3701" w:rsidRDefault="008B4713" w:rsidP="004E0087">
            <w:pPr>
              <w:spacing w:after="0" w:line="240" w:lineRule="auto"/>
              <w:rPr>
                <w:rFonts w:ascii="Calibri" w:eastAsia="Times New Roman" w:hAnsi="Calibri" w:cs="Calibri"/>
                <w:lang w:eastAsia="en-GB"/>
              </w:rPr>
            </w:pPr>
            <w:r w:rsidRPr="007C3701">
              <w:rPr>
                <w:rFonts w:ascii="Calibri" w:eastAsia="Times New Roman" w:hAnsi="Calibri" w:cs="Calibri"/>
                <w:lang w:eastAsia="en-GB"/>
              </w:rPr>
              <w:t>Parrott, AC. 2013. MDMA, serotonergic neurotoxicity, and the diverse functional deficits of</w:t>
            </w:r>
            <w:r w:rsidRPr="007C3701">
              <w:rPr>
                <w:rFonts w:ascii="Calibri" w:eastAsia="Times New Roman" w:hAnsi="Calibri" w:cs="Calibri"/>
                <w:lang w:eastAsia="en-GB"/>
              </w:rPr>
              <w:br/>
              <w:t>recreational ‘Ecstasy’ users. Neuroscience and Biobehavioral Reviews 37 (2013) 1466–1484</w:t>
            </w:r>
          </w:p>
        </w:tc>
      </w:tr>
      <w:tr w:rsidR="008B4713" w:rsidRPr="007C3701" w14:paraId="7667E4EB"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0EC9FD" w14:textId="77777777" w:rsidR="008B4713" w:rsidRPr="007C3701" w:rsidRDefault="008B4713" w:rsidP="004E0087">
            <w:pPr>
              <w:spacing w:after="0" w:line="240" w:lineRule="auto"/>
              <w:jc w:val="center"/>
              <w:rPr>
                <w:rFonts w:ascii="Calibri" w:eastAsia="Times New Roman" w:hAnsi="Calibri" w:cs="Calibri"/>
                <w:b/>
                <w:bCs/>
                <w:lang w:eastAsia="en-GB"/>
              </w:rPr>
            </w:pPr>
            <w:r w:rsidRPr="007C3701">
              <w:rPr>
                <w:rFonts w:ascii="Calibri" w:eastAsia="Times New Roman" w:hAnsi="Calibri" w:cs="Calibri"/>
                <w:b/>
                <w:bCs/>
                <w:lang w:eastAsia="en-GB"/>
              </w:rPr>
              <w:t>Unit of Assessment 5</w:t>
            </w:r>
          </w:p>
        </w:tc>
      </w:tr>
      <w:tr w:rsidR="008B4713" w:rsidRPr="007C3701" w14:paraId="6B355275"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C60EE0" w14:textId="77777777" w:rsidR="008B4713" w:rsidRPr="007C3701" w:rsidRDefault="008B4713" w:rsidP="004E0087">
            <w:pPr>
              <w:spacing w:after="0" w:line="240" w:lineRule="auto"/>
              <w:jc w:val="center"/>
              <w:rPr>
                <w:rFonts w:ascii="Calibri" w:eastAsia="Times New Roman" w:hAnsi="Calibri" w:cs="Calibri"/>
                <w:b/>
                <w:bCs/>
                <w:i/>
                <w:iCs/>
                <w:lang w:eastAsia="en-GB"/>
              </w:rPr>
            </w:pPr>
            <w:r w:rsidRPr="007C3701">
              <w:rPr>
                <w:rFonts w:ascii="Calibri" w:eastAsia="Times New Roman" w:hAnsi="Calibri" w:cs="Calibri"/>
                <w:b/>
                <w:bCs/>
                <w:i/>
                <w:iCs/>
                <w:lang w:eastAsia="en-GB"/>
              </w:rPr>
              <w:t>Body of Research 5</w:t>
            </w:r>
          </w:p>
        </w:tc>
      </w:tr>
      <w:tr w:rsidR="008B4713" w:rsidRPr="007C3701" w14:paraId="4582FAF7"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77A93D5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69</w:t>
            </w:r>
          </w:p>
        </w:tc>
        <w:tc>
          <w:tcPr>
            <w:tcW w:w="9225" w:type="dxa"/>
            <w:tcBorders>
              <w:top w:val="nil"/>
              <w:left w:val="single" w:sz="4" w:space="0" w:color="auto"/>
              <w:bottom w:val="nil"/>
              <w:right w:val="single" w:sz="4" w:space="0" w:color="auto"/>
            </w:tcBorders>
            <w:shd w:val="clear" w:color="auto" w:fill="auto"/>
            <w:vAlign w:val="center"/>
            <w:hideMark/>
          </w:tcPr>
          <w:p w14:paraId="32A3806F" w14:textId="1EE2DAE9" w:rsidR="008B4713" w:rsidRPr="007C3701" w:rsidRDefault="00BC184D"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St Andrews University (2014). </w:t>
            </w:r>
            <w:r w:rsidR="008B4713" w:rsidRPr="007C3701">
              <w:rPr>
                <w:rFonts w:ascii="Calibri" w:eastAsia="Times New Roman" w:hAnsi="Calibri" w:cs="Calibri"/>
                <w:color w:val="000000"/>
                <w:lang w:eastAsia="en-GB"/>
              </w:rPr>
              <w:t>REF2014 Impact Template</w:t>
            </w:r>
            <w:r>
              <w:rPr>
                <w:rFonts w:ascii="Calibri" w:eastAsia="Times New Roman" w:hAnsi="Calibri" w:cs="Calibri"/>
                <w:color w:val="000000"/>
                <w:lang w:eastAsia="en-GB"/>
              </w:rPr>
              <w:t xml:space="preserve">. </w:t>
            </w:r>
            <w:hyperlink r:id="rId76" w:history="1">
              <w:r w:rsidR="002E608D">
                <w:rPr>
                  <w:rStyle w:val="Hyperlink"/>
                </w:rPr>
                <w:t>https://results.ref.ac.uk/(S(5mhsdcrlek45dkop3v4uw5gx))/Submissions/Impact/1642</w:t>
              </w:r>
            </w:hyperlink>
          </w:p>
        </w:tc>
      </w:tr>
      <w:tr w:rsidR="008B4713" w:rsidRPr="007C3701" w14:paraId="2095F52E"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4CE2AB0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70</w:t>
            </w:r>
          </w:p>
        </w:tc>
        <w:tc>
          <w:tcPr>
            <w:tcW w:w="9225" w:type="dxa"/>
            <w:tcBorders>
              <w:top w:val="nil"/>
              <w:left w:val="single" w:sz="4" w:space="0" w:color="auto"/>
              <w:bottom w:val="nil"/>
              <w:right w:val="single" w:sz="4" w:space="0" w:color="auto"/>
            </w:tcBorders>
            <w:shd w:val="clear" w:color="auto" w:fill="auto"/>
            <w:vAlign w:val="center"/>
            <w:hideMark/>
          </w:tcPr>
          <w:p w14:paraId="2EC6ED9A" w14:textId="7FF4D224" w:rsidR="008B4713" w:rsidRPr="007C3701" w:rsidRDefault="00F70DD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St Andrews University</w:t>
            </w:r>
            <w:r w:rsidR="00BC184D">
              <w:rPr>
                <w:rFonts w:ascii="Calibri" w:eastAsia="Times New Roman" w:hAnsi="Calibri" w:cs="Calibri"/>
                <w:color w:val="000000"/>
                <w:lang w:eastAsia="en-GB"/>
              </w:rPr>
              <w:t xml:space="preserve"> (2014)</w:t>
            </w:r>
            <w:r>
              <w:rPr>
                <w:rFonts w:ascii="Calibri" w:eastAsia="Times New Roman" w:hAnsi="Calibri" w:cs="Calibri"/>
                <w:color w:val="000000"/>
                <w:lang w:eastAsia="en-GB"/>
              </w:rPr>
              <w:t xml:space="preserve">. </w:t>
            </w:r>
            <w:r w:rsidR="008B4713" w:rsidRPr="007C3701">
              <w:rPr>
                <w:rFonts w:ascii="Calibri" w:eastAsia="Times New Roman" w:hAnsi="Calibri" w:cs="Calibri"/>
                <w:color w:val="000000"/>
                <w:lang w:eastAsia="en-GB"/>
              </w:rPr>
              <w:t>REF2014 Environment Template</w:t>
            </w:r>
            <w:r>
              <w:rPr>
                <w:rFonts w:ascii="Calibri" w:eastAsia="Times New Roman" w:hAnsi="Calibri" w:cs="Calibri"/>
                <w:color w:val="000000"/>
                <w:lang w:eastAsia="en-GB"/>
              </w:rPr>
              <w:t xml:space="preserve">. </w:t>
            </w:r>
            <w:hyperlink r:id="rId77" w:history="1">
              <w:r>
                <w:rPr>
                  <w:rStyle w:val="Hyperlink"/>
                </w:rPr>
                <w:t>https://results.ref.ac.uk/(S(5mhsdcrlek45dkop3v4uw5gx))/Submissions/Environment/1642</w:t>
              </w:r>
            </w:hyperlink>
          </w:p>
        </w:tc>
      </w:tr>
      <w:tr w:rsidR="008B4713" w:rsidRPr="007C3701" w14:paraId="2B05C5E1"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33EB9D1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71</w:t>
            </w:r>
          </w:p>
        </w:tc>
        <w:tc>
          <w:tcPr>
            <w:tcW w:w="9225" w:type="dxa"/>
            <w:tcBorders>
              <w:top w:val="nil"/>
              <w:left w:val="single" w:sz="4" w:space="0" w:color="auto"/>
              <w:bottom w:val="nil"/>
              <w:right w:val="single" w:sz="4" w:space="0" w:color="auto"/>
            </w:tcBorders>
            <w:shd w:val="clear" w:color="auto" w:fill="auto"/>
            <w:vAlign w:val="center"/>
            <w:hideMark/>
          </w:tcPr>
          <w:p w14:paraId="70F61162" w14:textId="6E2EA370" w:rsidR="008B4713" w:rsidRPr="00C81829" w:rsidRDefault="00F07276" w:rsidP="004E0087">
            <w:pPr>
              <w:spacing w:after="0" w:line="240" w:lineRule="auto"/>
              <w:rPr>
                <w:rFonts w:ascii="Calibri" w:eastAsia="Times New Roman" w:hAnsi="Calibri" w:cs="Calibri"/>
                <w:color w:val="000000"/>
                <w:highlight w:val="red"/>
                <w:lang w:eastAsia="en-GB"/>
              </w:rPr>
            </w:pPr>
            <w:r>
              <w:rPr>
                <w:rFonts w:ascii="Calibri" w:eastAsia="Times New Roman" w:hAnsi="Calibri" w:cs="Calibri"/>
                <w:color w:val="000000"/>
                <w:lang w:eastAsia="en-GB"/>
              </w:rPr>
              <w:t xml:space="preserve">St Andrews University. Sea Mammals Research Unit (SMRU). </w:t>
            </w:r>
            <w:hyperlink r:id="rId78" w:history="1">
              <w:r w:rsidRPr="000562AF">
                <w:rPr>
                  <w:rStyle w:val="Hyperlink"/>
                </w:rPr>
                <w:t>http://www.smru.st-andrews.ac.uk/</w:t>
              </w:r>
            </w:hyperlink>
            <w:r>
              <w:t xml:space="preserve"> </w:t>
            </w:r>
            <w:r>
              <w:rPr>
                <w:rFonts w:ascii="Calibri" w:eastAsia="Times New Roman" w:hAnsi="Calibri" w:cs="Calibri"/>
                <w:color w:val="000000"/>
                <w:lang w:eastAsia="en-GB"/>
              </w:rPr>
              <w:t>(accessed 4 September 2019)</w:t>
            </w:r>
          </w:p>
        </w:tc>
      </w:tr>
      <w:tr w:rsidR="008B4713" w:rsidRPr="007C3701" w14:paraId="64A40777"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1785042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72</w:t>
            </w:r>
          </w:p>
        </w:tc>
        <w:tc>
          <w:tcPr>
            <w:tcW w:w="9225" w:type="dxa"/>
            <w:tcBorders>
              <w:top w:val="nil"/>
              <w:left w:val="single" w:sz="4" w:space="0" w:color="auto"/>
              <w:bottom w:val="nil"/>
              <w:right w:val="single" w:sz="4" w:space="0" w:color="auto"/>
            </w:tcBorders>
            <w:shd w:val="clear" w:color="auto" w:fill="auto"/>
            <w:vAlign w:val="center"/>
            <w:hideMark/>
          </w:tcPr>
          <w:p w14:paraId="64FD4DF1" w14:textId="0E410357" w:rsidR="008B4713" w:rsidRPr="00C81829" w:rsidRDefault="00F07276" w:rsidP="004E0087">
            <w:pPr>
              <w:spacing w:after="0" w:line="240" w:lineRule="auto"/>
              <w:rPr>
                <w:rFonts w:ascii="Calibri" w:eastAsia="Times New Roman" w:hAnsi="Calibri" w:cs="Calibri"/>
                <w:color w:val="000000"/>
                <w:highlight w:val="red"/>
                <w:lang w:eastAsia="en-GB"/>
              </w:rPr>
            </w:pPr>
            <w:r>
              <w:rPr>
                <w:rFonts w:ascii="Calibri" w:eastAsia="Times New Roman" w:hAnsi="Calibri" w:cs="Calibri"/>
                <w:color w:val="000000"/>
                <w:lang w:eastAsia="en-GB"/>
              </w:rPr>
              <w:t xml:space="preserve">SMRU Consulting. </w:t>
            </w:r>
            <w:hyperlink r:id="rId79" w:history="1">
              <w:r w:rsidRPr="000562AF">
                <w:rPr>
                  <w:rStyle w:val="Hyperlink"/>
                </w:rPr>
                <w:t>https://risweb.st-andrews.ac.uk/portal/en/organisations/smru-consulting(01e7e9bd-c04f-4e6d-bd8d-7dd5023f404e).html</w:t>
              </w:r>
            </w:hyperlink>
            <w:r>
              <w:t xml:space="preserve"> </w:t>
            </w:r>
            <w:r>
              <w:rPr>
                <w:rFonts w:ascii="Calibri" w:eastAsia="Times New Roman" w:hAnsi="Calibri" w:cs="Calibri"/>
                <w:color w:val="000000"/>
                <w:lang w:eastAsia="en-GB"/>
              </w:rPr>
              <w:t>(accessed 4 September 2019)</w:t>
            </w:r>
          </w:p>
        </w:tc>
      </w:tr>
      <w:tr w:rsidR="008B4713" w:rsidRPr="007C3701" w14:paraId="2B6B8C02"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03BF562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73</w:t>
            </w:r>
          </w:p>
        </w:tc>
        <w:tc>
          <w:tcPr>
            <w:tcW w:w="9225" w:type="dxa"/>
            <w:tcBorders>
              <w:top w:val="nil"/>
              <w:left w:val="single" w:sz="4" w:space="0" w:color="auto"/>
              <w:bottom w:val="nil"/>
              <w:right w:val="single" w:sz="4" w:space="0" w:color="auto"/>
            </w:tcBorders>
            <w:shd w:val="clear" w:color="auto" w:fill="auto"/>
            <w:vAlign w:val="center"/>
            <w:hideMark/>
          </w:tcPr>
          <w:p w14:paraId="5E5985B6" w14:textId="6F29D9A0" w:rsidR="008B4713" w:rsidRPr="00C81829" w:rsidRDefault="00F07276" w:rsidP="004E0087">
            <w:pPr>
              <w:spacing w:after="0" w:line="240" w:lineRule="auto"/>
              <w:rPr>
                <w:rFonts w:ascii="Calibri" w:eastAsia="Times New Roman" w:hAnsi="Calibri" w:cs="Calibri"/>
                <w:color w:val="000000"/>
                <w:highlight w:val="red"/>
                <w:lang w:eastAsia="en-GB"/>
              </w:rPr>
            </w:pPr>
            <w:r>
              <w:rPr>
                <w:rFonts w:ascii="Calibri" w:eastAsia="Times New Roman" w:hAnsi="Calibri" w:cs="Calibri"/>
                <w:color w:val="000000"/>
                <w:lang w:eastAsia="en-GB"/>
              </w:rPr>
              <w:t xml:space="preserve">SMRU Instrumentation. </w:t>
            </w:r>
            <w:hyperlink r:id="rId80" w:history="1">
              <w:r w:rsidRPr="000562AF">
                <w:rPr>
                  <w:rStyle w:val="Hyperlink"/>
                </w:rPr>
                <w:t>http://www.smru.st-andrews.ac.uk/Instrumentation/Overview/</w:t>
              </w:r>
            </w:hyperlink>
            <w:r>
              <w:t xml:space="preserve"> </w:t>
            </w:r>
            <w:r>
              <w:rPr>
                <w:rFonts w:ascii="Calibri" w:eastAsia="Times New Roman" w:hAnsi="Calibri" w:cs="Calibri"/>
                <w:color w:val="000000"/>
                <w:lang w:eastAsia="en-GB"/>
              </w:rPr>
              <w:t>(accessed 4 September 2019)</w:t>
            </w:r>
          </w:p>
        </w:tc>
      </w:tr>
      <w:tr w:rsidR="008B4713" w:rsidRPr="007C3701" w14:paraId="5C11F195" w14:textId="77777777" w:rsidTr="00F07276">
        <w:trPr>
          <w:trHeight w:val="300"/>
        </w:trPr>
        <w:tc>
          <w:tcPr>
            <w:tcW w:w="551" w:type="dxa"/>
            <w:tcBorders>
              <w:top w:val="nil"/>
              <w:left w:val="single" w:sz="4" w:space="0" w:color="auto"/>
              <w:bottom w:val="nil"/>
              <w:right w:val="nil"/>
            </w:tcBorders>
            <w:shd w:val="clear" w:color="auto" w:fill="auto"/>
            <w:noWrap/>
            <w:vAlign w:val="center"/>
            <w:hideMark/>
          </w:tcPr>
          <w:p w14:paraId="57E6E9F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74</w:t>
            </w:r>
          </w:p>
        </w:tc>
        <w:tc>
          <w:tcPr>
            <w:tcW w:w="9225" w:type="dxa"/>
            <w:tcBorders>
              <w:top w:val="nil"/>
              <w:left w:val="single" w:sz="4" w:space="0" w:color="auto"/>
              <w:bottom w:val="nil"/>
              <w:right w:val="single" w:sz="4" w:space="0" w:color="auto"/>
            </w:tcBorders>
            <w:shd w:val="clear" w:color="auto" w:fill="auto"/>
            <w:vAlign w:val="center"/>
            <w:hideMark/>
          </w:tcPr>
          <w:p w14:paraId="50AB70C4" w14:textId="338EB1BB"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University of St Andrews, Scottish Oceans Institute</w:t>
            </w:r>
            <w:r w:rsidR="005B5059">
              <w:rPr>
                <w:rFonts w:ascii="Calibri" w:eastAsia="Times New Roman" w:hAnsi="Calibri" w:cs="Calibri"/>
                <w:color w:val="000000"/>
                <w:lang w:eastAsia="en-GB"/>
              </w:rPr>
              <w:t xml:space="preserve"> (SOI). </w:t>
            </w:r>
            <w:hyperlink r:id="rId81" w:history="1">
              <w:r w:rsidR="005B5059">
                <w:rPr>
                  <w:rStyle w:val="Hyperlink"/>
                </w:rPr>
                <w:t>https://synergy.st-andrews.ac.uk/soi/files/2017/07/SOIbrochure.pdf</w:t>
              </w:r>
            </w:hyperlink>
            <w:r w:rsidR="00F07276">
              <w:t xml:space="preserve"> </w:t>
            </w:r>
            <w:r w:rsidR="00F07276">
              <w:rPr>
                <w:rFonts w:ascii="Calibri" w:eastAsia="Times New Roman" w:hAnsi="Calibri" w:cs="Calibri"/>
                <w:color w:val="000000"/>
                <w:lang w:eastAsia="en-GB"/>
              </w:rPr>
              <w:t>(accessed 4 September 2019)</w:t>
            </w:r>
          </w:p>
        </w:tc>
      </w:tr>
      <w:tr w:rsidR="008B4713" w:rsidRPr="007C3701" w14:paraId="30A417EE" w14:textId="77777777" w:rsidTr="00F07276">
        <w:trPr>
          <w:trHeight w:val="300"/>
        </w:trPr>
        <w:tc>
          <w:tcPr>
            <w:tcW w:w="551" w:type="dxa"/>
            <w:tcBorders>
              <w:top w:val="nil"/>
              <w:left w:val="single" w:sz="4" w:space="0" w:color="auto"/>
              <w:bottom w:val="nil"/>
              <w:right w:val="nil"/>
            </w:tcBorders>
            <w:shd w:val="clear" w:color="auto" w:fill="auto"/>
            <w:noWrap/>
            <w:vAlign w:val="center"/>
            <w:hideMark/>
          </w:tcPr>
          <w:p w14:paraId="376DCDE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75</w:t>
            </w:r>
          </w:p>
        </w:tc>
        <w:tc>
          <w:tcPr>
            <w:tcW w:w="9225" w:type="dxa"/>
            <w:tcBorders>
              <w:top w:val="nil"/>
              <w:left w:val="single" w:sz="4" w:space="0" w:color="auto"/>
              <w:bottom w:val="nil"/>
              <w:right w:val="single" w:sz="4" w:space="0" w:color="auto"/>
            </w:tcBorders>
            <w:shd w:val="clear" w:color="auto" w:fill="auto"/>
            <w:vAlign w:val="center"/>
            <w:hideMark/>
          </w:tcPr>
          <w:p w14:paraId="0A81CD0D" w14:textId="04452E46" w:rsidR="008B4713" w:rsidRPr="007C3701" w:rsidRDefault="008B4713" w:rsidP="004E0087">
            <w:pPr>
              <w:spacing w:after="0" w:line="240" w:lineRule="auto"/>
              <w:rPr>
                <w:rFonts w:ascii="Calibri" w:eastAsia="Times New Roman" w:hAnsi="Calibri" w:cs="Calibri"/>
                <w:lang w:eastAsia="en-GB"/>
              </w:rPr>
            </w:pPr>
            <w:r w:rsidRPr="007C3701">
              <w:rPr>
                <w:rFonts w:ascii="Calibri" w:eastAsia="Times New Roman" w:hAnsi="Calibri" w:cs="Calibri"/>
                <w:lang w:eastAsia="en-GB"/>
              </w:rPr>
              <w:t>SO</w:t>
            </w:r>
            <w:r w:rsidR="005B5059">
              <w:rPr>
                <w:rFonts w:ascii="Calibri" w:eastAsia="Times New Roman" w:hAnsi="Calibri" w:cs="Calibri"/>
                <w:lang w:eastAsia="en-GB"/>
              </w:rPr>
              <w:t xml:space="preserve">I. </w:t>
            </w:r>
            <w:hyperlink r:id="rId82" w:history="1">
              <w:r w:rsidR="005B5059">
                <w:rPr>
                  <w:rStyle w:val="Hyperlink"/>
                </w:rPr>
                <w:t>https://soi.st-andrews.ac.uk/about/</w:t>
              </w:r>
            </w:hyperlink>
            <w:r w:rsidR="00F07276">
              <w:t xml:space="preserve"> </w:t>
            </w:r>
            <w:r w:rsidR="00F07276">
              <w:rPr>
                <w:rFonts w:ascii="Calibri" w:eastAsia="Times New Roman" w:hAnsi="Calibri" w:cs="Calibri"/>
                <w:color w:val="000000"/>
                <w:lang w:eastAsia="en-GB"/>
              </w:rPr>
              <w:t>(accessed 4 September 2019)</w:t>
            </w:r>
          </w:p>
        </w:tc>
      </w:tr>
      <w:tr w:rsidR="008B4713" w:rsidRPr="007C3701" w14:paraId="5CE04BED"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2236E5B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76</w:t>
            </w:r>
          </w:p>
        </w:tc>
        <w:tc>
          <w:tcPr>
            <w:tcW w:w="9225" w:type="dxa"/>
            <w:tcBorders>
              <w:top w:val="nil"/>
              <w:left w:val="single" w:sz="4" w:space="0" w:color="auto"/>
              <w:bottom w:val="nil"/>
              <w:right w:val="single" w:sz="4" w:space="0" w:color="auto"/>
            </w:tcBorders>
            <w:shd w:val="clear" w:color="auto" w:fill="auto"/>
            <w:vAlign w:val="center"/>
            <w:hideMark/>
          </w:tcPr>
          <w:p w14:paraId="2F189386" w14:textId="6D0CF703" w:rsidR="008B4713" w:rsidRPr="007C3701" w:rsidRDefault="002E608D"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St Andrews University (2014). </w:t>
            </w:r>
            <w:r w:rsidR="008B4713" w:rsidRPr="007C3701">
              <w:rPr>
                <w:rFonts w:ascii="Calibri" w:eastAsia="Times New Roman" w:hAnsi="Calibri" w:cs="Calibri"/>
                <w:color w:val="000000"/>
                <w:lang w:eastAsia="en-GB"/>
              </w:rPr>
              <w:t>REF Impact Case Study no. 35247</w:t>
            </w:r>
            <w:r>
              <w:rPr>
                <w:rFonts w:ascii="Calibri" w:eastAsia="Times New Roman" w:hAnsi="Calibri" w:cs="Calibri"/>
                <w:color w:val="000000"/>
                <w:lang w:eastAsia="en-GB"/>
              </w:rPr>
              <w:t xml:space="preserve">. </w:t>
            </w:r>
            <w:hyperlink r:id="rId83" w:history="1">
              <w:r>
                <w:rPr>
                  <w:rStyle w:val="Hyperlink"/>
                </w:rPr>
                <w:t>https://results.ref.ac.uk/(S(5mhsdcrlek45dkop3v4uw5gx))/Submissions/Impact/1642</w:t>
              </w:r>
            </w:hyperlink>
          </w:p>
        </w:tc>
      </w:tr>
      <w:tr w:rsidR="008B4713" w:rsidRPr="007C3701" w14:paraId="7BD5B53E"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23CDB18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77</w:t>
            </w:r>
          </w:p>
        </w:tc>
        <w:tc>
          <w:tcPr>
            <w:tcW w:w="9225" w:type="dxa"/>
            <w:tcBorders>
              <w:top w:val="nil"/>
              <w:left w:val="single" w:sz="4" w:space="0" w:color="auto"/>
              <w:bottom w:val="nil"/>
              <w:right w:val="single" w:sz="4" w:space="0" w:color="auto"/>
            </w:tcBorders>
            <w:shd w:val="clear" w:color="auto" w:fill="auto"/>
            <w:vAlign w:val="center"/>
            <w:hideMark/>
          </w:tcPr>
          <w:p w14:paraId="2520F14C" w14:textId="256D2826" w:rsidR="008B4713" w:rsidRPr="007C3701" w:rsidRDefault="002E608D"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St Andrews University (2014). </w:t>
            </w:r>
            <w:r w:rsidR="008B4713" w:rsidRPr="007C3701">
              <w:rPr>
                <w:rFonts w:ascii="Calibri" w:eastAsia="Times New Roman" w:hAnsi="Calibri" w:cs="Calibri"/>
                <w:color w:val="000000"/>
                <w:lang w:eastAsia="en-GB"/>
              </w:rPr>
              <w:t>REF Impact Case Study no. 35248</w:t>
            </w:r>
            <w:r>
              <w:rPr>
                <w:rFonts w:ascii="Calibri" w:eastAsia="Times New Roman" w:hAnsi="Calibri" w:cs="Calibri"/>
                <w:color w:val="000000"/>
                <w:lang w:eastAsia="en-GB"/>
              </w:rPr>
              <w:t xml:space="preserve">. </w:t>
            </w:r>
            <w:hyperlink r:id="rId84" w:history="1">
              <w:r>
                <w:rPr>
                  <w:rStyle w:val="Hyperlink"/>
                </w:rPr>
                <w:t>https://results.ref.ac.uk/(S(5mhsdcrlek45dkop3v4uw5gx))/Submissions/Impact/1642</w:t>
              </w:r>
            </w:hyperlink>
          </w:p>
        </w:tc>
      </w:tr>
      <w:tr w:rsidR="008B4713" w:rsidRPr="007C3701" w14:paraId="62F33E55"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5096F40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78</w:t>
            </w:r>
          </w:p>
        </w:tc>
        <w:tc>
          <w:tcPr>
            <w:tcW w:w="9225" w:type="dxa"/>
            <w:tcBorders>
              <w:top w:val="nil"/>
              <w:left w:val="single" w:sz="4" w:space="0" w:color="auto"/>
              <w:bottom w:val="nil"/>
              <w:right w:val="single" w:sz="4" w:space="0" w:color="auto"/>
            </w:tcBorders>
            <w:shd w:val="clear" w:color="auto" w:fill="auto"/>
            <w:vAlign w:val="center"/>
            <w:hideMark/>
          </w:tcPr>
          <w:p w14:paraId="4A1D592F" w14:textId="67AA0F98" w:rsidR="008B4713" w:rsidRPr="007C3701" w:rsidRDefault="002E608D"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St Andrews University (2014). </w:t>
            </w:r>
            <w:r w:rsidR="008B4713" w:rsidRPr="007C3701">
              <w:rPr>
                <w:rFonts w:ascii="Calibri" w:eastAsia="Times New Roman" w:hAnsi="Calibri" w:cs="Calibri"/>
                <w:color w:val="000000"/>
                <w:lang w:eastAsia="en-GB"/>
              </w:rPr>
              <w:t>REF Impact Case Study no. 35249</w:t>
            </w:r>
            <w:r>
              <w:rPr>
                <w:rFonts w:ascii="Calibri" w:eastAsia="Times New Roman" w:hAnsi="Calibri" w:cs="Calibri"/>
                <w:color w:val="000000"/>
                <w:lang w:eastAsia="en-GB"/>
              </w:rPr>
              <w:t xml:space="preserve">. </w:t>
            </w:r>
            <w:hyperlink r:id="rId85" w:history="1">
              <w:r>
                <w:rPr>
                  <w:rStyle w:val="Hyperlink"/>
                </w:rPr>
                <w:t>https://results.ref.ac.uk/(S(5mhsdcrlek45dkop3v4uw5gx))/Submissions/Impact/1642</w:t>
              </w:r>
            </w:hyperlink>
          </w:p>
        </w:tc>
      </w:tr>
      <w:tr w:rsidR="008B4713" w:rsidRPr="007C3701" w14:paraId="40A0A922"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28AB300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79</w:t>
            </w:r>
          </w:p>
        </w:tc>
        <w:tc>
          <w:tcPr>
            <w:tcW w:w="9225" w:type="dxa"/>
            <w:tcBorders>
              <w:top w:val="nil"/>
              <w:left w:val="single" w:sz="4" w:space="0" w:color="auto"/>
              <w:bottom w:val="nil"/>
              <w:right w:val="single" w:sz="4" w:space="0" w:color="auto"/>
            </w:tcBorders>
            <w:shd w:val="clear" w:color="auto" w:fill="auto"/>
            <w:vAlign w:val="center"/>
            <w:hideMark/>
          </w:tcPr>
          <w:p w14:paraId="4A5F2F26" w14:textId="0225399A" w:rsidR="008B4713" w:rsidRPr="007C3701" w:rsidRDefault="002E608D"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St Andrews University (2014). </w:t>
            </w:r>
            <w:r w:rsidR="008B4713" w:rsidRPr="007C3701">
              <w:rPr>
                <w:rFonts w:ascii="Calibri" w:eastAsia="Times New Roman" w:hAnsi="Calibri" w:cs="Calibri"/>
                <w:color w:val="000000"/>
                <w:lang w:eastAsia="en-GB"/>
              </w:rPr>
              <w:t>REF Impact Case Study no. 35250</w:t>
            </w:r>
            <w:r>
              <w:rPr>
                <w:rFonts w:ascii="Calibri" w:eastAsia="Times New Roman" w:hAnsi="Calibri" w:cs="Calibri"/>
                <w:color w:val="000000"/>
                <w:lang w:eastAsia="en-GB"/>
              </w:rPr>
              <w:t xml:space="preserve">. </w:t>
            </w:r>
            <w:hyperlink r:id="rId86" w:history="1">
              <w:r>
                <w:rPr>
                  <w:rStyle w:val="Hyperlink"/>
                </w:rPr>
                <w:t>https://results.ref.ac.uk/(S(5mhsdcrlek45dkop3v4uw5gx))/Submissions/Impact/1642</w:t>
              </w:r>
            </w:hyperlink>
          </w:p>
        </w:tc>
      </w:tr>
      <w:tr w:rsidR="008B4713" w:rsidRPr="007C3701" w14:paraId="60FC1949"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6E855F8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80</w:t>
            </w:r>
          </w:p>
        </w:tc>
        <w:tc>
          <w:tcPr>
            <w:tcW w:w="9225" w:type="dxa"/>
            <w:tcBorders>
              <w:top w:val="nil"/>
              <w:left w:val="single" w:sz="4" w:space="0" w:color="auto"/>
              <w:bottom w:val="nil"/>
              <w:right w:val="single" w:sz="4" w:space="0" w:color="auto"/>
            </w:tcBorders>
            <w:shd w:val="clear" w:color="auto" w:fill="auto"/>
            <w:vAlign w:val="center"/>
            <w:hideMark/>
          </w:tcPr>
          <w:p w14:paraId="0DADD61F" w14:textId="52BE55E4"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McConnell, BJ, Fedak, MA, Lovell, P, Hammond, PS (1999) Movements and foraging areas of grey seals in the North Sea. J. Appl. Ecol. 36: 573-590 DOI: 10.1046/j.1365-2664.1999.00429.x. </w:t>
            </w:r>
          </w:p>
        </w:tc>
      </w:tr>
      <w:tr w:rsidR="008B4713" w:rsidRPr="007C3701" w14:paraId="36C6FC30" w14:textId="77777777" w:rsidTr="00202CCB">
        <w:trPr>
          <w:trHeight w:val="617"/>
        </w:trPr>
        <w:tc>
          <w:tcPr>
            <w:tcW w:w="551" w:type="dxa"/>
            <w:tcBorders>
              <w:top w:val="nil"/>
              <w:left w:val="single" w:sz="4" w:space="0" w:color="auto"/>
              <w:bottom w:val="nil"/>
              <w:right w:val="nil"/>
            </w:tcBorders>
            <w:shd w:val="clear" w:color="auto" w:fill="auto"/>
            <w:noWrap/>
            <w:vAlign w:val="center"/>
            <w:hideMark/>
          </w:tcPr>
          <w:p w14:paraId="4262DDE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81</w:t>
            </w:r>
          </w:p>
        </w:tc>
        <w:tc>
          <w:tcPr>
            <w:tcW w:w="9225" w:type="dxa"/>
            <w:tcBorders>
              <w:top w:val="nil"/>
              <w:left w:val="single" w:sz="4" w:space="0" w:color="auto"/>
              <w:bottom w:val="nil"/>
              <w:right w:val="single" w:sz="4" w:space="0" w:color="auto"/>
            </w:tcBorders>
            <w:shd w:val="clear" w:color="auto" w:fill="auto"/>
            <w:vAlign w:val="center"/>
            <w:hideMark/>
          </w:tcPr>
          <w:p w14:paraId="65E9008D" w14:textId="6AF1FBEB"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Fedak, MA, Lovell, P, McConnell, B, Hunter, C (2002) Overcoming the constraints of long range radio telemetry from animals: Getting more useful data from smaller packages. Int. Comp. Biol. 42: 3-10 DOI: 10.1093/icb/42.1.3. </w:t>
            </w:r>
          </w:p>
        </w:tc>
      </w:tr>
      <w:tr w:rsidR="008B4713" w:rsidRPr="007C3701" w14:paraId="3BDD55F4" w14:textId="77777777" w:rsidTr="00202CCB">
        <w:trPr>
          <w:trHeight w:val="431"/>
        </w:trPr>
        <w:tc>
          <w:tcPr>
            <w:tcW w:w="551" w:type="dxa"/>
            <w:tcBorders>
              <w:top w:val="nil"/>
              <w:left w:val="single" w:sz="4" w:space="0" w:color="auto"/>
              <w:bottom w:val="nil"/>
              <w:right w:val="nil"/>
            </w:tcBorders>
            <w:shd w:val="clear" w:color="auto" w:fill="auto"/>
            <w:noWrap/>
            <w:vAlign w:val="center"/>
            <w:hideMark/>
          </w:tcPr>
          <w:p w14:paraId="0AC5848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82</w:t>
            </w:r>
          </w:p>
        </w:tc>
        <w:tc>
          <w:tcPr>
            <w:tcW w:w="9225" w:type="dxa"/>
            <w:tcBorders>
              <w:top w:val="nil"/>
              <w:left w:val="single" w:sz="4" w:space="0" w:color="auto"/>
              <w:bottom w:val="nil"/>
              <w:right w:val="single" w:sz="4" w:space="0" w:color="auto"/>
            </w:tcBorders>
            <w:shd w:val="clear" w:color="auto" w:fill="auto"/>
            <w:vAlign w:val="center"/>
            <w:hideMark/>
          </w:tcPr>
          <w:p w14:paraId="567AB0CC" w14:textId="605A5C62"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Vincent C, McConnell BJ, Ridoux V, Fedak MA (2002) Assessment of Argos location accuracy from satellite tags deployed on captive gray seals Marine Mammal Science 18, 156-166. DOI: 10.1111/j.1748-7692.2002.tb01025.x </w:t>
            </w:r>
          </w:p>
        </w:tc>
      </w:tr>
      <w:tr w:rsidR="008B4713" w:rsidRPr="007C3701" w14:paraId="16C5CF21"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537554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83</w:t>
            </w:r>
          </w:p>
        </w:tc>
        <w:tc>
          <w:tcPr>
            <w:tcW w:w="9225" w:type="dxa"/>
            <w:tcBorders>
              <w:top w:val="nil"/>
              <w:left w:val="single" w:sz="4" w:space="0" w:color="auto"/>
              <w:bottom w:val="nil"/>
              <w:right w:val="single" w:sz="4" w:space="0" w:color="auto"/>
            </w:tcBorders>
            <w:shd w:val="clear" w:color="auto" w:fill="auto"/>
            <w:vAlign w:val="center"/>
            <w:hideMark/>
          </w:tcPr>
          <w:p w14:paraId="26D00E6A" w14:textId="0BD13C09"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Biuw, M, McConnell, B, Bradshaw, CJA., Burton, H &amp; Fedak, MA Blubber and buoyancy: monitoring the body condition of free-ranging seals using simple dive characteristics. J. Exp. Biol. 206, 3405-3423 (2003). DOI: 10.1242/jeb.00583</w:t>
            </w:r>
          </w:p>
        </w:tc>
      </w:tr>
      <w:tr w:rsidR="008B4713" w:rsidRPr="007C3701" w14:paraId="51E9669E" w14:textId="77777777" w:rsidTr="00202CCB">
        <w:trPr>
          <w:trHeight w:val="1070"/>
        </w:trPr>
        <w:tc>
          <w:tcPr>
            <w:tcW w:w="551" w:type="dxa"/>
            <w:tcBorders>
              <w:top w:val="nil"/>
              <w:left w:val="single" w:sz="4" w:space="0" w:color="auto"/>
              <w:bottom w:val="nil"/>
              <w:right w:val="nil"/>
            </w:tcBorders>
            <w:shd w:val="clear" w:color="auto" w:fill="auto"/>
            <w:noWrap/>
            <w:vAlign w:val="center"/>
            <w:hideMark/>
          </w:tcPr>
          <w:p w14:paraId="3DA7D79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84</w:t>
            </w:r>
          </w:p>
        </w:tc>
        <w:tc>
          <w:tcPr>
            <w:tcW w:w="9225" w:type="dxa"/>
            <w:tcBorders>
              <w:top w:val="nil"/>
              <w:left w:val="single" w:sz="4" w:space="0" w:color="auto"/>
              <w:bottom w:val="nil"/>
              <w:right w:val="single" w:sz="4" w:space="0" w:color="auto"/>
            </w:tcBorders>
            <w:shd w:val="clear" w:color="auto" w:fill="auto"/>
            <w:vAlign w:val="center"/>
            <w:hideMark/>
          </w:tcPr>
          <w:p w14:paraId="6B05A074" w14:textId="74F8E2C8"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Biuw, M., Boehme, L., Guinet, C., Hindell, M., Costa, D.; Charrasin, J.-B., Roquet, F., Bailleul, F., Meredith, M., Thorpe, S., Tremblay, Y., McDonald, B., Park, Y.-H., Rintoul, S.R., Bindoff, N., Goebel, M., Crocker, D., Lovell, P., Nicholson, J., Monks, F., Fedak, M.A. (2007) Variations in behaviour and condition of a Southern Ocean top predator in relation to in situ oceanographic conditions. Proc Natl Acad Sci USA, 104 (34). 13705-13710. DOI: 10.1073/pnas.0701121104 </w:t>
            </w:r>
          </w:p>
        </w:tc>
      </w:tr>
      <w:tr w:rsidR="008B4713" w:rsidRPr="007C3701" w14:paraId="1614063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212AB9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85</w:t>
            </w:r>
          </w:p>
        </w:tc>
        <w:tc>
          <w:tcPr>
            <w:tcW w:w="9225" w:type="dxa"/>
            <w:tcBorders>
              <w:top w:val="nil"/>
              <w:left w:val="single" w:sz="4" w:space="0" w:color="auto"/>
              <w:bottom w:val="nil"/>
              <w:right w:val="single" w:sz="4" w:space="0" w:color="auto"/>
            </w:tcBorders>
            <w:shd w:val="clear" w:color="auto" w:fill="auto"/>
            <w:vAlign w:val="center"/>
            <w:hideMark/>
          </w:tcPr>
          <w:p w14:paraId="1571B789" w14:textId="60D6C90C" w:rsidR="00223FB5" w:rsidRPr="00223FB5" w:rsidRDefault="008B4713" w:rsidP="00223FB5">
            <w:pPr>
              <w:spacing w:after="0" w:line="240" w:lineRule="auto"/>
              <w:rPr>
                <w:rFonts w:ascii="Calibri" w:hAnsi="Calibri" w:cs="Calibri"/>
                <w:color w:val="0000FF"/>
              </w:rPr>
            </w:pPr>
            <w:r w:rsidRPr="007C3701">
              <w:rPr>
                <w:rFonts w:ascii="Calibri" w:eastAsia="Times New Roman" w:hAnsi="Calibri" w:cs="Calibri"/>
                <w:color w:val="000000"/>
                <w:lang w:eastAsia="en-GB"/>
              </w:rPr>
              <w:t>Aarts, G, MacKenzie, M, McConnell, B, Fedak, MA, Matthioupoulos, J (2008). Estimating space-use and habitat preference from wildlife</w:t>
            </w:r>
            <w:r w:rsidR="00223FB5">
              <w:rPr>
                <w:rFonts w:ascii="Calibri" w:eastAsia="Times New Roman" w:hAnsi="Calibri" w:cs="Calibri"/>
                <w:color w:val="000000"/>
                <w:lang w:eastAsia="en-GB"/>
              </w:rPr>
              <w:t xml:space="preserve">. </w:t>
            </w:r>
            <w:r w:rsidR="00223FB5" w:rsidRPr="00223FB5">
              <w:rPr>
                <w:rFonts w:ascii="Calibri" w:hAnsi="Calibri" w:cs="Calibri"/>
              </w:rPr>
              <w:t xml:space="preserve">Ecography 31: 140-160 DOI: </w:t>
            </w:r>
            <w:r w:rsidR="00223FB5" w:rsidRPr="00223FB5">
              <w:rPr>
                <w:rFonts w:ascii="Calibri" w:hAnsi="Calibri" w:cs="Calibri"/>
                <w:color w:val="0000FF"/>
              </w:rPr>
              <w:t xml:space="preserve">10.1111/j.2007.0906-7590.05236.x </w:t>
            </w:r>
          </w:p>
          <w:p w14:paraId="214CB04C" w14:textId="218EA075" w:rsidR="008B4713" w:rsidRPr="007C3701" w:rsidRDefault="008B4713" w:rsidP="004E0087">
            <w:pPr>
              <w:spacing w:after="0" w:line="240" w:lineRule="auto"/>
              <w:rPr>
                <w:rFonts w:ascii="Calibri" w:eastAsia="Times New Roman" w:hAnsi="Calibri" w:cs="Calibri"/>
                <w:color w:val="000000"/>
                <w:lang w:eastAsia="en-GB"/>
              </w:rPr>
            </w:pPr>
          </w:p>
        </w:tc>
      </w:tr>
      <w:tr w:rsidR="008B4713" w:rsidRPr="007C3701" w14:paraId="6019C907"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193E413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86</w:t>
            </w:r>
          </w:p>
        </w:tc>
        <w:tc>
          <w:tcPr>
            <w:tcW w:w="9225" w:type="dxa"/>
            <w:tcBorders>
              <w:top w:val="nil"/>
              <w:left w:val="single" w:sz="4" w:space="0" w:color="auto"/>
              <w:bottom w:val="nil"/>
              <w:right w:val="single" w:sz="4" w:space="0" w:color="auto"/>
            </w:tcBorders>
            <w:shd w:val="clear" w:color="auto" w:fill="auto"/>
            <w:vAlign w:val="center"/>
            <w:hideMark/>
          </w:tcPr>
          <w:p w14:paraId="0458DCC3" w14:textId="07E40C73"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Harwood, J. (2000) Risk assessment and decision analysis in conservation. Biological Conservation 95: 219-226 DOI: 10.1016/S0006-3207(00)00036-7</w:t>
            </w:r>
            <w:r w:rsidR="00C43140">
              <w:rPr>
                <w:rFonts w:ascii="Calibri" w:eastAsia="Times New Roman" w:hAnsi="Calibri" w:cs="Calibri"/>
                <w:color w:val="000000"/>
                <w:lang w:eastAsia="en-GB"/>
              </w:rPr>
              <w:t>.</w:t>
            </w:r>
          </w:p>
        </w:tc>
      </w:tr>
      <w:tr w:rsidR="008B4713" w:rsidRPr="007C3701" w14:paraId="5DA0D3D1" w14:textId="77777777" w:rsidTr="004E0087">
        <w:trPr>
          <w:trHeight w:val="1200"/>
        </w:trPr>
        <w:tc>
          <w:tcPr>
            <w:tcW w:w="551" w:type="dxa"/>
            <w:tcBorders>
              <w:top w:val="nil"/>
              <w:left w:val="single" w:sz="4" w:space="0" w:color="auto"/>
              <w:bottom w:val="nil"/>
              <w:right w:val="nil"/>
            </w:tcBorders>
            <w:shd w:val="clear" w:color="auto" w:fill="auto"/>
            <w:noWrap/>
            <w:vAlign w:val="center"/>
            <w:hideMark/>
          </w:tcPr>
          <w:p w14:paraId="5842077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87</w:t>
            </w:r>
          </w:p>
        </w:tc>
        <w:tc>
          <w:tcPr>
            <w:tcW w:w="9225" w:type="dxa"/>
            <w:tcBorders>
              <w:top w:val="nil"/>
              <w:left w:val="single" w:sz="4" w:space="0" w:color="auto"/>
              <w:bottom w:val="nil"/>
              <w:right w:val="single" w:sz="4" w:space="0" w:color="auto"/>
            </w:tcBorders>
            <w:shd w:val="clear" w:color="auto" w:fill="auto"/>
            <w:vAlign w:val="center"/>
            <w:hideMark/>
          </w:tcPr>
          <w:p w14:paraId="7825CFC6" w14:textId="0B2117BC"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Hammond, PS, Berggren, P, Benke, H, Borchers, DL, Collet, A, Heide-Jørgensen, MP, Heimlich, S, Hiby, AR, Leopold, MF &amp; Øien, N (2002). Abundance of harbour porpoises and other cetaceans in the North Sea and adjacent waters. Journal of Applied Ecology 39: 361-376. DOI: 10.1046/j.1365-2664.2002.00713.x </w:t>
            </w:r>
          </w:p>
        </w:tc>
      </w:tr>
      <w:tr w:rsidR="008B4713" w:rsidRPr="007C3701" w14:paraId="67A6D8CB" w14:textId="77777777" w:rsidTr="00C43140">
        <w:trPr>
          <w:trHeight w:val="513"/>
        </w:trPr>
        <w:tc>
          <w:tcPr>
            <w:tcW w:w="551" w:type="dxa"/>
            <w:tcBorders>
              <w:top w:val="nil"/>
              <w:left w:val="single" w:sz="4" w:space="0" w:color="auto"/>
              <w:bottom w:val="nil"/>
              <w:right w:val="nil"/>
            </w:tcBorders>
            <w:shd w:val="clear" w:color="auto" w:fill="auto"/>
            <w:noWrap/>
            <w:vAlign w:val="center"/>
            <w:hideMark/>
          </w:tcPr>
          <w:p w14:paraId="7DEAE08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88</w:t>
            </w:r>
          </w:p>
        </w:tc>
        <w:tc>
          <w:tcPr>
            <w:tcW w:w="9225" w:type="dxa"/>
            <w:tcBorders>
              <w:top w:val="nil"/>
              <w:left w:val="single" w:sz="4" w:space="0" w:color="auto"/>
              <w:bottom w:val="nil"/>
              <w:right w:val="single" w:sz="4" w:space="0" w:color="auto"/>
            </w:tcBorders>
            <w:shd w:val="clear" w:color="auto" w:fill="auto"/>
            <w:vAlign w:val="center"/>
            <w:hideMark/>
          </w:tcPr>
          <w:p w14:paraId="36B56314" w14:textId="1EFDCFEA"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Marques TA, Thomas L, Ward J, DiMarzio N, Tyack PL. (2009) Estimating cetacean population density using fixed passive acoustic sensors: An example with Blainville’s beaked whales. Journal of the Acoustical Society of America 125:1982-1994. DOI: 10.1121/1.3089590</w:t>
            </w:r>
          </w:p>
        </w:tc>
      </w:tr>
      <w:tr w:rsidR="008B4713" w:rsidRPr="007C3701" w14:paraId="77D9BBA5" w14:textId="77777777" w:rsidTr="00C43140">
        <w:trPr>
          <w:trHeight w:val="692"/>
        </w:trPr>
        <w:tc>
          <w:tcPr>
            <w:tcW w:w="551" w:type="dxa"/>
            <w:tcBorders>
              <w:top w:val="nil"/>
              <w:left w:val="single" w:sz="4" w:space="0" w:color="auto"/>
              <w:bottom w:val="nil"/>
              <w:right w:val="nil"/>
            </w:tcBorders>
            <w:shd w:val="clear" w:color="auto" w:fill="auto"/>
            <w:noWrap/>
            <w:vAlign w:val="center"/>
            <w:hideMark/>
          </w:tcPr>
          <w:p w14:paraId="06D7DE7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89</w:t>
            </w:r>
          </w:p>
        </w:tc>
        <w:tc>
          <w:tcPr>
            <w:tcW w:w="9225" w:type="dxa"/>
            <w:tcBorders>
              <w:top w:val="nil"/>
              <w:left w:val="single" w:sz="4" w:space="0" w:color="auto"/>
              <w:bottom w:val="nil"/>
              <w:right w:val="single" w:sz="4" w:space="0" w:color="auto"/>
            </w:tcBorders>
            <w:shd w:val="clear" w:color="auto" w:fill="auto"/>
            <w:vAlign w:val="center"/>
            <w:hideMark/>
          </w:tcPr>
          <w:p w14:paraId="227EDC64" w14:textId="02080B2E"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Tyack P, Gordon J, Thompson D. (2004) Controlled exposure experiments to determine the effects of noise on large marine mammals. Marine Technology Society Journal 37(4):41-53 DOI: 10.4031/002533203787537087</w:t>
            </w:r>
          </w:p>
        </w:tc>
      </w:tr>
      <w:tr w:rsidR="008B4713" w:rsidRPr="007C3701" w14:paraId="3BA43CBF"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7700A88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90</w:t>
            </w:r>
          </w:p>
        </w:tc>
        <w:tc>
          <w:tcPr>
            <w:tcW w:w="9225" w:type="dxa"/>
            <w:tcBorders>
              <w:top w:val="nil"/>
              <w:left w:val="single" w:sz="4" w:space="0" w:color="auto"/>
              <w:bottom w:val="nil"/>
              <w:right w:val="single" w:sz="4" w:space="0" w:color="auto"/>
            </w:tcBorders>
            <w:shd w:val="clear" w:color="auto" w:fill="auto"/>
            <w:vAlign w:val="center"/>
            <w:hideMark/>
          </w:tcPr>
          <w:p w14:paraId="6F4EC338" w14:textId="3918A98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Tyack PL Zimmer WMX, Moretti D, Southall BL, Claridge DE, Durban JW, Clark CW, D’Amico A, DiMarzio N, Jarvis S, McCarthy E, Morrissey R, Ward J, Boyd IL (2011) Beaked Whales Respond to Simulated and Actual Navy Sonar. PLOS ONE 6: e17009 DOI: 10.1371/journal.pone.0017009</w:t>
            </w:r>
          </w:p>
        </w:tc>
      </w:tr>
      <w:tr w:rsidR="008B4713" w:rsidRPr="007C3701" w14:paraId="16573279" w14:textId="77777777" w:rsidTr="00C43140">
        <w:trPr>
          <w:trHeight w:val="942"/>
        </w:trPr>
        <w:tc>
          <w:tcPr>
            <w:tcW w:w="551" w:type="dxa"/>
            <w:tcBorders>
              <w:top w:val="nil"/>
              <w:left w:val="single" w:sz="4" w:space="0" w:color="auto"/>
              <w:bottom w:val="nil"/>
              <w:right w:val="nil"/>
            </w:tcBorders>
            <w:shd w:val="clear" w:color="auto" w:fill="auto"/>
            <w:noWrap/>
            <w:vAlign w:val="center"/>
            <w:hideMark/>
          </w:tcPr>
          <w:p w14:paraId="26BB398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91</w:t>
            </w:r>
          </w:p>
        </w:tc>
        <w:tc>
          <w:tcPr>
            <w:tcW w:w="9225" w:type="dxa"/>
            <w:tcBorders>
              <w:top w:val="nil"/>
              <w:left w:val="single" w:sz="4" w:space="0" w:color="auto"/>
              <w:bottom w:val="nil"/>
              <w:right w:val="single" w:sz="4" w:space="0" w:color="auto"/>
            </w:tcBorders>
            <w:shd w:val="clear" w:color="auto" w:fill="auto"/>
            <w:vAlign w:val="center"/>
            <w:hideMark/>
          </w:tcPr>
          <w:p w14:paraId="779B27EA" w14:textId="283C701F"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Kvadsheim PH, Miller PJO, Tyack PL, Sivle LD, Lam FPA, Fahlman A. (2012) Estimated tissue and blood N2 levels and risk of in vivo bubble formation in deep-, intermediate- and shallow diving toothed whales during exposure to naval sonar. Frontiers in Aquatic Physiology 3(125):1-14. DOI: 10.3389/fphys.2012.00125</w:t>
            </w:r>
          </w:p>
        </w:tc>
      </w:tr>
      <w:tr w:rsidR="008B4713" w:rsidRPr="007C3701" w14:paraId="56F3482F"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2A38062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92</w:t>
            </w:r>
          </w:p>
        </w:tc>
        <w:tc>
          <w:tcPr>
            <w:tcW w:w="9225" w:type="dxa"/>
            <w:tcBorders>
              <w:top w:val="nil"/>
              <w:left w:val="single" w:sz="4" w:space="0" w:color="auto"/>
              <w:bottom w:val="nil"/>
              <w:right w:val="single" w:sz="4" w:space="0" w:color="auto"/>
            </w:tcBorders>
            <w:shd w:val="clear" w:color="auto" w:fill="auto"/>
            <w:vAlign w:val="center"/>
            <w:hideMark/>
          </w:tcPr>
          <w:p w14:paraId="4251CB5B" w14:textId="24438A13"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Boyd IL &amp; Murray AWA (2001) Monitoring a marine ecosystem using responses of upper trophic level predators. J. Animal Ecol. 70, 747-760. DOI: 10.1046/j.0021-8790.2001.00534.x</w:t>
            </w:r>
          </w:p>
        </w:tc>
      </w:tr>
      <w:tr w:rsidR="008B4713" w:rsidRPr="007C3701" w14:paraId="532E7858"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4E25230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93</w:t>
            </w:r>
          </w:p>
        </w:tc>
        <w:tc>
          <w:tcPr>
            <w:tcW w:w="9225" w:type="dxa"/>
            <w:tcBorders>
              <w:top w:val="nil"/>
              <w:left w:val="single" w:sz="4" w:space="0" w:color="auto"/>
              <w:bottom w:val="nil"/>
              <w:right w:val="single" w:sz="4" w:space="0" w:color="auto"/>
            </w:tcBorders>
            <w:shd w:val="clear" w:color="auto" w:fill="auto"/>
            <w:vAlign w:val="center"/>
            <w:hideMark/>
          </w:tcPr>
          <w:p w14:paraId="01BD3888" w14:textId="3C38F9D9"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Borchers DL, Buckland ST, Goedhart PW, Clarke ED and Hedley SL (1998) Horvitz-Thompson estimators for double-platform line transect surveys. Biometrics 54, 1221-37. DOI: 10.2307/2533652 </w:t>
            </w:r>
          </w:p>
        </w:tc>
      </w:tr>
      <w:tr w:rsidR="008B4713" w:rsidRPr="007C3701" w14:paraId="0D7A5356"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8CBB7F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94</w:t>
            </w:r>
          </w:p>
        </w:tc>
        <w:tc>
          <w:tcPr>
            <w:tcW w:w="9225" w:type="dxa"/>
            <w:tcBorders>
              <w:top w:val="nil"/>
              <w:left w:val="single" w:sz="4" w:space="0" w:color="auto"/>
              <w:bottom w:val="nil"/>
              <w:right w:val="single" w:sz="4" w:space="0" w:color="auto"/>
            </w:tcBorders>
            <w:shd w:val="clear" w:color="auto" w:fill="auto"/>
            <w:vAlign w:val="center"/>
            <w:hideMark/>
          </w:tcPr>
          <w:p w14:paraId="7A5E4497" w14:textId="4E14C94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Matthiopoulos, J., McConnell, B.J., Duck, C.D., Fedak, M.A. (2004) Using satellite telemetry and aerial counts to estimate space use by grey seals around the British Isles. J. Appl. Ecol. 41: 476-491 DOI: 10.1111/j.0021-8901.2004.00911.x </w:t>
            </w:r>
          </w:p>
        </w:tc>
      </w:tr>
      <w:tr w:rsidR="008B4713" w:rsidRPr="007C3701" w14:paraId="2F86683B"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28DBD51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95</w:t>
            </w:r>
          </w:p>
        </w:tc>
        <w:tc>
          <w:tcPr>
            <w:tcW w:w="9225" w:type="dxa"/>
            <w:tcBorders>
              <w:top w:val="nil"/>
              <w:left w:val="single" w:sz="4" w:space="0" w:color="auto"/>
              <w:bottom w:val="nil"/>
              <w:right w:val="single" w:sz="4" w:space="0" w:color="auto"/>
            </w:tcBorders>
            <w:shd w:val="clear" w:color="auto" w:fill="auto"/>
            <w:vAlign w:val="center"/>
            <w:hideMark/>
          </w:tcPr>
          <w:p w14:paraId="148AE52B" w14:textId="6AC7E449"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Evans, P.G.H., Hammond, P.S. (2004) Monitoring cetaceans in European waters. Mammal Review 34: 131-156 DOI: 10.1046/j.0305-1838.2003.00027.x.</w:t>
            </w:r>
          </w:p>
        </w:tc>
      </w:tr>
      <w:tr w:rsidR="008B4713" w:rsidRPr="007C3701" w14:paraId="77CF4328"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52596F7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96</w:t>
            </w:r>
          </w:p>
        </w:tc>
        <w:tc>
          <w:tcPr>
            <w:tcW w:w="9225" w:type="dxa"/>
            <w:tcBorders>
              <w:top w:val="nil"/>
              <w:left w:val="single" w:sz="4" w:space="0" w:color="auto"/>
              <w:bottom w:val="nil"/>
              <w:right w:val="single" w:sz="4" w:space="0" w:color="auto"/>
            </w:tcBorders>
            <w:shd w:val="clear" w:color="auto" w:fill="auto"/>
            <w:vAlign w:val="center"/>
            <w:hideMark/>
          </w:tcPr>
          <w:p w14:paraId="4C15B50B" w14:textId="04E6745F"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Hooker, S.K., Gerber, L.R. (2004) Marine reserves as a tool for ecosystem-based management: The potential importance of megafauna. Bioscience 54: 27-39 DOI: 10.1641/0006-3568(2004)054[0027:MRAATF]2.0.CO;2. </w:t>
            </w:r>
          </w:p>
        </w:tc>
      </w:tr>
      <w:tr w:rsidR="008B4713" w:rsidRPr="007C3701" w14:paraId="768345EF"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65503F6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97</w:t>
            </w:r>
          </w:p>
        </w:tc>
        <w:tc>
          <w:tcPr>
            <w:tcW w:w="9225" w:type="dxa"/>
            <w:tcBorders>
              <w:top w:val="nil"/>
              <w:left w:val="single" w:sz="4" w:space="0" w:color="auto"/>
              <w:bottom w:val="nil"/>
              <w:right w:val="single" w:sz="4" w:space="0" w:color="auto"/>
            </w:tcBorders>
            <w:shd w:val="clear" w:color="auto" w:fill="auto"/>
            <w:vAlign w:val="center"/>
            <w:hideMark/>
          </w:tcPr>
          <w:p w14:paraId="529D4595" w14:textId="7C7ABD89"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Lonergan, M., Duck, C.D., Thompson, D., Mackey, B.L., Cunningham, L., Boyd, I.L. (2007) Using sparse survey data to investigate the declining abundance of British harbour seals. J. Zoology 271: 261-269 DOI: 10.1111/j.1469-7998.2007.00311.x </w:t>
            </w:r>
          </w:p>
        </w:tc>
      </w:tr>
      <w:tr w:rsidR="008B4713" w:rsidRPr="007C3701" w14:paraId="6913392B"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251ED5B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98</w:t>
            </w:r>
          </w:p>
        </w:tc>
        <w:tc>
          <w:tcPr>
            <w:tcW w:w="9225" w:type="dxa"/>
            <w:tcBorders>
              <w:top w:val="nil"/>
              <w:left w:val="single" w:sz="4" w:space="0" w:color="auto"/>
              <w:bottom w:val="nil"/>
              <w:right w:val="single" w:sz="4" w:space="0" w:color="auto"/>
            </w:tcBorders>
            <w:shd w:val="clear" w:color="auto" w:fill="auto"/>
            <w:vAlign w:val="center"/>
            <w:hideMark/>
          </w:tcPr>
          <w:p w14:paraId="2AFA8D80" w14:textId="4C297F73"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Graham, I.M., Harris, R.N., Matejusova, I. &amp; Middlemas, S.J. (2011) Do rogue' seals exist? Implications for seal conservation in the UK. Animal Conservation 14: 587-598, DOI 10.1111/j.1469-1795.2011.00469.x.</w:t>
            </w:r>
          </w:p>
        </w:tc>
      </w:tr>
      <w:tr w:rsidR="008B4713" w:rsidRPr="007C3701" w14:paraId="75D05432"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2185266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99</w:t>
            </w:r>
          </w:p>
        </w:tc>
        <w:tc>
          <w:tcPr>
            <w:tcW w:w="9225" w:type="dxa"/>
            <w:tcBorders>
              <w:top w:val="nil"/>
              <w:left w:val="single" w:sz="4" w:space="0" w:color="auto"/>
              <w:bottom w:val="nil"/>
              <w:right w:val="single" w:sz="4" w:space="0" w:color="auto"/>
            </w:tcBorders>
            <w:shd w:val="clear" w:color="auto" w:fill="auto"/>
            <w:vAlign w:val="center"/>
            <w:hideMark/>
          </w:tcPr>
          <w:p w14:paraId="0C1DFF1B" w14:textId="6F0B3AA3"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Read, A.J., Drinker, P. &amp; Northridge, S.P. (2006) Bycatch of marine mammals in US and global fisheries. Conservation Biology. 20(1):163-169. DOI: 10.1111/j.1523-1739.2006.00338.x</w:t>
            </w:r>
          </w:p>
        </w:tc>
      </w:tr>
      <w:tr w:rsidR="008B4713" w:rsidRPr="007C3701" w14:paraId="722E08A5" w14:textId="77777777" w:rsidTr="00561A27">
        <w:trPr>
          <w:trHeight w:val="1702"/>
        </w:trPr>
        <w:tc>
          <w:tcPr>
            <w:tcW w:w="551" w:type="dxa"/>
            <w:tcBorders>
              <w:top w:val="nil"/>
              <w:left w:val="single" w:sz="4" w:space="0" w:color="auto"/>
              <w:bottom w:val="nil"/>
              <w:right w:val="nil"/>
            </w:tcBorders>
            <w:shd w:val="clear" w:color="auto" w:fill="auto"/>
            <w:noWrap/>
            <w:vAlign w:val="center"/>
            <w:hideMark/>
          </w:tcPr>
          <w:p w14:paraId="543AF48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100</w:t>
            </w:r>
          </w:p>
        </w:tc>
        <w:tc>
          <w:tcPr>
            <w:tcW w:w="9225" w:type="dxa"/>
            <w:tcBorders>
              <w:top w:val="nil"/>
              <w:left w:val="single" w:sz="4" w:space="0" w:color="auto"/>
              <w:bottom w:val="nil"/>
              <w:right w:val="single" w:sz="4" w:space="0" w:color="auto"/>
            </w:tcBorders>
            <w:shd w:val="clear" w:color="auto" w:fill="auto"/>
            <w:vAlign w:val="center"/>
            <w:hideMark/>
          </w:tcPr>
          <w:p w14:paraId="74C2D9E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Hammond, P.S., Macleod, K., Berggren, P., Borchers, D.L., Burt, M.L., Cañadas, A., Desportes, G., Donovan, G.P., Gilles, A., Gillespie, D., Gordon, J., Hiby, L., Kuklik, I., Leaper, R., Lehnert, K., Leopold, M., Lovell, P., Øien, N., Paxton, C.G.M., Ridoux, V., Rogan, E., Samarra, F., Scheidat, M., Sequeira, M., Siebert, U., Skov, H., Swift, R., Tasker, M.L., Teilmann, J., Van Canneyt, O. &amp; Vázquez, J.A. (2013) Cetacean abundance and distribution in European Atlantic shelf waters to inform conservation and management. Biological Conservation 164: 107-122. DOI: 10.1016/j.biocon.2013.04.010.</w:t>
            </w:r>
          </w:p>
        </w:tc>
      </w:tr>
      <w:tr w:rsidR="008B4713" w:rsidRPr="007C3701" w14:paraId="3F8936CD" w14:textId="77777777" w:rsidTr="00561A27">
        <w:trPr>
          <w:trHeight w:val="74"/>
        </w:trPr>
        <w:tc>
          <w:tcPr>
            <w:tcW w:w="551" w:type="dxa"/>
            <w:tcBorders>
              <w:top w:val="nil"/>
              <w:left w:val="single" w:sz="4" w:space="0" w:color="auto"/>
              <w:bottom w:val="nil"/>
              <w:right w:val="nil"/>
            </w:tcBorders>
            <w:shd w:val="clear" w:color="auto" w:fill="auto"/>
            <w:noWrap/>
            <w:vAlign w:val="center"/>
            <w:hideMark/>
          </w:tcPr>
          <w:p w14:paraId="6B0E95D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101</w:t>
            </w:r>
          </w:p>
        </w:tc>
        <w:tc>
          <w:tcPr>
            <w:tcW w:w="9225" w:type="dxa"/>
            <w:tcBorders>
              <w:top w:val="nil"/>
              <w:left w:val="single" w:sz="4" w:space="0" w:color="auto"/>
              <w:bottom w:val="nil"/>
              <w:right w:val="single" w:sz="4" w:space="0" w:color="auto"/>
            </w:tcBorders>
            <w:shd w:val="clear" w:color="auto" w:fill="auto"/>
            <w:vAlign w:val="center"/>
            <w:hideMark/>
          </w:tcPr>
          <w:p w14:paraId="2997CC66" w14:textId="691F7454" w:rsidR="00A255D1" w:rsidRPr="007C3701" w:rsidRDefault="00A255D1"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Swedish Antarctic Research Program</w:t>
            </w:r>
            <w:r w:rsidR="00561441">
              <w:rPr>
                <w:rFonts w:ascii="Calibri" w:eastAsia="Times New Roman" w:hAnsi="Calibri" w:cs="Calibri"/>
                <w:color w:val="000000"/>
                <w:lang w:eastAsia="en-GB"/>
              </w:rPr>
              <w:t xml:space="preserve"> (member of the Council of Managers of National Antarctic Programs). </w:t>
            </w:r>
            <w:hyperlink r:id="rId87" w:history="1">
              <w:r w:rsidR="006F6101" w:rsidRPr="000562AF">
                <w:rPr>
                  <w:rStyle w:val="Hyperlink"/>
                  <w:rFonts w:ascii="Calibri" w:eastAsia="Times New Roman" w:hAnsi="Calibri" w:cs="Calibri"/>
                  <w:lang w:eastAsia="en-GB"/>
                </w:rPr>
                <w:t>https://www.comnap.aq/Members/SPR/SitePages/Home.aspx</w:t>
              </w:r>
            </w:hyperlink>
            <w:r>
              <w:rPr>
                <w:rFonts w:ascii="Calibri" w:eastAsia="Times New Roman" w:hAnsi="Calibri" w:cs="Calibri"/>
                <w:color w:val="000000"/>
                <w:lang w:eastAsia="en-GB"/>
              </w:rPr>
              <w:t xml:space="preserve"> </w:t>
            </w:r>
            <w:r w:rsidR="00C43140">
              <w:rPr>
                <w:rFonts w:ascii="Calibri" w:eastAsia="Times New Roman" w:hAnsi="Calibri" w:cs="Calibri"/>
                <w:color w:val="000000"/>
                <w:lang w:eastAsia="en-GB"/>
              </w:rPr>
              <w:t>(accessed 4 September 2019)</w:t>
            </w:r>
          </w:p>
        </w:tc>
      </w:tr>
      <w:tr w:rsidR="008B4713" w:rsidRPr="007C3701" w14:paraId="7B8B882C"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E0836D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102</w:t>
            </w:r>
          </w:p>
        </w:tc>
        <w:tc>
          <w:tcPr>
            <w:tcW w:w="9225" w:type="dxa"/>
            <w:tcBorders>
              <w:top w:val="nil"/>
              <w:left w:val="single" w:sz="4" w:space="0" w:color="auto"/>
              <w:bottom w:val="nil"/>
              <w:right w:val="single" w:sz="4" w:space="0" w:color="auto"/>
            </w:tcBorders>
            <w:shd w:val="clear" w:color="auto" w:fill="auto"/>
            <w:vAlign w:val="center"/>
            <w:hideMark/>
          </w:tcPr>
          <w:p w14:paraId="6C2C537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 A. FEDAK, P. LOVELL AND B. J. MCCONNELL. MAMVIS: A Marine Mammal Behaviour</w:t>
            </w:r>
            <w:r w:rsidRPr="007C3701">
              <w:rPr>
                <w:rFonts w:ascii="Calibri" w:eastAsia="Times New Roman" w:hAnsi="Calibri" w:cs="Calibri"/>
                <w:color w:val="000000"/>
                <w:lang w:eastAsia="en-GB"/>
              </w:rPr>
              <w:br/>
              <w:t>Visualization System. THE JOURNAL OF VISUALIZATION AND COMPUTER ANIMATION. VOL. 7 141-147 (1996)</w:t>
            </w:r>
          </w:p>
        </w:tc>
      </w:tr>
      <w:tr w:rsidR="008B4713" w:rsidRPr="007C3701" w14:paraId="1F8F0BCD"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32F3EEC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103</w:t>
            </w:r>
          </w:p>
        </w:tc>
        <w:tc>
          <w:tcPr>
            <w:tcW w:w="9225" w:type="dxa"/>
            <w:tcBorders>
              <w:top w:val="nil"/>
              <w:left w:val="single" w:sz="4" w:space="0" w:color="auto"/>
              <w:bottom w:val="nil"/>
              <w:right w:val="single" w:sz="4" w:space="0" w:color="auto"/>
            </w:tcBorders>
            <w:shd w:val="clear" w:color="auto" w:fill="auto"/>
            <w:vAlign w:val="center"/>
            <w:hideMark/>
          </w:tcPr>
          <w:p w14:paraId="531D2130" w14:textId="76BE9ADF" w:rsidR="008B4713" w:rsidRPr="007C3701" w:rsidRDefault="006F6101"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Biological Conservation (journal). </w:t>
            </w:r>
            <w:hyperlink r:id="rId88" w:history="1">
              <w:r w:rsidRPr="000562AF">
                <w:rPr>
                  <w:rStyle w:val="Hyperlink"/>
                  <w:rFonts w:ascii="Calibri" w:eastAsia="Times New Roman" w:hAnsi="Calibri" w:cs="Calibri"/>
                  <w:lang w:eastAsia="en-GB"/>
                </w:rPr>
                <w:t>https://www.journals.elsevier.com/biological-conservation</w:t>
              </w:r>
            </w:hyperlink>
            <w:r>
              <w:rPr>
                <w:rFonts w:ascii="Calibri" w:eastAsia="Times New Roman" w:hAnsi="Calibri" w:cs="Calibri"/>
                <w:color w:val="000000"/>
                <w:lang w:eastAsia="en-GB"/>
              </w:rPr>
              <w:t xml:space="preserve"> </w:t>
            </w:r>
            <w:r w:rsidR="00C43140">
              <w:rPr>
                <w:rFonts w:ascii="Calibri" w:eastAsia="Times New Roman" w:hAnsi="Calibri" w:cs="Calibri"/>
                <w:color w:val="000000"/>
                <w:lang w:eastAsia="en-GB"/>
              </w:rPr>
              <w:t>(accessed 4 September 2019)</w:t>
            </w:r>
          </w:p>
        </w:tc>
      </w:tr>
      <w:tr w:rsidR="008B4713" w:rsidRPr="007C3701" w14:paraId="73F79684"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4DC4776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104</w:t>
            </w:r>
          </w:p>
        </w:tc>
        <w:tc>
          <w:tcPr>
            <w:tcW w:w="9225" w:type="dxa"/>
            <w:tcBorders>
              <w:top w:val="nil"/>
              <w:left w:val="single" w:sz="4" w:space="0" w:color="auto"/>
              <w:bottom w:val="nil"/>
              <w:right w:val="single" w:sz="4" w:space="0" w:color="auto"/>
            </w:tcBorders>
            <w:shd w:val="clear" w:color="auto" w:fill="auto"/>
            <w:vAlign w:val="center"/>
            <w:hideMark/>
          </w:tcPr>
          <w:p w14:paraId="0524E87C" w14:textId="0948647C" w:rsidR="008B4713" w:rsidRPr="007C3701" w:rsidRDefault="006F6101"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Integrative and Comparative Biology (journal). </w:t>
            </w:r>
            <w:hyperlink r:id="rId89" w:history="1">
              <w:r>
                <w:rPr>
                  <w:rStyle w:val="Hyperlink"/>
                </w:rPr>
                <w:t>https://academic.oup.com/icb</w:t>
              </w:r>
            </w:hyperlink>
            <w:r w:rsidR="00C43140">
              <w:t xml:space="preserve"> </w:t>
            </w:r>
            <w:r w:rsidR="00C43140">
              <w:rPr>
                <w:rFonts w:ascii="Calibri" w:eastAsia="Times New Roman" w:hAnsi="Calibri" w:cs="Calibri"/>
                <w:color w:val="000000"/>
                <w:lang w:eastAsia="en-GB"/>
              </w:rPr>
              <w:t>(accessed 4 September 2019)</w:t>
            </w:r>
          </w:p>
        </w:tc>
      </w:tr>
      <w:tr w:rsidR="008B4713" w:rsidRPr="007C3701" w14:paraId="713C8E41"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7C562C0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105</w:t>
            </w:r>
          </w:p>
        </w:tc>
        <w:tc>
          <w:tcPr>
            <w:tcW w:w="9225" w:type="dxa"/>
            <w:tcBorders>
              <w:top w:val="nil"/>
              <w:left w:val="single" w:sz="4" w:space="0" w:color="auto"/>
              <w:bottom w:val="nil"/>
              <w:right w:val="single" w:sz="4" w:space="0" w:color="auto"/>
            </w:tcBorders>
            <w:shd w:val="clear" w:color="auto" w:fill="auto"/>
            <w:vAlign w:val="center"/>
            <w:hideMark/>
          </w:tcPr>
          <w:p w14:paraId="10E30B7E" w14:textId="3943AC1C"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Applied Ecology</w:t>
            </w:r>
            <w:r w:rsidR="006F6101">
              <w:rPr>
                <w:rFonts w:ascii="Calibri" w:eastAsia="Times New Roman" w:hAnsi="Calibri" w:cs="Calibri"/>
                <w:color w:val="000000"/>
                <w:lang w:eastAsia="en-GB"/>
              </w:rPr>
              <w:t xml:space="preserve"> (journal). </w:t>
            </w:r>
            <w:hyperlink r:id="rId90" w:history="1">
              <w:r w:rsidR="006F6101" w:rsidRPr="000562AF">
                <w:rPr>
                  <w:rStyle w:val="Hyperlink"/>
                  <w:rFonts w:ascii="Calibri" w:eastAsia="Times New Roman" w:hAnsi="Calibri" w:cs="Calibri"/>
                  <w:lang w:eastAsia="en-GB"/>
                </w:rPr>
                <w:t>https://besjournals.onlinelibrary.wiley.com/journal/13652664</w:t>
              </w:r>
            </w:hyperlink>
            <w:r w:rsidR="00C43140">
              <w:rPr>
                <w:rFonts w:ascii="Calibri" w:eastAsia="Times New Roman" w:hAnsi="Calibri" w:cs="Calibri"/>
                <w:color w:val="000000"/>
                <w:lang w:eastAsia="en-GB"/>
              </w:rPr>
              <w:t xml:space="preserve"> (accessed 4 September 2019)</w:t>
            </w:r>
          </w:p>
        </w:tc>
      </w:tr>
      <w:tr w:rsidR="008B4713" w:rsidRPr="007C3701" w14:paraId="091AD060"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3B2A374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106</w:t>
            </w:r>
          </w:p>
        </w:tc>
        <w:tc>
          <w:tcPr>
            <w:tcW w:w="9225" w:type="dxa"/>
            <w:tcBorders>
              <w:top w:val="nil"/>
              <w:left w:val="single" w:sz="4" w:space="0" w:color="auto"/>
              <w:bottom w:val="nil"/>
              <w:right w:val="single" w:sz="4" w:space="0" w:color="auto"/>
            </w:tcBorders>
            <w:shd w:val="clear" w:color="auto" w:fill="auto"/>
            <w:vAlign w:val="center"/>
            <w:hideMark/>
          </w:tcPr>
          <w:p w14:paraId="5D971C05" w14:textId="742E7773" w:rsidR="008B4713" w:rsidRPr="007C3701" w:rsidRDefault="006F6101"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Bioscience (journal). </w:t>
            </w:r>
            <w:hyperlink r:id="rId91" w:history="1">
              <w:r w:rsidRPr="000562AF">
                <w:rPr>
                  <w:rStyle w:val="Hyperlink"/>
                  <w:rFonts w:ascii="Calibri" w:eastAsia="Times New Roman" w:hAnsi="Calibri" w:cs="Calibri"/>
                  <w:lang w:eastAsia="en-GB"/>
                </w:rPr>
                <w:t>https://academic.oup.com/bioscience</w:t>
              </w:r>
            </w:hyperlink>
            <w:r>
              <w:rPr>
                <w:rFonts w:ascii="Calibri" w:eastAsia="Times New Roman" w:hAnsi="Calibri" w:cs="Calibri"/>
                <w:color w:val="000000"/>
                <w:lang w:eastAsia="en-GB"/>
              </w:rPr>
              <w:t xml:space="preserve"> </w:t>
            </w:r>
            <w:r w:rsidR="00C43140">
              <w:rPr>
                <w:rFonts w:ascii="Calibri" w:eastAsia="Times New Roman" w:hAnsi="Calibri" w:cs="Calibri"/>
                <w:color w:val="000000"/>
                <w:lang w:eastAsia="en-GB"/>
              </w:rPr>
              <w:t>(accessed 4 September 2019)</w:t>
            </w:r>
          </w:p>
        </w:tc>
      </w:tr>
      <w:tr w:rsidR="008B4713" w:rsidRPr="007C3701" w14:paraId="0F3724E1"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64B89D3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107</w:t>
            </w:r>
          </w:p>
        </w:tc>
        <w:tc>
          <w:tcPr>
            <w:tcW w:w="9225" w:type="dxa"/>
            <w:tcBorders>
              <w:top w:val="nil"/>
              <w:left w:val="single" w:sz="4" w:space="0" w:color="auto"/>
              <w:bottom w:val="nil"/>
              <w:right w:val="single" w:sz="4" w:space="0" w:color="auto"/>
            </w:tcBorders>
            <w:shd w:val="clear" w:color="auto" w:fill="auto"/>
            <w:vAlign w:val="center"/>
            <w:hideMark/>
          </w:tcPr>
          <w:p w14:paraId="1973EC26" w14:textId="35A96958"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w:t>
            </w:r>
            <w:r w:rsidR="006F6101">
              <w:rPr>
                <w:rFonts w:ascii="Calibri" w:eastAsia="Times New Roman" w:hAnsi="Calibri" w:cs="Calibri"/>
                <w:color w:val="000000"/>
                <w:lang w:eastAsia="en-GB"/>
              </w:rPr>
              <w:t xml:space="preserve">iometrics (journal). </w:t>
            </w:r>
            <w:hyperlink r:id="rId92" w:history="1">
              <w:r w:rsidR="006F6101" w:rsidRPr="000562AF">
                <w:rPr>
                  <w:rStyle w:val="Hyperlink"/>
                  <w:rFonts w:ascii="Calibri" w:eastAsia="Times New Roman" w:hAnsi="Calibri" w:cs="Calibri"/>
                  <w:lang w:eastAsia="en-GB"/>
                </w:rPr>
                <w:t>https://onlinelibrary.wiley.com/journal/15410420</w:t>
              </w:r>
            </w:hyperlink>
            <w:r w:rsidR="006F6101">
              <w:rPr>
                <w:rFonts w:ascii="Calibri" w:eastAsia="Times New Roman" w:hAnsi="Calibri" w:cs="Calibri"/>
                <w:color w:val="000000"/>
                <w:lang w:eastAsia="en-GB"/>
              </w:rPr>
              <w:t xml:space="preserve"> </w:t>
            </w:r>
            <w:r w:rsidR="00C43140">
              <w:rPr>
                <w:rFonts w:ascii="Calibri" w:eastAsia="Times New Roman" w:hAnsi="Calibri" w:cs="Calibri"/>
                <w:color w:val="000000"/>
                <w:lang w:eastAsia="en-GB"/>
              </w:rPr>
              <w:t>(accessed 4 September 2019)</w:t>
            </w:r>
          </w:p>
        </w:tc>
      </w:tr>
      <w:tr w:rsidR="008B4713" w:rsidRPr="007C3701" w14:paraId="20E82BBE"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518E929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108</w:t>
            </w:r>
          </w:p>
        </w:tc>
        <w:tc>
          <w:tcPr>
            <w:tcW w:w="9225" w:type="dxa"/>
            <w:tcBorders>
              <w:top w:val="nil"/>
              <w:left w:val="single" w:sz="4" w:space="0" w:color="auto"/>
              <w:bottom w:val="nil"/>
              <w:right w:val="single" w:sz="4" w:space="0" w:color="auto"/>
            </w:tcBorders>
            <w:shd w:val="clear" w:color="auto" w:fill="auto"/>
            <w:vAlign w:val="center"/>
            <w:hideMark/>
          </w:tcPr>
          <w:p w14:paraId="659BB128" w14:textId="3F3B2478"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Ecology </w:t>
            </w:r>
            <w:r w:rsidR="006F6101">
              <w:rPr>
                <w:rFonts w:ascii="Calibri" w:eastAsia="Times New Roman" w:hAnsi="Calibri" w:cs="Calibri"/>
                <w:color w:val="000000"/>
                <w:lang w:eastAsia="en-GB"/>
              </w:rPr>
              <w:t xml:space="preserve">(journal). </w:t>
            </w:r>
            <w:hyperlink r:id="rId93" w:history="1">
              <w:r w:rsidR="006F6101" w:rsidRPr="000562AF">
                <w:rPr>
                  <w:rStyle w:val="Hyperlink"/>
                  <w:rFonts w:ascii="Calibri" w:eastAsia="Times New Roman" w:hAnsi="Calibri" w:cs="Calibri"/>
                  <w:lang w:eastAsia="en-GB"/>
                </w:rPr>
                <w:t>https://esajournals.onlinelibrary.wiley.com/journal/19399170</w:t>
              </w:r>
            </w:hyperlink>
            <w:r w:rsidR="006F6101">
              <w:rPr>
                <w:rFonts w:ascii="Calibri" w:eastAsia="Times New Roman" w:hAnsi="Calibri" w:cs="Calibri"/>
                <w:color w:val="000000"/>
                <w:lang w:eastAsia="en-GB"/>
              </w:rPr>
              <w:t xml:space="preserve"> </w:t>
            </w:r>
            <w:r w:rsidR="00C43140">
              <w:rPr>
                <w:rFonts w:ascii="Calibri" w:eastAsia="Times New Roman" w:hAnsi="Calibri" w:cs="Calibri"/>
                <w:color w:val="000000"/>
                <w:lang w:eastAsia="en-GB"/>
              </w:rPr>
              <w:t>(accessed 4 September 2019)</w:t>
            </w:r>
          </w:p>
        </w:tc>
      </w:tr>
      <w:tr w:rsidR="008B4713" w:rsidRPr="007C3701" w14:paraId="318BCFB1"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05E2D43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109</w:t>
            </w:r>
          </w:p>
        </w:tc>
        <w:tc>
          <w:tcPr>
            <w:tcW w:w="9225" w:type="dxa"/>
            <w:tcBorders>
              <w:top w:val="nil"/>
              <w:left w:val="single" w:sz="4" w:space="0" w:color="auto"/>
              <w:bottom w:val="nil"/>
              <w:right w:val="single" w:sz="4" w:space="0" w:color="auto"/>
            </w:tcBorders>
            <w:shd w:val="clear" w:color="auto" w:fill="auto"/>
            <w:vAlign w:val="center"/>
            <w:hideMark/>
          </w:tcPr>
          <w:p w14:paraId="69F3302B" w14:textId="5AF2DEB7" w:rsidR="008B4713" w:rsidRPr="007C3701" w:rsidRDefault="00D24F0B"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Ecography (journal). </w:t>
            </w:r>
            <w:hyperlink r:id="rId94" w:history="1">
              <w:r w:rsidRPr="000562AF">
                <w:rPr>
                  <w:rStyle w:val="Hyperlink"/>
                  <w:rFonts w:ascii="Calibri" w:eastAsia="Times New Roman" w:hAnsi="Calibri" w:cs="Calibri"/>
                  <w:lang w:eastAsia="en-GB"/>
                </w:rPr>
                <w:t>http://www.ecography.org/</w:t>
              </w:r>
            </w:hyperlink>
            <w:r>
              <w:rPr>
                <w:rFonts w:ascii="Calibri" w:eastAsia="Times New Roman" w:hAnsi="Calibri" w:cs="Calibri"/>
                <w:color w:val="000000"/>
                <w:lang w:eastAsia="en-GB"/>
              </w:rPr>
              <w:t xml:space="preserve"> </w:t>
            </w:r>
            <w:r w:rsidR="00C43140">
              <w:rPr>
                <w:rFonts w:ascii="Calibri" w:eastAsia="Times New Roman" w:hAnsi="Calibri" w:cs="Calibri"/>
                <w:color w:val="000000"/>
                <w:lang w:eastAsia="en-GB"/>
              </w:rPr>
              <w:t>(accessed 4 September 2019)</w:t>
            </w:r>
          </w:p>
        </w:tc>
      </w:tr>
      <w:tr w:rsidR="008B4713" w:rsidRPr="007C3701" w14:paraId="7D1AABA6"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5BAB8C9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110</w:t>
            </w:r>
          </w:p>
        </w:tc>
        <w:tc>
          <w:tcPr>
            <w:tcW w:w="9225" w:type="dxa"/>
            <w:tcBorders>
              <w:top w:val="nil"/>
              <w:left w:val="single" w:sz="4" w:space="0" w:color="auto"/>
              <w:bottom w:val="nil"/>
              <w:right w:val="single" w:sz="4" w:space="0" w:color="auto"/>
            </w:tcBorders>
            <w:shd w:val="clear" w:color="auto" w:fill="auto"/>
            <w:vAlign w:val="center"/>
            <w:hideMark/>
          </w:tcPr>
          <w:p w14:paraId="5F3E8900" w14:textId="32570B7E"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Journal of Zoology</w:t>
            </w:r>
            <w:r w:rsidR="006F6101">
              <w:rPr>
                <w:rFonts w:ascii="Calibri" w:eastAsia="Times New Roman" w:hAnsi="Calibri" w:cs="Calibri"/>
                <w:color w:val="000000"/>
                <w:lang w:eastAsia="en-GB"/>
              </w:rPr>
              <w:t xml:space="preserve">. </w:t>
            </w:r>
            <w:hyperlink r:id="rId95" w:history="1">
              <w:r w:rsidR="006F6101" w:rsidRPr="000562AF">
                <w:rPr>
                  <w:rStyle w:val="Hyperlink"/>
                  <w:rFonts w:ascii="Calibri" w:eastAsia="Times New Roman" w:hAnsi="Calibri" w:cs="Calibri"/>
                  <w:lang w:eastAsia="en-GB"/>
                </w:rPr>
                <w:t>https://zslpublications.onlinelibrary.wiley.com/journal/14697998</w:t>
              </w:r>
            </w:hyperlink>
            <w:r w:rsidR="006F6101">
              <w:rPr>
                <w:rFonts w:ascii="Calibri" w:eastAsia="Times New Roman" w:hAnsi="Calibri" w:cs="Calibri"/>
                <w:color w:val="000000"/>
                <w:lang w:eastAsia="en-GB"/>
              </w:rPr>
              <w:t xml:space="preserve"> </w:t>
            </w:r>
            <w:r w:rsidR="00C43140">
              <w:rPr>
                <w:rFonts w:ascii="Calibri" w:eastAsia="Times New Roman" w:hAnsi="Calibri" w:cs="Calibri"/>
                <w:color w:val="000000"/>
                <w:lang w:eastAsia="en-GB"/>
              </w:rPr>
              <w:t>(accessed 4 September 2019)</w:t>
            </w:r>
          </w:p>
        </w:tc>
      </w:tr>
      <w:tr w:rsidR="008B4713" w:rsidRPr="007C3701" w14:paraId="46FBC058"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0337F9A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111</w:t>
            </w:r>
          </w:p>
        </w:tc>
        <w:tc>
          <w:tcPr>
            <w:tcW w:w="9225" w:type="dxa"/>
            <w:tcBorders>
              <w:top w:val="nil"/>
              <w:left w:val="single" w:sz="4" w:space="0" w:color="auto"/>
              <w:bottom w:val="single" w:sz="4" w:space="0" w:color="auto"/>
              <w:right w:val="single" w:sz="4" w:space="0" w:color="auto"/>
            </w:tcBorders>
            <w:shd w:val="clear" w:color="auto" w:fill="auto"/>
            <w:vAlign w:val="center"/>
            <w:hideMark/>
          </w:tcPr>
          <w:p w14:paraId="1571BA10" w14:textId="5060A1A9"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Animal Conservation </w:t>
            </w:r>
            <w:r w:rsidR="006F6101">
              <w:rPr>
                <w:rFonts w:ascii="Calibri" w:eastAsia="Times New Roman" w:hAnsi="Calibri" w:cs="Calibri"/>
                <w:color w:val="000000"/>
                <w:lang w:eastAsia="en-GB"/>
              </w:rPr>
              <w:t xml:space="preserve">(journal). </w:t>
            </w:r>
            <w:hyperlink r:id="rId96" w:history="1">
              <w:r w:rsidR="006F6101" w:rsidRPr="000562AF">
                <w:rPr>
                  <w:rStyle w:val="Hyperlink"/>
                  <w:rFonts w:ascii="Calibri" w:eastAsia="Times New Roman" w:hAnsi="Calibri" w:cs="Calibri"/>
                  <w:lang w:eastAsia="en-GB"/>
                </w:rPr>
                <w:t>https://zslpublications.onlinelibrary.wiley.com/journal/14691795</w:t>
              </w:r>
            </w:hyperlink>
            <w:r w:rsidR="006F6101">
              <w:rPr>
                <w:rFonts w:ascii="Calibri" w:eastAsia="Times New Roman" w:hAnsi="Calibri" w:cs="Calibri"/>
                <w:color w:val="000000"/>
                <w:lang w:eastAsia="en-GB"/>
              </w:rPr>
              <w:t xml:space="preserve"> </w:t>
            </w:r>
            <w:r w:rsidR="00C43140">
              <w:rPr>
                <w:rFonts w:ascii="Calibri" w:eastAsia="Times New Roman" w:hAnsi="Calibri" w:cs="Calibri"/>
                <w:color w:val="000000"/>
                <w:lang w:eastAsia="en-GB"/>
              </w:rPr>
              <w:t>(accessed 4 September 2019)</w:t>
            </w:r>
          </w:p>
        </w:tc>
      </w:tr>
      <w:tr w:rsidR="008B4713" w:rsidRPr="007C3701" w14:paraId="5A1C6975" w14:textId="77777777" w:rsidTr="00C43140">
        <w:trPr>
          <w:trHeight w:val="300"/>
        </w:trPr>
        <w:tc>
          <w:tcPr>
            <w:tcW w:w="551" w:type="dxa"/>
            <w:tcBorders>
              <w:top w:val="nil"/>
              <w:left w:val="single" w:sz="4" w:space="0" w:color="auto"/>
              <w:bottom w:val="nil"/>
              <w:right w:val="nil"/>
            </w:tcBorders>
            <w:shd w:val="clear" w:color="auto" w:fill="auto"/>
            <w:noWrap/>
            <w:vAlign w:val="center"/>
            <w:hideMark/>
          </w:tcPr>
          <w:p w14:paraId="430EDA3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w:t>
            </w:r>
          </w:p>
        </w:tc>
        <w:tc>
          <w:tcPr>
            <w:tcW w:w="9225" w:type="dxa"/>
            <w:tcBorders>
              <w:top w:val="nil"/>
              <w:left w:val="single" w:sz="4" w:space="0" w:color="auto"/>
              <w:bottom w:val="single" w:sz="4" w:space="0" w:color="auto"/>
              <w:right w:val="single" w:sz="4" w:space="0" w:color="auto"/>
            </w:tcBorders>
            <w:shd w:val="clear" w:color="auto" w:fill="auto"/>
            <w:vAlign w:val="center"/>
            <w:hideMark/>
          </w:tcPr>
          <w:p w14:paraId="2BD65F8D" w14:textId="77777777" w:rsidR="008B4713" w:rsidRPr="007C3701" w:rsidRDefault="008B4713" w:rsidP="004E0087">
            <w:pPr>
              <w:spacing w:after="0" w:line="240" w:lineRule="auto"/>
              <w:rPr>
                <w:rFonts w:ascii="Calibri" w:eastAsia="Times New Roman" w:hAnsi="Calibri" w:cs="Calibri"/>
                <w:b/>
                <w:bCs/>
                <w:color w:val="000000"/>
                <w:lang w:eastAsia="en-GB"/>
              </w:rPr>
            </w:pPr>
            <w:r w:rsidRPr="007C3701">
              <w:rPr>
                <w:rFonts w:ascii="Calibri" w:eastAsia="Times New Roman" w:hAnsi="Calibri" w:cs="Calibri"/>
                <w:b/>
                <w:bCs/>
                <w:color w:val="000000"/>
                <w:lang w:eastAsia="en-GB"/>
              </w:rPr>
              <w:t>Unit of Assessment 7</w:t>
            </w:r>
          </w:p>
        </w:tc>
      </w:tr>
      <w:tr w:rsidR="008B4713" w:rsidRPr="007C3701" w14:paraId="776E0A26"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0F06810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112</w:t>
            </w:r>
          </w:p>
        </w:tc>
        <w:tc>
          <w:tcPr>
            <w:tcW w:w="9225" w:type="dxa"/>
            <w:tcBorders>
              <w:top w:val="nil"/>
              <w:left w:val="single" w:sz="4" w:space="0" w:color="auto"/>
              <w:bottom w:val="nil"/>
              <w:right w:val="single" w:sz="4" w:space="0" w:color="auto"/>
            </w:tcBorders>
            <w:shd w:val="clear" w:color="auto" w:fill="auto"/>
            <w:vAlign w:val="center"/>
            <w:hideMark/>
          </w:tcPr>
          <w:p w14:paraId="07919782" w14:textId="2626B5C6" w:rsidR="008B4713" w:rsidRPr="007C3701" w:rsidRDefault="00B97B0E"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Edinburgh Napier University (2014). </w:t>
            </w:r>
            <w:r w:rsidR="008B4713" w:rsidRPr="007C3701">
              <w:rPr>
                <w:rFonts w:ascii="Calibri" w:eastAsia="Times New Roman" w:hAnsi="Calibri" w:cs="Calibri"/>
                <w:color w:val="000000"/>
                <w:lang w:eastAsia="en-GB"/>
              </w:rPr>
              <w:t>REF2014 Impact Template</w:t>
            </w:r>
            <w:r>
              <w:rPr>
                <w:rFonts w:ascii="Calibri" w:eastAsia="Times New Roman" w:hAnsi="Calibri" w:cs="Calibri"/>
                <w:color w:val="000000"/>
                <w:lang w:eastAsia="en-GB"/>
              </w:rPr>
              <w:t>.</w:t>
            </w:r>
            <w:r w:rsidR="001C511A">
              <w:rPr>
                <w:rFonts w:ascii="Calibri" w:eastAsia="Times New Roman" w:hAnsi="Calibri" w:cs="Calibri"/>
                <w:color w:val="000000"/>
                <w:lang w:eastAsia="en-GB"/>
              </w:rPr>
              <w:t xml:space="preserve"> </w:t>
            </w:r>
            <w:hyperlink r:id="rId97" w:history="1">
              <w:r w:rsidR="001C511A">
                <w:rPr>
                  <w:rStyle w:val="Hyperlink"/>
                </w:rPr>
                <w:t>https://results.ref.ac.uk/(S(5mhsdcrlek45dkop3v4uw5gx))/Submissions/Impact/451</w:t>
              </w:r>
            </w:hyperlink>
            <w:r w:rsidR="001C511A">
              <w:rPr>
                <w:rFonts w:ascii="Calibri" w:eastAsia="Times New Roman" w:hAnsi="Calibri" w:cs="Calibri"/>
                <w:color w:val="000000"/>
                <w:lang w:eastAsia="en-GB"/>
              </w:rPr>
              <w:t xml:space="preserve"> </w:t>
            </w:r>
          </w:p>
        </w:tc>
      </w:tr>
      <w:tr w:rsidR="008B4713" w:rsidRPr="007C3701" w14:paraId="260DED56"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53884F4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113</w:t>
            </w:r>
          </w:p>
        </w:tc>
        <w:tc>
          <w:tcPr>
            <w:tcW w:w="9225" w:type="dxa"/>
            <w:tcBorders>
              <w:top w:val="nil"/>
              <w:left w:val="single" w:sz="4" w:space="0" w:color="auto"/>
              <w:bottom w:val="nil"/>
              <w:right w:val="single" w:sz="4" w:space="0" w:color="auto"/>
            </w:tcBorders>
            <w:shd w:val="clear" w:color="auto" w:fill="auto"/>
            <w:vAlign w:val="center"/>
            <w:hideMark/>
          </w:tcPr>
          <w:p w14:paraId="2F568A8C" w14:textId="36183D8E" w:rsidR="008B4713" w:rsidRPr="007C3701" w:rsidRDefault="00B97B0E"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Edinburgh Napier University (2014). </w:t>
            </w:r>
            <w:r w:rsidR="008B4713" w:rsidRPr="007C3701">
              <w:rPr>
                <w:rFonts w:ascii="Calibri" w:eastAsia="Times New Roman" w:hAnsi="Calibri" w:cs="Calibri"/>
                <w:color w:val="000000"/>
                <w:lang w:eastAsia="en-GB"/>
              </w:rPr>
              <w:t>REF2014 Environment Template</w:t>
            </w:r>
            <w:r>
              <w:rPr>
                <w:rFonts w:ascii="Calibri" w:eastAsia="Times New Roman" w:hAnsi="Calibri" w:cs="Calibri"/>
                <w:color w:val="000000"/>
                <w:lang w:eastAsia="en-GB"/>
              </w:rPr>
              <w:t>.</w:t>
            </w:r>
            <w:r w:rsidR="001C511A">
              <w:rPr>
                <w:rFonts w:ascii="Calibri" w:eastAsia="Times New Roman" w:hAnsi="Calibri" w:cs="Calibri"/>
                <w:color w:val="000000"/>
                <w:lang w:eastAsia="en-GB"/>
              </w:rPr>
              <w:t xml:space="preserve"> </w:t>
            </w:r>
            <w:hyperlink r:id="rId98" w:history="1">
              <w:r w:rsidR="001C511A">
                <w:rPr>
                  <w:rStyle w:val="Hyperlink"/>
                </w:rPr>
                <w:t>https://results.ref.ac.uk/(S(5mhsdcrlek45dkop3v4uw5gx))/Submissions/Environment/451</w:t>
              </w:r>
            </w:hyperlink>
          </w:p>
        </w:tc>
      </w:tr>
      <w:tr w:rsidR="008B4713" w:rsidRPr="007C3701" w14:paraId="1A74BBC1" w14:textId="77777777" w:rsidTr="00DA6616">
        <w:trPr>
          <w:trHeight w:val="300"/>
        </w:trPr>
        <w:tc>
          <w:tcPr>
            <w:tcW w:w="551" w:type="dxa"/>
            <w:tcBorders>
              <w:top w:val="nil"/>
              <w:left w:val="single" w:sz="4" w:space="0" w:color="auto"/>
              <w:bottom w:val="nil"/>
              <w:right w:val="nil"/>
            </w:tcBorders>
            <w:shd w:val="clear" w:color="auto" w:fill="auto"/>
            <w:noWrap/>
            <w:vAlign w:val="center"/>
            <w:hideMark/>
          </w:tcPr>
          <w:p w14:paraId="7F56B2D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114</w:t>
            </w:r>
          </w:p>
        </w:tc>
        <w:tc>
          <w:tcPr>
            <w:tcW w:w="9225" w:type="dxa"/>
            <w:tcBorders>
              <w:top w:val="nil"/>
              <w:left w:val="single" w:sz="4" w:space="0" w:color="auto"/>
              <w:bottom w:val="nil"/>
              <w:right w:val="single" w:sz="4" w:space="0" w:color="auto"/>
            </w:tcBorders>
            <w:shd w:val="clear" w:color="auto" w:fill="auto"/>
            <w:vAlign w:val="center"/>
            <w:hideMark/>
          </w:tcPr>
          <w:p w14:paraId="3C18B216" w14:textId="5AFE3525" w:rsidR="008B4713" w:rsidRPr="007C3701" w:rsidRDefault="00655F5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Edinburgh Napier University. </w:t>
            </w:r>
            <w:r w:rsidR="008B4713" w:rsidRPr="007C3701">
              <w:rPr>
                <w:rFonts w:ascii="Calibri" w:eastAsia="Times New Roman" w:hAnsi="Calibri" w:cs="Calibri"/>
                <w:color w:val="000000"/>
                <w:lang w:eastAsia="en-GB"/>
              </w:rPr>
              <w:t>School of Life, Sports &amp; Science website</w:t>
            </w:r>
            <w:r>
              <w:rPr>
                <w:rFonts w:ascii="Calibri" w:eastAsia="Times New Roman" w:hAnsi="Calibri" w:cs="Calibri"/>
                <w:color w:val="000000"/>
                <w:lang w:eastAsia="en-GB"/>
              </w:rPr>
              <w:t xml:space="preserve"> (now School of Applied Sciences). </w:t>
            </w:r>
            <w:hyperlink r:id="rId99" w:history="1">
              <w:r>
                <w:rPr>
                  <w:rStyle w:val="Hyperlink"/>
                </w:rPr>
                <w:t>https://www.napier.ac.uk/about-us/our-schools/school-of-applied-sciences</w:t>
              </w:r>
            </w:hyperlink>
            <w:r w:rsidR="00DA6616">
              <w:t xml:space="preserve"> </w:t>
            </w:r>
            <w:r w:rsidR="00DA6616">
              <w:rPr>
                <w:rFonts w:ascii="Calibri" w:eastAsia="Times New Roman" w:hAnsi="Calibri" w:cs="Calibri"/>
                <w:color w:val="000000"/>
                <w:lang w:eastAsia="en-GB"/>
              </w:rPr>
              <w:t>(accessed 4 September 2019)</w:t>
            </w:r>
          </w:p>
        </w:tc>
      </w:tr>
      <w:tr w:rsidR="008B4713" w:rsidRPr="007C3701" w14:paraId="717EBC6B" w14:textId="77777777" w:rsidTr="00DA6616">
        <w:trPr>
          <w:trHeight w:val="300"/>
        </w:trPr>
        <w:tc>
          <w:tcPr>
            <w:tcW w:w="551" w:type="dxa"/>
            <w:tcBorders>
              <w:top w:val="nil"/>
              <w:left w:val="single" w:sz="4" w:space="0" w:color="auto"/>
              <w:bottom w:val="nil"/>
              <w:right w:val="nil"/>
            </w:tcBorders>
            <w:shd w:val="clear" w:color="auto" w:fill="auto"/>
            <w:noWrap/>
            <w:vAlign w:val="center"/>
            <w:hideMark/>
          </w:tcPr>
          <w:p w14:paraId="0B5392B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115</w:t>
            </w:r>
          </w:p>
        </w:tc>
        <w:tc>
          <w:tcPr>
            <w:tcW w:w="9225" w:type="dxa"/>
            <w:tcBorders>
              <w:top w:val="nil"/>
              <w:left w:val="single" w:sz="4" w:space="0" w:color="auto"/>
              <w:bottom w:val="nil"/>
              <w:right w:val="single" w:sz="4" w:space="0" w:color="auto"/>
            </w:tcBorders>
            <w:shd w:val="clear" w:color="auto" w:fill="auto"/>
            <w:vAlign w:val="center"/>
            <w:hideMark/>
          </w:tcPr>
          <w:p w14:paraId="2030216B" w14:textId="6549ADFF" w:rsidR="008B4713" w:rsidRPr="007C3701" w:rsidRDefault="00655F5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Edinburgh Napier University. </w:t>
            </w:r>
            <w:r w:rsidR="008B4713" w:rsidRPr="007C3701">
              <w:rPr>
                <w:rFonts w:ascii="Calibri" w:eastAsia="Times New Roman" w:hAnsi="Calibri" w:cs="Calibri"/>
                <w:color w:val="000000"/>
                <w:lang w:eastAsia="en-GB"/>
              </w:rPr>
              <w:t>A</w:t>
            </w:r>
            <w:r>
              <w:rPr>
                <w:rFonts w:ascii="Calibri" w:eastAsia="Times New Roman" w:hAnsi="Calibri" w:cs="Calibri"/>
                <w:color w:val="000000"/>
                <w:lang w:eastAsia="en-GB"/>
              </w:rPr>
              <w:t xml:space="preserve">nimal and Plant Science Research Group. </w:t>
            </w:r>
            <w:hyperlink r:id="rId100" w:history="1">
              <w:r w:rsidRPr="000562AF">
                <w:rPr>
                  <w:rStyle w:val="Hyperlink"/>
                  <w:rFonts w:ascii="Calibri" w:eastAsia="Times New Roman" w:hAnsi="Calibri" w:cs="Calibri"/>
                  <w:lang w:eastAsia="en-GB"/>
                </w:rPr>
                <w:t>https://www.napier.ac.uk/research-and-innovation/research-search/centres/animal-and-plant-science-research-group</w:t>
              </w:r>
            </w:hyperlink>
            <w:r>
              <w:rPr>
                <w:rFonts w:ascii="Calibri" w:eastAsia="Times New Roman" w:hAnsi="Calibri" w:cs="Calibri"/>
                <w:color w:val="000000"/>
                <w:lang w:eastAsia="en-GB"/>
              </w:rPr>
              <w:t xml:space="preserve"> </w:t>
            </w:r>
            <w:r w:rsidR="00DA6616">
              <w:rPr>
                <w:rFonts w:ascii="Calibri" w:eastAsia="Times New Roman" w:hAnsi="Calibri" w:cs="Calibri"/>
                <w:color w:val="000000"/>
                <w:lang w:eastAsia="en-GB"/>
              </w:rPr>
              <w:t>(accessed 4 September 2019)</w:t>
            </w:r>
          </w:p>
        </w:tc>
      </w:tr>
      <w:tr w:rsidR="008B4713" w:rsidRPr="007C3701" w14:paraId="060B1A87" w14:textId="77777777" w:rsidTr="00DA6616">
        <w:trPr>
          <w:trHeight w:val="300"/>
        </w:trPr>
        <w:tc>
          <w:tcPr>
            <w:tcW w:w="551" w:type="dxa"/>
            <w:tcBorders>
              <w:top w:val="nil"/>
              <w:left w:val="single" w:sz="4" w:space="0" w:color="auto"/>
              <w:bottom w:val="nil"/>
              <w:right w:val="nil"/>
            </w:tcBorders>
            <w:shd w:val="clear" w:color="auto" w:fill="auto"/>
            <w:noWrap/>
            <w:vAlign w:val="center"/>
            <w:hideMark/>
          </w:tcPr>
          <w:p w14:paraId="260F37B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116</w:t>
            </w:r>
          </w:p>
        </w:tc>
        <w:tc>
          <w:tcPr>
            <w:tcW w:w="9225" w:type="dxa"/>
            <w:tcBorders>
              <w:top w:val="nil"/>
              <w:left w:val="single" w:sz="4" w:space="0" w:color="auto"/>
              <w:bottom w:val="nil"/>
              <w:right w:val="single" w:sz="4" w:space="0" w:color="auto"/>
            </w:tcBorders>
            <w:shd w:val="clear" w:color="auto" w:fill="auto"/>
            <w:vAlign w:val="center"/>
            <w:hideMark/>
          </w:tcPr>
          <w:p w14:paraId="30D8BE59" w14:textId="56A4FC82" w:rsidR="00737D07" w:rsidRPr="007C3701" w:rsidRDefault="00737D07" w:rsidP="00737D0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Edinburgh Napier University. Centre for Marine Science and Services (now the Biodiversity and Conservation ‘Research Area’ under the Animal and Plant Science Research Group). </w:t>
            </w:r>
            <w:hyperlink r:id="rId101" w:history="1">
              <w:r>
                <w:rPr>
                  <w:rStyle w:val="Hyperlink"/>
                </w:rPr>
                <w:t>https://www.napier.ac.uk/research-and-innovation/research-search/centres/animal-and-plant-science-research-group</w:t>
              </w:r>
            </w:hyperlink>
            <w:r w:rsidR="00DA6616">
              <w:t xml:space="preserve"> </w:t>
            </w:r>
            <w:r w:rsidR="00DA6616">
              <w:rPr>
                <w:rFonts w:ascii="Calibri" w:eastAsia="Times New Roman" w:hAnsi="Calibri" w:cs="Calibri"/>
                <w:color w:val="000000"/>
                <w:lang w:eastAsia="en-GB"/>
              </w:rPr>
              <w:t>(accessed 4 September 2019)</w:t>
            </w:r>
          </w:p>
        </w:tc>
      </w:tr>
      <w:tr w:rsidR="008B4713" w:rsidRPr="007C3701" w14:paraId="2EF5EFC4" w14:textId="77777777" w:rsidTr="00DA6616">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055760"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7.1</w:t>
            </w:r>
          </w:p>
        </w:tc>
      </w:tr>
      <w:tr w:rsidR="008B4713" w:rsidRPr="007C3701" w14:paraId="5406FB43"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2BFC0FA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117</w:t>
            </w:r>
          </w:p>
        </w:tc>
        <w:tc>
          <w:tcPr>
            <w:tcW w:w="9225" w:type="dxa"/>
            <w:tcBorders>
              <w:top w:val="nil"/>
              <w:left w:val="single" w:sz="4" w:space="0" w:color="auto"/>
              <w:bottom w:val="nil"/>
              <w:right w:val="single" w:sz="4" w:space="0" w:color="auto"/>
            </w:tcBorders>
            <w:shd w:val="clear" w:color="auto" w:fill="auto"/>
            <w:vAlign w:val="center"/>
            <w:hideMark/>
          </w:tcPr>
          <w:p w14:paraId="7FF0CD75" w14:textId="1277DE26" w:rsidR="008B4713" w:rsidRPr="007C3701" w:rsidRDefault="00B97B0E"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Edinburgh Napier University (2014). </w:t>
            </w:r>
            <w:r w:rsidR="008B4713" w:rsidRPr="007C3701">
              <w:rPr>
                <w:rFonts w:ascii="Calibri" w:eastAsia="Times New Roman" w:hAnsi="Calibri" w:cs="Calibri"/>
                <w:color w:val="000000"/>
                <w:lang w:eastAsia="en-GB"/>
              </w:rPr>
              <w:t>REF Impact Case Study no. 43929</w:t>
            </w:r>
            <w:r w:rsidR="001C511A">
              <w:rPr>
                <w:rFonts w:ascii="Calibri" w:eastAsia="Times New Roman" w:hAnsi="Calibri" w:cs="Calibri"/>
                <w:color w:val="000000"/>
                <w:lang w:eastAsia="en-GB"/>
              </w:rPr>
              <w:t xml:space="preserve">. </w:t>
            </w:r>
            <w:hyperlink r:id="rId102" w:history="1">
              <w:r w:rsidR="001C511A">
                <w:rPr>
                  <w:rStyle w:val="Hyperlink"/>
                </w:rPr>
                <w:t>https://results.ref.ac.uk/(S(5mhsdcrlek45dkop3v4uw5gx))/Submissions/Impact/451</w:t>
              </w:r>
            </w:hyperlink>
          </w:p>
        </w:tc>
      </w:tr>
      <w:tr w:rsidR="008B4713" w:rsidRPr="007C3701" w14:paraId="2A782497" w14:textId="77777777" w:rsidTr="00DA6616">
        <w:trPr>
          <w:trHeight w:val="300"/>
        </w:trPr>
        <w:tc>
          <w:tcPr>
            <w:tcW w:w="551" w:type="dxa"/>
            <w:tcBorders>
              <w:top w:val="nil"/>
              <w:left w:val="single" w:sz="4" w:space="0" w:color="auto"/>
              <w:bottom w:val="nil"/>
              <w:right w:val="nil"/>
            </w:tcBorders>
            <w:shd w:val="clear" w:color="auto" w:fill="auto"/>
            <w:noWrap/>
            <w:vAlign w:val="center"/>
            <w:hideMark/>
          </w:tcPr>
          <w:p w14:paraId="2AE219A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118</w:t>
            </w:r>
          </w:p>
        </w:tc>
        <w:tc>
          <w:tcPr>
            <w:tcW w:w="9225" w:type="dxa"/>
            <w:tcBorders>
              <w:top w:val="nil"/>
              <w:left w:val="single" w:sz="4" w:space="0" w:color="auto"/>
              <w:bottom w:val="nil"/>
              <w:right w:val="single" w:sz="4" w:space="0" w:color="auto"/>
            </w:tcBorders>
            <w:shd w:val="clear" w:color="auto" w:fill="auto"/>
            <w:vAlign w:val="center"/>
            <w:hideMark/>
          </w:tcPr>
          <w:p w14:paraId="3EFDD243" w14:textId="1B91FFE5" w:rsidR="008B4713" w:rsidRPr="007C3701" w:rsidRDefault="008175E5" w:rsidP="004E0087">
            <w:pPr>
              <w:spacing w:after="0" w:line="240" w:lineRule="auto"/>
              <w:rPr>
                <w:rFonts w:ascii="Calibri" w:eastAsia="Times New Roman" w:hAnsi="Calibri" w:cs="Calibri"/>
                <w:color w:val="0563C1"/>
                <w:u w:val="single"/>
                <w:lang w:eastAsia="en-GB"/>
              </w:rPr>
            </w:pPr>
            <w:r>
              <w:t xml:space="preserve">British Oceanographic Data Centre. </w:t>
            </w:r>
            <w:hyperlink r:id="rId103" w:history="1">
              <w:r w:rsidRPr="000562AF">
                <w:rPr>
                  <w:rStyle w:val="Hyperlink"/>
                  <w:rFonts w:ascii="Calibri" w:eastAsia="Times New Roman" w:hAnsi="Calibri" w:cs="Calibri"/>
                  <w:lang w:eastAsia="en-GB"/>
                </w:rPr>
                <w:t>https://www.bodc.ac.uk/projects/data_management/european/provess/</w:t>
              </w:r>
            </w:hyperlink>
            <w:r w:rsidR="00DA6616">
              <w:rPr>
                <w:rFonts w:ascii="Calibri" w:eastAsia="Times New Roman" w:hAnsi="Calibri" w:cs="Calibri"/>
                <w:color w:val="0563C1"/>
                <w:u w:val="single"/>
                <w:lang w:eastAsia="en-GB"/>
              </w:rPr>
              <w:t xml:space="preserve"> </w:t>
            </w:r>
            <w:r w:rsidR="00DA6616">
              <w:rPr>
                <w:rFonts w:ascii="Calibri" w:eastAsia="Times New Roman" w:hAnsi="Calibri" w:cs="Calibri"/>
                <w:color w:val="000000"/>
                <w:lang w:eastAsia="en-GB"/>
              </w:rPr>
              <w:t>(accessed 4 September 2019)</w:t>
            </w:r>
          </w:p>
        </w:tc>
      </w:tr>
      <w:tr w:rsidR="008B4713" w:rsidRPr="007C3701" w14:paraId="205BF88C" w14:textId="77777777" w:rsidTr="00DA6616">
        <w:trPr>
          <w:trHeight w:val="300"/>
        </w:trPr>
        <w:tc>
          <w:tcPr>
            <w:tcW w:w="551" w:type="dxa"/>
            <w:tcBorders>
              <w:top w:val="nil"/>
              <w:left w:val="single" w:sz="4" w:space="0" w:color="auto"/>
              <w:bottom w:val="nil"/>
              <w:right w:val="nil"/>
            </w:tcBorders>
            <w:shd w:val="clear" w:color="auto" w:fill="auto"/>
            <w:noWrap/>
            <w:vAlign w:val="center"/>
            <w:hideMark/>
          </w:tcPr>
          <w:p w14:paraId="5E207CE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119</w:t>
            </w:r>
          </w:p>
        </w:tc>
        <w:tc>
          <w:tcPr>
            <w:tcW w:w="9225" w:type="dxa"/>
            <w:tcBorders>
              <w:top w:val="nil"/>
              <w:left w:val="single" w:sz="4" w:space="0" w:color="auto"/>
              <w:bottom w:val="nil"/>
              <w:right w:val="single" w:sz="4" w:space="0" w:color="auto"/>
            </w:tcBorders>
            <w:shd w:val="clear" w:color="auto" w:fill="auto"/>
            <w:vAlign w:val="center"/>
            <w:hideMark/>
          </w:tcPr>
          <w:p w14:paraId="1F65D2FD" w14:textId="4B12AE7C" w:rsidR="008B4713" w:rsidRPr="007C3701" w:rsidRDefault="008175E5" w:rsidP="004E0087">
            <w:pPr>
              <w:spacing w:after="0" w:line="240" w:lineRule="auto"/>
              <w:rPr>
                <w:rFonts w:ascii="Calibri" w:eastAsia="Times New Roman" w:hAnsi="Calibri" w:cs="Calibri"/>
                <w:color w:val="0563C1"/>
                <w:u w:val="single"/>
                <w:lang w:eastAsia="en-GB"/>
              </w:rPr>
            </w:pPr>
            <w:r>
              <w:rPr>
                <w:rFonts w:asciiTheme="minorHAnsi" w:hAnsiTheme="minorHAnsi" w:cstheme="minorHAnsi"/>
                <w:color w:val="111111"/>
                <w:shd w:val="clear" w:color="auto" w:fill="FFFFFF"/>
              </w:rPr>
              <w:t xml:space="preserve">European Commission </w:t>
            </w:r>
            <w:r w:rsidRPr="00677D44">
              <w:rPr>
                <w:rFonts w:asciiTheme="minorHAnsi" w:hAnsiTheme="minorHAnsi" w:cstheme="minorHAnsi"/>
                <w:color w:val="111111"/>
                <w:shd w:val="clear" w:color="auto" w:fill="FFFFFF"/>
              </w:rPr>
              <w:t>(OAERRE)</w:t>
            </w:r>
            <w:r>
              <w:rPr>
                <w:rFonts w:asciiTheme="minorHAnsi" w:hAnsiTheme="minorHAnsi" w:cstheme="minorHAnsi"/>
                <w:color w:val="111111"/>
                <w:shd w:val="clear" w:color="auto" w:fill="FFFFFF"/>
              </w:rPr>
              <w:t>.</w:t>
            </w:r>
            <w:r w:rsidRPr="00677D44">
              <w:rPr>
                <w:rFonts w:asciiTheme="minorHAnsi" w:hAnsiTheme="minorHAnsi" w:cstheme="minorHAnsi"/>
                <w:color w:val="111111"/>
                <w:shd w:val="clear" w:color="auto" w:fill="FFFFFF"/>
              </w:rPr>
              <w:t xml:space="preserve"> </w:t>
            </w:r>
            <w:hyperlink r:id="rId104" w:history="1">
              <w:r w:rsidR="00DA6616" w:rsidRPr="000562AF">
                <w:rPr>
                  <w:rStyle w:val="Hyperlink"/>
                  <w:rFonts w:ascii="Calibri" w:eastAsia="Times New Roman" w:hAnsi="Calibri" w:cs="Calibri"/>
                  <w:lang w:eastAsia="en-GB"/>
                </w:rPr>
                <w:t>http://cordis.europa.eu/project/rcn/52313</w:t>
              </w:r>
            </w:hyperlink>
            <w:r w:rsidR="00DA6616">
              <w:rPr>
                <w:rFonts w:ascii="Calibri" w:eastAsia="Times New Roman" w:hAnsi="Calibri" w:cs="Calibri"/>
                <w:color w:val="0563C1"/>
                <w:u w:val="single"/>
                <w:lang w:eastAsia="en-GB"/>
              </w:rPr>
              <w:t xml:space="preserve"> </w:t>
            </w:r>
            <w:r w:rsidR="00DA6616">
              <w:rPr>
                <w:rFonts w:ascii="Calibri" w:eastAsia="Times New Roman" w:hAnsi="Calibri" w:cs="Calibri"/>
                <w:color w:val="000000"/>
                <w:lang w:eastAsia="en-GB"/>
              </w:rPr>
              <w:t>(accessed 4 September 2019)</w:t>
            </w:r>
          </w:p>
        </w:tc>
      </w:tr>
      <w:tr w:rsidR="008B4713" w:rsidRPr="007C3701" w14:paraId="129AD6F8" w14:textId="77777777" w:rsidTr="00DA6616">
        <w:trPr>
          <w:trHeight w:val="447"/>
        </w:trPr>
        <w:tc>
          <w:tcPr>
            <w:tcW w:w="551" w:type="dxa"/>
            <w:tcBorders>
              <w:top w:val="nil"/>
              <w:left w:val="single" w:sz="4" w:space="0" w:color="auto"/>
              <w:bottom w:val="nil"/>
              <w:right w:val="nil"/>
            </w:tcBorders>
            <w:shd w:val="clear" w:color="auto" w:fill="auto"/>
            <w:noWrap/>
            <w:vAlign w:val="center"/>
            <w:hideMark/>
          </w:tcPr>
          <w:p w14:paraId="035AD50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120</w:t>
            </w:r>
          </w:p>
        </w:tc>
        <w:tc>
          <w:tcPr>
            <w:tcW w:w="9225" w:type="dxa"/>
            <w:tcBorders>
              <w:top w:val="nil"/>
              <w:left w:val="single" w:sz="4" w:space="0" w:color="auto"/>
              <w:bottom w:val="nil"/>
              <w:right w:val="single" w:sz="4" w:space="0" w:color="auto"/>
            </w:tcBorders>
            <w:shd w:val="clear" w:color="auto" w:fill="auto"/>
            <w:vAlign w:val="center"/>
            <w:hideMark/>
          </w:tcPr>
          <w:p w14:paraId="4EAB0991" w14:textId="26BCB107" w:rsidR="008B4713" w:rsidRPr="007C3701" w:rsidRDefault="00677D44" w:rsidP="004E0087">
            <w:pPr>
              <w:spacing w:after="0" w:line="240" w:lineRule="auto"/>
              <w:rPr>
                <w:rFonts w:ascii="Calibri" w:eastAsia="Times New Roman" w:hAnsi="Calibri" w:cs="Calibri"/>
                <w:color w:val="0563C1"/>
                <w:u w:val="single"/>
                <w:lang w:eastAsia="en-GB"/>
              </w:rPr>
            </w:pPr>
            <w:r w:rsidRPr="00677D44">
              <w:rPr>
                <w:rFonts w:asciiTheme="minorHAnsi" w:hAnsiTheme="minorHAnsi" w:cstheme="minorHAnsi"/>
                <w:color w:val="111111"/>
                <w:shd w:val="clear" w:color="auto" w:fill="FFFFFF"/>
              </w:rPr>
              <w:t xml:space="preserve">Oceanographic Applications to Eutrophication in Regions of Restricted Exchange (OAERRE) </w:t>
            </w:r>
            <w:r>
              <w:rPr>
                <w:rFonts w:asciiTheme="minorHAnsi" w:hAnsiTheme="minorHAnsi" w:cstheme="minorHAnsi"/>
                <w:color w:val="111111"/>
                <w:shd w:val="clear" w:color="auto" w:fill="FFFFFF"/>
              </w:rPr>
              <w:t xml:space="preserve">project </w:t>
            </w:r>
            <w:hyperlink r:id="rId105" w:history="1">
              <w:r w:rsidR="008175E5" w:rsidRPr="000562AF">
                <w:rPr>
                  <w:rStyle w:val="Hyperlink"/>
                  <w:rFonts w:ascii="Calibri" w:eastAsia="Times New Roman" w:hAnsi="Calibri" w:cs="Calibri"/>
                  <w:lang w:eastAsia="en-GB"/>
                </w:rPr>
                <w:t>http://www.npolar.no/en/projects/details?pid=851a0d2d-0f0f-5ab9-8675-4fe79340ab17</w:t>
              </w:r>
            </w:hyperlink>
            <w:r w:rsidR="00DA6616">
              <w:rPr>
                <w:rFonts w:ascii="Calibri" w:eastAsia="Times New Roman" w:hAnsi="Calibri" w:cs="Calibri"/>
                <w:color w:val="0563C1"/>
                <w:u w:val="single"/>
                <w:lang w:eastAsia="en-GB"/>
              </w:rPr>
              <w:t xml:space="preserve"> </w:t>
            </w:r>
            <w:r w:rsidR="00DA6616">
              <w:rPr>
                <w:rFonts w:ascii="Calibri" w:eastAsia="Times New Roman" w:hAnsi="Calibri" w:cs="Calibri"/>
                <w:color w:val="000000"/>
                <w:lang w:eastAsia="en-GB"/>
              </w:rPr>
              <w:t>(accessed 4 September 2019)</w:t>
            </w:r>
          </w:p>
        </w:tc>
      </w:tr>
      <w:tr w:rsidR="008B4713" w:rsidRPr="007C3701" w14:paraId="34CBF449"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5935B30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121</w:t>
            </w:r>
          </w:p>
        </w:tc>
        <w:tc>
          <w:tcPr>
            <w:tcW w:w="9225" w:type="dxa"/>
            <w:tcBorders>
              <w:top w:val="nil"/>
              <w:left w:val="single" w:sz="4" w:space="0" w:color="auto"/>
              <w:bottom w:val="nil"/>
              <w:right w:val="single" w:sz="4" w:space="0" w:color="auto"/>
            </w:tcBorders>
            <w:shd w:val="clear" w:color="auto" w:fill="auto"/>
            <w:vAlign w:val="center"/>
            <w:hideMark/>
          </w:tcPr>
          <w:p w14:paraId="7C21B93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Tett, P., R. Gowen, D. Mills, T. Fernandes, L. Gilpin, M. Huxham, K. Kennington, P. Read, M. Service, M. Wilkinson and S. Malcolm (2007) Defining and detecting Undesirable Disturbance in the context of Eutrophication. Marine Pollution Bulletin 55, 282-297.</w:t>
            </w:r>
          </w:p>
        </w:tc>
      </w:tr>
      <w:tr w:rsidR="008B4713" w:rsidRPr="007C3701" w14:paraId="030CD4AC" w14:textId="77777777" w:rsidTr="0018729E">
        <w:trPr>
          <w:trHeight w:val="600"/>
        </w:trPr>
        <w:tc>
          <w:tcPr>
            <w:tcW w:w="551" w:type="dxa"/>
            <w:tcBorders>
              <w:top w:val="nil"/>
              <w:left w:val="single" w:sz="4" w:space="0" w:color="auto"/>
              <w:bottom w:val="nil"/>
              <w:right w:val="nil"/>
            </w:tcBorders>
            <w:shd w:val="clear" w:color="auto" w:fill="auto"/>
            <w:noWrap/>
            <w:vAlign w:val="center"/>
            <w:hideMark/>
          </w:tcPr>
          <w:p w14:paraId="0F67651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122</w:t>
            </w:r>
          </w:p>
        </w:tc>
        <w:tc>
          <w:tcPr>
            <w:tcW w:w="9225" w:type="dxa"/>
            <w:tcBorders>
              <w:top w:val="nil"/>
              <w:left w:val="single" w:sz="4" w:space="0" w:color="auto"/>
              <w:bottom w:val="nil"/>
              <w:right w:val="single" w:sz="4" w:space="0" w:color="auto"/>
            </w:tcBorders>
            <w:shd w:val="clear" w:color="auto" w:fill="auto"/>
            <w:vAlign w:val="center"/>
            <w:hideMark/>
          </w:tcPr>
          <w:p w14:paraId="0C9D2122"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Laurent, C., P. Tett, T. Fernandes, L. Gilpin and K. J. Jones (2006) A dynamic CSTT model for the effects of added nutrients in Loch Creran, a shallow fjord. Journal of Marine Systems 61, 149-164.</w:t>
            </w:r>
          </w:p>
        </w:tc>
      </w:tr>
      <w:tr w:rsidR="008B4713" w:rsidRPr="007C3701" w14:paraId="62285EC7"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1E476A4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123</w:t>
            </w:r>
          </w:p>
        </w:tc>
        <w:tc>
          <w:tcPr>
            <w:tcW w:w="9225" w:type="dxa"/>
            <w:tcBorders>
              <w:top w:val="nil"/>
              <w:left w:val="single" w:sz="4" w:space="0" w:color="auto"/>
              <w:bottom w:val="nil"/>
              <w:right w:val="single" w:sz="4" w:space="0" w:color="auto"/>
            </w:tcBorders>
            <w:shd w:val="clear" w:color="auto" w:fill="auto"/>
            <w:vAlign w:val="center"/>
            <w:hideMark/>
          </w:tcPr>
          <w:p w14:paraId="34C41A0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Tett, P., L. Gilpin, H. Svendsen, C. P. Erlandsson, U. Larsson, S. Kratzer, E. Fouilland, C. Janzen, J.-Y. Lee, C. Grenz, A. Newton, J. G. Ferreira, T. Fernandes and S. Scory (2003) Eutrophication and some European waters of restricted exchange. Continental Shelf Research 23, 1635-1671.</w:t>
            </w:r>
          </w:p>
        </w:tc>
      </w:tr>
      <w:tr w:rsidR="008B4713" w:rsidRPr="007C3701" w14:paraId="0CB5AB9B" w14:textId="77777777" w:rsidTr="0018729E">
        <w:trPr>
          <w:trHeight w:val="600"/>
        </w:trPr>
        <w:tc>
          <w:tcPr>
            <w:tcW w:w="551" w:type="dxa"/>
            <w:tcBorders>
              <w:top w:val="nil"/>
              <w:left w:val="single" w:sz="4" w:space="0" w:color="auto"/>
              <w:bottom w:val="nil"/>
              <w:right w:val="nil"/>
            </w:tcBorders>
            <w:shd w:val="clear" w:color="auto" w:fill="auto"/>
            <w:noWrap/>
            <w:vAlign w:val="center"/>
            <w:hideMark/>
          </w:tcPr>
          <w:p w14:paraId="41C8F46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124</w:t>
            </w:r>
          </w:p>
        </w:tc>
        <w:tc>
          <w:tcPr>
            <w:tcW w:w="9225" w:type="dxa"/>
            <w:tcBorders>
              <w:top w:val="nil"/>
              <w:left w:val="single" w:sz="4" w:space="0" w:color="auto"/>
              <w:bottom w:val="nil"/>
              <w:right w:val="single" w:sz="4" w:space="0" w:color="auto"/>
            </w:tcBorders>
            <w:shd w:val="clear" w:color="auto" w:fill="auto"/>
            <w:vAlign w:val="center"/>
            <w:hideMark/>
          </w:tcPr>
          <w:p w14:paraId="5553D8E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Lee, J.-Y., P. Tett and K.-R. Kim (2003) Parameterising a Microplankton Model. Journal of the Korean Society of Oceanography 38, 185-210.</w:t>
            </w:r>
          </w:p>
        </w:tc>
      </w:tr>
      <w:tr w:rsidR="008B4713" w:rsidRPr="007C3701" w14:paraId="7240E6B9"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08512E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125</w:t>
            </w:r>
          </w:p>
        </w:tc>
        <w:tc>
          <w:tcPr>
            <w:tcW w:w="9225" w:type="dxa"/>
            <w:tcBorders>
              <w:top w:val="nil"/>
              <w:left w:val="single" w:sz="4" w:space="0" w:color="auto"/>
              <w:bottom w:val="nil"/>
              <w:right w:val="single" w:sz="4" w:space="0" w:color="auto"/>
            </w:tcBorders>
            <w:shd w:val="clear" w:color="auto" w:fill="auto"/>
            <w:vAlign w:val="center"/>
            <w:hideMark/>
          </w:tcPr>
          <w:p w14:paraId="7C340215"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Edwards, V. R., P. Tett and K. J. Jones (2003) Changes in the yield of chlorophyll a from dissolved available inorganic nitrogen after an enrichment event - applications for predicting eutrophication in coastal waters. Continental Shelf Research 23, 1771-1785.</w:t>
            </w:r>
          </w:p>
        </w:tc>
      </w:tr>
      <w:tr w:rsidR="008B4713" w:rsidRPr="007C3701" w14:paraId="56951F2D" w14:textId="77777777" w:rsidTr="0018729E">
        <w:trPr>
          <w:trHeight w:val="900"/>
        </w:trPr>
        <w:tc>
          <w:tcPr>
            <w:tcW w:w="551" w:type="dxa"/>
            <w:tcBorders>
              <w:top w:val="nil"/>
              <w:left w:val="single" w:sz="4" w:space="0" w:color="auto"/>
              <w:bottom w:val="nil"/>
              <w:right w:val="nil"/>
            </w:tcBorders>
            <w:shd w:val="clear" w:color="auto" w:fill="auto"/>
            <w:noWrap/>
            <w:vAlign w:val="center"/>
            <w:hideMark/>
          </w:tcPr>
          <w:p w14:paraId="3EE0343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126</w:t>
            </w:r>
          </w:p>
        </w:tc>
        <w:tc>
          <w:tcPr>
            <w:tcW w:w="9225" w:type="dxa"/>
            <w:tcBorders>
              <w:top w:val="nil"/>
              <w:left w:val="single" w:sz="4" w:space="0" w:color="auto"/>
              <w:bottom w:val="nil"/>
              <w:right w:val="single" w:sz="4" w:space="0" w:color="auto"/>
            </w:tcBorders>
            <w:shd w:val="clear" w:color="auto" w:fill="auto"/>
            <w:vAlign w:val="center"/>
            <w:hideMark/>
          </w:tcPr>
          <w:p w14:paraId="3A407A00"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Gowen, R.J., P. Tett, K. Kennington, D.K. Mills, T.M. Shammon, B.M. Stewart, N. Greenwood, C. Flanagan, M. Devlin and A. Wither (2008) The Irish Sea: is it eutrophic? Estuarine, Coastal and Shelf Science 76, 239-254.</w:t>
            </w:r>
          </w:p>
        </w:tc>
      </w:tr>
      <w:tr w:rsidR="008B4713" w:rsidRPr="007C3701" w14:paraId="1A2B1C89" w14:textId="77777777" w:rsidTr="00EB0408">
        <w:trPr>
          <w:trHeight w:val="300"/>
        </w:trPr>
        <w:tc>
          <w:tcPr>
            <w:tcW w:w="551" w:type="dxa"/>
            <w:tcBorders>
              <w:top w:val="nil"/>
              <w:left w:val="single" w:sz="4" w:space="0" w:color="auto"/>
              <w:bottom w:val="nil"/>
              <w:right w:val="nil"/>
            </w:tcBorders>
            <w:shd w:val="clear" w:color="auto" w:fill="auto"/>
            <w:noWrap/>
            <w:vAlign w:val="center"/>
            <w:hideMark/>
          </w:tcPr>
          <w:p w14:paraId="31D9DEA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127</w:t>
            </w:r>
          </w:p>
        </w:tc>
        <w:tc>
          <w:tcPr>
            <w:tcW w:w="9225" w:type="dxa"/>
            <w:tcBorders>
              <w:top w:val="nil"/>
              <w:left w:val="single" w:sz="4" w:space="0" w:color="auto"/>
              <w:bottom w:val="nil"/>
              <w:right w:val="single" w:sz="4" w:space="0" w:color="auto"/>
            </w:tcBorders>
            <w:shd w:val="clear" w:color="auto" w:fill="auto"/>
            <w:vAlign w:val="center"/>
            <w:hideMark/>
          </w:tcPr>
          <w:p w14:paraId="0E3ECC2A" w14:textId="2FE01530" w:rsidR="008B4713" w:rsidRPr="007C3701" w:rsidRDefault="00A56355" w:rsidP="004E0087">
            <w:pPr>
              <w:spacing w:after="0" w:line="240" w:lineRule="auto"/>
              <w:rPr>
                <w:rFonts w:ascii="Calibri" w:eastAsia="Times New Roman" w:hAnsi="Calibri" w:cs="Calibri"/>
                <w:color w:val="000000"/>
                <w:lang w:eastAsia="en-GB"/>
              </w:rPr>
            </w:pPr>
            <w:hyperlink r:id="rId106" w:history="1">
              <w:r w:rsidR="009533C3" w:rsidRPr="000562AF">
                <w:rPr>
                  <w:rStyle w:val="Hyperlink"/>
                  <w:rFonts w:ascii="Calibri" w:eastAsia="Times New Roman" w:hAnsi="Calibri" w:cs="Calibri"/>
                  <w:lang w:eastAsia="en-GB"/>
                </w:rPr>
                <w:t>https://www.sams.ac.uk/people/researchers/tett-professor-paul/</w:t>
              </w:r>
            </w:hyperlink>
            <w:r w:rsidR="009533C3">
              <w:rPr>
                <w:rFonts w:ascii="Calibri" w:eastAsia="Times New Roman" w:hAnsi="Calibri" w:cs="Calibri"/>
                <w:color w:val="000000"/>
                <w:lang w:eastAsia="en-GB"/>
              </w:rPr>
              <w:t xml:space="preserve"> (accessed 4 September 2019)</w:t>
            </w:r>
          </w:p>
        </w:tc>
      </w:tr>
      <w:tr w:rsidR="008B4713" w:rsidRPr="007C3701" w14:paraId="294743DC"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26CDE"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7.2</w:t>
            </w:r>
          </w:p>
        </w:tc>
      </w:tr>
      <w:tr w:rsidR="008B4713" w:rsidRPr="007C3701" w14:paraId="73B6831A"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2E03262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128</w:t>
            </w:r>
          </w:p>
        </w:tc>
        <w:tc>
          <w:tcPr>
            <w:tcW w:w="9225" w:type="dxa"/>
            <w:tcBorders>
              <w:top w:val="nil"/>
              <w:left w:val="single" w:sz="4" w:space="0" w:color="auto"/>
              <w:bottom w:val="nil"/>
              <w:right w:val="single" w:sz="4" w:space="0" w:color="auto"/>
            </w:tcBorders>
            <w:shd w:val="clear" w:color="auto" w:fill="auto"/>
            <w:vAlign w:val="center"/>
            <w:hideMark/>
          </w:tcPr>
          <w:p w14:paraId="49DB0E0A" w14:textId="42999C64" w:rsidR="008B4713" w:rsidRPr="007C3701" w:rsidRDefault="00B97B0E"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Edinburgh Napier University (2014). </w:t>
            </w:r>
            <w:r w:rsidR="008B4713" w:rsidRPr="007C3701">
              <w:rPr>
                <w:rFonts w:ascii="Calibri" w:eastAsia="Times New Roman" w:hAnsi="Calibri" w:cs="Calibri"/>
                <w:color w:val="000000"/>
                <w:lang w:eastAsia="en-GB"/>
              </w:rPr>
              <w:t>REF Impact Case Study no. 43930</w:t>
            </w:r>
            <w:r w:rsidR="001C511A">
              <w:rPr>
                <w:rFonts w:ascii="Calibri" w:eastAsia="Times New Roman" w:hAnsi="Calibri" w:cs="Calibri"/>
                <w:color w:val="000000"/>
                <w:lang w:eastAsia="en-GB"/>
              </w:rPr>
              <w:t xml:space="preserve">. </w:t>
            </w:r>
            <w:hyperlink r:id="rId107" w:history="1">
              <w:r w:rsidR="001C511A">
                <w:rPr>
                  <w:rStyle w:val="Hyperlink"/>
                </w:rPr>
                <w:t>https://results.ref.ac.uk/(S(5mhsdcrlek45dkop3v4uw5gx))/Submissions/Impact/451</w:t>
              </w:r>
            </w:hyperlink>
          </w:p>
        </w:tc>
      </w:tr>
      <w:tr w:rsidR="008B4713" w:rsidRPr="007C3701" w14:paraId="0CA90617"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BD064B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129</w:t>
            </w:r>
          </w:p>
        </w:tc>
        <w:tc>
          <w:tcPr>
            <w:tcW w:w="9225" w:type="dxa"/>
            <w:tcBorders>
              <w:top w:val="nil"/>
              <w:left w:val="single" w:sz="4" w:space="0" w:color="auto"/>
              <w:bottom w:val="nil"/>
              <w:right w:val="single" w:sz="4" w:space="0" w:color="auto"/>
            </w:tcBorders>
            <w:shd w:val="clear" w:color="auto" w:fill="auto"/>
            <w:vAlign w:val="center"/>
            <w:hideMark/>
          </w:tcPr>
          <w:p w14:paraId="44B5C73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Huxham, M., Kumara, M.P., Jayatissa, L.P., Krauss, K.W., Kairo, J., Langat, J., Mencuccini, M., Skov M.W. and Kirui B. (2010) Intra and inter-specific facilitation in mangroves may increase resilience to climate change threats. Philosophical Transactions of the Royal Society 365, 2127-2135. DOI: 10.1098/rstb.2010.0094.</w:t>
            </w:r>
          </w:p>
        </w:tc>
      </w:tr>
      <w:tr w:rsidR="008B4713" w:rsidRPr="007C3701" w14:paraId="004FE389"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4B5B6A2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130</w:t>
            </w:r>
          </w:p>
        </w:tc>
        <w:tc>
          <w:tcPr>
            <w:tcW w:w="9225" w:type="dxa"/>
            <w:tcBorders>
              <w:top w:val="nil"/>
              <w:left w:val="single" w:sz="4" w:space="0" w:color="auto"/>
              <w:bottom w:val="nil"/>
              <w:right w:val="single" w:sz="4" w:space="0" w:color="auto"/>
            </w:tcBorders>
            <w:shd w:val="clear" w:color="auto" w:fill="auto"/>
            <w:vAlign w:val="center"/>
            <w:hideMark/>
          </w:tcPr>
          <w:p w14:paraId="0D047D8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Kirui, K.B., Kairo, J.G., Bosire, J., Viergever, K., Rudra, S., Huxham, M. and Briers, R.A. (2012) Mapping of mangrove forest land cover change along the Kenya coastline using Landsat imagery. Ocean and Coastal Management, DOI:10.1016/j.ocecoaman.2011.12.004.</w:t>
            </w:r>
          </w:p>
        </w:tc>
      </w:tr>
      <w:tr w:rsidR="008B4713" w:rsidRPr="007C3701" w14:paraId="0948EDB0"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13D8A33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131</w:t>
            </w:r>
          </w:p>
        </w:tc>
        <w:tc>
          <w:tcPr>
            <w:tcW w:w="9225" w:type="dxa"/>
            <w:tcBorders>
              <w:top w:val="nil"/>
              <w:left w:val="single" w:sz="4" w:space="0" w:color="auto"/>
              <w:bottom w:val="nil"/>
              <w:right w:val="single" w:sz="4" w:space="0" w:color="auto"/>
            </w:tcBorders>
            <w:shd w:val="clear" w:color="auto" w:fill="auto"/>
            <w:vAlign w:val="center"/>
            <w:hideMark/>
          </w:tcPr>
          <w:p w14:paraId="78F9268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Kirui B., Skov M.W., Kairo, J., Mencuccini, M. and Huxham, M. (2012) Effects of species richness, identity and environmental variables on growth in planted mangroves. Marine Ecology Progress Series 465, 1-10. DOI: 10.3354/meps09999. </w:t>
            </w:r>
          </w:p>
        </w:tc>
      </w:tr>
      <w:tr w:rsidR="008B4713" w:rsidRPr="007C3701" w14:paraId="0FA7CC62"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4DD3255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132</w:t>
            </w:r>
          </w:p>
        </w:tc>
        <w:tc>
          <w:tcPr>
            <w:tcW w:w="9225" w:type="dxa"/>
            <w:tcBorders>
              <w:top w:val="nil"/>
              <w:left w:val="single" w:sz="4" w:space="0" w:color="auto"/>
              <w:bottom w:val="nil"/>
              <w:right w:val="single" w:sz="4" w:space="0" w:color="auto"/>
            </w:tcBorders>
            <w:shd w:val="clear" w:color="auto" w:fill="auto"/>
            <w:vAlign w:val="center"/>
            <w:hideMark/>
          </w:tcPr>
          <w:p w14:paraId="384D7C56"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Rideout, A., Joshi, N., Viergever, K., Huxham, M. and Briers, R.A. (2013) Making predictions of mangrove deforestation: a comparison of two methods in Kenya. Global Change Biology. DOI: 10.1111/gcb.12176.</w:t>
            </w:r>
          </w:p>
        </w:tc>
      </w:tr>
      <w:tr w:rsidR="008B4713" w:rsidRPr="007C3701" w14:paraId="02F959F0"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358769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133</w:t>
            </w:r>
          </w:p>
        </w:tc>
        <w:tc>
          <w:tcPr>
            <w:tcW w:w="9225" w:type="dxa"/>
            <w:tcBorders>
              <w:top w:val="nil"/>
              <w:left w:val="single" w:sz="4" w:space="0" w:color="auto"/>
              <w:bottom w:val="nil"/>
              <w:right w:val="single" w:sz="4" w:space="0" w:color="auto"/>
            </w:tcBorders>
            <w:shd w:val="clear" w:color="auto" w:fill="auto"/>
            <w:vAlign w:val="center"/>
            <w:hideMark/>
          </w:tcPr>
          <w:p w14:paraId="63CB228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Kumara, M.P., Jayatissa, L.P., Krauss, K.W., Phillips, D.H. and Huxham, M. (2010) High mangrove density enhances surface accretion, surface elevation change, and tree survival in coastal areas susceptible to sea-level rise. Oecologia 164:545-553. DOI: 10.1007/s00442-010-1705-2. .</w:t>
            </w:r>
          </w:p>
        </w:tc>
      </w:tr>
      <w:tr w:rsidR="008B4713" w:rsidRPr="007C3701" w14:paraId="6210D918"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2FBF01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134</w:t>
            </w:r>
          </w:p>
        </w:tc>
        <w:tc>
          <w:tcPr>
            <w:tcW w:w="9225" w:type="dxa"/>
            <w:tcBorders>
              <w:top w:val="nil"/>
              <w:left w:val="single" w:sz="4" w:space="0" w:color="auto"/>
              <w:bottom w:val="nil"/>
              <w:right w:val="single" w:sz="4" w:space="0" w:color="auto"/>
            </w:tcBorders>
            <w:shd w:val="clear" w:color="auto" w:fill="auto"/>
            <w:vAlign w:val="center"/>
            <w:hideMark/>
          </w:tcPr>
          <w:p w14:paraId="06360956"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Huxham, M., Kimani, E., Newton, J. and Augley, J. (2007) Stable isotope records from otoliths as tracers of fish migration in a mangrove system. Journal of Fish Biology 70, 1554-1567. DOI: 10.1111/j.1095-8649.2007.01443.x.</w:t>
            </w:r>
          </w:p>
        </w:tc>
      </w:tr>
      <w:tr w:rsidR="008B4713" w:rsidRPr="007C3701" w14:paraId="31624F19" w14:textId="77777777" w:rsidTr="007F25EF">
        <w:trPr>
          <w:trHeight w:val="600"/>
        </w:trPr>
        <w:tc>
          <w:tcPr>
            <w:tcW w:w="551" w:type="dxa"/>
            <w:tcBorders>
              <w:top w:val="nil"/>
              <w:left w:val="single" w:sz="4" w:space="0" w:color="auto"/>
              <w:bottom w:val="nil"/>
              <w:right w:val="nil"/>
            </w:tcBorders>
            <w:shd w:val="clear" w:color="auto" w:fill="auto"/>
            <w:noWrap/>
            <w:vAlign w:val="center"/>
            <w:hideMark/>
          </w:tcPr>
          <w:p w14:paraId="3B65580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135</w:t>
            </w:r>
          </w:p>
        </w:tc>
        <w:tc>
          <w:tcPr>
            <w:tcW w:w="9225" w:type="dxa"/>
            <w:tcBorders>
              <w:top w:val="nil"/>
              <w:left w:val="single" w:sz="4" w:space="0" w:color="auto"/>
              <w:bottom w:val="nil"/>
              <w:right w:val="single" w:sz="4" w:space="0" w:color="auto"/>
            </w:tcBorders>
            <w:shd w:val="clear" w:color="auto" w:fill="auto"/>
            <w:vAlign w:val="center"/>
            <w:hideMark/>
          </w:tcPr>
          <w:p w14:paraId="39EF6E2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Huxham, M., Kimani, E. and Augley, J. (2004) Mangrove fish: a comparison of community structure between forested and cleared habitats. Estuarine Coastal and Shelf Science. 60 (2004) 637-647</w:t>
            </w:r>
          </w:p>
        </w:tc>
      </w:tr>
      <w:tr w:rsidR="008B4713" w:rsidRPr="007C3701" w14:paraId="64BFB7CE"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2381460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136</w:t>
            </w:r>
          </w:p>
        </w:tc>
        <w:tc>
          <w:tcPr>
            <w:tcW w:w="9225" w:type="dxa"/>
            <w:tcBorders>
              <w:top w:val="nil"/>
              <w:left w:val="single" w:sz="4" w:space="0" w:color="auto"/>
              <w:bottom w:val="nil"/>
              <w:right w:val="single" w:sz="4" w:space="0" w:color="auto"/>
            </w:tcBorders>
            <w:shd w:val="clear" w:color="auto" w:fill="auto"/>
            <w:vAlign w:val="center"/>
            <w:hideMark/>
          </w:tcPr>
          <w:p w14:paraId="316758A0" w14:textId="1A118CE2" w:rsidR="008B4713" w:rsidRPr="007C3701" w:rsidRDefault="00A56355" w:rsidP="004E0087">
            <w:pPr>
              <w:spacing w:after="0" w:line="240" w:lineRule="auto"/>
              <w:rPr>
                <w:rFonts w:ascii="Calibri" w:eastAsia="Times New Roman" w:hAnsi="Calibri" w:cs="Calibri"/>
                <w:color w:val="0563C1"/>
                <w:u w:val="single"/>
                <w:lang w:eastAsia="en-GB"/>
              </w:rPr>
            </w:pPr>
            <w:hyperlink r:id="rId108" w:history="1">
              <w:r w:rsidR="008B4713" w:rsidRPr="007C3701">
                <w:rPr>
                  <w:rFonts w:ascii="Calibri" w:eastAsia="Times New Roman" w:hAnsi="Calibri" w:cs="Calibri"/>
                  <w:color w:val="0563C1"/>
                  <w:u w:val="single"/>
                  <w:lang w:eastAsia="en-GB"/>
                </w:rPr>
                <w:t>http://staff.napier.ac.uk/services/dlte/meettheteam/Pages/MarkHuxham.aspx</w:t>
              </w:r>
            </w:hyperlink>
          </w:p>
        </w:tc>
      </w:tr>
      <w:tr w:rsidR="008B4713" w:rsidRPr="007C3701" w14:paraId="5EA9E8E1" w14:textId="77777777" w:rsidTr="001659F5">
        <w:trPr>
          <w:trHeight w:val="300"/>
        </w:trPr>
        <w:tc>
          <w:tcPr>
            <w:tcW w:w="551" w:type="dxa"/>
            <w:tcBorders>
              <w:top w:val="nil"/>
              <w:left w:val="single" w:sz="4" w:space="0" w:color="auto"/>
              <w:bottom w:val="nil"/>
              <w:right w:val="nil"/>
            </w:tcBorders>
            <w:shd w:val="clear" w:color="auto" w:fill="auto"/>
            <w:noWrap/>
            <w:vAlign w:val="center"/>
            <w:hideMark/>
          </w:tcPr>
          <w:p w14:paraId="29FB573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137</w:t>
            </w:r>
          </w:p>
        </w:tc>
        <w:tc>
          <w:tcPr>
            <w:tcW w:w="9225" w:type="dxa"/>
            <w:tcBorders>
              <w:top w:val="nil"/>
              <w:left w:val="single" w:sz="4" w:space="0" w:color="auto"/>
              <w:bottom w:val="nil"/>
              <w:right w:val="single" w:sz="4" w:space="0" w:color="auto"/>
            </w:tcBorders>
            <w:shd w:val="clear" w:color="auto" w:fill="auto"/>
            <w:vAlign w:val="center"/>
            <w:hideMark/>
          </w:tcPr>
          <w:p w14:paraId="2A4CC838" w14:textId="2E568ACD" w:rsidR="008B4713" w:rsidRPr="007C3701" w:rsidRDefault="001659F5" w:rsidP="004E0087">
            <w:pPr>
              <w:spacing w:after="0" w:line="240" w:lineRule="auto"/>
              <w:rPr>
                <w:rFonts w:ascii="Calibri" w:eastAsia="Times New Roman" w:hAnsi="Calibri" w:cs="Calibri"/>
                <w:color w:val="0563C1"/>
                <w:u w:val="single"/>
                <w:lang w:eastAsia="en-GB"/>
              </w:rPr>
            </w:pPr>
            <w:r>
              <w:t xml:space="preserve">NERC Research Grants </w:t>
            </w:r>
            <w:hyperlink r:id="rId109" w:history="1">
              <w:r w:rsidRPr="000562AF">
                <w:rPr>
                  <w:rStyle w:val="Hyperlink"/>
                  <w:rFonts w:ascii="Calibri" w:eastAsia="Times New Roman" w:hAnsi="Calibri" w:cs="Calibri"/>
                  <w:lang w:eastAsia="en-GB"/>
                </w:rPr>
                <w:t>http://gotw.nerc.ac.uk/list_med_pi.asp?sb=sd&amp;AZ.x=9&amp;AZ.y=6&amp;AZ=Ascending+%28A-Z%29&amp;pi=-245</w:t>
              </w:r>
            </w:hyperlink>
          </w:p>
        </w:tc>
      </w:tr>
      <w:tr w:rsidR="008B4713" w:rsidRPr="007C3701" w14:paraId="4ECBB9D1"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3757E61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138</w:t>
            </w:r>
          </w:p>
        </w:tc>
        <w:tc>
          <w:tcPr>
            <w:tcW w:w="9225" w:type="dxa"/>
            <w:tcBorders>
              <w:top w:val="nil"/>
              <w:left w:val="single" w:sz="4" w:space="0" w:color="auto"/>
              <w:bottom w:val="nil"/>
              <w:right w:val="single" w:sz="4" w:space="0" w:color="auto"/>
            </w:tcBorders>
            <w:shd w:val="clear" w:color="auto" w:fill="auto"/>
            <w:vAlign w:val="center"/>
            <w:hideMark/>
          </w:tcPr>
          <w:p w14:paraId="4222DED7" w14:textId="4917A600" w:rsidR="008B4713" w:rsidRPr="007C3701" w:rsidRDefault="001659F5" w:rsidP="004E0087">
            <w:pPr>
              <w:spacing w:after="0" w:line="240" w:lineRule="auto"/>
              <w:rPr>
                <w:rFonts w:ascii="Calibri" w:eastAsia="Times New Roman" w:hAnsi="Calibri" w:cs="Calibri"/>
                <w:color w:val="0563C1"/>
                <w:u w:val="single"/>
                <w:lang w:eastAsia="en-GB"/>
              </w:rPr>
            </w:pPr>
            <w:r>
              <w:t xml:space="preserve">Mikoko Pamoja project. </w:t>
            </w:r>
            <w:hyperlink r:id="rId110" w:history="1">
              <w:r w:rsidRPr="000562AF">
                <w:rPr>
                  <w:rStyle w:val="Hyperlink"/>
                  <w:rFonts w:ascii="Calibri" w:eastAsia="Times New Roman" w:hAnsi="Calibri" w:cs="Calibri"/>
                  <w:lang w:eastAsia="en-GB"/>
                </w:rPr>
                <w:t>http://www.planvivo.org/project-network/mikoko-pamoja-kenya/</w:t>
              </w:r>
            </w:hyperlink>
            <w:r w:rsidR="00863718">
              <w:rPr>
                <w:rFonts w:ascii="Calibri" w:eastAsia="Times New Roman" w:hAnsi="Calibri" w:cs="Calibri"/>
                <w:color w:val="0563C1"/>
                <w:u w:val="single"/>
                <w:lang w:eastAsia="en-GB"/>
              </w:rPr>
              <w:t xml:space="preserve"> </w:t>
            </w:r>
            <w:r w:rsidR="00863718">
              <w:rPr>
                <w:rFonts w:ascii="Calibri" w:eastAsia="Times New Roman" w:hAnsi="Calibri" w:cs="Calibri"/>
                <w:color w:val="000000"/>
                <w:lang w:eastAsia="en-GB"/>
              </w:rPr>
              <w:t>(accessed 4 September 2019)</w:t>
            </w:r>
          </w:p>
        </w:tc>
      </w:tr>
      <w:tr w:rsidR="008B4713" w:rsidRPr="007C3701" w14:paraId="4EC6B88C"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78A46D5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139</w:t>
            </w:r>
          </w:p>
        </w:tc>
        <w:tc>
          <w:tcPr>
            <w:tcW w:w="9225" w:type="dxa"/>
            <w:tcBorders>
              <w:top w:val="nil"/>
              <w:left w:val="single" w:sz="4" w:space="0" w:color="auto"/>
              <w:bottom w:val="nil"/>
              <w:right w:val="single" w:sz="4" w:space="0" w:color="auto"/>
            </w:tcBorders>
            <w:shd w:val="clear" w:color="auto" w:fill="auto"/>
            <w:vAlign w:val="center"/>
            <w:hideMark/>
          </w:tcPr>
          <w:p w14:paraId="5703FB26" w14:textId="2B482B70" w:rsidR="008B4713" w:rsidRPr="007C3701" w:rsidRDefault="00A56355" w:rsidP="004E0087">
            <w:pPr>
              <w:spacing w:after="0" w:line="240" w:lineRule="auto"/>
              <w:rPr>
                <w:rFonts w:ascii="Calibri" w:eastAsia="Times New Roman" w:hAnsi="Calibri" w:cs="Calibri"/>
                <w:color w:val="0563C1"/>
                <w:u w:val="single"/>
                <w:lang w:eastAsia="en-GB"/>
              </w:rPr>
            </w:pPr>
            <w:hyperlink r:id="rId111" w:history="1">
              <w:r w:rsidR="008B4713" w:rsidRPr="007C3701">
                <w:rPr>
                  <w:rFonts w:ascii="Calibri" w:eastAsia="Times New Roman" w:hAnsi="Calibri" w:cs="Calibri"/>
                  <w:color w:val="0563C1"/>
                  <w:u w:val="single"/>
                  <w:lang w:eastAsia="en-GB"/>
                </w:rPr>
                <w:t>https://www.researchgate.net/profile/Mp_Kumara</w:t>
              </w:r>
            </w:hyperlink>
            <w:r w:rsidR="00863718">
              <w:rPr>
                <w:rFonts w:ascii="Calibri" w:eastAsia="Times New Roman" w:hAnsi="Calibri" w:cs="Calibri"/>
                <w:color w:val="0563C1"/>
                <w:u w:val="single"/>
                <w:lang w:eastAsia="en-GB"/>
              </w:rPr>
              <w:t xml:space="preserve"> </w:t>
            </w:r>
            <w:r w:rsidR="00863718">
              <w:rPr>
                <w:rFonts w:ascii="Calibri" w:eastAsia="Times New Roman" w:hAnsi="Calibri" w:cs="Calibri"/>
                <w:color w:val="000000"/>
                <w:lang w:eastAsia="en-GB"/>
              </w:rPr>
              <w:t>(accessed 4 September 2019)</w:t>
            </w:r>
          </w:p>
        </w:tc>
      </w:tr>
      <w:tr w:rsidR="008B4713" w:rsidRPr="007C3701" w14:paraId="57860325"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38A2A13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140</w:t>
            </w:r>
          </w:p>
        </w:tc>
        <w:tc>
          <w:tcPr>
            <w:tcW w:w="9225" w:type="dxa"/>
            <w:tcBorders>
              <w:top w:val="nil"/>
              <w:left w:val="single" w:sz="4" w:space="0" w:color="auto"/>
              <w:bottom w:val="nil"/>
              <w:right w:val="single" w:sz="4" w:space="0" w:color="auto"/>
            </w:tcBorders>
            <w:shd w:val="clear" w:color="auto" w:fill="auto"/>
            <w:vAlign w:val="center"/>
            <w:hideMark/>
          </w:tcPr>
          <w:p w14:paraId="5210547C" w14:textId="0AB72E93" w:rsidR="008B4713" w:rsidRPr="007C3701" w:rsidRDefault="00A56355" w:rsidP="004E0087">
            <w:pPr>
              <w:spacing w:after="0" w:line="240" w:lineRule="auto"/>
              <w:rPr>
                <w:rFonts w:ascii="Calibri" w:eastAsia="Times New Roman" w:hAnsi="Calibri" w:cs="Calibri"/>
                <w:color w:val="0563C1"/>
                <w:u w:val="single"/>
                <w:lang w:eastAsia="en-GB"/>
              </w:rPr>
            </w:pPr>
            <w:hyperlink r:id="rId112" w:history="1">
              <w:r w:rsidR="008B4713" w:rsidRPr="007C3701">
                <w:rPr>
                  <w:rFonts w:ascii="Calibri" w:eastAsia="Times New Roman" w:hAnsi="Calibri" w:cs="Calibri"/>
                  <w:color w:val="0563C1"/>
                  <w:u w:val="single"/>
                  <w:lang w:eastAsia="en-GB"/>
                </w:rPr>
                <w:t>http://mppkumara.blogspot.co.uk/</w:t>
              </w:r>
            </w:hyperlink>
            <w:r w:rsidR="00863718">
              <w:rPr>
                <w:rFonts w:ascii="Calibri" w:eastAsia="Times New Roman" w:hAnsi="Calibri" w:cs="Calibri"/>
                <w:color w:val="0563C1"/>
                <w:u w:val="single"/>
                <w:lang w:eastAsia="en-GB"/>
              </w:rPr>
              <w:t xml:space="preserve"> </w:t>
            </w:r>
            <w:r w:rsidR="00863718">
              <w:rPr>
                <w:rFonts w:ascii="Calibri" w:eastAsia="Times New Roman" w:hAnsi="Calibri" w:cs="Calibri"/>
                <w:color w:val="000000"/>
                <w:lang w:eastAsia="en-GB"/>
              </w:rPr>
              <w:t>(accessed 4 September 2019)</w:t>
            </w:r>
          </w:p>
        </w:tc>
      </w:tr>
      <w:tr w:rsidR="008B4713" w:rsidRPr="007C3701" w14:paraId="52554E09"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4B33841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141</w:t>
            </w:r>
          </w:p>
        </w:tc>
        <w:tc>
          <w:tcPr>
            <w:tcW w:w="9225" w:type="dxa"/>
            <w:tcBorders>
              <w:top w:val="nil"/>
              <w:left w:val="single" w:sz="4" w:space="0" w:color="auto"/>
              <w:bottom w:val="nil"/>
              <w:right w:val="single" w:sz="4" w:space="0" w:color="auto"/>
            </w:tcBorders>
            <w:shd w:val="clear" w:color="auto" w:fill="auto"/>
            <w:vAlign w:val="center"/>
            <w:hideMark/>
          </w:tcPr>
          <w:p w14:paraId="125E9A62" w14:textId="30826A6F" w:rsidR="008B4713" w:rsidRPr="007C3701" w:rsidRDefault="001659F5" w:rsidP="004E0087">
            <w:pPr>
              <w:spacing w:after="0" w:line="240" w:lineRule="auto"/>
              <w:rPr>
                <w:rFonts w:ascii="Calibri" w:eastAsia="Times New Roman" w:hAnsi="Calibri" w:cs="Calibri"/>
                <w:color w:val="0563C1"/>
                <w:u w:val="single"/>
                <w:lang w:eastAsia="en-GB"/>
              </w:rPr>
            </w:pPr>
            <w:r>
              <w:t xml:space="preserve">Link to doctoral thesis (contributing directly to the BoR and its impact) </w:t>
            </w:r>
            <w:hyperlink r:id="rId113" w:history="1">
              <w:r w:rsidR="001C24EC" w:rsidRPr="000562AF">
                <w:rPr>
                  <w:rStyle w:val="Hyperlink"/>
                  <w:rFonts w:ascii="Calibri" w:eastAsia="Times New Roman" w:hAnsi="Calibri" w:cs="Calibri"/>
                  <w:lang w:eastAsia="en-GB"/>
                </w:rPr>
                <w:t>https://oatd.org/oatd/record?record=oai%5C%3Aethos.bl.uk%5C%3A534023</w:t>
              </w:r>
            </w:hyperlink>
            <w:r w:rsidR="00863718">
              <w:rPr>
                <w:rFonts w:ascii="Calibri" w:eastAsia="Times New Roman" w:hAnsi="Calibri" w:cs="Calibri"/>
                <w:color w:val="0563C1"/>
                <w:u w:val="single"/>
                <w:lang w:eastAsia="en-GB"/>
              </w:rPr>
              <w:t xml:space="preserve"> </w:t>
            </w:r>
            <w:r w:rsidR="00863718">
              <w:rPr>
                <w:rFonts w:ascii="Calibri" w:eastAsia="Times New Roman" w:hAnsi="Calibri" w:cs="Calibri"/>
                <w:color w:val="000000"/>
                <w:lang w:eastAsia="en-GB"/>
              </w:rPr>
              <w:t>(accessed 4 September 2019)</w:t>
            </w:r>
          </w:p>
        </w:tc>
      </w:tr>
      <w:tr w:rsidR="008B4713" w:rsidRPr="007C3701" w14:paraId="75C611EE"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2D9F7E1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142</w:t>
            </w:r>
          </w:p>
        </w:tc>
        <w:tc>
          <w:tcPr>
            <w:tcW w:w="9225" w:type="dxa"/>
            <w:tcBorders>
              <w:top w:val="nil"/>
              <w:left w:val="single" w:sz="4" w:space="0" w:color="auto"/>
              <w:bottom w:val="nil"/>
              <w:right w:val="single" w:sz="4" w:space="0" w:color="auto"/>
            </w:tcBorders>
            <w:shd w:val="clear" w:color="auto" w:fill="auto"/>
            <w:vAlign w:val="center"/>
            <w:hideMark/>
          </w:tcPr>
          <w:p w14:paraId="5AB53BDA" w14:textId="163A0489" w:rsidR="008B4713" w:rsidRPr="007C3701" w:rsidRDefault="00A56355" w:rsidP="004E0087">
            <w:pPr>
              <w:spacing w:after="0" w:line="240" w:lineRule="auto"/>
              <w:rPr>
                <w:rFonts w:ascii="Calibri" w:eastAsia="Times New Roman" w:hAnsi="Calibri" w:cs="Calibri"/>
                <w:color w:val="0563C1"/>
                <w:u w:val="single"/>
                <w:lang w:eastAsia="en-GB"/>
              </w:rPr>
            </w:pPr>
            <w:hyperlink r:id="rId114" w:history="1">
              <w:r w:rsidR="008B4713" w:rsidRPr="007C3701">
                <w:rPr>
                  <w:rFonts w:ascii="Calibri" w:eastAsia="Times New Roman" w:hAnsi="Calibri" w:cs="Calibri"/>
                  <w:color w:val="0563C1"/>
                  <w:u w:val="single"/>
                  <w:lang w:eastAsia="en-GB"/>
                </w:rPr>
                <w:t>https://www.researchgate.net/profile/Julian_Augley</w:t>
              </w:r>
            </w:hyperlink>
            <w:r w:rsidR="00863718">
              <w:rPr>
                <w:rFonts w:ascii="Calibri" w:eastAsia="Times New Roman" w:hAnsi="Calibri" w:cs="Calibri"/>
                <w:color w:val="0563C1"/>
                <w:u w:val="single"/>
                <w:lang w:eastAsia="en-GB"/>
              </w:rPr>
              <w:t xml:space="preserve"> </w:t>
            </w:r>
            <w:r w:rsidR="00863718">
              <w:rPr>
                <w:rFonts w:ascii="Calibri" w:eastAsia="Times New Roman" w:hAnsi="Calibri" w:cs="Calibri"/>
                <w:color w:val="000000"/>
                <w:lang w:eastAsia="en-GB"/>
              </w:rPr>
              <w:t>(accessed 4 September 2019)</w:t>
            </w:r>
          </w:p>
        </w:tc>
      </w:tr>
      <w:tr w:rsidR="008B4713" w:rsidRPr="007C3701" w14:paraId="7D10E88C"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4AAABB5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143</w:t>
            </w:r>
          </w:p>
        </w:tc>
        <w:tc>
          <w:tcPr>
            <w:tcW w:w="9225" w:type="dxa"/>
            <w:tcBorders>
              <w:top w:val="nil"/>
              <w:left w:val="single" w:sz="4" w:space="0" w:color="auto"/>
              <w:bottom w:val="nil"/>
              <w:right w:val="single" w:sz="4" w:space="0" w:color="auto"/>
            </w:tcBorders>
            <w:shd w:val="clear" w:color="auto" w:fill="auto"/>
            <w:vAlign w:val="center"/>
            <w:hideMark/>
          </w:tcPr>
          <w:p w14:paraId="12E1D765" w14:textId="4ACCB7F0" w:rsidR="008B4713" w:rsidRPr="007C3701" w:rsidRDefault="00A56355" w:rsidP="004E0087">
            <w:pPr>
              <w:spacing w:after="0" w:line="240" w:lineRule="auto"/>
              <w:rPr>
                <w:rFonts w:ascii="Calibri" w:eastAsia="Times New Roman" w:hAnsi="Calibri" w:cs="Calibri"/>
                <w:color w:val="0563C1"/>
                <w:u w:val="single"/>
                <w:lang w:eastAsia="en-GB"/>
              </w:rPr>
            </w:pPr>
            <w:hyperlink r:id="rId115" w:history="1">
              <w:r w:rsidR="008B4713" w:rsidRPr="007C3701">
                <w:rPr>
                  <w:rFonts w:ascii="Calibri" w:eastAsia="Times New Roman" w:hAnsi="Calibri" w:cs="Calibri"/>
                  <w:color w:val="0563C1"/>
                  <w:u w:val="single"/>
                  <w:lang w:eastAsia="en-GB"/>
                </w:rPr>
                <w:t>http://www.polyomics.gla.ac.uk/biog-julesaugley.html</w:t>
              </w:r>
            </w:hyperlink>
            <w:r w:rsidR="00863718">
              <w:rPr>
                <w:rFonts w:ascii="Calibri" w:eastAsia="Times New Roman" w:hAnsi="Calibri" w:cs="Calibri"/>
                <w:color w:val="0563C1"/>
                <w:u w:val="single"/>
                <w:lang w:eastAsia="en-GB"/>
              </w:rPr>
              <w:t xml:space="preserve"> </w:t>
            </w:r>
            <w:r w:rsidR="00863718">
              <w:rPr>
                <w:rFonts w:ascii="Calibri" w:eastAsia="Times New Roman" w:hAnsi="Calibri" w:cs="Calibri"/>
                <w:color w:val="000000"/>
                <w:lang w:eastAsia="en-GB"/>
              </w:rPr>
              <w:t>(accessed 4 September 2019)</w:t>
            </w:r>
          </w:p>
        </w:tc>
      </w:tr>
      <w:tr w:rsidR="008B4713" w:rsidRPr="007C3701" w14:paraId="531761FE"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0CB63F2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144</w:t>
            </w:r>
          </w:p>
        </w:tc>
        <w:tc>
          <w:tcPr>
            <w:tcW w:w="9225" w:type="dxa"/>
            <w:tcBorders>
              <w:top w:val="nil"/>
              <w:left w:val="single" w:sz="4" w:space="0" w:color="auto"/>
              <w:bottom w:val="nil"/>
              <w:right w:val="single" w:sz="4" w:space="0" w:color="auto"/>
            </w:tcBorders>
            <w:shd w:val="clear" w:color="auto" w:fill="auto"/>
            <w:vAlign w:val="center"/>
            <w:hideMark/>
          </w:tcPr>
          <w:p w14:paraId="46A21549" w14:textId="2AB9468F" w:rsidR="008B4713" w:rsidRPr="007C3701" w:rsidRDefault="001C24EC" w:rsidP="004E0087">
            <w:pPr>
              <w:spacing w:after="0" w:line="240" w:lineRule="auto"/>
              <w:rPr>
                <w:rFonts w:ascii="Calibri" w:eastAsia="Times New Roman" w:hAnsi="Calibri" w:cs="Calibri"/>
                <w:color w:val="0563C1"/>
                <w:u w:val="single"/>
                <w:lang w:eastAsia="en-GB"/>
              </w:rPr>
            </w:pPr>
            <w:r>
              <w:t xml:space="preserve">Kenyan Marine and Fisheries Institute. </w:t>
            </w:r>
            <w:hyperlink r:id="rId116" w:history="1">
              <w:r w:rsidRPr="000562AF">
                <w:rPr>
                  <w:rStyle w:val="Hyperlink"/>
                  <w:rFonts w:ascii="Calibri" w:eastAsia="Times New Roman" w:hAnsi="Calibri" w:cs="Calibri"/>
                  <w:lang w:eastAsia="en-GB"/>
                </w:rPr>
                <w:t>http://www.kmfri.co.ke/index.php/divisions/marine-and-coastal-systems</w:t>
              </w:r>
            </w:hyperlink>
            <w:r w:rsidR="00863718">
              <w:rPr>
                <w:rFonts w:ascii="Calibri" w:eastAsia="Times New Roman" w:hAnsi="Calibri" w:cs="Calibri"/>
                <w:color w:val="0563C1"/>
                <w:u w:val="single"/>
                <w:lang w:eastAsia="en-GB"/>
              </w:rPr>
              <w:t xml:space="preserve"> </w:t>
            </w:r>
            <w:r w:rsidR="00863718">
              <w:rPr>
                <w:rFonts w:ascii="Calibri" w:eastAsia="Times New Roman" w:hAnsi="Calibri" w:cs="Calibri"/>
                <w:color w:val="000000"/>
                <w:lang w:eastAsia="en-GB"/>
              </w:rPr>
              <w:t>(accessed 4 September 2019)</w:t>
            </w:r>
          </w:p>
        </w:tc>
      </w:tr>
      <w:tr w:rsidR="008B4713" w:rsidRPr="007C3701" w14:paraId="72130B0C"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43172A4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145</w:t>
            </w:r>
          </w:p>
        </w:tc>
        <w:tc>
          <w:tcPr>
            <w:tcW w:w="9225" w:type="dxa"/>
            <w:tcBorders>
              <w:top w:val="nil"/>
              <w:left w:val="single" w:sz="4" w:space="0" w:color="auto"/>
              <w:bottom w:val="nil"/>
              <w:right w:val="single" w:sz="4" w:space="0" w:color="auto"/>
            </w:tcBorders>
            <w:shd w:val="clear" w:color="auto" w:fill="auto"/>
            <w:vAlign w:val="center"/>
            <w:hideMark/>
          </w:tcPr>
          <w:p w14:paraId="6ABD0FC6" w14:textId="20D4A3A8" w:rsidR="008B4713" w:rsidRPr="007C3701" w:rsidRDefault="001C24EC" w:rsidP="004E0087">
            <w:pPr>
              <w:spacing w:after="0" w:line="240" w:lineRule="auto"/>
              <w:rPr>
                <w:rFonts w:ascii="Calibri" w:eastAsia="Times New Roman" w:hAnsi="Calibri" w:cs="Calibri"/>
                <w:color w:val="0563C1"/>
                <w:u w:val="single"/>
                <w:lang w:eastAsia="en-GB"/>
              </w:rPr>
            </w:pPr>
            <w:r>
              <w:t xml:space="preserve">Kenya Coastal Development Project. </w:t>
            </w:r>
            <w:hyperlink r:id="rId117" w:history="1">
              <w:r w:rsidRPr="000562AF">
                <w:rPr>
                  <w:rStyle w:val="Hyperlink"/>
                </w:rPr>
                <w:t>https://cda.go.ke/kcdp/</w:t>
              </w:r>
            </w:hyperlink>
            <w:r w:rsidR="00863718">
              <w:t xml:space="preserve"> </w:t>
            </w:r>
            <w:r w:rsidR="00863718">
              <w:rPr>
                <w:rFonts w:ascii="Calibri" w:eastAsia="Times New Roman" w:hAnsi="Calibri" w:cs="Calibri"/>
                <w:color w:val="000000"/>
                <w:lang w:eastAsia="en-GB"/>
              </w:rPr>
              <w:t>(accessed 4 September 2019)</w:t>
            </w:r>
          </w:p>
        </w:tc>
      </w:tr>
      <w:tr w:rsidR="008B4713" w:rsidRPr="007C3701" w14:paraId="4E0730AA"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5F9BCFA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146</w:t>
            </w:r>
          </w:p>
        </w:tc>
        <w:tc>
          <w:tcPr>
            <w:tcW w:w="9225" w:type="dxa"/>
            <w:tcBorders>
              <w:top w:val="nil"/>
              <w:left w:val="single" w:sz="4" w:space="0" w:color="auto"/>
              <w:bottom w:val="nil"/>
              <w:right w:val="single" w:sz="4" w:space="0" w:color="auto"/>
            </w:tcBorders>
            <w:shd w:val="clear" w:color="auto" w:fill="auto"/>
            <w:vAlign w:val="center"/>
            <w:hideMark/>
          </w:tcPr>
          <w:p w14:paraId="777B3E05" w14:textId="1897375B" w:rsidR="008B4713" w:rsidRPr="007C3701" w:rsidRDefault="00A56355" w:rsidP="004E0087">
            <w:pPr>
              <w:spacing w:after="0" w:line="240" w:lineRule="auto"/>
              <w:rPr>
                <w:rFonts w:ascii="Calibri" w:eastAsia="Times New Roman" w:hAnsi="Calibri" w:cs="Calibri"/>
                <w:color w:val="0563C1"/>
                <w:u w:val="single"/>
                <w:lang w:eastAsia="en-GB"/>
              </w:rPr>
            </w:pPr>
            <w:hyperlink r:id="rId118" w:history="1">
              <w:r w:rsidR="008B4713" w:rsidRPr="007C3701">
                <w:rPr>
                  <w:rFonts w:ascii="Calibri" w:eastAsia="Times New Roman" w:hAnsi="Calibri" w:cs="Calibri"/>
                  <w:color w:val="0563C1"/>
                  <w:u w:val="single"/>
                  <w:lang w:eastAsia="en-GB"/>
                </w:rPr>
                <w:t>https://www.researchgate.net/profile/Edward_Kimani2</w:t>
              </w:r>
            </w:hyperlink>
            <w:r w:rsidR="00863718">
              <w:rPr>
                <w:rFonts w:ascii="Calibri" w:eastAsia="Times New Roman" w:hAnsi="Calibri" w:cs="Calibri"/>
                <w:color w:val="0563C1"/>
                <w:u w:val="single"/>
                <w:lang w:eastAsia="en-GB"/>
              </w:rPr>
              <w:t xml:space="preserve"> </w:t>
            </w:r>
            <w:r w:rsidR="00863718">
              <w:rPr>
                <w:rFonts w:ascii="Calibri" w:eastAsia="Times New Roman" w:hAnsi="Calibri" w:cs="Calibri"/>
                <w:color w:val="000000"/>
                <w:lang w:eastAsia="en-GB"/>
              </w:rPr>
              <w:t>(accessed 4 September 2019)</w:t>
            </w:r>
          </w:p>
        </w:tc>
      </w:tr>
      <w:tr w:rsidR="008B4713" w:rsidRPr="007C3701" w14:paraId="2DBC0BB1"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04E2C48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147</w:t>
            </w:r>
          </w:p>
        </w:tc>
        <w:tc>
          <w:tcPr>
            <w:tcW w:w="9225" w:type="dxa"/>
            <w:tcBorders>
              <w:top w:val="nil"/>
              <w:left w:val="single" w:sz="4" w:space="0" w:color="auto"/>
              <w:bottom w:val="nil"/>
              <w:right w:val="single" w:sz="4" w:space="0" w:color="auto"/>
            </w:tcBorders>
            <w:shd w:val="clear" w:color="auto" w:fill="auto"/>
            <w:vAlign w:val="center"/>
            <w:hideMark/>
          </w:tcPr>
          <w:p w14:paraId="0A9914B5" w14:textId="7C3350EE" w:rsidR="008B4713" w:rsidRPr="007C3701" w:rsidRDefault="009975DE" w:rsidP="004E0087">
            <w:pPr>
              <w:spacing w:after="0" w:line="240" w:lineRule="auto"/>
              <w:rPr>
                <w:rFonts w:ascii="Calibri" w:eastAsia="Times New Roman" w:hAnsi="Calibri" w:cs="Calibri"/>
                <w:color w:val="0563C1"/>
                <w:u w:val="single"/>
                <w:lang w:eastAsia="en-GB"/>
              </w:rPr>
            </w:pPr>
            <w:r>
              <w:t xml:space="preserve">Ocean University of Sri Lanka (staff page – Dean’s doctoral research contributed to this BoR and its impact). </w:t>
            </w:r>
            <w:hyperlink r:id="rId119" w:history="1">
              <w:r w:rsidRPr="000562AF">
                <w:rPr>
                  <w:rStyle w:val="Hyperlink"/>
                </w:rPr>
                <w:t>http://www.ocu.ac.lk/FacultyTangalle/Lecturers.aspx</w:t>
              </w:r>
            </w:hyperlink>
            <w:r w:rsidR="00863718">
              <w:t xml:space="preserve"> </w:t>
            </w:r>
            <w:r w:rsidR="00863718">
              <w:rPr>
                <w:rFonts w:ascii="Calibri" w:eastAsia="Times New Roman" w:hAnsi="Calibri" w:cs="Calibri"/>
                <w:color w:val="000000"/>
                <w:lang w:eastAsia="en-GB"/>
              </w:rPr>
              <w:t>(accessed 4 September 2019)</w:t>
            </w:r>
          </w:p>
        </w:tc>
      </w:tr>
      <w:tr w:rsidR="008B4713" w:rsidRPr="007C3701" w14:paraId="1AB88887"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2219580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148</w:t>
            </w:r>
          </w:p>
        </w:tc>
        <w:tc>
          <w:tcPr>
            <w:tcW w:w="9225" w:type="dxa"/>
            <w:tcBorders>
              <w:top w:val="nil"/>
              <w:left w:val="single" w:sz="4" w:space="0" w:color="auto"/>
              <w:bottom w:val="nil"/>
              <w:right w:val="single" w:sz="4" w:space="0" w:color="auto"/>
            </w:tcBorders>
            <w:shd w:val="clear" w:color="auto" w:fill="auto"/>
            <w:vAlign w:val="center"/>
            <w:hideMark/>
          </w:tcPr>
          <w:p w14:paraId="4152A609" w14:textId="57B4C77A" w:rsidR="008B4713" w:rsidRPr="007C3701" w:rsidRDefault="009975DE" w:rsidP="004E0087">
            <w:pPr>
              <w:spacing w:after="0" w:line="240" w:lineRule="auto"/>
              <w:rPr>
                <w:rFonts w:ascii="Calibri" w:eastAsia="Times New Roman" w:hAnsi="Calibri" w:cs="Calibri"/>
                <w:color w:val="0563C1"/>
                <w:u w:val="single"/>
                <w:lang w:eastAsia="en-GB"/>
              </w:rPr>
            </w:pPr>
            <w:r>
              <w:t xml:space="preserve">Association for Coastal Ecosystem Services. </w:t>
            </w:r>
            <w:hyperlink r:id="rId120" w:history="1">
              <w:r w:rsidRPr="000562AF">
                <w:rPr>
                  <w:rStyle w:val="Hyperlink"/>
                  <w:rFonts w:ascii="Calibri" w:eastAsia="Times New Roman" w:hAnsi="Calibri" w:cs="Calibri"/>
                  <w:lang w:eastAsia="en-GB"/>
                </w:rPr>
                <w:t>http://www.aces-org.co.uk/about-aces/</w:t>
              </w:r>
            </w:hyperlink>
            <w:r w:rsidR="00863718">
              <w:rPr>
                <w:rFonts w:ascii="Calibri" w:eastAsia="Times New Roman" w:hAnsi="Calibri" w:cs="Calibri"/>
                <w:color w:val="0563C1"/>
                <w:u w:val="single"/>
                <w:lang w:eastAsia="en-GB"/>
              </w:rPr>
              <w:t xml:space="preserve"> </w:t>
            </w:r>
            <w:r w:rsidR="00863718">
              <w:rPr>
                <w:rFonts w:ascii="Calibri" w:eastAsia="Times New Roman" w:hAnsi="Calibri" w:cs="Calibri"/>
                <w:color w:val="000000"/>
                <w:lang w:eastAsia="en-GB"/>
              </w:rPr>
              <w:t>(accessed 4 September 2019)</w:t>
            </w:r>
          </w:p>
        </w:tc>
      </w:tr>
      <w:tr w:rsidR="008B4713" w:rsidRPr="007C3701" w14:paraId="013CA53A"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345A740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149</w:t>
            </w:r>
          </w:p>
        </w:tc>
        <w:tc>
          <w:tcPr>
            <w:tcW w:w="9225" w:type="dxa"/>
            <w:tcBorders>
              <w:top w:val="nil"/>
              <w:left w:val="single" w:sz="4" w:space="0" w:color="auto"/>
              <w:bottom w:val="nil"/>
              <w:right w:val="single" w:sz="4" w:space="0" w:color="auto"/>
            </w:tcBorders>
            <w:shd w:val="clear" w:color="auto" w:fill="auto"/>
            <w:vAlign w:val="center"/>
            <w:hideMark/>
          </w:tcPr>
          <w:p w14:paraId="0D228B0A" w14:textId="4D556777" w:rsidR="008B4713" w:rsidRPr="007C3701" w:rsidRDefault="00215145" w:rsidP="004E0087">
            <w:pPr>
              <w:spacing w:after="0" w:line="240" w:lineRule="auto"/>
              <w:rPr>
                <w:rFonts w:ascii="Calibri" w:eastAsia="Times New Roman" w:hAnsi="Calibri" w:cs="Calibri"/>
                <w:color w:val="0563C1"/>
                <w:u w:val="single"/>
                <w:lang w:eastAsia="en-GB"/>
              </w:rPr>
            </w:pPr>
            <w:r>
              <w:t xml:space="preserve">Ecosystem Services for Poverty Alleviation. </w:t>
            </w:r>
            <w:hyperlink r:id="rId121" w:history="1">
              <w:r w:rsidRPr="000562AF">
                <w:rPr>
                  <w:rStyle w:val="Hyperlink"/>
                </w:rPr>
                <w:t>https://www.espa.ac.uk/</w:t>
              </w:r>
            </w:hyperlink>
            <w:r w:rsidR="00863718">
              <w:t xml:space="preserve"> </w:t>
            </w:r>
            <w:r w:rsidR="00863718">
              <w:rPr>
                <w:rFonts w:ascii="Calibri" w:eastAsia="Times New Roman" w:hAnsi="Calibri" w:cs="Calibri"/>
                <w:color w:val="000000"/>
                <w:lang w:eastAsia="en-GB"/>
              </w:rPr>
              <w:t>(accessed 4 September 2019)</w:t>
            </w:r>
          </w:p>
        </w:tc>
      </w:tr>
      <w:tr w:rsidR="008B4713" w:rsidRPr="007C3701" w14:paraId="758FEBAA"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9B4417" w14:textId="77777777" w:rsidR="008B4713" w:rsidRPr="007C3701" w:rsidRDefault="008B4713" w:rsidP="004E0087">
            <w:pPr>
              <w:spacing w:after="0" w:line="240" w:lineRule="auto"/>
              <w:jc w:val="center"/>
              <w:rPr>
                <w:rFonts w:ascii="Calibri" w:eastAsia="Times New Roman" w:hAnsi="Calibri" w:cs="Calibri"/>
                <w:b/>
                <w:bCs/>
                <w:color w:val="000000"/>
                <w:lang w:eastAsia="en-GB"/>
              </w:rPr>
            </w:pPr>
            <w:r w:rsidRPr="007C3701">
              <w:rPr>
                <w:rFonts w:ascii="Calibri" w:eastAsia="Times New Roman" w:hAnsi="Calibri" w:cs="Calibri"/>
                <w:b/>
                <w:bCs/>
                <w:color w:val="000000"/>
                <w:lang w:eastAsia="en-GB"/>
              </w:rPr>
              <w:t>Unit of Assessment 8</w:t>
            </w:r>
          </w:p>
        </w:tc>
      </w:tr>
      <w:tr w:rsidR="008B4713" w:rsidRPr="007C3701" w14:paraId="3AE6632C"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2D50BEC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150</w:t>
            </w:r>
          </w:p>
        </w:tc>
        <w:tc>
          <w:tcPr>
            <w:tcW w:w="9225" w:type="dxa"/>
            <w:tcBorders>
              <w:top w:val="nil"/>
              <w:left w:val="single" w:sz="4" w:space="0" w:color="auto"/>
              <w:bottom w:val="nil"/>
              <w:right w:val="single" w:sz="4" w:space="0" w:color="auto"/>
            </w:tcBorders>
            <w:shd w:val="clear" w:color="auto" w:fill="auto"/>
            <w:vAlign w:val="center"/>
            <w:hideMark/>
          </w:tcPr>
          <w:p w14:paraId="0DB38447" w14:textId="606F1965" w:rsidR="008B4713" w:rsidRPr="007C3701" w:rsidRDefault="0061024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Queen’s University Belfast (2014). </w:t>
            </w:r>
            <w:r w:rsidR="008B4713" w:rsidRPr="007C3701">
              <w:rPr>
                <w:rFonts w:ascii="Calibri" w:eastAsia="Times New Roman" w:hAnsi="Calibri" w:cs="Calibri"/>
                <w:color w:val="000000"/>
                <w:lang w:eastAsia="en-GB"/>
              </w:rPr>
              <w:t>REF2014 Impact Template</w:t>
            </w:r>
            <w:r w:rsidR="00F12ECE">
              <w:rPr>
                <w:rFonts w:ascii="Calibri" w:eastAsia="Times New Roman" w:hAnsi="Calibri" w:cs="Calibri"/>
                <w:color w:val="000000"/>
                <w:lang w:eastAsia="en-GB"/>
              </w:rPr>
              <w:t xml:space="preserve">. </w:t>
            </w:r>
            <w:hyperlink r:id="rId122" w:history="1">
              <w:r w:rsidR="009D5930">
                <w:rPr>
                  <w:rStyle w:val="Hyperlink"/>
                </w:rPr>
                <w:t>https://results.ref.ac.uk/(S(5mhsdcrlek45dkop3v4uw5gx))/Submissions/Impact/1519</w:t>
              </w:r>
            </w:hyperlink>
          </w:p>
        </w:tc>
      </w:tr>
      <w:tr w:rsidR="008B4713" w:rsidRPr="007C3701" w14:paraId="49718CA1"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33775E7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151</w:t>
            </w:r>
          </w:p>
        </w:tc>
        <w:tc>
          <w:tcPr>
            <w:tcW w:w="9225" w:type="dxa"/>
            <w:tcBorders>
              <w:top w:val="nil"/>
              <w:left w:val="single" w:sz="4" w:space="0" w:color="auto"/>
              <w:bottom w:val="nil"/>
              <w:right w:val="single" w:sz="4" w:space="0" w:color="auto"/>
            </w:tcBorders>
            <w:shd w:val="clear" w:color="auto" w:fill="auto"/>
            <w:vAlign w:val="center"/>
            <w:hideMark/>
          </w:tcPr>
          <w:p w14:paraId="05708A2D" w14:textId="212E1761" w:rsidR="008B4713" w:rsidRPr="007C3701" w:rsidRDefault="0061024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Queen’s University Belfast (2014). </w:t>
            </w:r>
            <w:r w:rsidR="008B4713" w:rsidRPr="007C3701">
              <w:rPr>
                <w:rFonts w:ascii="Calibri" w:eastAsia="Times New Roman" w:hAnsi="Calibri" w:cs="Calibri"/>
                <w:color w:val="000000"/>
                <w:lang w:eastAsia="en-GB"/>
              </w:rPr>
              <w:t>REF2014 Environment Template</w:t>
            </w:r>
            <w:r>
              <w:rPr>
                <w:rFonts w:ascii="Calibri" w:eastAsia="Times New Roman" w:hAnsi="Calibri" w:cs="Calibri"/>
                <w:color w:val="000000"/>
                <w:lang w:eastAsia="en-GB"/>
              </w:rPr>
              <w:t xml:space="preserve">. </w:t>
            </w:r>
            <w:hyperlink r:id="rId123" w:history="1">
              <w:r>
                <w:rPr>
                  <w:rStyle w:val="Hyperlink"/>
                </w:rPr>
                <w:t>https://results.ref.ac.uk/(S(5mhsdcrlek45dkop3v4uw5gx))/Submissions/Environment/1519</w:t>
              </w:r>
            </w:hyperlink>
          </w:p>
        </w:tc>
      </w:tr>
      <w:tr w:rsidR="008B4713" w:rsidRPr="007C3701" w14:paraId="7F2CE341"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242CE3B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152</w:t>
            </w:r>
          </w:p>
        </w:tc>
        <w:tc>
          <w:tcPr>
            <w:tcW w:w="9225" w:type="dxa"/>
            <w:tcBorders>
              <w:top w:val="nil"/>
              <w:left w:val="single" w:sz="4" w:space="0" w:color="auto"/>
              <w:bottom w:val="nil"/>
              <w:right w:val="single" w:sz="4" w:space="0" w:color="auto"/>
            </w:tcBorders>
            <w:shd w:val="clear" w:color="auto" w:fill="auto"/>
            <w:vAlign w:val="center"/>
            <w:hideMark/>
          </w:tcPr>
          <w:p w14:paraId="6929AF09" w14:textId="004395FF"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Q</w:t>
            </w:r>
            <w:r w:rsidR="0015632F">
              <w:rPr>
                <w:rFonts w:ascii="Calibri" w:eastAsia="Times New Roman" w:hAnsi="Calibri" w:cs="Calibri"/>
                <w:color w:val="000000"/>
                <w:lang w:eastAsia="en-GB"/>
              </w:rPr>
              <w:t>ueen’s University Belfast</w:t>
            </w:r>
            <w:r w:rsidRPr="007C3701">
              <w:rPr>
                <w:rFonts w:ascii="Calibri" w:eastAsia="Times New Roman" w:hAnsi="Calibri" w:cs="Calibri"/>
                <w:color w:val="000000"/>
                <w:lang w:eastAsia="en-GB"/>
              </w:rPr>
              <w:t xml:space="preserve"> Research</w:t>
            </w:r>
            <w:r w:rsidR="0015632F">
              <w:rPr>
                <w:rFonts w:ascii="Calibri" w:eastAsia="Times New Roman" w:hAnsi="Calibri" w:cs="Calibri"/>
                <w:color w:val="000000"/>
                <w:lang w:eastAsia="en-GB"/>
              </w:rPr>
              <w:t xml:space="preserve">. </w:t>
            </w:r>
            <w:hyperlink r:id="rId124" w:history="1">
              <w:r w:rsidR="0015632F" w:rsidRPr="000562AF">
                <w:rPr>
                  <w:rStyle w:val="Hyperlink"/>
                  <w:rFonts w:ascii="Calibri" w:eastAsia="Times New Roman" w:hAnsi="Calibri" w:cs="Calibri"/>
                  <w:lang w:eastAsia="en-GB"/>
                </w:rPr>
                <w:t>https://www.qub.ac.uk/Research/</w:t>
              </w:r>
            </w:hyperlink>
            <w:r w:rsidR="0015632F">
              <w:rPr>
                <w:rFonts w:ascii="Calibri" w:eastAsia="Times New Roman" w:hAnsi="Calibri" w:cs="Calibri"/>
                <w:color w:val="000000"/>
                <w:lang w:eastAsia="en-GB"/>
              </w:rPr>
              <w:t xml:space="preserve"> </w:t>
            </w:r>
            <w:r w:rsidR="00863718">
              <w:rPr>
                <w:rFonts w:ascii="Calibri" w:eastAsia="Times New Roman" w:hAnsi="Calibri" w:cs="Calibri"/>
                <w:color w:val="000000"/>
                <w:lang w:eastAsia="en-GB"/>
              </w:rPr>
              <w:t>(accessed 4 September 2019)</w:t>
            </w:r>
          </w:p>
        </w:tc>
      </w:tr>
      <w:tr w:rsidR="008B4713" w:rsidRPr="007C3701" w14:paraId="68DFB8F7"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78171F8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153</w:t>
            </w:r>
          </w:p>
        </w:tc>
        <w:tc>
          <w:tcPr>
            <w:tcW w:w="9225" w:type="dxa"/>
            <w:tcBorders>
              <w:top w:val="nil"/>
              <w:left w:val="single" w:sz="4" w:space="0" w:color="auto"/>
              <w:bottom w:val="nil"/>
              <w:right w:val="single" w:sz="4" w:space="0" w:color="auto"/>
            </w:tcBorders>
            <w:shd w:val="clear" w:color="auto" w:fill="auto"/>
            <w:vAlign w:val="center"/>
            <w:hideMark/>
          </w:tcPr>
          <w:p w14:paraId="2A21AC67" w14:textId="3BDDFC21" w:rsidR="008B4713" w:rsidRPr="007C3701" w:rsidRDefault="0015632F"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Q</w:t>
            </w:r>
            <w:r>
              <w:rPr>
                <w:rFonts w:ascii="Calibri" w:eastAsia="Times New Roman" w:hAnsi="Calibri" w:cs="Calibri"/>
                <w:color w:val="000000"/>
                <w:lang w:eastAsia="en-GB"/>
              </w:rPr>
              <w:t xml:space="preserve">ueen’s University Belfast Business. </w:t>
            </w:r>
            <w:hyperlink r:id="rId125" w:history="1">
              <w:r w:rsidRPr="000562AF">
                <w:rPr>
                  <w:rStyle w:val="Hyperlink"/>
                  <w:rFonts w:ascii="Calibri" w:eastAsia="Times New Roman" w:hAnsi="Calibri" w:cs="Calibri"/>
                  <w:lang w:eastAsia="en-GB"/>
                </w:rPr>
                <w:t>https://www.qub.ac.uk/Business/</w:t>
              </w:r>
            </w:hyperlink>
            <w:r>
              <w:rPr>
                <w:rFonts w:ascii="Calibri" w:eastAsia="Times New Roman" w:hAnsi="Calibri" w:cs="Calibri"/>
                <w:color w:val="000000"/>
                <w:lang w:eastAsia="en-GB"/>
              </w:rPr>
              <w:t xml:space="preserve"> </w:t>
            </w:r>
            <w:r w:rsidR="00863718">
              <w:rPr>
                <w:rFonts w:ascii="Calibri" w:eastAsia="Times New Roman" w:hAnsi="Calibri" w:cs="Calibri"/>
                <w:color w:val="000000"/>
                <w:lang w:eastAsia="en-GB"/>
              </w:rPr>
              <w:t>(accessed 4 September 2019)</w:t>
            </w:r>
          </w:p>
        </w:tc>
      </w:tr>
      <w:tr w:rsidR="008B4713" w:rsidRPr="007C3701" w14:paraId="452A44A3" w14:textId="77777777" w:rsidTr="00863718">
        <w:trPr>
          <w:trHeight w:val="300"/>
        </w:trPr>
        <w:tc>
          <w:tcPr>
            <w:tcW w:w="551" w:type="dxa"/>
            <w:tcBorders>
              <w:top w:val="nil"/>
              <w:left w:val="single" w:sz="4" w:space="0" w:color="auto"/>
              <w:bottom w:val="nil"/>
              <w:right w:val="nil"/>
            </w:tcBorders>
            <w:shd w:val="clear" w:color="auto" w:fill="auto"/>
            <w:noWrap/>
            <w:vAlign w:val="center"/>
            <w:hideMark/>
          </w:tcPr>
          <w:p w14:paraId="69C7DBD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154</w:t>
            </w:r>
          </w:p>
        </w:tc>
        <w:tc>
          <w:tcPr>
            <w:tcW w:w="9225" w:type="dxa"/>
            <w:tcBorders>
              <w:top w:val="nil"/>
              <w:left w:val="single" w:sz="4" w:space="0" w:color="auto"/>
              <w:bottom w:val="nil"/>
              <w:right w:val="single" w:sz="4" w:space="0" w:color="auto"/>
            </w:tcBorders>
            <w:shd w:val="clear" w:color="auto" w:fill="auto"/>
            <w:vAlign w:val="center"/>
            <w:hideMark/>
          </w:tcPr>
          <w:p w14:paraId="334A51A0" w14:textId="4E1E4313"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School of Chemistry &amp; Chemical Engineering</w:t>
            </w:r>
            <w:r w:rsidR="0015632F">
              <w:rPr>
                <w:rFonts w:ascii="Calibri" w:eastAsia="Times New Roman" w:hAnsi="Calibri" w:cs="Calibri"/>
                <w:color w:val="000000"/>
                <w:lang w:eastAsia="en-GB"/>
              </w:rPr>
              <w:t xml:space="preserve">. </w:t>
            </w:r>
            <w:hyperlink r:id="rId126" w:history="1">
              <w:r w:rsidR="0015632F" w:rsidRPr="000562AF">
                <w:rPr>
                  <w:rStyle w:val="Hyperlink"/>
                  <w:rFonts w:ascii="Calibri" w:eastAsia="Times New Roman" w:hAnsi="Calibri" w:cs="Calibri"/>
                  <w:lang w:eastAsia="en-GB"/>
                </w:rPr>
                <w:t>https://www.qub.ac.uk/schools/SchoolofChemistryandChemicalEngineering/</w:t>
              </w:r>
            </w:hyperlink>
            <w:r w:rsidR="0015632F">
              <w:rPr>
                <w:rFonts w:ascii="Calibri" w:eastAsia="Times New Roman" w:hAnsi="Calibri" w:cs="Calibri"/>
                <w:color w:val="000000"/>
                <w:lang w:eastAsia="en-GB"/>
              </w:rPr>
              <w:t xml:space="preserve"> </w:t>
            </w:r>
            <w:r w:rsidR="00863718">
              <w:rPr>
                <w:rFonts w:ascii="Calibri" w:eastAsia="Times New Roman" w:hAnsi="Calibri" w:cs="Calibri"/>
                <w:color w:val="000000"/>
                <w:lang w:eastAsia="en-GB"/>
              </w:rPr>
              <w:t>(accessed 4 September 2019)</w:t>
            </w:r>
          </w:p>
        </w:tc>
      </w:tr>
      <w:tr w:rsidR="008B4713" w:rsidRPr="007C3701" w14:paraId="73F1D25C"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0197EF1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155</w:t>
            </w:r>
          </w:p>
        </w:tc>
        <w:tc>
          <w:tcPr>
            <w:tcW w:w="9225" w:type="dxa"/>
            <w:tcBorders>
              <w:top w:val="nil"/>
              <w:left w:val="single" w:sz="4" w:space="0" w:color="auto"/>
              <w:bottom w:val="nil"/>
              <w:right w:val="single" w:sz="4" w:space="0" w:color="auto"/>
            </w:tcBorders>
            <w:shd w:val="clear" w:color="auto" w:fill="auto"/>
            <w:vAlign w:val="center"/>
            <w:hideMark/>
          </w:tcPr>
          <w:p w14:paraId="3CBB2E73" w14:textId="7A0003E5" w:rsidR="008B4713" w:rsidRPr="007C3701" w:rsidRDefault="0015632F" w:rsidP="004E0087">
            <w:pPr>
              <w:spacing w:after="0" w:line="240" w:lineRule="auto"/>
              <w:rPr>
                <w:rFonts w:ascii="Calibri" w:eastAsia="Times New Roman" w:hAnsi="Calibri" w:cs="Calibri"/>
                <w:i/>
                <w:iCs/>
                <w:color w:val="000000"/>
                <w:lang w:eastAsia="en-GB"/>
              </w:rPr>
            </w:pPr>
            <w:r>
              <w:rPr>
                <w:rFonts w:ascii="Calibri" w:eastAsia="Times New Roman" w:hAnsi="Calibri" w:cs="Calibri"/>
                <w:color w:val="000000"/>
                <w:lang w:eastAsia="en-GB"/>
              </w:rPr>
              <w:t xml:space="preserve">Queen’s University Belfast (2016). </w:t>
            </w:r>
            <w:r w:rsidR="008B4713" w:rsidRPr="0015632F">
              <w:rPr>
                <w:rFonts w:ascii="Calibri" w:eastAsia="Times New Roman" w:hAnsi="Calibri" w:cs="Calibri"/>
                <w:color w:val="000000"/>
                <w:lang w:eastAsia="en-GB"/>
              </w:rPr>
              <w:t xml:space="preserve">Research at Queen's 2016-2021. </w:t>
            </w:r>
            <w:hyperlink r:id="rId127" w:history="1">
              <w:r w:rsidRPr="000562AF">
                <w:rPr>
                  <w:rStyle w:val="Hyperlink"/>
                  <w:rFonts w:ascii="Calibri" w:eastAsia="Times New Roman" w:hAnsi="Calibri" w:cs="Calibri"/>
                  <w:lang w:eastAsia="en-GB"/>
                </w:rPr>
                <w:t>http://www.qub.ac.uk/home/media/Media,680809,en.pdf</w:t>
              </w:r>
            </w:hyperlink>
            <w:r>
              <w:rPr>
                <w:rFonts w:ascii="Calibri" w:eastAsia="Times New Roman" w:hAnsi="Calibri" w:cs="Calibri"/>
                <w:color w:val="000000"/>
                <w:lang w:eastAsia="en-GB"/>
              </w:rPr>
              <w:t xml:space="preserve"> </w:t>
            </w:r>
          </w:p>
        </w:tc>
      </w:tr>
      <w:tr w:rsidR="008B4713" w:rsidRPr="007C3701" w14:paraId="4D200114"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1F1FFDE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156</w:t>
            </w:r>
          </w:p>
        </w:tc>
        <w:tc>
          <w:tcPr>
            <w:tcW w:w="9225" w:type="dxa"/>
            <w:tcBorders>
              <w:top w:val="nil"/>
              <w:left w:val="single" w:sz="4" w:space="0" w:color="auto"/>
              <w:bottom w:val="nil"/>
              <w:right w:val="single" w:sz="4" w:space="0" w:color="auto"/>
            </w:tcBorders>
            <w:shd w:val="clear" w:color="auto" w:fill="auto"/>
            <w:vAlign w:val="center"/>
            <w:hideMark/>
          </w:tcPr>
          <w:p w14:paraId="295C1861" w14:textId="6DA259C8" w:rsidR="008B4713" w:rsidRPr="007C3701" w:rsidRDefault="0015632F" w:rsidP="004E0087">
            <w:pPr>
              <w:spacing w:after="0" w:line="240" w:lineRule="auto"/>
              <w:rPr>
                <w:rFonts w:ascii="Calibri" w:eastAsia="Times New Roman" w:hAnsi="Calibri" w:cs="Calibri"/>
                <w:i/>
                <w:iCs/>
                <w:color w:val="000000"/>
                <w:lang w:eastAsia="en-GB"/>
              </w:rPr>
            </w:pPr>
            <w:r>
              <w:rPr>
                <w:rFonts w:ascii="Calibri" w:eastAsia="Times New Roman" w:hAnsi="Calibri" w:cs="Calibri"/>
                <w:color w:val="000000"/>
                <w:lang w:eastAsia="en-GB"/>
              </w:rPr>
              <w:t>Queen’s University Belfast (2011).</w:t>
            </w:r>
            <w:r>
              <w:rPr>
                <w:rFonts w:ascii="Calibri" w:eastAsia="Times New Roman" w:hAnsi="Calibri" w:cs="Calibri"/>
                <w:i/>
                <w:iCs/>
                <w:color w:val="000000"/>
                <w:lang w:eastAsia="en-GB"/>
              </w:rPr>
              <w:t xml:space="preserve"> </w:t>
            </w:r>
            <w:r w:rsidR="008B4713" w:rsidRPr="0015632F">
              <w:rPr>
                <w:rFonts w:ascii="Calibri" w:eastAsia="Times New Roman" w:hAnsi="Calibri" w:cs="Calibri"/>
                <w:color w:val="000000"/>
                <w:lang w:eastAsia="en-GB"/>
              </w:rPr>
              <w:t xml:space="preserve">DNA </w:t>
            </w:r>
            <w:r>
              <w:rPr>
                <w:rFonts w:ascii="Calibri" w:eastAsia="Times New Roman" w:hAnsi="Calibri" w:cs="Calibri"/>
                <w:color w:val="000000"/>
                <w:lang w:eastAsia="en-GB"/>
              </w:rPr>
              <w:t xml:space="preserve">of Innovation </w:t>
            </w:r>
            <w:r w:rsidR="008B4713" w:rsidRPr="0015632F">
              <w:rPr>
                <w:rFonts w:ascii="Calibri" w:eastAsia="Times New Roman" w:hAnsi="Calibri" w:cs="Calibri"/>
                <w:color w:val="000000"/>
                <w:lang w:eastAsia="en-GB"/>
              </w:rPr>
              <w:t>Volume 1</w:t>
            </w:r>
            <w:r w:rsidRPr="0015632F">
              <w:rPr>
                <w:rFonts w:ascii="Calibri" w:eastAsia="Times New Roman" w:hAnsi="Calibri" w:cs="Calibri"/>
                <w:color w:val="000000"/>
                <w:lang w:eastAsia="en-GB"/>
              </w:rPr>
              <w:t>.</w:t>
            </w:r>
            <w:r w:rsidR="008B4713" w:rsidRPr="007C3701">
              <w:rPr>
                <w:rFonts w:ascii="Calibri" w:eastAsia="Times New Roman" w:hAnsi="Calibri" w:cs="Calibri"/>
                <w:i/>
                <w:iCs/>
                <w:color w:val="000000"/>
                <w:lang w:eastAsia="en-GB"/>
              </w:rPr>
              <w:t xml:space="preserve"> </w:t>
            </w:r>
            <w:hyperlink r:id="rId128" w:history="1">
              <w:r>
                <w:rPr>
                  <w:rStyle w:val="Hyperlink"/>
                </w:rPr>
                <w:t>https://pure.qub.ac.uk/portal/en/clippings/dna-of-innovation-volume-1(e3fc59c2-041f-4922-8e0a-aa945ebb41c6).html</w:t>
              </w:r>
            </w:hyperlink>
          </w:p>
        </w:tc>
      </w:tr>
      <w:tr w:rsidR="008B4713" w:rsidRPr="007C3701" w14:paraId="36820B85"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D62CD0"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8.1</w:t>
            </w:r>
          </w:p>
        </w:tc>
      </w:tr>
      <w:tr w:rsidR="008B4713" w:rsidRPr="007C3701" w14:paraId="30F305FD"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3600ACA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157</w:t>
            </w:r>
          </w:p>
        </w:tc>
        <w:tc>
          <w:tcPr>
            <w:tcW w:w="9225" w:type="dxa"/>
            <w:tcBorders>
              <w:top w:val="nil"/>
              <w:left w:val="single" w:sz="4" w:space="0" w:color="auto"/>
              <w:bottom w:val="nil"/>
              <w:right w:val="single" w:sz="4" w:space="0" w:color="auto"/>
            </w:tcBorders>
            <w:shd w:val="clear" w:color="auto" w:fill="auto"/>
            <w:vAlign w:val="center"/>
            <w:hideMark/>
          </w:tcPr>
          <w:p w14:paraId="52EB88FC" w14:textId="085B3596" w:rsidR="008B4713" w:rsidRPr="007C3701" w:rsidRDefault="0061024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Queen’s University Belfast (2014). R</w:t>
            </w:r>
            <w:r w:rsidR="008B4713" w:rsidRPr="007C3701">
              <w:rPr>
                <w:rFonts w:ascii="Calibri" w:eastAsia="Times New Roman" w:hAnsi="Calibri" w:cs="Calibri"/>
                <w:color w:val="000000"/>
                <w:lang w:eastAsia="en-GB"/>
              </w:rPr>
              <w:t>EF Impact Case Study no. 38357</w:t>
            </w:r>
            <w:r w:rsidR="009D5930">
              <w:rPr>
                <w:rFonts w:ascii="Calibri" w:eastAsia="Times New Roman" w:hAnsi="Calibri" w:cs="Calibri"/>
                <w:color w:val="000000"/>
                <w:lang w:eastAsia="en-GB"/>
              </w:rPr>
              <w:t xml:space="preserve">. </w:t>
            </w:r>
            <w:hyperlink r:id="rId129" w:history="1">
              <w:r w:rsidR="009D5930">
                <w:rPr>
                  <w:rStyle w:val="Hyperlink"/>
                </w:rPr>
                <w:t>https://results.ref.ac.uk/(S(5mhsdcrlek45dkop3v4uw5gx))/Submissions/Impact/1519</w:t>
              </w:r>
            </w:hyperlink>
          </w:p>
        </w:tc>
      </w:tr>
      <w:tr w:rsidR="008B4713" w:rsidRPr="007C3701" w14:paraId="561D303B"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7639779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158</w:t>
            </w:r>
          </w:p>
        </w:tc>
        <w:tc>
          <w:tcPr>
            <w:tcW w:w="9225" w:type="dxa"/>
            <w:tcBorders>
              <w:top w:val="nil"/>
              <w:left w:val="single" w:sz="4" w:space="0" w:color="auto"/>
              <w:bottom w:val="nil"/>
              <w:right w:val="single" w:sz="4" w:space="0" w:color="auto"/>
            </w:tcBorders>
            <w:shd w:val="clear" w:color="auto" w:fill="auto"/>
            <w:vAlign w:val="center"/>
            <w:hideMark/>
          </w:tcPr>
          <w:p w14:paraId="15AE2DB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Boyd, D. R.; Sharma, N. D.; Barr, S. A.; Dalton, H.; Chima, J.; Whited, G.; Seemayer, R., Chemoenzymatic Synthesis of the 2,3-Cis-Dihydrodiol and 3,4-Cis-Dihydrodiol Enantiomers of Monosubstituted Benzenes. J. Am. Chem. Soc. 1994, 116, (3), 1147-1148. (DOI: 10.1021/ja00082a053)</w:t>
            </w:r>
          </w:p>
        </w:tc>
      </w:tr>
      <w:tr w:rsidR="008B4713" w:rsidRPr="007C3701" w14:paraId="74505059" w14:textId="77777777" w:rsidTr="004E0087">
        <w:trPr>
          <w:trHeight w:val="1200"/>
        </w:trPr>
        <w:tc>
          <w:tcPr>
            <w:tcW w:w="551" w:type="dxa"/>
            <w:tcBorders>
              <w:top w:val="nil"/>
              <w:left w:val="single" w:sz="4" w:space="0" w:color="auto"/>
              <w:bottom w:val="nil"/>
              <w:right w:val="nil"/>
            </w:tcBorders>
            <w:shd w:val="clear" w:color="auto" w:fill="auto"/>
            <w:noWrap/>
            <w:vAlign w:val="center"/>
            <w:hideMark/>
          </w:tcPr>
          <w:p w14:paraId="38D0245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159</w:t>
            </w:r>
          </w:p>
        </w:tc>
        <w:tc>
          <w:tcPr>
            <w:tcW w:w="9225" w:type="dxa"/>
            <w:tcBorders>
              <w:top w:val="nil"/>
              <w:left w:val="single" w:sz="4" w:space="0" w:color="auto"/>
              <w:bottom w:val="nil"/>
              <w:right w:val="single" w:sz="4" w:space="0" w:color="auto"/>
            </w:tcBorders>
            <w:shd w:val="clear" w:color="auto" w:fill="auto"/>
            <w:vAlign w:val="center"/>
            <w:hideMark/>
          </w:tcPr>
          <w:p w14:paraId="240F26C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Allen, C. C. R.; Boyd, D. R.; Dalton, H.; Sharma, N. D.; Brannigan, I.; Kerley, N. A.; Sheldrake, G. N.; Taylor, S. C., Enantioselective bacterial biotransformation routes to cis-diol metabolites of monosubstituted benzenes, naphthalene and benzocycloalkenes of either absolute configuration. J. Chem. Soc., Chem. Commun. 1995, (2), 117-118. (DOI: 10.1039/c39950000117)</w:t>
            </w:r>
          </w:p>
        </w:tc>
      </w:tr>
      <w:tr w:rsidR="008B4713" w:rsidRPr="007C3701" w14:paraId="4A71C1D8" w14:textId="77777777" w:rsidTr="00863718">
        <w:trPr>
          <w:trHeight w:val="725"/>
        </w:trPr>
        <w:tc>
          <w:tcPr>
            <w:tcW w:w="551" w:type="dxa"/>
            <w:tcBorders>
              <w:top w:val="nil"/>
              <w:left w:val="single" w:sz="4" w:space="0" w:color="auto"/>
              <w:bottom w:val="nil"/>
              <w:right w:val="nil"/>
            </w:tcBorders>
            <w:shd w:val="clear" w:color="auto" w:fill="auto"/>
            <w:noWrap/>
            <w:vAlign w:val="center"/>
            <w:hideMark/>
          </w:tcPr>
          <w:p w14:paraId="48276A4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160</w:t>
            </w:r>
          </w:p>
        </w:tc>
        <w:tc>
          <w:tcPr>
            <w:tcW w:w="9225" w:type="dxa"/>
            <w:tcBorders>
              <w:top w:val="nil"/>
              <w:left w:val="single" w:sz="4" w:space="0" w:color="auto"/>
              <w:bottom w:val="nil"/>
              <w:right w:val="single" w:sz="4" w:space="0" w:color="auto"/>
            </w:tcBorders>
            <w:shd w:val="clear" w:color="auto" w:fill="auto"/>
            <w:vAlign w:val="center"/>
            <w:hideMark/>
          </w:tcPr>
          <w:p w14:paraId="2B25210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Parales, R. E.; Resnick, S. M.; Yu, C. L.; Boyd, D. R.; Sharma, N. D.; Gibson, D. T.,Regioselectivity and enantioselectivity of naphthalene dioxygenase during arene cis- dihydroxylation: Control by phenylalanine 352 in the alpha subunit. J. Bacteriol. 2000, 182, (19), 5495-5504. (DOI: 10.1128/JB.182.19.5495-5504.2000))</w:t>
            </w:r>
          </w:p>
        </w:tc>
      </w:tr>
      <w:tr w:rsidR="008B4713" w:rsidRPr="007C3701" w14:paraId="3DDA6687"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0926584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161</w:t>
            </w:r>
          </w:p>
        </w:tc>
        <w:tc>
          <w:tcPr>
            <w:tcW w:w="9225" w:type="dxa"/>
            <w:tcBorders>
              <w:top w:val="nil"/>
              <w:left w:val="single" w:sz="4" w:space="0" w:color="auto"/>
              <w:bottom w:val="nil"/>
              <w:right w:val="single" w:sz="4" w:space="0" w:color="auto"/>
            </w:tcBorders>
            <w:shd w:val="clear" w:color="auto" w:fill="auto"/>
            <w:vAlign w:val="center"/>
            <w:hideMark/>
          </w:tcPr>
          <w:p w14:paraId="1F168433"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Boyd, D. R.; Sharma, N. D.; Malone, J. F.; Allen, C.C.R . New families of enantiopure cyclohexenone-cis-diol, o-quinol dimer and hydrate metabolites from dioxygenase-catalysed dihydroxylation of phenols, Chem. Commun.,2009, 3633-3635 (DOI: 10.1039/b905940g).</w:t>
            </w:r>
          </w:p>
        </w:tc>
      </w:tr>
      <w:tr w:rsidR="008B4713" w:rsidRPr="007C3701" w14:paraId="572B6779"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7E9C264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162</w:t>
            </w:r>
          </w:p>
        </w:tc>
        <w:tc>
          <w:tcPr>
            <w:tcW w:w="9225" w:type="dxa"/>
            <w:tcBorders>
              <w:top w:val="nil"/>
              <w:left w:val="single" w:sz="4" w:space="0" w:color="auto"/>
              <w:bottom w:val="nil"/>
              <w:right w:val="single" w:sz="4" w:space="0" w:color="auto"/>
            </w:tcBorders>
            <w:shd w:val="clear" w:color="auto" w:fill="auto"/>
            <w:vAlign w:val="center"/>
            <w:hideMark/>
          </w:tcPr>
          <w:p w14:paraId="477463F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Boyd, D. R.; Sharma, N.D.; Acaru, C.; Malone, J.F.; O’Dowd, C.R. Allen,; C. C.R.; Stevenson, P.J., Chemoenzymatic synthesis of carbasugars (+)-pericosines A-C from diverse aromatic cis- dihydrodiol precursors, Org. Lett. 2010, 12, 2206-2209 (DOI: 10.1021/ol100525r)</w:t>
            </w:r>
          </w:p>
        </w:tc>
      </w:tr>
      <w:tr w:rsidR="008B4713" w:rsidRPr="007C3701" w14:paraId="12684B3A"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72D730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163</w:t>
            </w:r>
          </w:p>
        </w:tc>
        <w:tc>
          <w:tcPr>
            <w:tcW w:w="9225" w:type="dxa"/>
            <w:tcBorders>
              <w:top w:val="nil"/>
              <w:left w:val="single" w:sz="4" w:space="0" w:color="auto"/>
              <w:bottom w:val="nil"/>
              <w:right w:val="single" w:sz="4" w:space="0" w:color="auto"/>
            </w:tcBorders>
            <w:shd w:val="clear" w:color="auto" w:fill="auto"/>
            <w:vAlign w:val="center"/>
            <w:hideMark/>
          </w:tcPr>
          <w:p w14:paraId="65A1FCB3"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Boyd, D. R.; Sharma, N. D.; Sbircea, L. ; Murphy, D. ; Belhocine, T.; Malone, J. F.; James, S.L.; Allen C. C. R. ; Hamilton, J. T. G.; Azaarene cis-dihydrodiol-derived 2,2′-bipyridine ligands for asymmetric allylic oxidation and cyclopropanation, Chem. Commun., 2008, 5535-5537 (DOI: 10.1039/b814678k).</w:t>
            </w:r>
          </w:p>
        </w:tc>
      </w:tr>
      <w:tr w:rsidR="008B4713" w:rsidRPr="007C3701" w14:paraId="0DA6899E" w14:textId="77777777" w:rsidTr="00EC0251">
        <w:trPr>
          <w:trHeight w:val="300"/>
        </w:trPr>
        <w:tc>
          <w:tcPr>
            <w:tcW w:w="551" w:type="dxa"/>
            <w:tcBorders>
              <w:top w:val="nil"/>
              <w:left w:val="single" w:sz="4" w:space="0" w:color="auto"/>
              <w:bottom w:val="nil"/>
              <w:right w:val="nil"/>
            </w:tcBorders>
            <w:shd w:val="clear" w:color="auto" w:fill="auto"/>
            <w:noWrap/>
            <w:vAlign w:val="center"/>
            <w:hideMark/>
          </w:tcPr>
          <w:p w14:paraId="461AAEA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164</w:t>
            </w:r>
          </w:p>
        </w:tc>
        <w:tc>
          <w:tcPr>
            <w:tcW w:w="9225" w:type="dxa"/>
            <w:tcBorders>
              <w:top w:val="nil"/>
              <w:left w:val="single" w:sz="4" w:space="0" w:color="auto"/>
              <w:bottom w:val="nil"/>
              <w:right w:val="single" w:sz="4" w:space="0" w:color="auto"/>
            </w:tcBorders>
            <w:shd w:val="clear" w:color="auto" w:fill="auto"/>
            <w:vAlign w:val="center"/>
            <w:hideMark/>
          </w:tcPr>
          <w:p w14:paraId="08AA7065" w14:textId="2E236C92" w:rsidR="008B4713" w:rsidRPr="007C3701" w:rsidRDefault="00A56355" w:rsidP="004E0087">
            <w:pPr>
              <w:spacing w:after="0" w:line="240" w:lineRule="auto"/>
              <w:rPr>
                <w:rFonts w:ascii="Calibri" w:eastAsia="Times New Roman" w:hAnsi="Calibri" w:cs="Calibri"/>
                <w:color w:val="000000"/>
                <w:lang w:eastAsia="en-GB"/>
              </w:rPr>
            </w:pPr>
            <w:hyperlink r:id="rId130" w:history="1">
              <w:r w:rsidR="002F0544" w:rsidRPr="000562AF">
                <w:rPr>
                  <w:rStyle w:val="Hyperlink"/>
                  <w:rFonts w:ascii="Calibri" w:eastAsia="Times New Roman" w:hAnsi="Calibri" w:cs="Calibri"/>
                  <w:lang w:eastAsia="en-GB"/>
                </w:rPr>
                <w:t>https://www.researchgate.net/scientific-contributions/39833505_Narain_D_Sharma</w:t>
              </w:r>
            </w:hyperlink>
            <w:r w:rsidR="002F0544">
              <w:rPr>
                <w:rFonts w:ascii="Calibri" w:eastAsia="Times New Roman" w:hAnsi="Calibri" w:cs="Calibri"/>
                <w:color w:val="000000"/>
                <w:lang w:eastAsia="en-GB"/>
              </w:rPr>
              <w:t xml:space="preserve"> </w:t>
            </w:r>
            <w:r w:rsidR="00863718">
              <w:rPr>
                <w:rFonts w:ascii="Calibri" w:eastAsia="Times New Roman" w:hAnsi="Calibri" w:cs="Calibri"/>
                <w:color w:val="000000"/>
                <w:lang w:eastAsia="en-GB"/>
              </w:rPr>
              <w:t>(accessed 4 September 2019)</w:t>
            </w:r>
          </w:p>
        </w:tc>
      </w:tr>
      <w:tr w:rsidR="008B4713" w:rsidRPr="007C3701" w14:paraId="6466DBC4" w14:textId="77777777" w:rsidTr="00EC0251">
        <w:trPr>
          <w:trHeight w:val="300"/>
        </w:trPr>
        <w:tc>
          <w:tcPr>
            <w:tcW w:w="551" w:type="dxa"/>
            <w:tcBorders>
              <w:top w:val="nil"/>
              <w:left w:val="single" w:sz="4" w:space="0" w:color="auto"/>
              <w:bottom w:val="nil"/>
              <w:right w:val="nil"/>
            </w:tcBorders>
            <w:shd w:val="clear" w:color="auto" w:fill="auto"/>
            <w:noWrap/>
            <w:vAlign w:val="center"/>
            <w:hideMark/>
          </w:tcPr>
          <w:p w14:paraId="48FA2B5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165</w:t>
            </w:r>
          </w:p>
        </w:tc>
        <w:tc>
          <w:tcPr>
            <w:tcW w:w="9225" w:type="dxa"/>
            <w:tcBorders>
              <w:top w:val="nil"/>
              <w:left w:val="single" w:sz="4" w:space="0" w:color="auto"/>
              <w:bottom w:val="nil"/>
              <w:right w:val="single" w:sz="4" w:space="0" w:color="auto"/>
            </w:tcBorders>
            <w:shd w:val="clear" w:color="auto" w:fill="auto"/>
            <w:vAlign w:val="center"/>
            <w:hideMark/>
          </w:tcPr>
          <w:p w14:paraId="405DAA9B" w14:textId="2008F5E8"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Almac</w:t>
            </w:r>
            <w:r w:rsidR="002F0544">
              <w:rPr>
                <w:rFonts w:ascii="Calibri" w:eastAsia="Times New Roman" w:hAnsi="Calibri" w:cs="Calibri"/>
                <w:color w:val="000000"/>
                <w:lang w:eastAsia="en-GB"/>
              </w:rPr>
              <w:t xml:space="preserve"> Sciences (profile of Tom Moody – collaborator with and graduate from Queen’s University Belfast, contributing directly to the BoR and its impact). </w:t>
            </w:r>
            <w:hyperlink r:id="rId131" w:history="1">
              <w:r w:rsidR="002F0544">
                <w:rPr>
                  <w:rStyle w:val="Hyperlink"/>
                </w:rPr>
                <w:t>https://www.almacgroup.com/subject-matter-excellence-tom-moody/</w:t>
              </w:r>
            </w:hyperlink>
            <w:r w:rsidR="00863718">
              <w:t xml:space="preserve"> </w:t>
            </w:r>
            <w:r w:rsidR="00863718">
              <w:rPr>
                <w:rFonts w:ascii="Calibri" w:eastAsia="Times New Roman" w:hAnsi="Calibri" w:cs="Calibri"/>
                <w:color w:val="000000"/>
                <w:lang w:eastAsia="en-GB"/>
              </w:rPr>
              <w:t>(accessed 4 September 2019)</w:t>
            </w:r>
          </w:p>
        </w:tc>
      </w:tr>
      <w:tr w:rsidR="008B4713" w:rsidRPr="007C3701" w14:paraId="642A998C" w14:textId="77777777" w:rsidTr="00EC0251">
        <w:trPr>
          <w:trHeight w:val="300"/>
        </w:trPr>
        <w:tc>
          <w:tcPr>
            <w:tcW w:w="551" w:type="dxa"/>
            <w:tcBorders>
              <w:top w:val="nil"/>
              <w:left w:val="single" w:sz="4" w:space="0" w:color="auto"/>
              <w:bottom w:val="nil"/>
              <w:right w:val="nil"/>
            </w:tcBorders>
            <w:shd w:val="clear" w:color="auto" w:fill="auto"/>
            <w:noWrap/>
            <w:vAlign w:val="center"/>
            <w:hideMark/>
          </w:tcPr>
          <w:p w14:paraId="5909D7C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166</w:t>
            </w:r>
          </w:p>
        </w:tc>
        <w:tc>
          <w:tcPr>
            <w:tcW w:w="9225" w:type="dxa"/>
            <w:tcBorders>
              <w:top w:val="nil"/>
              <w:left w:val="single" w:sz="4" w:space="0" w:color="auto"/>
              <w:bottom w:val="nil"/>
              <w:right w:val="single" w:sz="4" w:space="0" w:color="auto"/>
            </w:tcBorders>
            <w:shd w:val="clear" w:color="auto" w:fill="auto"/>
            <w:vAlign w:val="center"/>
            <w:hideMark/>
          </w:tcPr>
          <w:p w14:paraId="69A7C482" w14:textId="12CE8918" w:rsidR="008B4713" w:rsidRPr="007C3701" w:rsidRDefault="00A56355" w:rsidP="004E0087">
            <w:pPr>
              <w:spacing w:after="0" w:line="240" w:lineRule="auto"/>
              <w:rPr>
                <w:rFonts w:ascii="Calibri" w:eastAsia="Times New Roman" w:hAnsi="Calibri" w:cs="Calibri"/>
                <w:color w:val="000000"/>
                <w:lang w:eastAsia="en-GB"/>
              </w:rPr>
            </w:pPr>
            <w:hyperlink r:id="rId132" w:history="1">
              <w:r w:rsidR="00863718" w:rsidRPr="000562AF">
                <w:rPr>
                  <w:rStyle w:val="Hyperlink"/>
                  <w:rFonts w:ascii="Calibri" w:eastAsia="Times New Roman" w:hAnsi="Calibri" w:cs="Calibri"/>
                  <w:lang w:eastAsia="en-GB"/>
                </w:rPr>
                <w:t>https://uk.linkedin.com/in/acaru-carmen-31881249</w:t>
              </w:r>
            </w:hyperlink>
            <w:r w:rsidR="00863718">
              <w:rPr>
                <w:rFonts w:ascii="Calibri" w:eastAsia="Times New Roman" w:hAnsi="Calibri" w:cs="Calibri"/>
                <w:color w:val="000000"/>
                <w:lang w:eastAsia="en-GB"/>
              </w:rPr>
              <w:t xml:space="preserve"> (accessed 4 September 2019)</w:t>
            </w:r>
          </w:p>
        </w:tc>
      </w:tr>
      <w:tr w:rsidR="008B4713" w:rsidRPr="007C3701" w14:paraId="20AF1D8B" w14:textId="77777777" w:rsidTr="00EC0251">
        <w:trPr>
          <w:trHeight w:val="300"/>
        </w:trPr>
        <w:tc>
          <w:tcPr>
            <w:tcW w:w="551" w:type="dxa"/>
            <w:tcBorders>
              <w:top w:val="nil"/>
              <w:left w:val="single" w:sz="4" w:space="0" w:color="auto"/>
              <w:bottom w:val="nil"/>
              <w:right w:val="nil"/>
            </w:tcBorders>
            <w:shd w:val="clear" w:color="auto" w:fill="auto"/>
            <w:noWrap/>
            <w:vAlign w:val="center"/>
            <w:hideMark/>
          </w:tcPr>
          <w:p w14:paraId="5151866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167</w:t>
            </w:r>
          </w:p>
        </w:tc>
        <w:tc>
          <w:tcPr>
            <w:tcW w:w="9225" w:type="dxa"/>
            <w:tcBorders>
              <w:top w:val="nil"/>
              <w:left w:val="single" w:sz="4" w:space="0" w:color="auto"/>
              <w:bottom w:val="nil"/>
              <w:right w:val="single" w:sz="4" w:space="0" w:color="auto"/>
            </w:tcBorders>
            <w:shd w:val="clear" w:color="auto" w:fill="auto"/>
            <w:vAlign w:val="center"/>
            <w:hideMark/>
          </w:tcPr>
          <w:p w14:paraId="3F9DB82B" w14:textId="65D85A84"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https://www.chemexpert.co.uk/ PhD student 2005-8</w:t>
            </w:r>
            <w:r w:rsidR="00863718">
              <w:rPr>
                <w:rFonts w:ascii="Calibri" w:eastAsia="Times New Roman" w:hAnsi="Calibri" w:cs="Calibri"/>
                <w:color w:val="000000"/>
                <w:lang w:eastAsia="en-GB"/>
              </w:rPr>
              <w:t xml:space="preserve"> (accessed 4 September 2019)</w:t>
            </w:r>
          </w:p>
        </w:tc>
      </w:tr>
      <w:tr w:rsidR="008B4713" w:rsidRPr="007C3701" w14:paraId="0B025D0A" w14:textId="77777777" w:rsidTr="00EC0251">
        <w:trPr>
          <w:trHeight w:val="300"/>
        </w:trPr>
        <w:tc>
          <w:tcPr>
            <w:tcW w:w="551" w:type="dxa"/>
            <w:tcBorders>
              <w:top w:val="nil"/>
              <w:left w:val="single" w:sz="4" w:space="0" w:color="auto"/>
              <w:bottom w:val="nil"/>
              <w:right w:val="nil"/>
            </w:tcBorders>
            <w:shd w:val="clear" w:color="auto" w:fill="auto"/>
            <w:noWrap/>
            <w:vAlign w:val="center"/>
            <w:hideMark/>
          </w:tcPr>
          <w:p w14:paraId="790D21C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168</w:t>
            </w:r>
          </w:p>
        </w:tc>
        <w:tc>
          <w:tcPr>
            <w:tcW w:w="9225" w:type="dxa"/>
            <w:tcBorders>
              <w:top w:val="nil"/>
              <w:left w:val="single" w:sz="4" w:space="0" w:color="auto"/>
              <w:bottom w:val="nil"/>
              <w:right w:val="single" w:sz="4" w:space="0" w:color="auto"/>
            </w:tcBorders>
            <w:shd w:val="clear" w:color="auto" w:fill="auto"/>
            <w:vAlign w:val="center"/>
            <w:hideMark/>
          </w:tcPr>
          <w:p w14:paraId="07D4D52A" w14:textId="186E1FF5" w:rsidR="008B4713" w:rsidRPr="007C3701" w:rsidRDefault="00A56355" w:rsidP="004E0087">
            <w:pPr>
              <w:spacing w:after="0" w:line="240" w:lineRule="auto"/>
              <w:rPr>
                <w:rFonts w:ascii="Calibri" w:eastAsia="Times New Roman" w:hAnsi="Calibri" w:cs="Calibri"/>
                <w:color w:val="000000"/>
                <w:lang w:eastAsia="en-GB"/>
              </w:rPr>
            </w:pPr>
            <w:hyperlink r:id="rId133" w:history="1">
              <w:r w:rsidR="002F0544">
                <w:rPr>
                  <w:rStyle w:val="Hyperlink"/>
                </w:rPr>
                <w:t>https://www.linkedin.com/in/tayeb-belhocine-b210b440?originalSubdomain=uk</w:t>
              </w:r>
            </w:hyperlink>
            <w:r w:rsidR="00863718">
              <w:t xml:space="preserve"> </w:t>
            </w:r>
            <w:r w:rsidR="00863718">
              <w:rPr>
                <w:rFonts w:ascii="Calibri" w:eastAsia="Times New Roman" w:hAnsi="Calibri" w:cs="Calibri"/>
                <w:color w:val="000000"/>
                <w:lang w:eastAsia="en-GB"/>
              </w:rPr>
              <w:t>(accessed 4 September 2019)</w:t>
            </w:r>
          </w:p>
        </w:tc>
      </w:tr>
      <w:tr w:rsidR="008B4713" w:rsidRPr="007C3701" w14:paraId="293CB30D" w14:textId="77777777" w:rsidTr="00EC0251">
        <w:trPr>
          <w:trHeight w:val="300"/>
        </w:trPr>
        <w:tc>
          <w:tcPr>
            <w:tcW w:w="551" w:type="dxa"/>
            <w:tcBorders>
              <w:top w:val="nil"/>
              <w:left w:val="single" w:sz="4" w:space="0" w:color="auto"/>
              <w:bottom w:val="nil"/>
              <w:right w:val="nil"/>
            </w:tcBorders>
            <w:shd w:val="clear" w:color="auto" w:fill="auto"/>
            <w:noWrap/>
            <w:vAlign w:val="center"/>
            <w:hideMark/>
          </w:tcPr>
          <w:p w14:paraId="74B8059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169</w:t>
            </w:r>
          </w:p>
        </w:tc>
        <w:tc>
          <w:tcPr>
            <w:tcW w:w="9225" w:type="dxa"/>
            <w:tcBorders>
              <w:top w:val="nil"/>
              <w:left w:val="single" w:sz="4" w:space="0" w:color="auto"/>
              <w:bottom w:val="nil"/>
              <w:right w:val="single" w:sz="4" w:space="0" w:color="auto"/>
            </w:tcBorders>
            <w:shd w:val="clear" w:color="auto" w:fill="auto"/>
            <w:vAlign w:val="center"/>
            <w:hideMark/>
          </w:tcPr>
          <w:p w14:paraId="52BC9F6B" w14:textId="53CCC35C" w:rsidR="008B4713" w:rsidRPr="007C3701" w:rsidRDefault="00A56355" w:rsidP="004E0087">
            <w:pPr>
              <w:spacing w:after="0" w:line="240" w:lineRule="auto"/>
              <w:rPr>
                <w:rFonts w:ascii="Calibri" w:eastAsia="Times New Roman" w:hAnsi="Calibri" w:cs="Calibri"/>
                <w:color w:val="000000"/>
                <w:lang w:eastAsia="en-GB"/>
              </w:rPr>
            </w:pPr>
            <w:hyperlink r:id="rId134" w:history="1">
              <w:r w:rsidR="001A135B" w:rsidRPr="000562AF">
                <w:rPr>
                  <w:rStyle w:val="Hyperlink"/>
                  <w:rFonts w:ascii="Calibri" w:eastAsia="Times New Roman" w:hAnsi="Calibri" w:cs="Calibri"/>
                  <w:lang w:eastAsia="en-GB"/>
                </w:rPr>
                <w:t>https://uk.linkedin.com/in/john-malone-a6b2a945</w:t>
              </w:r>
            </w:hyperlink>
            <w:r w:rsidR="001A135B">
              <w:rPr>
                <w:rFonts w:ascii="Calibri" w:eastAsia="Times New Roman" w:hAnsi="Calibri" w:cs="Calibri"/>
                <w:color w:val="000000"/>
                <w:lang w:eastAsia="en-GB"/>
              </w:rPr>
              <w:t xml:space="preserve"> </w:t>
            </w:r>
            <w:r w:rsidR="00863718">
              <w:rPr>
                <w:rFonts w:ascii="Calibri" w:eastAsia="Times New Roman" w:hAnsi="Calibri" w:cs="Calibri"/>
                <w:color w:val="000000"/>
                <w:lang w:eastAsia="en-GB"/>
              </w:rPr>
              <w:t>(accessed 4 September 2019)</w:t>
            </w:r>
          </w:p>
        </w:tc>
      </w:tr>
      <w:tr w:rsidR="008B4713" w:rsidRPr="007C3701" w14:paraId="5A89A74F"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ADB1C6"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8.2</w:t>
            </w:r>
          </w:p>
        </w:tc>
      </w:tr>
      <w:tr w:rsidR="008B4713" w:rsidRPr="007C3701" w14:paraId="43018BEB"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6DE46C3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170</w:t>
            </w:r>
          </w:p>
        </w:tc>
        <w:tc>
          <w:tcPr>
            <w:tcW w:w="9225" w:type="dxa"/>
            <w:tcBorders>
              <w:top w:val="nil"/>
              <w:left w:val="single" w:sz="4" w:space="0" w:color="auto"/>
              <w:bottom w:val="nil"/>
              <w:right w:val="single" w:sz="4" w:space="0" w:color="auto"/>
            </w:tcBorders>
            <w:shd w:val="clear" w:color="auto" w:fill="auto"/>
            <w:vAlign w:val="center"/>
            <w:hideMark/>
          </w:tcPr>
          <w:p w14:paraId="6F1991F6" w14:textId="716F7397" w:rsidR="008B4713" w:rsidRPr="007C3701" w:rsidRDefault="0061024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Queen’s University Belfast (2014). </w:t>
            </w:r>
            <w:r w:rsidR="008B4713" w:rsidRPr="007C3701">
              <w:rPr>
                <w:rFonts w:ascii="Calibri" w:eastAsia="Times New Roman" w:hAnsi="Calibri" w:cs="Calibri"/>
                <w:color w:val="000000"/>
                <w:lang w:eastAsia="en-GB"/>
              </w:rPr>
              <w:t>REF Impact Case Study no. 38358</w:t>
            </w:r>
            <w:r w:rsidR="009D5930">
              <w:rPr>
                <w:rFonts w:ascii="Calibri" w:eastAsia="Times New Roman" w:hAnsi="Calibri" w:cs="Calibri"/>
                <w:color w:val="000000"/>
                <w:lang w:eastAsia="en-GB"/>
              </w:rPr>
              <w:t xml:space="preserve">. </w:t>
            </w:r>
            <w:hyperlink r:id="rId135" w:history="1">
              <w:r w:rsidR="009D5930">
                <w:rPr>
                  <w:rStyle w:val="Hyperlink"/>
                </w:rPr>
                <w:t>https://results.ref.ac.uk/(S(5mhsdcrlek45dkop3v4uw5gx))/Submissions/Impact/1519</w:t>
              </w:r>
            </w:hyperlink>
          </w:p>
        </w:tc>
      </w:tr>
      <w:tr w:rsidR="008B4713" w:rsidRPr="007C3701" w14:paraId="11710DFF"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2D61927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171</w:t>
            </w:r>
          </w:p>
        </w:tc>
        <w:tc>
          <w:tcPr>
            <w:tcW w:w="9225" w:type="dxa"/>
            <w:tcBorders>
              <w:top w:val="nil"/>
              <w:left w:val="single" w:sz="4" w:space="0" w:color="auto"/>
              <w:bottom w:val="nil"/>
              <w:right w:val="single" w:sz="4" w:space="0" w:color="auto"/>
            </w:tcBorders>
            <w:shd w:val="clear" w:color="auto" w:fill="auto"/>
            <w:vAlign w:val="center"/>
            <w:hideMark/>
          </w:tcPr>
          <w:p w14:paraId="133C756A"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Influence of chloride, water, and organic solvents on the physical properties of ionic liquids, KR Seddon, A Stark, MJ Torres, Pure Appl. Chem., 2000, 72, 2275</w:t>
            </w:r>
          </w:p>
        </w:tc>
      </w:tr>
      <w:tr w:rsidR="008B4713" w:rsidRPr="007C3701" w14:paraId="3D45F63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932A2B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172</w:t>
            </w:r>
          </w:p>
        </w:tc>
        <w:tc>
          <w:tcPr>
            <w:tcW w:w="9225" w:type="dxa"/>
            <w:tcBorders>
              <w:top w:val="nil"/>
              <w:left w:val="single" w:sz="4" w:space="0" w:color="auto"/>
              <w:bottom w:val="nil"/>
              <w:right w:val="single" w:sz="4" w:space="0" w:color="auto"/>
            </w:tcBorders>
            <w:shd w:val="clear" w:color="auto" w:fill="auto"/>
            <w:vAlign w:val="center"/>
            <w:hideMark/>
          </w:tcPr>
          <w:p w14:paraId="669A01DA"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The phase behaviour of 1-alkyl-3-methylimidazolium tetrafluoroborates; ionic liquids and ionic liquid crystals, JD Holbrey, KR Seddon, J. Chem. Soc., Dalton Trans., 1999, 2133, DOI: 10.1039/a902818h</w:t>
            </w:r>
          </w:p>
        </w:tc>
      </w:tr>
      <w:tr w:rsidR="008B4713" w:rsidRPr="007C3701" w14:paraId="51BCF452"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4002822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173</w:t>
            </w:r>
          </w:p>
        </w:tc>
        <w:tc>
          <w:tcPr>
            <w:tcW w:w="9225" w:type="dxa"/>
            <w:tcBorders>
              <w:top w:val="nil"/>
              <w:left w:val="single" w:sz="4" w:space="0" w:color="auto"/>
              <w:bottom w:val="nil"/>
              <w:right w:val="single" w:sz="4" w:space="0" w:color="auto"/>
            </w:tcBorders>
            <w:shd w:val="clear" w:color="auto" w:fill="auto"/>
            <w:vAlign w:val="center"/>
            <w:hideMark/>
          </w:tcPr>
          <w:p w14:paraId="3B47EF87"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Efficient, halide free synthesis of new, low cost ionic liquids: 1,3-dialkylimidazolium salts containing methyl- and ethyl-sulfate anions, JD Holbrey, WM Reichert, RP Swatloski, GA Broker, WR Pitner, KR Seddon, RD Rogers, Green Chem., 2002, 4, 407, DOI: 10.1039/b204469b</w:t>
            </w:r>
          </w:p>
        </w:tc>
      </w:tr>
      <w:tr w:rsidR="008B4713" w:rsidRPr="007C3701" w14:paraId="5EC854AC"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58F5C54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174</w:t>
            </w:r>
          </w:p>
        </w:tc>
        <w:tc>
          <w:tcPr>
            <w:tcW w:w="9225" w:type="dxa"/>
            <w:tcBorders>
              <w:top w:val="nil"/>
              <w:left w:val="single" w:sz="4" w:space="0" w:color="auto"/>
              <w:bottom w:val="nil"/>
              <w:right w:val="single" w:sz="4" w:space="0" w:color="auto"/>
            </w:tcBorders>
            <w:shd w:val="clear" w:color="auto" w:fill="auto"/>
            <w:vAlign w:val="center"/>
            <w:hideMark/>
          </w:tcPr>
          <w:p w14:paraId="679F212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Desulfurisation of oils using ionic liquids: selection of cationic and anionic components to enhance extraction efficiency, JD Holbrey, I Lopez-Martin, G Rothenberg, KR Seddon, G Silvero, X Zheng, Green Chem., 2008, 10, 87, DOI: 10.1039/b710651c </w:t>
            </w:r>
          </w:p>
        </w:tc>
      </w:tr>
      <w:tr w:rsidR="008B4713" w:rsidRPr="007C3701" w14:paraId="038BE6F6"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4665337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175</w:t>
            </w:r>
          </w:p>
        </w:tc>
        <w:tc>
          <w:tcPr>
            <w:tcW w:w="9225" w:type="dxa"/>
            <w:tcBorders>
              <w:top w:val="nil"/>
              <w:left w:val="single" w:sz="4" w:space="0" w:color="auto"/>
              <w:bottom w:val="nil"/>
              <w:right w:val="single" w:sz="4" w:space="0" w:color="auto"/>
            </w:tcBorders>
            <w:shd w:val="clear" w:color="auto" w:fill="auto"/>
            <w:vAlign w:val="center"/>
            <w:hideMark/>
          </w:tcPr>
          <w:p w14:paraId="3373FBB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Small angle neutron diffraction from 1,3-dimethylimidazolium chloride, C. Hardacre, J. D. Holbrey, S. E. J. McMath, D. T. Bowron, and A. K. Soper, J. Chem. Phys., 2003, 118, 272</w:t>
            </w:r>
          </w:p>
        </w:tc>
      </w:tr>
      <w:tr w:rsidR="008B4713" w:rsidRPr="007C3701" w14:paraId="33C654F2"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2928122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176</w:t>
            </w:r>
          </w:p>
        </w:tc>
        <w:tc>
          <w:tcPr>
            <w:tcW w:w="9225" w:type="dxa"/>
            <w:tcBorders>
              <w:top w:val="nil"/>
              <w:left w:val="single" w:sz="4" w:space="0" w:color="auto"/>
              <w:bottom w:val="nil"/>
              <w:right w:val="single" w:sz="4" w:space="0" w:color="auto"/>
            </w:tcBorders>
            <w:shd w:val="clear" w:color="auto" w:fill="auto"/>
            <w:vAlign w:val="center"/>
            <w:hideMark/>
          </w:tcPr>
          <w:p w14:paraId="014E4C00"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Process for removing metals from hydrocarbons, M. Abai, M. Atkins, K. Y. Cheun, J. D. Holbrey, P. Nockemann, K. R. Seddon, G. Srinivasan, Y. Zou, World Patent Application</w:t>
            </w:r>
            <w:r w:rsidRPr="007C3701">
              <w:rPr>
                <w:rFonts w:ascii="Calibri" w:eastAsia="Times New Roman" w:hAnsi="Calibri" w:cs="Calibri"/>
                <w:color w:val="000000"/>
                <w:lang w:eastAsia="en-GB"/>
              </w:rPr>
              <w:br/>
              <w:t>PCT/WO 2012/046057 A2</w:t>
            </w:r>
          </w:p>
        </w:tc>
      </w:tr>
      <w:tr w:rsidR="008B4713" w:rsidRPr="007C3701" w14:paraId="732E33E5"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5AB5A38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177</w:t>
            </w:r>
          </w:p>
        </w:tc>
        <w:tc>
          <w:tcPr>
            <w:tcW w:w="9225" w:type="dxa"/>
            <w:tcBorders>
              <w:top w:val="nil"/>
              <w:left w:val="single" w:sz="4" w:space="0" w:color="auto"/>
              <w:bottom w:val="nil"/>
              <w:right w:val="single" w:sz="4" w:space="0" w:color="auto"/>
            </w:tcBorders>
            <w:shd w:val="clear" w:color="auto" w:fill="auto"/>
            <w:vAlign w:val="center"/>
            <w:hideMark/>
          </w:tcPr>
          <w:p w14:paraId="05504330"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Sneddon, K. R. Ionic Liquids for Clearn Technology. J. Chem. T ech. Biotechnol. 1997, 68, 351È356</w:t>
            </w:r>
          </w:p>
        </w:tc>
      </w:tr>
      <w:tr w:rsidR="008B4713" w:rsidRPr="007C3701" w14:paraId="2DDE9159"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4E89BF8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178</w:t>
            </w:r>
          </w:p>
        </w:tc>
        <w:tc>
          <w:tcPr>
            <w:tcW w:w="9225" w:type="dxa"/>
            <w:tcBorders>
              <w:top w:val="nil"/>
              <w:left w:val="single" w:sz="4" w:space="0" w:color="auto"/>
              <w:bottom w:val="nil"/>
              <w:right w:val="single" w:sz="4" w:space="0" w:color="auto"/>
            </w:tcBorders>
            <w:shd w:val="clear" w:color="auto" w:fill="auto"/>
            <w:vAlign w:val="center"/>
            <w:hideMark/>
          </w:tcPr>
          <w:p w14:paraId="15851761"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Deetlefs, M., Sneddon, K. R. Making the world safer: Ionic liquids at work. Catalyst, February 2015. www.catalyststudent.org.uk</w:t>
            </w:r>
          </w:p>
        </w:tc>
      </w:tr>
      <w:tr w:rsidR="008B4713" w:rsidRPr="007C3701" w14:paraId="298B88F1" w14:textId="77777777" w:rsidTr="00CC5A03">
        <w:trPr>
          <w:trHeight w:val="300"/>
        </w:trPr>
        <w:tc>
          <w:tcPr>
            <w:tcW w:w="551" w:type="dxa"/>
            <w:tcBorders>
              <w:top w:val="nil"/>
              <w:left w:val="single" w:sz="4" w:space="0" w:color="auto"/>
              <w:bottom w:val="nil"/>
              <w:right w:val="nil"/>
            </w:tcBorders>
            <w:shd w:val="clear" w:color="auto" w:fill="auto"/>
            <w:noWrap/>
            <w:vAlign w:val="center"/>
            <w:hideMark/>
          </w:tcPr>
          <w:p w14:paraId="4E7AC42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179</w:t>
            </w:r>
          </w:p>
        </w:tc>
        <w:tc>
          <w:tcPr>
            <w:tcW w:w="9225" w:type="dxa"/>
            <w:tcBorders>
              <w:top w:val="nil"/>
              <w:left w:val="single" w:sz="4" w:space="0" w:color="auto"/>
              <w:bottom w:val="nil"/>
              <w:right w:val="single" w:sz="4" w:space="0" w:color="auto"/>
            </w:tcBorders>
            <w:shd w:val="clear" w:color="auto" w:fill="auto"/>
            <w:vAlign w:val="center"/>
            <w:hideMark/>
          </w:tcPr>
          <w:p w14:paraId="56C39DDA" w14:textId="5BB25985" w:rsidR="008B4713" w:rsidRPr="007C3701" w:rsidRDefault="00A56355" w:rsidP="004E0087">
            <w:pPr>
              <w:spacing w:after="0" w:line="240" w:lineRule="auto"/>
              <w:rPr>
                <w:rFonts w:ascii="Calibri" w:eastAsia="Times New Roman" w:hAnsi="Calibri" w:cs="Calibri"/>
                <w:color w:val="0563C1"/>
                <w:u w:val="single"/>
                <w:lang w:eastAsia="en-GB"/>
              </w:rPr>
            </w:pPr>
            <w:hyperlink r:id="rId136" w:history="1">
              <w:r w:rsidR="008B4713" w:rsidRPr="007C3701">
                <w:rPr>
                  <w:rFonts w:ascii="Calibri" w:eastAsia="Times New Roman" w:hAnsi="Calibri" w:cs="Calibri"/>
                  <w:color w:val="0563C1"/>
                  <w:u w:val="single"/>
                  <w:lang w:eastAsia="en-GB"/>
                </w:rPr>
                <w:t>https://www.almacgroup.com/news/almac-group-drives-biocatalysisleadership-7m-investment.</w:t>
              </w:r>
            </w:hyperlink>
            <w:r w:rsidR="00CC5A03">
              <w:rPr>
                <w:rFonts w:ascii="Calibri" w:eastAsia="Times New Roman" w:hAnsi="Calibri" w:cs="Calibri"/>
                <w:color w:val="000000"/>
                <w:lang w:eastAsia="en-GB"/>
              </w:rPr>
              <w:t xml:space="preserve"> (accessed 4 September 2019)</w:t>
            </w:r>
          </w:p>
        </w:tc>
      </w:tr>
      <w:tr w:rsidR="008B4713" w:rsidRPr="007C3701" w14:paraId="4A03BBFD" w14:textId="77777777" w:rsidTr="00CC5A03">
        <w:trPr>
          <w:trHeight w:val="300"/>
        </w:trPr>
        <w:tc>
          <w:tcPr>
            <w:tcW w:w="551" w:type="dxa"/>
            <w:tcBorders>
              <w:top w:val="nil"/>
              <w:left w:val="single" w:sz="4" w:space="0" w:color="auto"/>
              <w:bottom w:val="nil"/>
              <w:right w:val="nil"/>
            </w:tcBorders>
            <w:shd w:val="clear" w:color="auto" w:fill="auto"/>
            <w:noWrap/>
            <w:vAlign w:val="center"/>
            <w:hideMark/>
          </w:tcPr>
          <w:p w14:paraId="691149B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180</w:t>
            </w:r>
          </w:p>
        </w:tc>
        <w:tc>
          <w:tcPr>
            <w:tcW w:w="9225" w:type="dxa"/>
            <w:tcBorders>
              <w:top w:val="nil"/>
              <w:left w:val="single" w:sz="4" w:space="0" w:color="auto"/>
              <w:bottom w:val="nil"/>
              <w:right w:val="single" w:sz="4" w:space="0" w:color="auto"/>
            </w:tcBorders>
            <w:shd w:val="clear" w:color="auto" w:fill="auto"/>
            <w:vAlign w:val="center"/>
            <w:hideMark/>
          </w:tcPr>
          <w:p w14:paraId="57469660" w14:textId="64213249" w:rsidR="008B4713" w:rsidRPr="00610249" w:rsidRDefault="00C14D02" w:rsidP="004E0087">
            <w:pPr>
              <w:spacing w:after="0" w:line="240" w:lineRule="auto"/>
              <w:rPr>
                <w:rFonts w:ascii="Calibri" w:eastAsia="Times New Roman" w:hAnsi="Calibri" w:cs="Calibri"/>
                <w:color w:val="000000"/>
                <w:highlight w:val="red"/>
                <w:lang w:eastAsia="en-GB"/>
              </w:rPr>
            </w:pPr>
            <w:r>
              <w:rPr>
                <w:rFonts w:ascii="Calibri" w:eastAsia="Times New Roman" w:hAnsi="Calibri" w:cs="Calibri"/>
                <w:color w:val="000000"/>
                <w:lang w:eastAsia="en-GB"/>
              </w:rPr>
              <w:t xml:space="preserve">Queen’s University Ionic Liquids Laboratory. </w:t>
            </w:r>
            <w:hyperlink r:id="rId137" w:history="1">
              <w:r w:rsidRPr="000562AF">
                <w:rPr>
                  <w:rStyle w:val="Hyperlink"/>
                  <w:rFonts w:ascii="Calibri" w:eastAsia="Times New Roman" w:hAnsi="Calibri" w:cs="Calibri"/>
                  <w:lang w:eastAsia="en-GB"/>
                </w:rPr>
                <w:t>https://www.qub.ac.uk/schools/SchoolofChemistryandChemicalEngineering/Research/QUILL/</w:t>
              </w:r>
            </w:hyperlink>
            <w:r>
              <w:rPr>
                <w:rFonts w:ascii="Calibri" w:eastAsia="Times New Roman" w:hAnsi="Calibri" w:cs="Calibri"/>
                <w:color w:val="000000"/>
                <w:lang w:eastAsia="en-GB"/>
              </w:rPr>
              <w:t xml:space="preserve"> </w:t>
            </w:r>
            <w:r w:rsidR="00CC5A03">
              <w:rPr>
                <w:rFonts w:ascii="Calibri" w:eastAsia="Times New Roman" w:hAnsi="Calibri" w:cs="Calibri"/>
                <w:color w:val="000000"/>
                <w:lang w:eastAsia="en-GB"/>
              </w:rPr>
              <w:t>(accessed 4 September 2019)</w:t>
            </w:r>
          </w:p>
        </w:tc>
      </w:tr>
      <w:tr w:rsidR="008B4713" w:rsidRPr="007C3701" w14:paraId="63052C9F" w14:textId="77777777" w:rsidTr="00CC5A03">
        <w:trPr>
          <w:trHeight w:val="300"/>
        </w:trPr>
        <w:tc>
          <w:tcPr>
            <w:tcW w:w="551" w:type="dxa"/>
            <w:tcBorders>
              <w:top w:val="nil"/>
              <w:left w:val="single" w:sz="4" w:space="0" w:color="auto"/>
              <w:bottom w:val="nil"/>
              <w:right w:val="nil"/>
            </w:tcBorders>
            <w:shd w:val="clear" w:color="auto" w:fill="auto"/>
            <w:noWrap/>
            <w:vAlign w:val="center"/>
            <w:hideMark/>
          </w:tcPr>
          <w:p w14:paraId="0C4FADF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181</w:t>
            </w:r>
          </w:p>
        </w:tc>
        <w:tc>
          <w:tcPr>
            <w:tcW w:w="9225" w:type="dxa"/>
            <w:tcBorders>
              <w:top w:val="nil"/>
              <w:left w:val="single" w:sz="4" w:space="0" w:color="auto"/>
              <w:bottom w:val="nil"/>
              <w:right w:val="single" w:sz="4" w:space="0" w:color="auto"/>
            </w:tcBorders>
            <w:shd w:val="clear" w:color="auto" w:fill="auto"/>
            <w:vAlign w:val="center"/>
            <w:hideMark/>
          </w:tcPr>
          <w:p w14:paraId="67D149B2" w14:textId="6892F4BB" w:rsidR="008B4713" w:rsidRPr="00CC5A03" w:rsidRDefault="00CC5A03"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Green Lizard Technologies Ltd.</w:t>
            </w:r>
            <w:hyperlink r:id="rId138" w:history="1">
              <w:r w:rsidRPr="000562AF">
                <w:rPr>
                  <w:rStyle w:val="Hyperlink"/>
                  <w:rFonts w:ascii="Calibri" w:eastAsia="Times New Roman" w:hAnsi="Calibri" w:cs="Calibri"/>
                  <w:lang w:eastAsia="en-GB"/>
                </w:rPr>
                <w:t>https://greenlizardtechnologies.com</w:t>
              </w:r>
            </w:hyperlink>
            <w:r w:rsidR="007F59AC">
              <w:rPr>
                <w:rFonts w:ascii="Calibri" w:eastAsia="Times New Roman" w:hAnsi="Calibri" w:cs="Calibri"/>
                <w:color w:val="000000"/>
                <w:lang w:eastAsia="en-GB"/>
              </w:rPr>
              <w:t xml:space="preserve"> </w:t>
            </w:r>
            <w:r>
              <w:rPr>
                <w:rFonts w:ascii="Calibri" w:eastAsia="Times New Roman" w:hAnsi="Calibri" w:cs="Calibri"/>
                <w:color w:val="000000"/>
                <w:lang w:eastAsia="en-GB"/>
              </w:rPr>
              <w:t>(accessed 4 September 2019)</w:t>
            </w:r>
          </w:p>
        </w:tc>
      </w:tr>
      <w:tr w:rsidR="008B4713" w:rsidRPr="007C3701" w14:paraId="4E1AA5D5"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8DAC5F"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Reseearch 8.3</w:t>
            </w:r>
          </w:p>
        </w:tc>
      </w:tr>
      <w:tr w:rsidR="008B4713" w:rsidRPr="007C3701" w14:paraId="50B7DC27"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6F58B6B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182</w:t>
            </w:r>
          </w:p>
        </w:tc>
        <w:tc>
          <w:tcPr>
            <w:tcW w:w="9225" w:type="dxa"/>
            <w:tcBorders>
              <w:top w:val="nil"/>
              <w:left w:val="single" w:sz="4" w:space="0" w:color="auto"/>
              <w:bottom w:val="nil"/>
              <w:right w:val="single" w:sz="4" w:space="0" w:color="auto"/>
            </w:tcBorders>
            <w:shd w:val="clear" w:color="auto" w:fill="auto"/>
            <w:vAlign w:val="center"/>
            <w:hideMark/>
          </w:tcPr>
          <w:p w14:paraId="3967731C" w14:textId="68C39E72" w:rsidR="008B4713" w:rsidRPr="007C3701" w:rsidRDefault="0061024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Queen’s University Belfast (2014). </w:t>
            </w:r>
            <w:r w:rsidR="008B4713" w:rsidRPr="007C3701">
              <w:rPr>
                <w:rFonts w:ascii="Calibri" w:eastAsia="Times New Roman" w:hAnsi="Calibri" w:cs="Calibri"/>
                <w:color w:val="000000"/>
                <w:lang w:eastAsia="en-GB"/>
              </w:rPr>
              <w:t>REF Impact Case Study no. 38359</w:t>
            </w:r>
            <w:r w:rsidR="009D5930">
              <w:rPr>
                <w:rFonts w:ascii="Calibri" w:eastAsia="Times New Roman" w:hAnsi="Calibri" w:cs="Calibri"/>
                <w:color w:val="000000"/>
                <w:lang w:eastAsia="en-GB"/>
              </w:rPr>
              <w:t xml:space="preserve">. </w:t>
            </w:r>
            <w:hyperlink r:id="rId139" w:history="1">
              <w:r w:rsidR="009D5930">
                <w:rPr>
                  <w:rStyle w:val="Hyperlink"/>
                </w:rPr>
                <w:t>https://results.ref.ac.uk/(S(5mhsdcrlek45dkop3v4uw5gx))/Submissions/Impact/1519</w:t>
              </w:r>
            </w:hyperlink>
          </w:p>
        </w:tc>
      </w:tr>
      <w:tr w:rsidR="008B4713" w:rsidRPr="007C3701" w14:paraId="2875EB66"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8859BF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183</w:t>
            </w:r>
          </w:p>
        </w:tc>
        <w:tc>
          <w:tcPr>
            <w:tcW w:w="9225" w:type="dxa"/>
            <w:tcBorders>
              <w:top w:val="nil"/>
              <w:left w:val="single" w:sz="4" w:space="0" w:color="auto"/>
              <w:bottom w:val="nil"/>
              <w:right w:val="single" w:sz="4" w:space="0" w:color="auto"/>
            </w:tcBorders>
            <w:shd w:val="clear" w:color="auto" w:fill="auto"/>
            <w:vAlign w:val="center"/>
            <w:hideMark/>
          </w:tcPr>
          <w:p w14:paraId="78BDE7E3"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Rapid analysis of ecstasy and related phenethylamines in seized tablets by Raman</w:t>
            </w:r>
            <w:r w:rsidRPr="007C3701">
              <w:rPr>
                <w:rFonts w:ascii="Calibri" w:eastAsia="Times New Roman" w:hAnsi="Calibri" w:cs="Calibri"/>
                <w:color w:val="000000"/>
                <w:lang w:eastAsia="en-GB"/>
              </w:rPr>
              <w:br/>
            </w:r>
            <w:r w:rsidRPr="007C3701">
              <w:rPr>
                <w:rFonts w:ascii="Calibri" w:eastAsia="Times New Roman" w:hAnsi="Calibri" w:cs="Calibri"/>
                <w:color w:val="000000"/>
                <w:lang w:eastAsia="en-GB"/>
              </w:rPr>
              <w:br/>
              <w:t>spectroscopy, Bell, S.E.J., D.T. Burns, A.C. Dennis, and J.S. Speers, Analyst, 125, 541-544, 2000. DOI:10.1039/a908091k</w:t>
            </w:r>
          </w:p>
        </w:tc>
      </w:tr>
      <w:tr w:rsidR="008B4713" w:rsidRPr="007C3701" w14:paraId="72387A29"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4ED46C5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184</w:t>
            </w:r>
          </w:p>
        </w:tc>
        <w:tc>
          <w:tcPr>
            <w:tcW w:w="9225" w:type="dxa"/>
            <w:tcBorders>
              <w:top w:val="nil"/>
              <w:left w:val="single" w:sz="4" w:space="0" w:color="auto"/>
              <w:bottom w:val="nil"/>
              <w:right w:val="single" w:sz="4" w:space="0" w:color="auto"/>
            </w:tcBorders>
            <w:shd w:val="clear" w:color="auto" w:fill="auto"/>
            <w:vAlign w:val="center"/>
            <w:hideMark/>
          </w:tcPr>
          <w:p w14:paraId="464C251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Tracking the distribution of ecstasy" tablets by Raman composition profiling: A large scale feasibility study", Bell, S.E.J., L.J. Barrett, D.T. Burns, A.C. Dennis, and S.J. Speers, Analyst, 128, 1331-1335, 2003. DOI: 10.1039/b308312h</w:t>
            </w:r>
          </w:p>
        </w:tc>
      </w:tr>
      <w:tr w:rsidR="008B4713" w:rsidRPr="007C3701" w14:paraId="63171D07"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7BB372A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185</w:t>
            </w:r>
          </w:p>
        </w:tc>
        <w:tc>
          <w:tcPr>
            <w:tcW w:w="9225" w:type="dxa"/>
            <w:tcBorders>
              <w:top w:val="nil"/>
              <w:left w:val="single" w:sz="4" w:space="0" w:color="auto"/>
              <w:bottom w:val="nil"/>
              <w:right w:val="single" w:sz="4" w:space="0" w:color="auto"/>
            </w:tcBorders>
            <w:shd w:val="clear" w:color="auto" w:fill="auto"/>
            <w:vAlign w:val="center"/>
            <w:hideMark/>
          </w:tcPr>
          <w:p w14:paraId="2E433363"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Development of sampling methods for Raman analysis of solid dosage forms of therapeutic and illicit drugs", Bell, S.E.J., J.R. Beattie, J.J. McGarvey, K.L. Peters, N.M.S. Sirimuthu, and S.J. Speers, Journal of Raman Spectroscopy, 35, 409-417, 2004. DOI 10.1002/jrs.1160</w:t>
            </w:r>
          </w:p>
        </w:tc>
      </w:tr>
      <w:tr w:rsidR="008B4713" w:rsidRPr="007C3701" w14:paraId="4DB077DF" w14:textId="77777777" w:rsidTr="004E0087">
        <w:trPr>
          <w:trHeight w:val="1200"/>
        </w:trPr>
        <w:tc>
          <w:tcPr>
            <w:tcW w:w="551" w:type="dxa"/>
            <w:tcBorders>
              <w:top w:val="nil"/>
              <w:left w:val="single" w:sz="4" w:space="0" w:color="auto"/>
              <w:bottom w:val="nil"/>
              <w:right w:val="nil"/>
            </w:tcBorders>
            <w:shd w:val="clear" w:color="auto" w:fill="auto"/>
            <w:noWrap/>
            <w:vAlign w:val="center"/>
            <w:hideMark/>
          </w:tcPr>
          <w:p w14:paraId="08C17B0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186</w:t>
            </w:r>
          </w:p>
        </w:tc>
        <w:tc>
          <w:tcPr>
            <w:tcW w:w="9225" w:type="dxa"/>
            <w:tcBorders>
              <w:top w:val="nil"/>
              <w:left w:val="single" w:sz="4" w:space="0" w:color="auto"/>
              <w:bottom w:val="nil"/>
              <w:right w:val="single" w:sz="4" w:space="0" w:color="auto"/>
            </w:tcBorders>
            <w:shd w:val="clear" w:color="auto" w:fill="auto"/>
            <w:vAlign w:val="center"/>
            <w:hideMark/>
          </w:tcPr>
          <w:p w14:paraId="0198603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Raman Spectroscopy for Forensic Examination of β-Ketophenethylamine “Legal Highs”: Reference and Seized Samples of Cathinone Derivatives, Samantha P. Stewart; Steven E. J. Bell*; Nicholas C. Fletcher; Samira Bouazzaoui; Yen Cheng Ho; S. James Speers and K. Laota Peters. Front cover “Feature Article” Analytica Chimica Acta, 711, 1-6, 2012. DOI 10.1016/j.aca.2011.10.018</w:t>
            </w:r>
          </w:p>
        </w:tc>
      </w:tr>
      <w:tr w:rsidR="008B4713" w:rsidRPr="007C3701" w14:paraId="747A5971"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05F387F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187</w:t>
            </w:r>
          </w:p>
        </w:tc>
        <w:tc>
          <w:tcPr>
            <w:tcW w:w="9225" w:type="dxa"/>
            <w:tcBorders>
              <w:top w:val="nil"/>
              <w:left w:val="single" w:sz="4" w:space="0" w:color="auto"/>
              <w:bottom w:val="nil"/>
              <w:right w:val="single" w:sz="4" w:space="0" w:color="auto"/>
            </w:tcBorders>
            <w:shd w:val="clear" w:color="auto" w:fill="auto"/>
            <w:vAlign w:val="center"/>
            <w:hideMark/>
          </w:tcPr>
          <w:p w14:paraId="6AB31D5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Rapid forensic analysis and identification of "lilac" architectural finishes using Raman spectroscopy, Bell, S.E.J., L.A. Fido, S.J. Speers, and W.J. Armstrong, Applied Spectroscopy, 59, 100-108, 2005. DOI 10.1366/0003702052940404</w:t>
            </w:r>
          </w:p>
        </w:tc>
      </w:tr>
      <w:tr w:rsidR="008B4713" w:rsidRPr="007C3701" w14:paraId="73213B0B"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14C62A0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188</w:t>
            </w:r>
          </w:p>
        </w:tc>
        <w:tc>
          <w:tcPr>
            <w:tcW w:w="9225" w:type="dxa"/>
            <w:tcBorders>
              <w:top w:val="nil"/>
              <w:left w:val="single" w:sz="4" w:space="0" w:color="auto"/>
              <w:bottom w:val="nil"/>
              <w:right w:val="single" w:sz="4" w:space="0" w:color="auto"/>
            </w:tcBorders>
            <w:shd w:val="clear" w:color="auto" w:fill="auto"/>
            <w:vAlign w:val="center"/>
            <w:hideMark/>
          </w:tcPr>
          <w:p w14:paraId="114730A1"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Forensic analysis of architectural finishes using Fourier transform infrared and Raman spectroscopy, Part II: White paint, Bell, S.E.J., L.A. Fido, S.J. Speers, W.J. Armstrong, and S. Spratt, Applied Spectroscopy, 59, 1340-1346, 2005. DOI 10.1366/000370205774783232</w:t>
            </w:r>
          </w:p>
        </w:tc>
      </w:tr>
      <w:tr w:rsidR="008B4713" w:rsidRPr="007C3701" w14:paraId="230B1F2B" w14:textId="77777777" w:rsidTr="00CF1052">
        <w:trPr>
          <w:trHeight w:val="300"/>
        </w:trPr>
        <w:tc>
          <w:tcPr>
            <w:tcW w:w="551" w:type="dxa"/>
            <w:tcBorders>
              <w:top w:val="nil"/>
              <w:left w:val="single" w:sz="4" w:space="0" w:color="auto"/>
              <w:bottom w:val="nil"/>
              <w:right w:val="nil"/>
            </w:tcBorders>
            <w:shd w:val="clear" w:color="auto" w:fill="auto"/>
            <w:noWrap/>
            <w:vAlign w:val="center"/>
            <w:hideMark/>
          </w:tcPr>
          <w:p w14:paraId="5CE31BC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189</w:t>
            </w:r>
          </w:p>
        </w:tc>
        <w:tc>
          <w:tcPr>
            <w:tcW w:w="9225" w:type="dxa"/>
            <w:tcBorders>
              <w:top w:val="nil"/>
              <w:left w:val="single" w:sz="4" w:space="0" w:color="auto"/>
              <w:bottom w:val="nil"/>
              <w:right w:val="single" w:sz="4" w:space="0" w:color="auto"/>
            </w:tcBorders>
            <w:shd w:val="clear" w:color="auto" w:fill="auto"/>
            <w:vAlign w:val="center"/>
            <w:hideMark/>
          </w:tcPr>
          <w:p w14:paraId="0FAE0BE6" w14:textId="33A26690" w:rsidR="008B4713" w:rsidRPr="007C3701" w:rsidRDefault="00A56355" w:rsidP="004E0087">
            <w:pPr>
              <w:spacing w:after="0" w:line="240" w:lineRule="auto"/>
              <w:rPr>
                <w:rFonts w:ascii="Calibri" w:eastAsia="Times New Roman" w:hAnsi="Calibri" w:cs="Calibri"/>
                <w:color w:val="000000"/>
                <w:lang w:eastAsia="en-GB"/>
              </w:rPr>
            </w:pPr>
            <w:hyperlink r:id="rId140" w:history="1">
              <w:r w:rsidR="00EC2810" w:rsidRPr="000562AF">
                <w:rPr>
                  <w:rStyle w:val="Hyperlink"/>
                  <w:rFonts w:ascii="Calibri" w:eastAsia="Times New Roman" w:hAnsi="Calibri" w:cs="Calibri"/>
                  <w:lang w:eastAsia="en-GB"/>
                </w:rPr>
                <w:t>http://profiles.murdoch.edu.au/myprofile/james-speers/</w:t>
              </w:r>
            </w:hyperlink>
            <w:r w:rsidR="00EC2810">
              <w:rPr>
                <w:rFonts w:ascii="Calibri" w:eastAsia="Times New Roman" w:hAnsi="Calibri" w:cs="Calibri"/>
                <w:color w:val="000000"/>
                <w:lang w:eastAsia="en-GB"/>
              </w:rPr>
              <w:t xml:space="preserve"> </w:t>
            </w:r>
            <w:r w:rsidR="00CF1052">
              <w:rPr>
                <w:rFonts w:ascii="Calibri" w:eastAsia="Times New Roman" w:hAnsi="Calibri" w:cs="Calibri"/>
                <w:color w:val="000000"/>
                <w:lang w:eastAsia="en-GB"/>
              </w:rPr>
              <w:t>(accessed 4 September 2019)</w:t>
            </w:r>
          </w:p>
        </w:tc>
      </w:tr>
      <w:tr w:rsidR="008B4713" w:rsidRPr="007C3701" w14:paraId="25B67B03"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B77954" w14:textId="77777777" w:rsidR="008B4713" w:rsidRPr="007C3701" w:rsidRDefault="008B4713" w:rsidP="004E0087">
            <w:pPr>
              <w:spacing w:after="0" w:line="240" w:lineRule="auto"/>
              <w:jc w:val="center"/>
              <w:rPr>
                <w:rFonts w:ascii="Calibri" w:eastAsia="Times New Roman" w:hAnsi="Calibri" w:cs="Calibri"/>
                <w:b/>
                <w:bCs/>
                <w:color w:val="000000"/>
                <w:lang w:eastAsia="en-GB"/>
              </w:rPr>
            </w:pPr>
            <w:r w:rsidRPr="007C3701">
              <w:rPr>
                <w:rFonts w:ascii="Calibri" w:eastAsia="Times New Roman" w:hAnsi="Calibri" w:cs="Calibri"/>
                <w:b/>
                <w:bCs/>
                <w:color w:val="000000"/>
                <w:lang w:eastAsia="en-GB"/>
              </w:rPr>
              <w:t>Unit of Assessment 9</w:t>
            </w:r>
          </w:p>
        </w:tc>
      </w:tr>
      <w:tr w:rsidR="008B4713" w:rsidRPr="007C3701" w14:paraId="7E40DAB9"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9E05A"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9</w:t>
            </w:r>
          </w:p>
        </w:tc>
      </w:tr>
      <w:tr w:rsidR="008B4713" w:rsidRPr="007C3701" w14:paraId="73F50614"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1913D8F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190</w:t>
            </w:r>
          </w:p>
        </w:tc>
        <w:tc>
          <w:tcPr>
            <w:tcW w:w="9225" w:type="dxa"/>
            <w:tcBorders>
              <w:top w:val="nil"/>
              <w:left w:val="single" w:sz="4" w:space="0" w:color="auto"/>
              <w:bottom w:val="nil"/>
              <w:right w:val="single" w:sz="4" w:space="0" w:color="auto"/>
            </w:tcBorders>
            <w:shd w:val="clear" w:color="auto" w:fill="auto"/>
            <w:vAlign w:val="center"/>
            <w:hideMark/>
          </w:tcPr>
          <w:p w14:paraId="2977CCB5" w14:textId="78457268" w:rsidR="008B4713" w:rsidRPr="007C3701" w:rsidRDefault="0054290E"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Cardiff University (2014). </w:t>
            </w:r>
            <w:r w:rsidR="008B4713" w:rsidRPr="007C3701">
              <w:rPr>
                <w:rFonts w:ascii="Calibri" w:eastAsia="Times New Roman" w:hAnsi="Calibri" w:cs="Calibri"/>
                <w:color w:val="000000"/>
                <w:lang w:eastAsia="en-GB"/>
              </w:rPr>
              <w:t>REF2014 Impact Template</w:t>
            </w:r>
            <w:r>
              <w:rPr>
                <w:rFonts w:ascii="Calibri" w:eastAsia="Times New Roman" w:hAnsi="Calibri" w:cs="Calibri"/>
                <w:color w:val="000000"/>
                <w:lang w:eastAsia="en-GB"/>
              </w:rPr>
              <w:t xml:space="preserve">. </w:t>
            </w:r>
            <w:hyperlink r:id="rId141" w:history="1">
              <w:r>
                <w:rPr>
                  <w:rStyle w:val="Hyperlink"/>
                </w:rPr>
                <w:t>https://results.ref.ac.uk/(S(5mhsdcrlek45dkop3v4uw5gx))/Submissions/Impact/1638</w:t>
              </w:r>
            </w:hyperlink>
          </w:p>
        </w:tc>
      </w:tr>
      <w:tr w:rsidR="008B4713" w:rsidRPr="007C3701" w14:paraId="546B6D77"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19F734A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191</w:t>
            </w:r>
          </w:p>
        </w:tc>
        <w:tc>
          <w:tcPr>
            <w:tcW w:w="9225" w:type="dxa"/>
            <w:tcBorders>
              <w:top w:val="nil"/>
              <w:left w:val="single" w:sz="4" w:space="0" w:color="auto"/>
              <w:bottom w:val="nil"/>
              <w:right w:val="single" w:sz="4" w:space="0" w:color="auto"/>
            </w:tcBorders>
            <w:shd w:val="clear" w:color="auto" w:fill="auto"/>
            <w:vAlign w:val="center"/>
            <w:hideMark/>
          </w:tcPr>
          <w:p w14:paraId="3BAC19ED" w14:textId="1B4306A8" w:rsidR="008B4713" w:rsidRPr="007C3701" w:rsidRDefault="0054290E"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Cardiff University (2014). </w:t>
            </w:r>
            <w:r w:rsidR="008B4713" w:rsidRPr="007C3701">
              <w:rPr>
                <w:rFonts w:ascii="Calibri" w:eastAsia="Times New Roman" w:hAnsi="Calibri" w:cs="Calibri"/>
                <w:color w:val="000000"/>
                <w:lang w:eastAsia="en-GB"/>
              </w:rPr>
              <w:t>REF2014 Environment Template</w:t>
            </w:r>
            <w:r>
              <w:rPr>
                <w:rFonts w:ascii="Calibri" w:eastAsia="Times New Roman" w:hAnsi="Calibri" w:cs="Calibri"/>
                <w:color w:val="000000"/>
                <w:lang w:eastAsia="en-GB"/>
              </w:rPr>
              <w:t xml:space="preserve">. </w:t>
            </w:r>
            <w:hyperlink r:id="rId142" w:history="1">
              <w:r>
                <w:rPr>
                  <w:rStyle w:val="Hyperlink"/>
                </w:rPr>
                <w:t>https://results.ref.ac.uk/(S(5mhsdcrlek45dkop3v4uw5gx))/Submissions/Environment/1638</w:t>
              </w:r>
            </w:hyperlink>
          </w:p>
        </w:tc>
      </w:tr>
      <w:tr w:rsidR="008B4713" w:rsidRPr="007C3701" w14:paraId="791F1B7C" w14:textId="77777777" w:rsidTr="00CF1052">
        <w:trPr>
          <w:trHeight w:val="300"/>
        </w:trPr>
        <w:tc>
          <w:tcPr>
            <w:tcW w:w="551" w:type="dxa"/>
            <w:tcBorders>
              <w:top w:val="nil"/>
              <w:left w:val="single" w:sz="4" w:space="0" w:color="auto"/>
              <w:bottom w:val="nil"/>
              <w:right w:val="nil"/>
            </w:tcBorders>
            <w:shd w:val="clear" w:color="auto" w:fill="auto"/>
            <w:noWrap/>
            <w:vAlign w:val="center"/>
            <w:hideMark/>
          </w:tcPr>
          <w:p w14:paraId="38535C4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192</w:t>
            </w:r>
          </w:p>
        </w:tc>
        <w:tc>
          <w:tcPr>
            <w:tcW w:w="9225" w:type="dxa"/>
            <w:tcBorders>
              <w:top w:val="nil"/>
              <w:left w:val="single" w:sz="4" w:space="0" w:color="auto"/>
              <w:bottom w:val="nil"/>
              <w:right w:val="single" w:sz="4" w:space="0" w:color="auto"/>
            </w:tcBorders>
            <w:shd w:val="clear" w:color="auto" w:fill="auto"/>
            <w:vAlign w:val="center"/>
            <w:hideMark/>
          </w:tcPr>
          <w:p w14:paraId="7108C94A" w14:textId="75630CB5" w:rsidR="008B4713" w:rsidRPr="007C3701" w:rsidRDefault="00C1142F" w:rsidP="004E0087">
            <w:pPr>
              <w:spacing w:after="0" w:line="240" w:lineRule="auto"/>
              <w:rPr>
                <w:rFonts w:ascii="Calibri" w:eastAsia="Times New Roman" w:hAnsi="Calibri" w:cs="Calibri"/>
                <w:color w:val="0563C1"/>
                <w:u w:val="single"/>
                <w:lang w:eastAsia="en-GB"/>
              </w:rPr>
            </w:pPr>
            <w:r>
              <w:rPr>
                <w:rFonts w:ascii="Calibri" w:eastAsia="Times New Roman" w:hAnsi="Calibri" w:cs="Calibri"/>
                <w:color w:val="000000"/>
                <w:lang w:eastAsia="en-GB"/>
              </w:rPr>
              <w:t xml:space="preserve">Cardiff University. Astronomy. </w:t>
            </w:r>
            <w:hyperlink r:id="rId143" w:history="1">
              <w:r w:rsidR="00CF1052" w:rsidRPr="000562AF">
                <w:rPr>
                  <w:rStyle w:val="Hyperlink"/>
                  <w:rFonts w:ascii="Calibri" w:eastAsia="Times New Roman" w:hAnsi="Calibri" w:cs="Calibri"/>
                  <w:lang w:eastAsia="en-GB"/>
                </w:rPr>
                <w:t>https://www.cardiff.ac.uk/physics-astronomy/</w:t>
              </w:r>
            </w:hyperlink>
            <w:r w:rsidR="00CF1052">
              <w:rPr>
                <w:rFonts w:ascii="Calibri" w:eastAsia="Times New Roman" w:hAnsi="Calibri" w:cs="Calibri"/>
                <w:color w:val="0563C1"/>
                <w:u w:val="single"/>
                <w:lang w:eastAsia="en-GB"/>
              </w:rPr>
              <w:t xml:space="preserve"> </w:t>
            </w:r>
            <w:r w:rsidR="00CF1052">
              <w:rPr>
                <w:rFonts w:ascii="Calibri" w:eastAsia="Times New Roman" w:hAnsi="Calibri" w:cs="Calibri"/>
                <w:color w:val="000000"/>
                <w:lang w:eastAsia="en-GB"/>
              </w:rPr>
              <w:t>(accessed 4 September 2019)</w:t>
            </w:r>
          </w:p>
        </w:tc>
      </w:tr>
      <w:tr w:rsidR="008B4713" w:rsidRPr="007C3701" w14:paraId="03C2C02C" w14:textId="77777777" w:rsidTr="00CF1052">
        <w:trPr>
          <w:trHeight w:val="300"/>
        </w:trPr>
        <w:tc>
          <w:tcPr>
            <w:tcW w:w="551" w:type="dxa"/>
            <w:tcBorders>
              <w:top w:val="nil"/>
              <w:left w:val="single" w:sz="4" w:space="0" w:color="auto"/>
              <w:bottom w:val="nil"/>
              <w:right w:val="nil"/>
            </w:tcBorders>
            <w:shd w:val="clear" w:color="auto" w:fill="auto"/>
            <w:noWrap/>
            <w:vAlign w:val="center"/>
            <w:hideMark/>
          </w:tcPr>
          <w:p w14:paraId="396E4AC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193</w:t>
            </w:r>
          </w:p>
        </w:tc>
        <w:tc>
          <w:tcPr>
            <w:tcW w:w="9225" w:type="dxa"/>
            <w:tcBorders>
              <w:top w:val="nil"/>
              <w:left w:val="single" w:sz="4" w:space="0" w:color="auto"/>
              <w:bottom w:val="nil"/>
              <w:right w:val="single" w:sz="4" w:space="0" w:color="auto"/>
            </w:tcBorders>
            <w:shd w:val="clear" w:color="auto" w:fill="auto"/>
            <w:vAlign w:val="center"/>
            <w:hideMark/>
          </w:tcPr>
          <w:p w14:paraId="573768F7" w14:textId="73EB6600" w:rsidR="008B4713" w:rsidRPr="007C3701" w:rsidRDefault="00C1142F" w:rsidP="004E0087">
            <w:pPr>
              <w:spacing w:after="0" w:line="240" w:lineRule="auto"/>
              <w:rPr>
                <w:rFonts w:ascii="Calibri" w:eastAsia="Times New Roman" w:hAnsi="Calibri" w:cs="Calibri"/>
                <w:color w:val="0563C1"/>
                <w:u w:val="single"/>
                <w:lang w:eastAsia="en-GB"/>
              </w:rPr>
            </w:pPr>
            <w:r>
              <w:rPr>
                <w:rFonts w:ascii="Calibri" w:eastAsia="Times New Roman" w:hAnsi="Calibri" w:cs="Calibri"/>
                <w:color w:val="000000"/>
                <w:lang w:eastAsia="en-GB"/>
              </w:rPr>
              <w:t>Cardiff University. Research Impact.</w:t>
            </w:r>
            <w:r w:rsidRPr="007C3701">
              <w:rPr>
                <w:rFonts w:ascii="Calibri" w:eastAsia="Times New Roman" w:hAnsi="Calibri" w:cs="Calibri"/>
                <w:color w:val="0563C1"/>
                <w:u w:val="single"/>
                <w:lang w:eastAsia="en-GB"/>
              </w:rPr>
              <w:t xml:space="preserve"> </w:t>
            </w:r>
            <w:hyperlink r:id="rId144" w:history="1">
              <w:r w:rsidR="00CF1052" w:rsidRPr="000562AF">
                <w:rPr>
                  <w:rStyle w:val="Hyperlink"/>
                  <w:rFonts w:ascii="Calibri" w:eastAsia="Times New Roman" w:hAnsi="Calibri" w:cs="Calibri"/>
                  <w:lang w:eastAsia="en-GB"/>
                </w:rPr>
                <w:t>https://www.cardiff.ac.uk/research/impact-and-innovation/research-impact/seeing-the-science-in-space</w:t>
              </w:r>
            </w:hyperlink>
            <w:r w:rsidR="00CF1052">
              <w:rPr>
                <w:rFonts w:ascii="Calibri" w:eastAsia="Times New Roman" w:hAnsi="Calibri" w:cs="Calibri"/>
                <w:color w:val="0563C1"/>
                <w:u w:val="single"/>
                <w:lang w:eastAsia="en-GB"/>
              </w:rPr>
              <w:t xml:space="preserve"> </w:t>
            </w:r>
            <w:r w:rsidR="00CF1052">
              <w:rPr>
                <w:rFonts w:ascii="Calibri" w:eastAsia="Times New Roman" w:hAnsi="Calibri" w:cs="Calibri"/>
                <w:color w:val="000000"/>
                <w:lang w:eastAsia="en-GB"/>
              </w:rPr>
              <w:t>(accessed 4 September 2019)</w:t>
            </w:r>
          </w:p>
        </w:tc>
      </w:tr>
      <w:tr w:rsidR="008B4713" w:rsidRPr="007C3701" w14:paraId="5C7DBF6F"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615315C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194</w:t>
            </w:r>
          </w:p>
        </w:tc>
        <w:tc>
          <w:tcPr>
            <w:tcW w:w="9225" w:type="dxa"/>
            <w:tcBorders>
              <w:top w:val="nil"/>
              <w:left w:val="single" w:sz="4" w:space="0" w:color="auto"/>
              <w:bottom w:val="nil"/>
              <w:right w:val="single" w:sz="4" w:space="0" w:color="auto"/>
            </w:tcBorders>
            <w:shd w:val="clear" w:color="auto" w:fill="auto"/>
            <w:vAlign w:val="center"/>
            <w:hideMark/>
          </w:tcPr>
          <w:p w14:paraId="4B782DB1" w14:textId="28B4FDB8" w:rsidR="008B4713" w:rsidRPr="007C3701" w:rsidRDefault="0054290E"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Cardiff University (2014). </w:t>
            </w:r>
            <w:r w:rsidR="008B4713" w:rsidRPr="007C3701">
              <w:rPr>
                <w:rFonts w:ascii="Calibri" w:eastAsia="Times New Roman" w:hAnsi="Calibri" w:cs="Calibri"/>
                <w:color w:val="000000"/>
                <w:lang w:eastAsia="en-GB"/>
              </w:rPr>
              <w:t>REF Impact Case Study no. 3466</w:t>
            </w:r>
            <w:r>
              <w:rPr>
                <w:rFonts w:ascii="Calibri" w:eastAsia="Times New Roman" w:hAnsi="Calibri" w:cs="Calibri"/>
                <w:color w:val="000000"/>
                <w:lang w:eastAsia="en-GB"/>
              </w:rPr>
              <w:t xml:space="preserve">. </w:t>
            </w:r>
            <w:hyperlink r:id="rId145" w:history="1">
              <w:r>
                <w:rPr>
                  <w:rStyle w:val="Hyperlink"/>
                </w:rPr>
                <w:t>https://results.ref.ac.uk/(S(5mhsdcrlek45dkop3v4uw5gx))/Submissions/Impact/1638</w:t>
              </w:r>
            </w:hyperlink>
          </w:p>
        </w:tc>
      </w:tr>
      <w:tr w:rsidR="008B4713" w:rsidRPr="007C3701" w14:paraId="3AFC4A56"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5F25E0E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195</w:t>
            </w:r>
          </w:p>
        </w:tc>
        <w:tc>
          <w:tcPr>
            <w:tcW w:w="9225" w:type="dxa"/>
            <w:tcBorders>
              <w:top w:val="nil"/>
              <w:left w:val="single" w:sz="4" w:space="0" w:color="auto"/>
              <w:bottom w:val="nil"/>
              <w:right w:val="single" w:sz="4" w:space="0" w:color="auto"/>
            </w:tcBorders>
            <w:shd w:val="clear" w:color="auto" w:fill="auto"/>
            <w:vAlign w:val="center"/>
            <w:hideMark/>
          </w:tcPr>
          <w:p w14:paraId="4B313CF4" w14:textId="42764F17" w:rsidR="008B4713" w:rsidRPr="007C3701" w:rsidRDefault="0054290E"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Cardiff University (2014). </w:t>
            </w:r>
            <w:r w:rsidR="008B4713" w:rsidRPr="007C3701">
              <w:rPr>
                <w:rFonts w:ascii="Calibri" w:eastAsia="Times New Roman" w:hAnsi="Calibri" w:cs="Calibri"/>
                <w:color w:val="000000"/>
                <w:lang w:eastAsia="en-GB"/>
              </w:rPr>
              <w:t>REF Impact Case Study no. 3467</w:t>
            </w:r>
            <w:r>
              <w:rPr>
                <w:rFonts w:ascii="Calibri" w:eastAsia="Times New Roman" w:hAnsi="Calibri" w:cs="Calibri"/>
                <w:color w:val="000000"/>
                <w:lang w:eastAsia="en-GB"/>
              </w:rPr>
              <w:t xml:space="preserve">. </w:t>
            </w:r>
            <w:hyperlink r:id="rId146" w:history="1">
              <w:r>
                <w:rPr>
                  <w:rStyle w:val="Hyperlink"/>
                </w:rPr>
                <w:t>https://results.ref.ac.uk/(S(5mhsdcrlek45dkop3v4uw5gx))/Submissions/Impact/1638</w:t>
              </w:r>
            </w:hyperlink>
          </w:p>
        </w:tc>
      </w:tr>
      <w:tr w:rsidR="008B4713" w:rsidRPr="007C3701" w14:paraId="1D0A69E3" w14:textId="77777777" w:rsidTr="00CF1052">
        <w:trPr>
          <w:trHeight w:val="300"/>
        </w:trPr>
        <w:tc>
          <w:tcPr>
            <w:tcW w:w="551" w:type="dxa"/>
            <w:tcBorders>
              <w:top w:val="nil"/>
              <w:left w:val="single" w:sz="4" w:space="0" w:color="auto"/>
              <w:bottom w:val="nil"/>
              <w:right w:val="nil"/>
            </w:tcBorders>
            <w:shd w:val="clear" w:color="auto" w:fill="auto"/>
            <w:noWrap/>
            <w:vAlign w:val="center"/>
            <w:hideMark/>
          </w:tcPr>
          <w:p w14:paraId="7BBC9C1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196</w:t>
            </w:r>
          </w:p>
        </w:tc>
        <w:tc>
          <w:tcPr>
            <w:tcW w:w="9225" w:type="dxa"/>
            <w:tcBorders>
              <w:top w:val="nil"/>
              <w:left w:val="single" w:sz="4" w:space="0" w:color="auto"/>
              <w:bottom w:val="nil"/>
              <w:right w:val="single" w:sz="4" w:space="0" w:color="auto"/>
            </w:tcBorders>
            <w:shd w:val="clear" w:color="auto" w:fill="auto"/>
            <w:vAlign w:val="center"/>
            <w:hideMark/>
          </w:tcPr>
          <w:p w14:paraId="0DBCBF7A" w14:textId="4FC4F7A0"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QMCI Ltd Website: </w:t>
            </w:r>
            <w:hyperlink r:id="rId147" w:history="1">
              <w:r w:rsidR="00F23AAB" w:rsidRPr="000562AF">
                <w:rPr>
                  <w:rStyle w:val="Hyperlink"/>
                  <w:rFonts w:ascii="Calibri" w:eastAsia="Times New Roman" w:hAnsi="Calibri" w:cs="Calibri"/>
                  <w:lang w:eastAsia="en-GB"/>
                </w:rPr>
                <w:t>http://www.terahertz.co.uk/qmc-instruments-ltd</w:t>
              </w:r>
            </w:hyperlink>
            <w:r w:rsidR="00F23AAB">
              <w:rPr>
                <w:rFonts w:ascii="Calibri" w:eastAsia="Times New Roman" w:hAnsi="Calibri" w:cs="Calibri"/>
                <w:color w:val="000000"/>
                <w:lang w:eastAsia="en-GB"/>
              </w:rPr>
              <w:t xml:space="preserve"> </w:t>
            </w:r>
            <w:r w:rsidR="00CF1052">
              <w:rPr>
                <w:rFonts w:ascii="Calibri" w:eastAsia="Times New Roman" w:hAnsi="Calibri" w:cs="Calibri"/>
                <w:color w:val="000000"/>
                <w:lang w:eastAsia="en-GB"/>
              </w:rPr>
              <w:t>(accessed 4 September 2019)</w:t>
            </w:r>
          </w:p>
        </w:tc>
      </w:tr>
      <w:tr w:rsidR="008B4713" w:rsidRPr="007C3701" w14:paraId="1BB2D399"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38CF6A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197</w:t>
            </w:r>
          </w:p>
        </w:tc>
        <w:tc>
          <w:tcPr>
            <w:tcW w:w="9225" w:type="dxa"/>
            <w:tcBorders>
              <w:top w:val="nil"/>
              <w:left w:val="single" w:sz="4" w:space="0" w:color="auto"/>
              <w:bottom w:val="nil"/>
              <w:right w:val="single" w:sz="4" w:space="0" w:color="auto"/>
            </w:tcBorders>
            <w:shd w:val="clear" w:color="auto" w:fill="auto"/>
            <w:vAlign w:val="center"/>
            <w:hideMark/>
          </w:tcPr>
          <w:p w14:paraId="41DECED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Griffin, M. et al., The Herschel-SPIRE Instrument and its In-flight performance, A&amp;A, 518, L3 2010 [10.1051/0004-6361/201014519] [Griffin-1; 563 citations]</w:t>
            </w:r>
          </w:p>
        </w:tc>
      </w:tr>
      <w:tr w:rsidR="008B4713" w:rsidRPr="007C3701" w14:paraId="66D72106"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66C49D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198</w:t>
            </w:r>
          </w:p>
        </w:tc>
        <w:tc>
          <w:tcPr>
            <w:tcW w:w="9225" w:type="dxa"/>
            <w:tcBorders>
              <w:top w:val="nil"/>
              <w:left w:val="single" w:sz="4" w:space="0" w:color="auto"/>
              <w:bottom w:val="nil"/>
              <w:right w:val="single" w:sz="4" w:space="0" w:color="auto"/>
            </w:tcBorders>
            <w:shd w:val="clear" w:color="auto" w:fill="auto"/>
            <w:vAlign w:val="center"/>
            <w:hideMark/>
          </w:tcPr>
          <w:p w14:paraId="735A360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Ade, P. A. R. et al., Planck Pre-Launch Status: The Optical Architecture of the HFI, A&amp;A, 520, A4 (2010) [10.1051/0004-6361/200913039]; 11 citations.</w:t>
            </w:r>
          </w:p>
        </w:tc>
      </w:tr>
      <w:tr w:rsidR="008B4713" w:rsidRPr="007C3701" w14:paraId="45945E89"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661AE0D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199</w:t>
            </w:r>
          </w:p>
        </w:tc>
        <w:tc>
          <w:tcPr>
            <w:tcW w:w="9225" w:type="dxa"/>
            <w:tcBorders>
              <w:top w:val="nil"/>
              <w:left w:val="single" w:sz="4" w:space="0" w:color="auto"/>
              <w:bottom w:val="nil"/>
              <w:right w:val="single" w:sz="4" w:space="0" w:color="auto"/>
            </w:tcBorders>
            <w:shd w:val="clear" w:color="auto" w:fill="auto"/>
            <w:vAlign w:val="center"/>
            <w:hideMark/>
          </w:tcPr>
          <w:p w14:paraId="30303CA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Ade, P. A. R. et al., Planck Early Results. IV. First Assessment of the High Frequency Instrument in-flight performance. A&amp;A, 536, A4 (2011) [10.1051/0004-6361/201116487]; [Ade-1; 75 citations]</w:t>
            </w:r>
          </w:p>
        </w:tc>
      </w:tr>
      <w:tr w:rsidR="008B4713" w:rsidRPr="007C3701" w14:paraId="74438BE9"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67FB959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200</w:t>
            </w:r>
          </w:p>
        </w:tc>
        <w:tc>
          <w:tcPr>
            <w:tcW w:w="9225" w:type="dxa"/>
            <w:tcBorders>
              <w:top w:val="nil"/>
              <w:left w:val="single" w:sz="4" w:space="0" w:color="auto"/>
              <w:bottom w:val="nil"/>
              <w:right w:val="single" w:sz="4" w:space="0" w:color="auto"/>
            </w:tcBorders>
            <w:shd w:val="clear" w:color="auto" w:fill="auto"/>
            <w:vAlign w:val="center"/>
            <w:hideMark/>
          </w:tcPr>
          <w:p w14:paraId="39A7C529"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Ade, P. A. R., and Tucker, C. E., A Review of Metal Mesh Filters, Proc. SPIE. 6275, 2006 [10.1117/12.673162; [36 citations; this paper reviews the theory of metal mesh technology and also contains much original material on the Cardiff devices specifically, which is not published elsewhere].</w:t>
            </w:r>
          </w:p>
        </w:tc>
      </w:tr>
      <w:tr w:rsidR="008B4713" w:rsidRPr="007C3701" w14:paraId="038CCFCE" w14:textId="77777777" w:rsidTr="00CF1052">
        <w:trPr>
          <w:trHeight w:val="808"/>
        </w:trPr>
        <w:tc>
          <w:tcPr>
            <w:tcW w:w="551" w:type="dxa"/>
            <w:tcBorders>
              <w:top w:val="nil"/>
              <w:left w:val="single" w:sz="4" w:space="0" w:color="auto"/>
              <w:bottom w:val="nil"/>
              <w:right w:val="nil"/>
            </w:tcBorders>
            <w:shd w:val="clear" w:color="auto" w:fill="auto"/>
            <w:noWrap/>
            <w:vAlign w:val="center"/>
            <w:hideMark/>
          </w:tcPr>
          <w:p w14:paraId="5E5B579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201</w:t>
            </w:r>
          </w:p>
        </w:tc>
        <w:tc>
          <w:tcPr>
            <w:tcW w:w="9225" w:type="dxa"/>
            <w:tcBorders>
              <w:top w:val="nil"/>
              <w:left w:val="single" w:sz="4" w:space="0" w:color="auto"/>
              <w:bottom w:val="nil"/>
              <w:right w:val="single" w:sz="4" w:space="0" w:color="auto"/>
            </w:tcBorders>
            <w:shd w:val="clear" w:color="auto" w:fill="auto"/>
            <w:vAlign w:val="center"/>
            <w:hideMark/>
          </w:tcPr>
          <w:p w14:paraId="713B1B22"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Zhang, J., Ade, P. A. R., Mauskopf, P., Moncelsi, L., Savini, G., and Whitehouse, N., New Artificial Dielectric Metamaterial and its Application as a Terahertz Antireflection Coating, Appl. Opt. 48, 35, 6635, 2010 [10.1364/AO.48.006635] [5 citations]</w:t>
            </w:r>
          </w:p>
        </w:tc>
      </w:tr>
      <w:tr w:rsidR="008B4713" w:rsidRPr="007C3701" w14:paraId="45EC34E1" w14:textId="77777777" w:rsidTr="00CF1052">
        <w:trPr>
          <w:trHeight w:val="606"/>
        </w:trPr>
        <w:tc>
          <w:tcPr>
            <w:tcW w:w="551" w:type="dxa"/>
            <w:tcBorders>
              <w:top w:val="nil"/>
              <w:left w:val="single" w:sz="4" w:space="0" w:color="auto"/>
              <w:bottom w:val="nil"/>
              <w:right w:val="nil"/>
            </w:tcBorders>
            <w:shd w:val="clear" w:color="auto" w:fill="auto"/>
            <w:noWrap/>
            <w:vAlign w:val="center"/>
            <w:hideMark/>
          </w:tcPr>
          <w:p w14:paraId="4C0CCD6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202</w:t>
            </w:r>
          </w:p>
        </w:tc>
        <w:tc>
          <w:tcPr>
            <w:tcW w:w="9225" w:type="dxa"/>
            <w:tcBorders>
              <w:top w:val="nil"/>
              <w:left w:val="single" w:sz="4" w:space="0" w:color="auto"/>
              <w:bottom w:val="nil"/>
              <w:right w:val="single" w:sz="4" w:space="0" w:color="auto"/>
            </w:tcBorders>
            <w:shd w:val="clear" w:color="auto" w:fill="auto"/>
            <w:vAlign w:val="center"/>
            <w:hideMark/>
          </w:tcPr>
          <w:p w14:paraId="2230D1C5"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Doyle, S., Mauskopf, P., Naylon, J., Porch, A, and Dunscombe, C., Lumped Element Kinetic Inductance Detectors, Journal of Low Temperature Physics, 151, 530, 2008 [10.1007/s10909-007-9685-2] [68 citations in Google Scholar]</w:t>
            </w:r>
          </w:p>
        </w:tc>
      </w:tr>
      <w:tr w:rsidR="008B4713" w:rsidRPr="007C3701" w14:paraId="1D9999F7" w14:textId="77777777" w:rsidTr="00CF1052">
        <w:trPr>
          <w:trHeight w:val="714"/>
        </w:trPr>
        <w:tc>
          <w:tcPr>
            <w:tcW w:w="551" w:type="dxa"/>
            <w:tcBorders>
              <w:top w:val="nil"/>
              <w:left w:val="single" w:sz="4" w:space="0" w:color="auto"/>
              <w:bottom w:val="nil"/>
              <w:right w:val="nil"/>
            </w:tcBorders>
            <w:shd w:val="clear" w:color="auto" w:fill="auto"/>
            <w:noWrap/>
            <w:vAlign w:val="center"/>
            <w:hideMark/>
          </w:tcPr>
          <w:p w14:paraId="11B56C1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203</w:t>
            </w:r>
          </w:p>
        </w:tc>
        <w:tc>
          <w:tcPr>
            <w:tcW w:w="9225" w:type="dxa"/>
            <w:tcBorders>
              <w:top w:val="nil"/>
              <w:left w:val="single" w:sz="4" w:space="0" w:color="auto"/>
              <w:bottom w:val="nil"/>
              <w:right w:val="single" w:sz="4" w:space="0" w:color="auto"/>
            </w:tcBorders>
            <w:shd w:val="clear" w:color="auto" w:fill="auto"/>
            <w:vAlign w:val="center"/>
            <w:hideMark/>
          </w:tcPr>
          <w:p w14:paraId="77FF70D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Wood, K., Doyle, S., Pascale, E., Rowe, S., Hargrave, P., Dunscombe, C., Grainger, W., Papergeorgiou, A., Spencer, L., and Mauskopf, P., KIDCAM, A Passive THz Imager, Proc. IRMMW, 2011 [http://dx.doi.org/10.1109/irmmw-THz.2011.6105184]</w:t>
            </w:r>
          </w:p>
        </w:tc>
      </w:tr>
      <w:tr w:rsidR="008B4713" w:rsidRPr="007C3701" w14:paraId="751C21AE" w14:textId="77777777" w:rsidTr="00CF1052">
        <w:trPr>
          <w:trHeight w:val="529"/>
        </w:trPr>
        <w:tc>
          <w:tcPr>
            <w:tcW w:w="551" w:type="dxa"/>
            <w:tcBorders>
              <w:top w:val="nil"/>
              <w:left w:val="single" w:sz="4" w:space="0" w:color="auto"/>
              <w:bottom w:val="nil"/>
              <w:right w:val="nil"/>
            </w:tcBorders>
            <w:shd w:val="clear" w:color="auto" w:fill="auto"/>
            <w:noWrap/>
            <w:vAlign w:val="center"/>
            <w:hideMark/>
          </w:tcPr>
          <w:p w14:paraId="28B45DE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204</w:t>
            </w:r>
          </w:p>
        </w:tc>
        <w:tc>
          <w:tcPr>
            <w:tcW w:w="9225" w:type="dxa"/>
            <w:tcBorders>
              <w:top w:val="nil"/>
              <w:left w:val="single" w:sz="4" w:space="0" w:color="auto"/>
              <w:bottom w:val="nil"/>
              <w:right w:val="single" w:sz="4" w:space="0" w:color="auto"/>
            </w:tcBorders>
            <w:shd w:val="clear" w:color="auto" w:fill="auto"/>
            <w:vAlign w:val="center"/>
            <w:hideMark/>
          </w:tcPr>
          <w:p w14:paraId="2A82C06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Dye, S., et al. (68 authors inc. Eales, Gomez), Herschel-ATLAS: Evolution of the 250 μm luminosity function out to z = 0.5, A&amp;A, 518, L10, 2010 [10.1051/0004-6361/201014614] [Eales-2; 36 citations]; Dye was a postdoc at Cardiff at the time.</w:t>
            </w:r>
          </w:p>
        </w:tc>
      </w:tr>
      <w:tr w:rsidR="008B4713" w:rsidRPr="007C3701" w14:paraId="73891BFD"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5345107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205</w:t>
            </w:r>
          </w:p>
        </w:tc>
        <w:tc>
          <w:tcPr>
            <w:tcW w:w="9225" w:type="dxa"/>
            <w:tcBorders>
              <w:top w:val="nil"/>
              <w:left w:val="single" w:sz="4" w:space="0" w:color="auto"/>
              <w:bottom w:val="nil"/>
              <w:right w:val="single" w:sz="4" w:space="0" w:color="auto"/>
            </w:tcBorders>
            <w:shd w:val="clear" w:color="auto" w:fill="auto"/>
            <w:vAlign w:val="center"/>
            <w:hideMark/>
          </w:tcPr>
          <w:p w14:paraId="1B96640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Dunne, L. al (41 authors inc. Eales, Gomez), Herschel-ATLAS: rapid evolution of dust in galaxies over the last 5 billion years, MNRAS 417, 1510, 2012 [10.1111/j.1365-2966.2011.19363.x] [Gomez-1; 57 citations]</w:t>
            </w:r>
          </w:p>
        </w:tc>
      </w:tr>
      <w:tr w:rsidR="008B4713" w:rsidRPr="007C3701" w14:paraId="06CF21FE"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6E03ADD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206</w:t>
            </w:r>
          </w:p>
        </w:tc>
        <w:tc>
          <w:tcPr>
            <w:tcW w:w="9225" w:type="dxa"/>
            <w:tcBorders>
              <w:top w:val="nil"/>
              <w:left w:val="single" w:sz="4" w:space="0" w:color="auto"/>
              <w:bottom w:val="nil"/>
              <w:right w:val="single" w:sz="4" w:space="0" w:color="auto"/>
            </w:tcBorders>
            <w:shd w:val="clear" w:color="auto" w:fill="auto"/>
            <w:vAlign w:val="center"/>
            <w:hideMark/>
          </w:tcPr>
          <w:p w14:paraId="1E3232AF"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Ford, G. P. et al. (20 authors inc. Gear, Gomez), Herschel exploitation of local galaxy Andromeda (HELGA) III: the star formation law in M31, Ap. J. 769, 55, 2013 [10.1088/0004-637X/769/1/55 ] [Gear-4; 1 citation]</w:t>
            </w:r>
          </w:p>
        </w:tc>
      </w:tr>
      <w:tr w:rsidR="008B4713" w:rsidRPr="007C3701" w14:paraId="3F779475"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5357CC8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207</w:t>
            </w:r>
          </w:p>
        </w:tc>
        <w:tc>
          <w:tcPr>
            <w:tcW w:w="9225" w:type="dxa"/>
            <w:tcBorders>
              <w:top w:val="nil"/>
              <w:left w:val="single" w:sz="4" w:space="0" w:color="auto"/>
              <w:bottom w:val="nil"/>
              <w:right w:val="single" w:sz="4" w:space="0" w:color="auto"/>
            </w:tcBorders>
            <w:shd w:val="clear" w:color="auto" w:fill="auto"/>
            <w:vAlign w:val="center"/>
            <w:hideMark/>
          </w:tcPr>
          <w:p w14:paraId="6A4DA31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Gomez, H. L. et al. (16 authors inc. Gear), Dust in historical Galactic Type Ia supernova remnants with Herschel, MNRAS 420, 3557, 2012 [10.1111/j.1365-2966.2011.20272.x] [Gomez-3; 15 citations]</w:t>
            </w:r>
          </w:p>
        </w:tc>
      </w:tr>
      <w:tr w:rsidR="008B4713" w:rsidRPr="007C3701" w14:paraId="205D6F11"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69872F2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208</w:t>
            </w:r>
          </w:p>
        </w:tc>
        <w:tc>
          <w:tcPr>
            <w:tcW w:w="9225" w:type="dxa"/>
            <w:tcBorders>
              <w:top w:val="nil"/>
              <w:left w:val="single" w:sz="4" w:space="0" w:color="auto"/>
              <w:bottom w:val="nil"/>
              <w:right w:val="single" w:sz="4" w:space="0" w:color="auto"/>
            </w:tcBorders>
            <w:shd w:val="clear" w:color="auto" w:fill="auto"/>
            <w:vAlign w:val="center"/>
            <w:hideMark/>
          </w:tcPr>
          <w:p w14:paraId="022A0062"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André, Ph. et al, [57 authors inc. Ade, Griffin], From filamentary clouds to prestellar cores to the stellar IMF: Initial highlights from the Herschel Gould Belt survey, A&amp;A 518, L02, 2010 [10.1051/0004-6361/201014666] [Griffin-4; 216 citations]</w:t>
            </w:r>
          </w:p>
        </w:tc>
      </w:tr>
      <w:tr w:rsidR="008B4713" w:rsidRPr="007C3701" w14:paraId="1A0863BC"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3B7AB34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209</w:t>
            </w:r>
          </w:p>
        </w:tc>
        <w:tc>
          <w:tcPr>
            <w:tcW w:w="9225" w:type="dxa"/>
            <w:tcBorders>
              <w:top w:val="nil"/>
              <w:left w:val="single" w:sz="4" w:space="0" w:color="auto"/>
              <w:bottom w:val="nil"/>
              <w:right w:val="single" w:sz="4" w:space="0" w:color="auto"/>
            </w:tcBorders>
            <w:shd w:val="clear" w:color="auto" w:fill="auto"/>
            <w:vAlign w:val="center"/>
            <w:hideMark/>
          </w:tcPr>
          <w:p w14:paraId="6D3B6115" w14:textId="525C9FE6"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A</w:t>
            </w:r>
            <w:r w:rsidR="00970D15">
              <w:rPr>
                <w:rFonts w:ascii="Calibri" w:eastAsia="Times New Roman" w:hAnsi="Calibri" w:cs="Calibri"/>
                <w:color w:val="000000"/>
                <w:lang w:eastAsia="en-GB"/>
              </w:rPr>
              <w:t xml:space="preserve">stronomy and Astrophysics (journal). </w:t>
            </w:r>
            <w:hyperlink r:id="rId148" w:history="1">
              <w:r w:rsidR="00970D15" w:rsidRPr="000562AF">
                <w:rPr>
                  <w:rStyle w:val="Hyperlink"/>
                  <w:rFonts w:ascii="Calibri" w:eastAsia="Times New Roman" w:hAnsi="Calibri" w:cs="Calibri"/>
                  <w:lang w:eastAsia="en-GB"/>
                </w:rPr>
                <w:t>https://www.aanda.org/</w:t>
              </w:r>
            </w:hyperlink>
            <w:r w:rsidR="00970D15">
              <w:rPr>
                <w:rFonts w:ascii="Calibri" w:eastAsia="Times New Roman" w:hAnsi="Calibri" w:cs="Calibri"/>
                <w:color w:val="000000"/>
                <w:lang w:eastAsia="en-GB"/>
              </w:rPr>
              <w:t xml:space="preserve"> </w:t>
            </w:r>
            <w:r w:rsidR="00D92981">
              <w:rPr>
                <w:rFonts w:ascii="Calibri" w:eastAsia="Times New Roman" w:hAnsi="Calibri" w:cs="Calibri"/>
                <w:color w:val="000000"/>
                <w:lang w:eastAsia="en-GB"/>
              </w:rPr>
              <w:t>(accessed 4 September 2019)</w:t>
            </w:r>
          </w:p>
        </w:tc>
      </w:tr>
      <w:tr w:rsidR="008B4713" w:rsidRPr="007C3701" w14:paraId="6CF6BE15"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4EE6D59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210</w:t>
            </w:r>
          </w:p>
        </w:tc>
        <w:tc>
          <w:tcPr>
            <w:tcW w:w="9225" w:type="dxa"/>
            <w:tcBorders>
              <w:top w:val="nil"/>
              <w:left w:val="single" w:sz="4" w:space="0" w:color="auto"/>
              <w:bottom w:val="nil"/>
              <w:right w:val="single" w:sz="4" w:space="0" w:color="auto"/>
            </w:tcBorders>
            <w:shd w:val="clear" w:color="auto" w:fill="auto"/>
            <w:vAlign w:val="center"/>
            <w:hideMark/>
          </w:tcPr>
          <w:p w14:paraId="089C3DAD" w14:textId="466F0E2D"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SPIE </w:t>
            </w:r>
            <w:r w:rsidR="00270F16">
              <w:rPr>
                <w:rFonts w:ascii="Calibri" w:eastAsia="Times New Roman" w:hAnsi="Calibri" w:cs="Calibri"/>
                <w:color w:val="000000"/>
                <w:lang w:eastAsia="en-GB"/>
              </w:rPr>
              <w:t xml:space="preserve">(journal). </w:t>
            </w:r>
            <w:hyperlink r:id="rId149" w:history="1">
              <w:r w:rsidR="00270F16" w:rsidRPr="000562AF">
                <w:rPr>
                  <w:rStyle w:val="Hyperlink"/>
                  <w:rFonts w:ascii="Calibri" w:eastAsia="Times New Roman" w:hAnsi="Calibri" w:cs="Calibri"/>
                  <w:lang w:eastAsia="en-GB"/>
                </w:rPr>
                <w:t>https://spie.org/</w:t>
              </w:r>
            </w:hyperlink>
            <w:r w:rsidR="00270F16">
              <w:rPr>
                <w:rFonts w:ascii="Calibri" w:eastAsia="Times New Roman" w:hAnsi="Calibri" w:cs="Calibri"/>
                <w:color w:val="000000"/>
                <w:lang w:eastAsia="en-GB"/>
              </w:rPr>
              <w:t xml:space="preserve"> </w:t>
            </w:r>
            <w:r w:rsidR="00D92981">
              <w:rPr>
                <w:rFonts w:ascii="Calibri" w:eastAsia="Times New Roman" w:hAnsi="Calibri" w:cs="Calibri"/>
                <w:color w:val="000000"/>
                <w:lang w:eastAsia="en-GB"/>
              </w:rPr>
              <w:t>(accessed 4 September 2019)</w:t>
            </w:r>
          </w:p>
        </w:tc>
      </w:tr>
      <w:tr w:rsidR="008B4713" w:rsidRPr="007C3701" w14:paraId="28FA03CF"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50E71A3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211</w:t>
            </w:r>
          </w:p>
        </w:tc>
        <w:tc>
          <w:tcPr>
            <w:tcW w:w="9225" w:type="dxa"/>
            <w:tcBorders>
              <w:top w:val="nil"/>
              <w:left w:val="single" w:sz="4" w:space="0" w:color="auto"/>
              <w:bottom w:val="nil"/>
              <w:right w:val="single" w:sz="4" w:space="0" w:color="auto"/>
            </w:tcBorders>
            <w:shd w:val="clear" w:color="auto" w:fill="auto"/>
            <w:vAlign w:val="center"/>
            <w:hideMark/>
          </w:tcPr>
          <w:p w14:paraId="4CE5DA71" w14:textId="2D7FA319"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Applied Optics </w:t>
            </w:r>
            <w:r w:rsidR="00270F16">
              <w:rPr>
                <w:rFonts w:ascii="Calibri" w:eastAsia="Times New Roman" w:hAnsi="Calibri" w:cs="Calibri"/>
                <w:color w:val="000000"/>
                <w:lang w:eastAsia="en-GB"/>
              </w:rPr>
              <w:t>(</w:t>
            </w:r>
            <w:r w:rsidRPr="007C3701">
              <w:rPr>
                <w:rFonts w:ascii="Calibri" w:eastAsia="Times New Roman" w:hAnsi="Calibri" w:cs="Calibri"/>
                <w:color w:val="000000"/>
                <w:lang w:eastAsia="en-GB"/>
              </w:rPr>
              <w:t>journal</w:t>
            </w:r>
            <w:r w:rsidR="00270F16">
              <w:rPr>
                <w:rFonts w:ascii="Calibri" w:eastAsia="Times New Roman" w:hAnsi="Calibri" w:cs="Calibri"/>
                <w:color w:val="000000"/>
                <w:lang w:eastAsia="en-GB"/>
              </w:rPr>
              <w:t>)</w:t>
            </w:r>
            <w:r w:rsidRPr="007C3701">
              <w:rPr>
                <w:rFonts w:ascii="Calibri" w:eastAsia="Times New Roman" w:hAnsi="Calibri" w:cs="Calibri"/>
                <w:color w:val="000000"/>
                <w:lang w:eastAsia="en-GB"/>
              </w:rPr>
              <w:t xml:space="preserve"> </w:t>
            </w:r>
            <w:hyperlink r:id="rId150" w:history="1">
              <w:r w:rsidR="00270F16" w:rsidRPr="000562AF">
                <w:rPr>
                  <w:rStyle w:val="Hyperlink"/>
                  <w:rFonts w:ascii="Calibri" w:eastAsia="Times New Roman" w:hAnsi="Calibri" w:cs="Calibri"/>
                  <w:lang w:eastAsia="en-GB"/>
                </w:rPr>
                <w:t>https://www.osapublishing.org/ao/home.cfm</w:t>
              </w:r>
            </w:hyperlink>
            <w:r w:rsidR="00270F16">
              <w:rPr>
                <w:rFonts w:ascii="Calibri" w:eastAsia="Times New Roman" w:hAnsi="Calibri" w:cs="Calibri"/>
                <w:color w:val="000000"/>
                <w:lang w:eastAsia="en-GB"/>
              </w:rPr>
              <w:t xml:space="preserve"> </w:t>
            </w:r>
            <w:r w:rsidR="00D92981">
              <w:rPr>
                <w:rFonts w:ascii="Calibri" w:eastAsia="Times New Roman" w:hAnsi="Calibri" w:cs="Calibri"/>
                <w:color w:val="000000"/>
                <w:lang w:eastAsia="en-GB"/>
              </w:rPr>
              <w:t>(accessed 4 September 2019)</w:t>
            </w:r>
          </w:p>
        </w:tc>
      </w:tr>
      <w:tr w:rsidR="008B4713" w:rsidRPr="007C3701" w14:paraId="71768A2E"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1A70DF1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212</w:t>
            </w:r>
          </w:p>
        </w:tc>
        <w:tc>
          <w:tcPr>
            <w:tcW w:w="9225" w:type="dxa"/>
            <w:tcBorders>
              <w:top w:val="nil"/>
              <w:left w:val="single" w:sz="4" w:space="0" w:color="auto"/>
              <w:bottom w:val="nil"/>
              <w:right w:val="single" w:sz="4" w:space="0" w:color="auto"/>
            </w:tcBorders>
            <w:shd w:val="clear" w:color="auto" w:fill="auto"/>
            <w:vAlign w:val="center"/>
            <w:hideMark/>
          </w:tcPr>
          <w:p w14:paraId="772C16E0" w14:textId="14A0CC41"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International Society of Infrared Millimeter and Terahertz Waves website: </w:t>
            </w:r>
            <w:hyperlink r:id="rId151" w:history="1">
              <w:r w:rsidR="00270F16" w:rsidRPr="000562AF">
                <w:rPr>
                  <w:rStyle w:val="Hyperlink"/>
                  <w:rFonts w:ascii="Calibri" w:eastAsia="Times New Roman" w:hAnsi="Calibri" w:cs="Calibri"/>
                  <w:lang w:eastAsia="en-GB"/>
                </w:rPr>
                <w:t>http://www.irmmw-thz.org/</w:t>
              </w:r>
            </w:hyperlink>
            <w:r w:rsidR="00270F16">
              <w:rPr>
                <w:rFonts w:ascii="Calibri" w:eastAsia="Times New Roman" w:hAnsi="Calibri" w:cs="Calibri"/>
                <w:color w:val="000000"/>
                <w:lang w:eastAsia="en-GB"/>
              </w:rPr>
              <w:t xml:space="preserve"> </w:t>
            </w:r>
            <w:r w:rsidR="00D92981">
              <w:rPr>
                <w:rFonts w:ascii="Calibri" w:eastAsia="Times New Roman" w:hAnsi="Calibri" w:cs="Calibri"/>
                <w:color w:val="000000"/>
                <w:lang w:eastAsia="en-GB"/>
              </w:rPr>
              <w:t>(accessed 4 September 2019)</w:t>
            </w:r>
          </w:p>
        </w:tc>
      </w:tr>
      <w:tr w:rsidR="008B4713" w:rsidRPr="007C3701" w14:paraId="757864BA"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6B9FFBD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213</w:t>
            </w:r>
          </w:p>
        </w:tc>
        <w:tc>
          <w:tcPr>
            <w:tcW w:w="9225" w:type="dxa"/>
            <w:tcBorders>
              <w:top w:val="nil"/>
              <w:left w:val="single" w:sz="4" w:space="0" w:color="auto"/>
              <w:bottom w:val="nil"/>
              <w:right w:val="single" w:sz="4" w:space="0" w:color="auto"/>
            </w:tcBorders>
            <w:shd w:val="clear" w:color="auto" w:fill="auto"/>
            <w:vAlign w:val="center"/>
            <w:hideMark/>
          </w:tcPr>
          <w:p w14:paraId="738CA3E4" w14:textId="77C888BD" w:rsidR="008B4713" w:rsidRPr="007C3701" w:rsidRDefault="00840E2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Royal Astronomical Society. </w:t>
            </w:r>
            <w:hyperlink r:id="rId152" w:history="1">
              <w:r w:rsidR="00D92981" w:rsidRPr="000562AF">
                <w:rPr>
                  <w:rStyle w:val="Hyperlink"/>
                  <w:rFonts w:ascii="Calibri" w:eastAsia="Times New Roman" w:hAnsi="Calibri" w:cs="Calibri"/>
                  <w:lang w:eastAsia="en-GB"/>
                </w:rPr>
                <w:t>https://academic.oup.com/mnras</w:t>
              </w:r>
            </w:hyperlink>
            <w:r w:rsidR="00D92981">
              <w:rPr>
                <w:rFonts w:ascii="Calibri" w:eastAsia="Times New Roman" w:hAnsi="Calibri" w:cs="Calibri"/>
                <w:color w:val="000000"/>
                <w:lang w:eastAsia="en-GB"/>
              </w:rPr>
              <w:t xml:space="preserve"> (accessed 4 September 2019)</w:t>
            </w:r>
          </w:p>
        </w:tc>
      </w:tr>
      <w:tr w:rsidR="008B4713" w:rsidRPr="007C3701" w14:paraId="3FB9F6D1"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26BD1A0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214</w:t>
            </w:r>
          </w:p>
        </w:tc>
        <w:tc>
          <w:tcPr>
            <w:tcW w:w="9225" w:type="dxa"/>
            <w:tcBorders>
              <w:top w:val="nil"/>
              <w:left w:val="single" w:sz="4" w:space="0" w:color="auto"/>
              <w:bottom w:val="nil"/>
              <w:right w:val="single" w:sz="4" w:space="0" w:color="auto"/>
            </w:tcBorders>
            <w:shd w:val="clear" w:color="auto" w:fill="auto"/>
            <w:vAlign w:val="center"/>
            <w:hideMark/>
          </w:tcPr>
          <w:p w14:paraId="3F9B312A" w14:textId="6332C48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Herschel Outreach Grant. </w:t>
            </w:r>
            <w:hyperlink r:id="rId153" w:history="1">
              <w:r w:rsidR="00D92981" w:rsidRPr="000562AF">
                <w:rPr>
                  <w:rStyle w:val="Hyperlink"/>
                  <w:rFonts w:ascii="Calibri" w:eastAsia="Times New Roman" w:hAnsi="Calibri" w:cs="Calibri"/>
                  <w:lang w:eastAsia="en-GB"/>
                </w:rPr>
                <w:t>https://gtr.ukri.org/projects?ref=ST%2FH000453%2F1</w:t>
              </w:r>
            </w:hyperlink>
            <w:r w:rsidR="00D92981">
              <w:rPr>
                <w:rFonts w:ascii="Calibri" w:eastAsia="Times New Roman" w:hAnsi="Calibri" w:cs="Calibri"/>
                <w:color w:val="000000"/>
                <w:lang w:eastAsia="en-GB"/>
              </w:rPr>
              <w:t xml:space="preserve"> (accessed 4 September 2019)</w:t>
            </w:r>
          </w:p>
        </w:tc>
      </w:tr>
      <w:tr w:rsidR="008B4713" w:rsidRPr="007C3701" w14:paraId="60553ADC"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5C3E929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215</w:t>
            </w:r>
          </w:p>
        </w:tc>
        <w:tc>
          <w:tcPr>
            <w:tcW w:w="9225" w:type="dxa"/>
            <w:tcBorders>
              <w:top w:val="nil"/>
              <w:left w:val="single" w:sz="4" w:space="0" w:color="auto"/>
              <w:bottom w:val="nil"/>
              <w:right w:val="single" w:sz="4" w:space="0" w:color="auto"/>
            </w:tcBorders>
            <w:shd w:val="clear" w:color="auto" w:fill="auto"/>
            <w:vAlign w:val="center"/>
            <w:hideMark/>
          </w:tcPr>
          <w:p w14:paraId="678B269D" w14:textId="2DAA5147" w:rsidR="008B4713" w:rsidRPr="007C3701" w:rsidRDefault="00D92981"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Herschel Project. </w:t>
            </w:r>
            <w:hyperlink r:id="rId154" w:history="1">
              <w:r w:rsidRPr="000562AF">
                <w:rPr>
                  <w:rStyle w:val="Hyperlink"/>
                  <w:rFonts w:ascii="Calibri" w:eastAsia="Times New Roman" w:hAnsi="Calibri" w:cs="Calibri"/>
                  <w:lang w:eastAsia="en-GB"/>
                </w:rPr>
                <w:t>http://herschel.cf.ac.uk/</w:t>
              </w:r>
            </w:hyperlink>
            <w:r>
              <w:rPr>
                <w:rFonts w:ascii="Calibri" w:eastAsia="Times New Roman" w:hAnsi="Calibri" w:cs="Calibri"/>
                <w:color w:val="000000"/>
                <w:lang w:eastAsia="en-GB"/>
              </w:rPr>
              <w:t xml:space="preserve"> (accessed 4 September 2019)</w:t>
            </w:r>
          </w:p>
        </w:tc>
      </w:tr>
      <w:tr w:rsidR="008B4713" w:rsidRPr="007C3701" w14:paraId="76C8466A"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40C0045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216</w:t>
            </w:r>
          </w:p>
        </w:tc>
        <w:tc>
          <w:tcPr>
            <w:tcW w:w="9225" w:type="dxa"/>
            <w:tcBorders>
              <w:top w:val="nil"/>
              <w:left w:val="single" w:sz="4" w:space="0" w:color="auto"/>
              <w:bottom w:val="nil"/>
              <w:right w:val="single" w:sz="4" w:space="0" w:color="auto"/>
            </w:tcBorders>
            <w:shd w:val="clear" w:color="auto" w:fill="auto"/>
            <w:vAlign w:val="center"/>
            <w:hideMark/>
          </w:tcPr>
          <w:p w14:paraId="2173E942" w14:textId="79FCC949" w:rsidR="008B4713" w:rsidRPr="007C3701" w:rsidRDefault="00D92981" w:rsidP="004E0087">
            <w:pPr>
              <w:spacing w:after="0" w:line="240" w:lineRule="auto"/>
              <w:rPr>
                <w:rFonts w:ascii="Calibri" w:eastAsia="Times New Roman" w:hAnsi="Calibri" w:cs="Calibri"/>
                <w:color w:val="0563C1"/>
                <w:u w:val="single"/>
                <w:lang w:eastAsia="en-GB"/>
              </w:rPr>
            </w:pPr>
            <w:r>
              <w:t xml:space="preserve">Grant page. </w:t>
            </w:r>
            <w:hyperlink r:id="rId155" w:history="1">
              <w:r w:rsidRPr="000562AF">
                <w:rPr>
                  <w:rStyle w:val="Hyperlink"/>
                  <w:rFonts w:ascii="Calibri" w:eastAsia="Times New Roman" w:hAnsi="Calibri" w:cs="Calibri"/>
                  <w:lang w:eastAsia="en-GB"/>
                </w:rPr>
                <w:t>https://gtr.ukri.org/person/AC6D77BC-8430-4ECA-A5A6-B17027410E71/</w:t>
              </w:r>
            </w:hyperlink>
            <w:r>
              <w:rPr>
                <w:rFonts w:ascii="Calibri" w:eastAsia="Times New Roman" w:hAnsi="Calibri" w:cs="Calibri"/>
                <w:color w:val="0563C1"/>
                <w:u w:val="single"/>
                <w:lang w:eastAsia="en-GB"/>
              </w:rPr>
              <w:t xml:space="preserve"> </w:t>
            </w:r>
            <w:r>
              <w:rPr>
                <w:rFonts w:ascii="Calibri" w:eastAsia="Times New Roman" w:hAnsi="Calibri" w:cs="Calibri"/>
                <w:color w:val="000000"/>
                <w:lang w:eastAsia="en-GB"/>
              </w:rPr>
              <w:t>(accessed 4 September 2019)</w:t>
            </w:r>
          </w:p>
        </w:tc>
      </w:tr>
      <w:tr w:rsidR="008B4713" w:rsidRPr="007C3701" w14:paraId="119594C8"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7C424E9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217</w:t>
            </w:r>
          </w:p>
        </w:tc>
        <w:tc>
          <w:tcPr>
            <w:tcW w:w="9225" w:type="dxa"/>
            <w:tcBorders>
              <w:top w:val="nil"/>
              <w:left w:val="single" w:sz="4" w:space="0" w:color="auto"/>
              <w:bottom w:val="nil"/>
              <w:right w:val="single" w:sz="4" w:space="0" w:color="auto"/>
            </w:tcBorders>
            <w:shd w:val="clear" w:color="auto" w:fill="auto"/>
            <w:vAlign w:val="center"/>
            <w:hideMark/>
          </w:tcPr>
          <w:p w14:paraId="16CEAB7D" w14:textId="71C2F412" w:rsidR="008B4713" w:rsidRPr="007C3701" w:rsidRDefault="00D92981" w:rsidP="004E0087">
            <w:pPr>
              <w:spacing w:after="0" w:line="240" w:lineRule="auto"/>
              <w:rPr>
                <w:rFonts w:ascii="Calibri" w:eastAsia="Times New Roman" w:hAnsi="Calibri" w:cs="Calibri"/>
                <w:color w:val="0563C1"/>
                <w:u w:val="single"/>
                <w:lang w:eastAsia="en-GB"/>
              </w:rPr>
            </w:pPr>
            <w:r>
              <w:t xml:space="preserve">Grant page. </w:t>
            </w:r>
            <w:hyperlink r:id="rId156" w:history="1">
              <w:r w:rsidR="008B4713" w:rsidRPr="007C3701">
                <w:rPr>
                  <w:rFonts w:ascii="Calibri" w:eastAsia="Times New Roman" w:hAnsi="Calibri" w:cs="Calibri"/>
                  <w:color w:val="0563C1"/>
                  <w:u w:val="single"/>
                  <w:lang w:eastAsia="en-GB"/>
                </w:rPr>
                <w:t>https://gtr.ukri.org/projects?ref=ST%2FJ001538%2F1</w:t>
              </w:r>
            </w:hyperlink>
            <w:r>
              <w:rPr>
                <w:rFonts w:ascii="Calibri" w:eastAsia="Times New Roman" w:hAnsi="Calibri" w:cs="Calibri"/>
                <w:color w:val="0563C1"/>
                <w:u w:val="single"/>
                <w:lang w:eastAsia="en-GB"/>
              </w:rPr>
              <w:t xml:space="preserve"> </w:t>
            </w:r>
            <w:r>
              <w:rPr>
                <w:rFonts w:ascii="Calibri" w:eastAsia="Times New Roman" w:hAnsi="Calibri" w:cs="Calibri"/>
                <w:color w:val="000000"/>
                <w:lang w:eastAsia="en-GB"/>
              </w:rPr>
              <w:t>(accessed 4 September 2019)</w:t>
            </w:r>
          </w:p>
        </w:tc>
      </w:tr>
      <w:tr w:rsidR="008B4713" w:rsidRPr="007C3701" w14:paraId="4A782BB0"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3279833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218</w:t>
            </w:r>
          </w:p>
        </w:tc>
        <w:tc>
          <w:tcPr>
            <w:tcW w:w="9225" w:type="dxa"/>
            <w:tcBorders>
              <w:top w:val="nil"/>
              <w:left w:val="single" w:sz="4" w:space="0" w:color="auto"/>
              <w:bottom w:val="nil"/>
              <w:right w:val="single" w:sz="4" w:space="0" w:color="auto"/>
            </w:tcBorders>
            <w:shd w:val="clear" w:color="auto" w:fill="auto"/>
            <w:vAlign w:val="center"/>
            <w:hideMark/>
          </w:tcPr>
          <w:p w14:paraId="7AAC990B" w14:textId="5F1A4ECC" w:rsidR="008B4713" w:rsidRPr="007C3701" w:rsidRDefault="00D92981" w:rsidP="004E0087">
            <w:pPr>
              <w:spacing w:after="0" w:line="240" w:lineRule="auto"/>
              <w:rPr>
                <w:rFonts w:ascii="Calibri" w:eastAsia="Times New Roman" w:hAnsi="Calibri" w:cs="Calibri"/>
                <w:color w:val="0563C1"/>
                <w:u w:val="single"/>
                <w:lang w:eastAsia="en-GB"/>
              </w:rPr>
            </w:pPr>
            <w:r>
              <w:t xml:space="preserve">Grant page. </w:t>
            </w:r>
            <w:hyperlink r:id="rId157" w:history="1">
              <w:r w:rsidR="008B4713" w:rsidRPr="007C3701">
                <w:rPr>
                  <w:rFonts w:ascii="Calibri" w:eastAsia="Times New Roman" w:hAnsi="Calibri" w:cs="Calibri"/>
                  <w:color w:val="0563C1"/>
                  <w:u w:val="single"/>
                  <w:lang w:eastAsia="en-GB"/>
                </w:rPr>
                <w:t>https://gtr.ukri.org/person/E687B953-614E-4FAA-BF68-6692A1038016</w:t>
              </w:r>
            </w:hyperlink>
            <w:r>
              <w:rPr>
                <w:rFonts w:ascii="Calibri" w:eastAsia="Times New Roman" w:hAnsi="Calibri" w:cs="Calibri"/>
                <w:color w:val="0563C1"/>
                <w:u w:val="single"/>
                <w:lang w:eastAsia="en-GB"/>
              </w:rPr>
              <w:t xml:space="preserve"> </w:t>
            </w:r>
            <w:r>
              <w:rPr>
                <w:rFonts w:ascii="Calibri" w:eastAsia="Times New Roman" w:hAnsi="Calibri" w:cs="Calibri"/>
                <w:color w:val="000000"/>
                <w:lang w:eastAsia="en-GB"/>
              </w:rPr>
              <w:t>(accessed 4 September 2019)</w:t>
            </w:r>
          </w:p>
        </w:tc>
      </w:tr>
      <w:tr w:rsidR="008B4713" w:rsidRPr="007C3701" w14:paraId="3D1A61C6"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7F30DFF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219</w:t>
            </w:r>
          </w:p>
        </w:tc>
        <w:tc>
          <w:tcPr>
            <w:tcW w:w="9225" w:type="dxa"/>
            <w:tcBorders>
              <w:top w:val="nil"/>
              <w:left w:val="single" w:sz="4" w:space="0" w:color="auto"/>
              <w:bottom w:val="nil"/>
              <w:right w:val="single" w:sz="4" w:space="0" w:color="auto"/>
            </w:tcBorders>
            <w:shd w:val="clear" w:color="auto" w:fill="auto"/>
            <w:vAlign w:val="center"/>
            <w:hideMark/>
          </w:tcPr>
          <w:p w14:paraId="110D0F8D" w14:textId="0F4DD67B" w:rsidR="008B4713" w:rsidRPr="007C3701" w:rsidRDefault="00D92981" w:rsidP="004E0087">
            <w:pPr>
              <w:spacing w:after="0" w:line="240" w:lineRule="auto"/>
              <w:rPr>
                <w:rFonts w:ascii="Calibri" w:eastAsia="Times New Roman" w:hAnsi="Calibri" w:cs="Calibri"/>
                <w:color w:val="0563C1"/>
                <w:u w:val="single"/>
                <w:lang w:eastAsia="en-GB"/>
              </w:rPr>
            </w:pPr>
            <w:r>
              <w:t xml:space="preserve">Grant page. </w:t>
            </w:r>
            <w:hyperlink r:id="rId158" w:history="1">
              <w:r w:rsidR="008B4713" w:rsidRPr="007C3701">
                <w:rPr>
                  <w:rFonts w:ascii="Calibri" w:eastAsia="Times New Roman" w:hAnsi="Calibri" w:cs="Calibri"/>
                  <w:color w:val="0563C1"/>
                  <w:u w:val="single"/>
                  <w:lang w:eastAsia="en-GB"/>
                </w:rPr>
                <w:t>https://gtr.ukri.org/person/2A5E4786-2B17-44FA-ABC8-9F0223F188DA</w:t>
              </w:r>
            </w:hyperlink>
            <w:r>
              <w:rPr>
                <w:rFonts w:ascii="Calibri" w:eastAsia="Times New Roman" w:hAnsi="Calibri" w:cs="Calibri"/>
                <w:color w:val="0563C1"/>
                <w:u w:val="single"/>
                <w:lang w:eastAsia="en-GB"/>
              </w:rPr>
              <w:t xml:space="preserve"> </w:t>
            </w:r>
            <w:r>
              <w:rPr>
                <w:rFonts w:ascii="Calibri" w:eastAsia="Times New Roman" w:hAnsi="Calibri" w:cs="Calibri"/>
                <w:color w:val="000000"/>
                <w:lang w:eastAsia="en-GB"/>
              </w:rPr>
              <w:t>(accessed 4 September 2019)</w:t>
            </w:r>
          </w:p>
        </w:tc>
      </w:tr>
      <w:tr w:rsidR="008B4713" w:rsidRPr="007C3701" w14:paraId="07FA80AA"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3825C2B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220</w:t>
            </w:r>
          </w:p>
        </w:tc>
        <w:tc>
          <w:tcPr>
            <w:tcW w:w="9225" w:type="dxa"/>
            <w:tcBorders>
              <w:top w:val="nil"/>
              <w:left w:val="single" w:sz="4" w:space="0" w:color="auto"/>
              <w:bottom w:val="nil"/>
              <w:right w:val="single" w:sz="4" w:space="0" w:color="auto"/>
            </w:tcBorders>
            <w:shd w:val="clear" w:color="auto" w:fill="auto"/>
            <w:vAlign w:val="center"/>
            <w:hideMark/>
          </w:tcPr>
          <w:p w14:paraId="1BAAF15F" w14:textId="3829F584" w:rsidR="008B4713" w:rsidRPr="007C3701" w:rsidRDefault="00D92981" w:rsidP="004E0087">
            <w:pPr>
              <w:spacing w:after="0" w:line="240" w:lineRule="auto"/>
              <w:rPr>
                <w:rFonts w:ascii="Calibri" w:eastAsia="Times New Roman" w:hAnsi="Calibri" w:cs="Calibri"/>
                <w:color w:val="0563C1"/>
                <w:u w:val="single"/>
                <w:lang w:eastAsia="en-GB"/>
              </w:rPr>
            </w:pPr>
            <w:r>
              <w:t xml:space="preserve">Grant page. </w:t>
            </w:r>
            <w:hyperlink r:id="rId159" w:history="1">
              <w:r w:rsidR="008B4713" w:rsidRPr="007C3701">
                <w:rPr>
                  <w:rFonts w:ascii="Calibri" w:eastAsia="Times New Roman" w:hAnsi="Calibri" w:cs="Calibri"/>
                  <w:color w:val="0563C1"/>
                  <w:u w:val="single"/>
                  <w:lang w:eastAsia="en-GB"/>
                </w:rPr>
                <w:t>https://gtr.ukri.org/projects?ref=PP%2FD001048%2F1</w:t>
              </w:r>
            </w:hyperlink>
            <w:r>
              <w:rPr>
                <w:rFonts w:ascii="Calibri" w:eastAsia="Times New Roman" w:hAnsi="Calibri" w:cs="Calibri"/>
                <w:color w:val="0563C1"/>
                <w:u w:val="single"/>
                <w:lang w:eastAsia="en-GB"/>
              </w:rPr>
              <w:t xml:space="preserve"> </w:t>
            </w:r>
            <w:r>
              <w:rPr>
                <w:rFonts w:ascii="Calibri" w:eastAsia="Times New Roman" w:hAnsi="Calibri" w:cs="Calibri"/>
                <w:color w:val="000000"/>
                <w:lang w:eastAsia="en-GB"/>
              </w:rPr>
              <w:t>(accessed 4 September 2019)</w:t>
            </w:r>
          </w:p>
        </w:tc>
      </w:tr>
      <w:tr w:rsidR="008B4713" w:rsidRPr="007C3701" w14:paraId="31D9AE7A"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3026A13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221</w:t>
            </w:r>
          </w:p>
        </w:tc>
        <w:tc>
          <w:tcPr>
            <w:tcW w:w="9225" w:type="dxa"/>
            <w:tcBorders>
              <w:top w:val="nil"/>
              <w:left w:val="single" w:sz="4" w:space="0" w:color="auto"/>
              <w:bottom w:val="nil"/>
              <w:right w:val="single" w:sz="4" w:space="0" w:color="auto"/>
            </w:tcBorders>
            <w:shd w:val="clear" w:color="auto" w:fill="auto"/>
            <w:vAlign w:val="center"/>
            <w:hideMark/>
          </w:tcPr>
          <w:p w14:paraId="5504BD29" w14:textId="3CBC91B6" w:rsidR="008B4713" w:rsidRPr="007C3701" w:rsidRDefault="00A56355" w:rsidP="004E0087">
            <w:pPr>
              <w:spacing w:after="0" w:line="240" w:lineRule="auto"/>
              <w:rPr>
                <w:rFonts w:ascii="Calibri" w:eastAsia="Times New Roman" w:hAnsi="Calibri" w:cs="Calibri"/>
                <w:color w:val="000000"/>
                <w:lang w:eastAsia="en-GB"/>
              </w:rPr>
            </w:pPr>
            <w:hyperlink r:id="rId160" w:history="1">
              <w:r w:rsidR="00D92981" w:rsidRPr="000562AF">
                <w:rPr>
                  <w:rStyle w:val="Hyperlink"/>
                  <w:rFonts w:ascii="Calibri" w:eastAsia="Times New Roman" w:hAnsi="Calibri" w:cs="Calibri"/>
                  <w:lang w:eastAsia="en-GB"/>
                </w:rPr>
                <w:t>https://www.linkedin.com/in/george-ford-2aa04383/</w:t>
              </w:r>
            </w:hyperlink>
            <w:r w:rsidR="00D92981">
              <w:rPr>
                <w:rFonts w:ascii="Calibri" w:eastAsia="Times New Roman" w:hAnsi="Calibri" w:cs="Calibri"/>
                <w:color w:val="000000"/>
                <w:lang w:eastAsia="en-GB"/>
              </w:rPr>
              <w:t xml:space="preserve"> (accessed 4 September 2019)</w:t>
            </w:r>
          </w:p>
        </w:tc>
      </w:tr>
      <w:tr w:rsidR="008B4713" w:rsidRPr="007C3701" w14:paraId="13409486"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07075D5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222</w:t>
            </w:r>
          </w:p>
        </w:tc>
        <w:tc>
          <w:tcPr>
            <w:tcW w:w="9225" w:type="dxa"/>
            <w:tcBorders>
              <w:top w:val="nil"/>
              <w:left w:val="single" w:sz="4" w:space="0" w:color="auto"/>
              <w:bottom w:val="nil"/>
              <w:right w:val="single" w:sz="4" w:space="0" w:color="auto"/>
            </w:tcBorders>
            <w:shd w:val="clear" w:color="auto" w:fill="auto"/>
            <w:vAlign w:val="center"/>
            <w:hideMark/>
          </w:tcPr>
          <w:p w14:paraId="409445A5" w14:textId="292EB4E8" w:rsidR="008B4713" w:rsidRPr="007C3701" w:rsidRDefault="00A56355" w:rsidP="004E0087">
            <w:pPr>
              <w:spacing w:after="0" w:line="240" w:lineRule="auto"/>
              <w:rPr>
                <w:rFonts w:ascii="Calibri" w:eastAsia="Times New Roman" w:hAnsi="Calibri" w:cs="Calibri"/>
                <w:color w:val="000000"/>
                <w:lang w:eastAsia="en-GB"/>
              </w:rPr>
            </w:pPr>
            <w:hyperlink r:id="rId161" w:history="1">
              <w:r w:rsidR="00D92981" w:rsidRPr="000562AF">
                <w:rPr>
                  <w:rStyle w:val="Hyperlink"/>
                  <w:rFonts w:ascii="Calibri" w:eastAsia="Times New Roman" w:hAnsi="Calibri" w:cs="Calibri"/>
                  <w:lang w:eastAsia="en-GB"/>
                </w:rPr>
                <w:t>https://www.linkedin.com/in/robbie-auld-9958a340/</w:t>
              </w:r>
            </w:hyperlink>
            <w:r w:rsidR="00D92981">
              <w:rPr>
                <w:rFonts w:ascii="Calibri" w:eastAsia="Times New Roman" w:hAnsi="Calibri" w:cs="Calibri"/>
                <w:color w:val="000000"/>
                <w:lang w:eastAsia="en-GB"/>
              </w:rPr>
              <w:t xml:space="preserve"> (accessed 4 September 2019)</w:t>
            </w:r>
          </w:p>
        </w:tc>
      </w:tr>
      <w:tr w:rsidR="008B4713" w:rsidRPr="007C3701" w14:paraId="1C54B782"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2F8E9A6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223</w:t>
            </w:r>
          </w:p>
        </w:tc>
        <w:tc>
          <w:tcPr>
            <w:tcW w:w="9225" w:type="dxa"/>
            <w:tcBorders>
              <w:top w:val="nil"/>
              <w:left w:val="single" w:sz="4" w:space="0" w:color="auto"/>
              <w:bottom w:val="nil"/>
              <w:right w:val="single" w:sz="4" w:space="0" w:color="auto"/>
            </w:tcBorders>
            <w:shd w:val="clear" w:color="auto" w:fill="auto"/>
            <w:vAlign w:val="center"/>
            <w:hideMark/>
          </w:tcPr>
          <w:p w14:paraId="0CC5D3A2" w14:textId="7FDEEE30" w:rsidR="008B4713" w:rsidRPr="007C3701" w:rsidRDefault="00A56355" w:rsidP="004E0087">
            <w:pPr>
              <w:spacing w:after="0" w:line="240" w:lineRule="auto"/>
              <w:rPr>
                <w:rFonts w:ascii="Calibri" w:eastAsia="Times New Roman" w:hAnsi="Calibri" w:cs="Calibri"/>
                <w:color w:val="000000"/>
                <w:lang w:eastAsia="en-GB"/>
              </w:rPr>
            </w:pPr>
            <w:hyperlink r:id="rId162" w:history="1">
              <w:r w:rsidR="00D92981" w:rsidRPr="000562AF">
                <w:rPr>
                  <w:rStyle w:val="Hyperlink"/>
                  <w:rFonts w:ascii="Calibri" w:eastAsia="Times New Roman" w:hAnsi="Calibri" w:cs="Calibri"/>
                  <w:lang w:eastAsia="en-GB"/>
                </w:rPr>
                <w:t>https://www.linkedin.com/in/naylon/</w:t>
              </w:r>
            </w:hyperlink>
            <w:r w:rsidR="00D92981">
              <w:rPr>
                <w:rFonts w:ascii="Calibri" w:eastAsia="Times New Roman" w:hAnsi="Calibri" w:cs="Calibri"/>
                <w:color w:val="000000"/>
                <w:lang w:eastAsia="en-GB"/>
              </w:rPr>
              <w:t xml:space="preserve"> (accessed 4 September 2019)</w:t>
            </w:r>
          </w:p>
        </w:tc>
      </w:tr>
      <w:tr w:rsidR="008B4713" w:rsidRPr="007C3701" w14:paraId="3A56BE56"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7910BEE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224</w:t>
            </w:r>
          </w:p>
        </w:tc>
        <w:tc>
          <w:tcPr>
            <w:tcW w:w="9225" w:type="dxa"/>
            <w:tcBorders>
              <w:top w:val="nil"/>
              <w:left w:val="single" w:sz="4" w:space="0" w:color="auto"/>
              <w:bottom w:val="nil"/>
              <w:right w:val="single" w:sz="4" w:space="0" w:color="auto"/>
            </w:tcBorders>
            <w:shd w:val="clear" w:color="auto" w:fill="auto"/>
            <w:vAlign w:val="center"/>
            <w:hideMark/>
          </w:tcPr>
          <w:p w14:paraId="1278AB77" w14:textId="26649356" w:rsidR="008B4713" w:rsidRPr="007C3701" w:rsidRDefault="00A56355" w:rsidP="004E0087">
            <w:pPr>
              <w:spacing w:after="0" w:line="240" w:lineRule="auto"/>
              <w:rPr>
                <w:rFonts w:ascii="Calibri" w:eastAsia="Times New Roman" w:hAnsi="Calibri" w:cs="Calibri"/>
                <w:color w:val="000000"/>
                <w:lang w:eastAsia="en-GB"/>
              </w:rPr>
            </w:pPr>
            <w:hyperlink r:id="rId163" w:history="1">
              <w:r w:rsidR="00D92981" w:rsidRPr="000562AF">
                <w:rPr>
                  <w:rStyle w:val="Hyperlink"/>
                  <w:rFonts w:ascii="Calibri" w:eastAsia="Times New Roman" w:hAnsi="Calibri" w:cs="Calibri"/>
                  <w:lang w:eastAsia="en-GB"/>
                </w:rPr>
                <w:t>https://www.linkedin.com/in/tim-waskett-b55284102/</w:t>
              </w:r>
            </w:hyperlink>
            <w:r w:rsidR="00D92981">
              <w:rPr>
                <w:rFonts w:ascii="Calibri" w:eastAsia="Times New Roman" w:hAnsi="Calibri" w:cs="Calibri"/>
                <w:color w:val="000000"/>
                <w:lang w:eastAsia="en-GB"/>
              </w:rPr>
              <w:t xml:space="preserve"> (accessed 4 September 2019)</w:t>
            </w:r>
          </w:p>
        </w:tc>
      </w:tr>
      <w:tr w:rsidR="008B4713" w:rsidRPr="007C3701" w14:paraId="4719875F"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2CD0B55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225</w:t>
            </w:r>
          </w:p>
        </w:tc>
        <w:tc>
          <w:tcPr>
            <w:tcW w:w="9225" w:type="dxa"/>
            <w:tcBorders>
              <w:top w:val="nil"/>
              <w:left w:val="single" w:sz="4" w:space="0" w:color="auto"/>
              <w:bottom w:val="nil"/>
              <w:right w:val="single" w:sz="4" w:space="0" w:color="auto"/>
            </w:tcBorders>
            <w:shd w:val="clear" w:color="auto" w:fill="auto"/>
            <w:vAlign w:val="center"/>
            <w:hideMark/>
          </w:tcPr>
          <w:p w14:paraId="5DCAC5F7" w14:textId="7B75134B" w:rsidR="008B4713" w:rsidRPr="007C3701" w:rsidRDefault="00A56355" w:rsidP="004E0087">
            <w:pPr>
              <w:spacing w:after="0" w:line="240" w:lineRule="auto"/>
              <w:rPr>
                <w:rFonts w:ascii="Calibri" w:eastAsia="Times New Roman" w:hAnsi="Calibri" w:cs="Calibri"/>
                <w:color w:val="000000"/>
                <w:lang w:eastAsia="en-GB"/>
              </w:rPr>
            </w:pPr>
            <w:hyperlink r:id="rId164" w:history="1">
              <w:r w:rsidR="00D92981" w:rsidRPr="000562AF">
                <w:rPr>
                  <w:rStyle w:val="Hyperlink"/>
                  <w:rFonts w:ascii="Calibri" w:eastAsia="Times New Roman" w:hAnsi="Calibri" w:cs="Calibri"/>
                  <w:lang w:eastAsia="en-GB"/>
                </w:rPr>
                <w:t>https://www.cardiff.ac.uk/people/view/913900-dunscombe-christopher</w:t>
              </w:r>
            </w:hyperlink>
            <w:r w:rsidR="00D92981">
              <w:rPr>
                <w:rFonts w:ascii="Calibri" w:eastAsia="Times New Roman" w:hAnsi="Calibri" w:cs="Calibri"/>
                <w:color w:val="000000"/>
                <w:lang w:eastAsia="en-GB"/>
              </w:rPr>
              <w:t xml:space="preserve"> (accessed 4 September 2019)</w:t>
            </w:r>
          </w:p>
        </w:tc>
      </w:tr>
      <w:tr w:rsidR="008B4713" w:rsidRPr="007C3701" w14:paraId="56102791"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396B1DE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226</w:t>
            </w:r>
          </w:p>
        </w:tc>
        <w:tc>
          <w:tcPr>
            <w:tcW w:w="9225" w:type="dxa"/>
            <w:tcBorders>
              <w:top w:val="nil"/>
              <w:left w:val="single" w:sz="4" w:space="0" w:color="auto"/>
              <w:bottom w:val="nil"/>
              <w:right w:val="single" w:sz="4" w:space="0" w:color="auto"/>
            </w:tcBorders>
            <w:shd w:val="clear" w:color="auto" w:fill="auto"/>
            <w:vAlign w:val="center"/>
            <w:hideMark/>
          </w:tcPr>
          <w:p w14:paraId="5D671151" w14:textId="55722845" w:rsidR="008B4713" w:rsidRPr="007C3701" w:rsidRDefault="00A56355" w:rsidP="004E0087">
            <w:pPr>
              <w:spacing w:after="0" w:line="240" w:lineRule="auto"/>
              <w:rPr>
                <w:rFonts w:ascii="Calibri" w:eastAsia="Times New Roman" w:hAnsi="Calibri" w:cs="Calibri"/>
                <w:color w:val="000000"/>
                <w:lang w:eastAsia="en-GB"/>
              </w:rPr>
            </w:pPr>
            <w:hyperlink r:id="rId165" w:history="1">
              <w:r w:rsidR="00D92981" w:rsidRPr="000562AF">
                <w:rPr>
                  <w:rStyle w:val="Hyperlink"/>
                  <w:rFonts w:ascii="Calibri" w:eastAsia="Times New Roman" w:hAnsi="Calibri" w:cs="Calibri"/>
                  <w:lang w:eastAsia="en-GB"/>
                </w:rPr>
                <w:t>http://scholar.ulethbridge.ca/lspencer/home</w:t>
              </w:r>
            </w:hyperlink>
            <w:r w:rsidR="00D92981">
              <w:rPr>
                <w:rFonts w:ascii="Calibri" w:eastAsia="Times New Roman" w:hAnsi="Calibri" w:cs="Calibri"/>
                <w:color w:val="000000"/>
                <w:lang w:eastAsia="en-GB"/>
              </w:rPr>
              <w:t xml:space="preserve"> (accessed 4 September 2019)</w:t>
            </w:r>
          </w:p>
        </w:tc>
      </w:tr>
      <w:tr w:rsidR="008B4713" w:rsidRPr="007C3701" w14:paraId="34D3E7A1"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44CAC90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227</w:t>
            </w:r>
          </w:p>
        </w:tc>
        <w:tc>
          <w:tcPr>
            <w:tcW w:w="9225" w:type="dxa"/>
            <w:tcBorders>
              <w:top w:val="nil"/>
              <w:left w:val="single" w:sz="4" w:space="0" w:color="auto"/>
              <w:bottom w:val="nil"/>
              <w:right w:val="single" w:sz="4" w:space="0" w:color="auto"/>
            </w:tcBorders>
            <w:shd w:val="clear" w:color="auto" w:fill="auto"/>
            <w:vAlign w:val="center"/>
            <w:hideMark/>
          </w:tcPr>
          <w:p w14:paraId="328F0C34" w14:textId="177FBB02" w:rsidR="008B4713" w:rsidRPr="007C3701" w:rsidRDefault="00A56355" w:rsidP="004E0087">
            <w:pPr>
              <w:spacing w:after="0" w:line="240" w:lineRule="auto"/>
              <w:rPr>
                <w:rFonts w:ascii="Calibri" w:eastAsia="Times New Roman" w:hAnsi="Calibri" w:cs="Calibri"/>
                <w:color w:val="000000"/>
                <w:lang w:eastAsia="en-GB"/>
              </w:rPr>
            </w:pPr>
            <w:hyperlink r:id="rId166" w:history="1">
              <w:r w:rsidR="00D92981" w:rsidRPr="000562AF">
                <w:rPr>
                  <w:rStyle w:val="Hyperlink"/>
                  <w:rFonts w:ascii="Calibri" w:eastAsia="Times New Roman" w:hAnsi="Calibri" w:cs="Calibri"/>
                  <w:lang w:eastAsia="en-GB"/>
                </w:rPr>
                <w:t>http://www.astro.caltech.edu/~moncelsi/</w:t>
              </w:r>
            </w:hyperlink>
            <w:r w:rsidR="00D92981">
              <w:rPr>
                <w:rFonts w:ascii="Calibri" w:eastAsia="Times New Roman" w:hAnsi="Calibri" w:cs="Calibri"/>
                <w:color w:val="000000"/>
                <w:lang w:eastAsia="en-GB"/>
              </w:rPr>
              <w:t xml:space="preserve"> (accessed 4 September 2019)</w:t>
            </w:r>
          </w:p>
        </w:tc>
      </w:tr>
      <w:tr w:rsidR="008B4713" w:rsidRPr="007C3701" w14:paraId="39339D54" w14:textId="77777777" w:rsidTr="003410BA">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69E2EE" w14:textId="77777777" w:rsidR="008B4713" w:rsidRPr="007C3701" w:rsidRDefault="008B4713" w:rsidP="004E0087">
            <w:pPr>
              <w:spacing w:after="0" w:line="240" w:lineRule="auto"/>
              <w:jc w:val="center"/>
              <w:rPr>
                <w:rFonts w:ascii="Calibri" w:eastAsia="Times New Roman" w:hAnsi="Calibri" w:cs="Calibri"/>
                <w:b/>
                <w:bCs/>
                <w:color w:val="000000"/>
                <w:lang w:eastAsia="en-GB"/>
              </w:rPr>
            </w:pPr>
            <w:r w:rsidRPr="007C3701">
              <w:rPr>
                <w:rFonts w:ascii="Calibri" w:eastAsia="Times New Roman" w:hAnsi="Calibri" w:cs="Calibri"/>
                <w:b/>
                <w:bCs/>
                <w:color w:val="000000"/>
                <w:lang w:eastAsia="en-GB"/>
              </w:rPr>
              <w:t>Unit of Assessment 10</w:t>
            </w:r>
          </w:p>
        </w:tc>
      </w:tr>
      <w:tr w:rsidR="008B4713" w:rsidRPr="007C3701" w14:paraId="32726878"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0C27635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228</w:t>
            </w:r>
          </w:p>
        </w:tc>
        <w:tc>
          <w:tcPr>
            <w:tcW w:w="9225" w:type="dxa"/>
            <w:tcBorders>
              <w:top w:val="nil"/>
              <w:left w:val="single" w:sz="4" w:space="0" w:color="auto"/>
              <w:bottom w:val="nil"/>
              <w:right w:val="single" w:sz="4" w:space="0" w:color="auto"/>
            </w:tcBorders>
            <w:shd w:val="clear" w:color="auto" w:fill="auto"/>
            <w:vAlign w:val="center"/>
            <w:hideMark/>
          </w:tcPr>
          <w:p w14:paraId="5E1A4FC0" w14:textId="1A35EA56" w:rsidR="008B4713" w:rsidRPr="007C3701" w:rsidRDefault="009E403B"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(2014). </w:t>
            </w:r>
            <w:r w:rsidR="008B4713" w:rsidRPr="007C3701">
              <w:rPr>
                <w:rFonts w:ascii="Calibri" w:eastAsia="Times New Roman" w:hAnsi="Calibri" w:cs="Calibri"/>
                <w:color w:val="000000"/>
                <w:lang w:eastAsia="en-GB"/>
              </w:rPr>
              <w:t>REF2014 Impact Template</w:t>
            </w:r>
            <w:r>
              <w:rPr>
                <w:rFonts w:ascii="Calibri" w:eastAsia="Times New Roman" w:hAnsi="Calibri" w:cs="Calibri"/>
                <w:color w:val="000000"/>
                <w:lang w:eastAsia="en-GB"/>
              </w:rPr>
              <w:t xml:space="preserve">. </w:t>
            </w:r>
            <w:hyperlink r:id="rId167" w:history="1">
              <w:r>
                <w:rPr>
                  <w:rStyle w:val="Hyperlink"/>
                </w:rPr>
                <w:t>https://results.ref.ac.uk/(S(5mhsdcrlek45dkop3v4uw5gx))/Submissions/Impact/567</w:t>
              </w:r>
            </w:hyperlink>
          </w:p>
        </w:tc>
      </w:tr>
      <w:tr w:rsidR="008B4713" w:rsidRPr="007C3701" w14:paraId="0C6F4BC3"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6A1E96C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229</w:t>
            </w:r>
          </w:p>
        </w:tc>
        <w:tc>
          <w:tcPr>
            <w:tcW w:w="9225" w:type="dxa"/>
            <w:tcBorders>
              <w:top w:val="nil"/>
              <w:left w:val="single" w:sz="4" w:space="0" w:color="auto"/>
              <w:bottom w:val="nil"/>
              <w:right w:val="single" w:sz="4" w:space="0" w:color="auto"/>
            </w:tcBorders>
            <w:shd w:val="clear" w:color="auto" w:fill="auto"/>
            <w:vAlign w:val="center"/>
            <w:hideMark/>
          </w:tcPr>
          <w:p w14:paraId="328AA882" w14:textId="216B97F9" w:rsidR="008B4713" w:rsidRPr="007C3701" w:rsidRDefault="009E403B"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(2014). </w:t>
            </w:r>
            <w:r w:rsidR="008B4713" w:rsidRPr="007C3701">
              <w:rPr>
                <w:rFonts w:ascii="Calibri" w:eastAsia="Times New Roman" w:hAnsi="Calibri" w:cs="Calibri"/>
                <w:color w:val="000000"/>
                <w:lang w:eastAsia="en-GB"/>
              </w:rPr>
              <w:t>REF2014 Environment Template</w:t>
            </w:r>
            <w:r>
              <w:rPr>
                <w:rFonts w:ascii="Calibri" w:eastAsia="Times New Roman" w:hAnsi="Calibri" w:cs="Calibri"/>
                <w:color w:val="000000"/>
                <w:lang w:eastAsia="en-GB"/>
              </w:rPr>
              <w:t xml:space="preserve">. </w:t>
            </w:r>
            <w:hyperlink r:id="rId168" w:history="1">
              <w:r>
                <w:rPr>
                  <w:rStyle w:val="Hyperlink"/>
                </w:rPr>
                <w:t>https://results.ref.ac.uk/(S(5mhsdcrlek45dkop3v4uw5gx))/Submissions/Environment/567</w:t>
              </w:r>
            </w:hyperlink>
          </w:p>
        </w:tc>
      </w:tr>
      <w:tr w:rsidR="008B4713" w:rsidRPr="007C3701" w14:paraId="1C35F618"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24BA24B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230</w:t>
            </w:r>
          </w:p>
        </w:tc>
        <w:tc>
          <w:tcPr>
            <w:tcW w:w="9225" w:type="dxa"/>
            <w:tcBorders>
              <w:top w:val="nil"/>
              <w:left w:val="single" w:sz="4" w:space="0" w:color="auto"/>
              <w:bottom w:val="nil"/>
              <w:right w:val="single" w:sz="4" w:space="0" w:color="auto"/>
            </w:tcBorders>
            <w:shd w:val="clear" w:color="auto" w:fill="auto"/>
            <w:vAlign w:val="center"/>
            <w:hideMark/>
          </w:tcPr>
          <w:p w14:paraId="141F9F7B" w14:textId="37B1DDCF" w:rsidR="008B4713" w:rsidRPr="007C3701" w:rsidRDefault="00415714"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w:t>
            </w:r>
            <w:r w:rsidR="008B4713" w:rsidRPr="007C3701">
              <w:rPr>
                <w:rFonts w:ascii="Calibri" w:eastAsia="Times New Roman" w:hAnsi="Calibri" w:cs="Calibri"/>
                <w:color w:val="000000"/>
                <w:lang w:eastAsia="en-GB"/>
              </w:rPr>
              <w:t xml:space="preserve">School of Mathematics and </w:t>
            </w:r>
            <w:r>
              <w:rPr>
                <w:rFonts w:ascii="Calibri" w:eastAsia="Times New Roman" w:hAnsi="Calibri" w:cs="Calibri"/>
                <w:color w:val="000000"/>
                <w:lang w:eastAsia="en-GB"/>
              </w:rPr>
              <w:t xml:space="preserve">Statistics. </w:t>
            </w:r>
            <w:hyperlink r:id="rId169" w:history="1">
              <w:r w:rsidRPr="000562AF">
                <w:rPr>
                  <w:rStyle w:val="Hyperlink"/>
                  <w:rFonts w:ascii="Calibri" w:eastAsia="Times New Roman" w:hAnsi="Calibri" w:cs="Calibri"/>
                  <w:lang w:eastAsia="en-GB"/>
                </w:rPr>
                <w:t>https://www.gla.ac.uk/schools/mathematicsstatistics/</w:t>
              </w:r>
            </w:hyperlink>
            <w:r>
              <w:rPr>
                <w:rFonts w:ascii="Calibri" w:eastAsia="Times New Roman" w:hAnsi="Calibri" w:cs="Calibri"/>
                <w:color w:val="000000"/>
                <w:lang w:eastAsia="en-GB"/>
              </w:rPr>
              <w:t xml:space="preserve"> </w:t>
            </w:r>
            <w:r w:rsidR="003410BA">
              <w:rPr>
                <w:rFonts w:ascii="Calibri" w:eastAsia="Times New Roman" w:hAnsi="Calibri" w:cs="Calibri"/>
                <w:color w:val="000000"/>
                <w:lang w:eastAsia="en-GB"/>
              </w:rPr>
              <w:t>(accessed 4 September 2019)</w:t>
            </w:r>
          </w:p>
        </w:tc>
      </w:tr>
      <w:tr w:rsidR="008B4713" w:rsidRPr="007C3701" w14:paraId="346C8B3A" w14:textId="77777777" w:rsidTr="003410BA">
        <w:trPr>
          <w:trHeight w:val="300"/>
        </w:trPr>
        <w:tc>
          <w:tcPr>
            <w:tcW w:w="551" w:type="dxa"/>
            <w:tcBorders>
              <w:top w:val="nil"/>
              <w:left w:val="single" w:sz="4" w:space="0" w:color="auto"/>
              <w:bottom w:val="nil"/>
              <w:right w:val="nil"/>
            </w:tcBorders>
            <w:shd w:val="clear" w:color="auto" w:fill="auto"/>
            <w:noWrap/>
            <w:vAlign w:val="center"/>
            <w:hideMark/>
          </w:tcPr>
          <w:p w14:paraId="5D2ECA5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231</w:t>
            </w:r>
          </w:p>
        </w:tc>
        <w:tc>
          <w:tcPr>
            <w:tcW w:w="9225" w:type="dxa"/>
            <w:tcBorders>
              <w:top w:val="nil"/>
              <w:left w:val="single" w:sz="4" w:space="0" w:color="auto"/>
              <w:bottom w:val="nil"/>
              <w:right w:val="single" w:sz="4" w:space="0" w:color="auto"/>
            </w:tcBorders>
            <w:shd w:val="clear" w:color="auto" w:fill="auto"/>
            <w:vAlign w:val="center"/>
            <w:hideMark/>
          </w:tcPr>
          <w:p w14:paraId="67153A5A" w14:textId="3D972A70" w:rsidR="008B4713" w:rsidRPr="007C3701" w:rsidRDefault="00415714"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w:t>
            </w:r>
            <w:r w:rsidR="008B4713" w:rsidRPr="007C3701">
              <w:rPr>
                <w:rFonts w:ascii="Calibri" w:eastAsia="Times New Roman" w:hAnsi="Calibri" w:cs="Calibri"/>
                <w:color w:val="000000"/>
                <w:lang w:eastAsia="en-GB"/>
              </w:rPr>
              <w:t>Robertson Biostat</w:t>
            </w:r>
            <w:r>
              <w:rPr>
                <w:rFonts w:ascii="Calibri" w:eastAsia="Times New Roman" w:hAnsi="Calibri" w:cs="Calibri"/>
                <w:color w:val="000000"/>
                <w:lang w:eastAsia="en-GB"/>
              </w:rPr>
              <w:t xml:space="preserve">istics. </w:t>
            </w:r>
            <w:hyperlink r:id="rId170" w:history="1">
              <w:r w:rsidRPr="000562AF">
                <w:rPr>
                  <w:rStyle w:val="Hyperlink"/>
                  <w:rFonts w:ascii="Calibri" w:eastAsia="Times New Roman" w:hAnsi="Calibri" w:cs="Calibri"/>
                  <w:lang w:eastAsia="en-GB"/>
                </w:rPr>
                <w:t>https://www.gla.ac.uk/researchinstitutes/healthwellbeing/research/robertsoncentreforbiostatistics/</w:t>
              </w:r>
            </w:hyperlink>
            <w:r>
              <w:rPr>
                <w:rFonts w:ascii="Calibri" w:eastAsia="Times New Roman" w:hAnsi="Calibri" w:cs="Calibri"/>
                <w:color w:val="000000"/>
                <w:lang w:eastAsia="en-GB"/>
              </w:rPr>
              <w:t xml:space="preserve"> </w:t>
            </w:r>
            <w:r w:rsidR="003410BA">
              <w:rPr>
                <w:rFonts w:ascii="Calibri" w:eastAsia="Times New Roman" w:hAnsi="Calibri" w:cs="Calibri"/>
                <w:color w:val="000000"/>
                <w:lang w:eastAsia="en-GB"/>
              </w:rPr>
              <w:t>(accessed 4 September 2019)</w:t>
            </w:r>
          </w:p>
        </w:tc>
      </w:tr>
      <w:tr w:rsidR="008B4713" w:rsidRPr="007C3701" w14:paraId="24B048D2" w14:textId="77777777" w:rsidTr="003410BA">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260590"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10.1</w:t>
            </w:r>
          </w:p>
        </w:tc>
      </w:tr>
      <w:tr w:rsidR="008B4713" w:rsidRPr="007C3701" w14:paraId="498E5985"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19E65C2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232</w:t>
            </w:r>
          </w:p>
        </w:tc>
        <w:tc>
          <w:tcPr>
            <w:tcW w:w="9225" w:type="dxa"/>
            <w:tcBorders>
              <w:top w:val="nil"/>
              <w:left w:val="single" w:sz="4" w:space="0" w:color="auto"/>
              <w:bottom w:val="nil"/>
              <w:right w:val="single" w:sz="4" w:space="0" w:color="auto"/>
            </w:tcBorders>
            <w:shd w:val="clear" w:color="auto" w:fill="auto"/>
            <w:vAlign w:val="center"/>
            <w:hideMark/>
          </w:tcPr>
          <w:p w14:paraId="356A4964" w14:textId="6B43D52A" w:rsidR="008B4713" w:rsidRPr="007C3701" w:rsidRDefault="009E403B"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(2014). </w:t>
            </w:r>
            <w:r w:rsidR="008B4713" w:rsidRPr="007C3701">
              <w:rPr>
                <w:rFonts w:ascii="Calibri" w:eastAsia="Times New Roman" w:hAnsi="Calibri" w:cs="Calibri"/>
                <w:color w:val="000000"/>
                <w:lang w:eastAsia="en-GB"/>
              </w:rPr>
              <w:t>REF Impact Case Study no. 26121</w:t>
            </w:r>
            <w:r>
              <w:rPr>
                <w:rFonts w:ascii="Calibri" w:eastAsia="Times New Roman" w:hAnsi="Calibri" w:cs="Calibri"/>
                <w:color w:val="000000"/>
                <w:lang w:eastAsia="en-GB"/>
              </w:rPr>
              <w:t xml:space="preserve">. </w:t>
            </w:r>
            <w:hyperlink r:id="rId171" w:history="1">
              <w:r>
                <w:rPr>
                  <w:rStyle w:val="Hyperlink"/>
                </w:rPr>
                <w:t>https://results.ref.ac.uk/(S(5mhsdcrlek45dkop3v4uw5gx))/Submissions/Impact/567</w:t>
              </w:r>
            </w:hyperlink>
          </w:p>
        </w:tc>
      </w:tr>
      <w:tr w:rsidR="008B4713" w:rsidRPr="007C3701" w14:paraId="5D10B70D"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750D152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233</w:t>
            </w:r>
          </w:p>
        </w:tc>
        <w:tc>
          <w:tcPr>
            <w:tcW w:w="9225" w:type="dxa"/>
            <w:tcBorders>
              <w:top w:val="nil"/>
              <w:left w:val="single" w:sz="4" w:space="0" w:color="auto"/>
              <w:bottom w:val="nil"/>
              <w:right w:val="single" w:sz="4" w:space="0" w:color="auto"/>
            </w:tcBorders>
            <w:shd w:val="clear" w:color="auto" w:fill="auto"/>
            <w:vAlign w:val="center"/>
            <w:hideMark/>
          </w:tcPr>
          <w:p w14:paraId="11F0C70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Bowman, A.W. &amp; Azzalini, A. (1997). Applied Smoothing Techniques for Data Analysis. Oxford University Press. ISBN 9780198523963 [available from HEI]</w:t>
            </w:r>
          </w:p>
        </w:tc>
      </w:tr>
      <w:tr w:rsidR="008B4713" w:rsidRPr="007C3701" w14:paraId="15A7AC4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654B678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234</w:t>
            </w:r>
          </w:p>
        </w:tc>
        <w:tc>
          <w:tcPr>
            <w:tcW w:w="9225" w:type="dxa"/>
            <w:tcBorders>
              <w:top w:val="nil"/>
              <w:left w:val="single" w:sz="4" w:space="0" w:color="auto"/>
              <w:bottom w:val="nil"/>
              <w:right w:val="single" w:sz="4" w:space="0" w:color="auto"/>
            </w:tcBorders>
            <w:shd w:val="clear" w:color="auto" w:fill="auto"/>
            <w:vAlign w:val="center"/>
            <w:hideMark/>
          </w:tcPr>
          <w:p w14:paraId="18D099C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Bowman, A.W., Crawford, E., Alexander, G. &amp; Bowman, R.W. (2006a). rpanel: simple interactive controls for R functions using the tcltk package. Journal of Statistical Software 17, issue 9.*</w:t>
            </w:r>
          </w:p>
        </w:tc>
      </w:tr>
      <w:tr w:rsidR="008B4713" w:rsidRPr="007C3701" w14:paraId="630C8E5E"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5C87E7F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235</w:t>
            </w:r>
          </w:p>
        </w:tc>
        <w:tc>
          <w:tcPr>
            <w:tcW w:w="9225" w:type="dxa"/>
            <w:tcBorders>
              <w:top w:val="nil"/>
              <w:left w:val="single" w:sz="4" w:space="0" w:color="auto"/>
              <w:bottom w:val="nil"/>
              <w:right w:val="single" w:sz="4" w:space="0" w:color="auto"/>
            </w:tcBorders>
            <w:shd w:val="clear" w:color="auto" w:fill="auto"/>
            <w:vAlign w:val="center"/>
            <w:hideMark/>
          </w:tcPr>
          <w:p w14:paraId="64DBE5D2"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Bowman, A.W., Crawford, E. Bowman, R.W. (2006b). rpanel: making graphs move with tcltk. R News; 6, issue 4. (pdf; software)</w:t>
            </w:r>
          </w:p>
        </w:tc>
      </w:tr>
      <w:tr w:rsidR="008B4713" w:rsidRPr="007C3701" w14:paraId="1AC791BD"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73BE874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236</w:t>
            </w:r>
          </w:p>
        </w:tc>
        <w:tc>
          <w:tcPr>
            <w:tcW w:w="9225" w:type="dxa"/>
            <w:tcBorders>
              <w:top w:val="nil"/>
              <w:left w:val="single" w:sz="4" w:space="0" w:color="auto"/>
              <w:bottom w:val="nil"/>
              <w:right w:val="single" w:sz="4" w:space="0" w:color="auto"/>
            </w:tcBorders>
            <w:shd w:val="clear" w:color="auto" w:fill="auto"/>
            <w:vAlign w:val="center"/>
            <w:hideMark/>
          </w:tcPr>
          <w:p w14:paraId="6F57EA62"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Bowman, A.W., Giannitrapani, M., &amp; Scott, E.M. (2009). Spatiotemporal smoothing and sulphur dioxide trends over Europe. Applied Statistics, 58, 5, 737-752. doi:10.1111/j.1467-9876.2009.00671.x *</w:t>
            </w:r>
          </w:p>
        </w:tc>
      </w:tr>
      <w:tr w:rsidR="008B4713" w:rsidRPr="007C3701" w14:paraId="7E76F7E0"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752EB4E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237</w:t>
            </w:r>
          </w:p>
        </w:tc>
        <w:tc>
          <w:tcPr>
            <w:tcW w:w="9225" w:type="dxa"/>
            <w:tcBorders>
              <w:top w:val="nil"/>
              <w:left w:val="single" w:sz="4" w:space="0" w:color="auto"/>
              <w:bottom w:val="nil"/>
              <w:right w:val="single" w:sz="4" w:space="0" w:color="auto"/>
            </w:tcBorders>
            <w:shd w:val="clear" w:color="auto" w:fill="auto"/>
            <w:vAlign w:val="center"/>
            <w:hideMark/>
          </w:tcPr>
          <w:p w14:paraId="1BE01449" w14:textId="77777777" w:rsidR="008B4713" w:rsidRPr="004F4B2A" w:rsidRDefault="008B4713" w:rsidP="004E0087">
            <w:pPr>
              <w:spacing w:after="0" w:line="240" w:lineRule="auto"/>
              <w:rPr>
                <w:rFonts w:ascii="Calibri" w:eastAsia="Times New Roman" w:hAnsi="Calibri" w:cs="Calibri"/>
                <w:color w:val="000000"/>
                <w:lang w:eastAsia="en-GB"/>
              </w:rPr>
            </w:pPr>
            <w:r w:rsidRPr="004F4B2A">
              <w:rPr>
                <w:rFonts w:ascii="Calibri" w:eastAsia="Times New Roman" w:hAnsi="Calibri" w:cs="Calibri"/>
                <w:color w:val="000000"/>
                <w:lang w:eastAsia="en-GB"/>
              </w:rPr>
              <w:t>Bowman, A.W., Evers, L., Molinari, D., Jones, W. &amp; Spence, M.J. (2013). Bayesian smoothing of spatiotemporal data with applications to groundwater monitoring. Submitted for publication. (arxiv:1310.7815) *</w:t>
            </w:r>
          </w:p>
        </w:tc>
      </w:tr>
      <w:tr w:rsidR="008B4713" w:rsidRPr="007C3701" w14:paraId="1A242650"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51057E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238</w:t>
            </w:r>
          </w:p>
        </w:tc>
        <w:tc>
          <w:tcPr>
            <w:tcW w:w="9225" w:type="dxa"/>
            <w:tcBorders>
              <w:top w:val="nil"/>
              <w:left w:val="single" w:sz="4" w:space="0" w:color="auto"/>
              <w:bottom w:val="nil"/>
              <w:right w:val="single" w:sz="4" w:space="0" w:color="auto"/>
            </w:tcBorders>
            <w:shd w:val="clear" w:color="auto" w:fill="auto"/>
            <w:vAlign w:val="center"/>
            <w:hideMark/>
          </w:tcPr>
          <w:p w14:paraId="4F08A80F" w14:textId="77777777" w:rsidR="008B4713" w:rsidRPr="004F4B2A" w:rsidRDefault="008B4713" w:rsidP="004E0087">
            <w:pPr>
              <w:spacing w:after="0" w:line="240" w:lineRule="auto"/>
              <w:rPr>
                <w:rFonts w:ascii="Calibri" w:eastAsia="Times New Roman" w:hAnsi="Calibri" w:cs="Calibri"/>
                <w:color w:val="000000"/>
                <w:lang w:eastAsia="en-GB"/>
              </w:rPr>
            </w:pPr>
            <w:r w:rsidRPr="004F4B2A">
              <w:rPr>
                <w:rFonts w:ascii="Calibri" w:eastAsia="Times New Roman" w:hAnsi="Calibri" w:cs="Calibri"/>
                <w:color w:val="000000"/>
                <w:lang w:eastAsia="en-GB"/>
              </w:rPr>
              <w:t>Jones, W., Spence, M.J., Bowman, A.W., Evers, L., Molinari, D. (2013) GWSDAT - Groundwater Spatiotemporal Data Analysis Tool. Submitted for publication. (arxiv:1310.8158)</w:t>
            </w:r>
          </w:p>
        </w:tc>
      </w:tr>
      <w:tr w:rsidR="008B4713" w:rsidRPr="007C3701" w14:paraId="57DAAFA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77DE7CE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239</w:t>
            </w:r>
          </w:p>
        </w:tc>
        <w:tc>
          <w:tcPr>
            <w:tcW w:w="9225" w:type="dxa"/>
            <w:tcBorders>
              <w:top w:val="nil"/>
              <w:left w:val="single" w:sz="4" w:space="0" w:color="auto"/>
              <w:bottom w:val="nil"/>
              <w:right w:val="single" w:sz="4" w:space="0" w:color="auto"/>
            </w:tcBorders>
            <w:shd w:val="clear" w:color="auto" w:fill="auto"/>
            <w:vAlign w:val="center"/>
            <w:hideMark/>
          </w:tcPr>
          <w:p w14:paraId="2D6A08A7" w14:textId="77777777" w:rsidR="008B4713" w:rsidRPr="004F4B2A" w:rsidRDefault="008B4713" w:rsidP="004E0087">
            <w:pPr>
              <w:spacing w:after="0" w:line="240" w:lineRule="auto"/>
              <w:rPr>
                <w:rFonts w:ascii="Calibri" w:eastAsia="Times New Roman" w:hAnsi="Calibri" w:cs="Calibri"/>
                <w:color w:val="000000"/>
                <w:lang w:eastAsia="en-GB"/>
              </w:rPr>
            </w:pPr>
            <w:r w:rsidRPr="004F4B2A">
              <w:rPr>
                <w:rFonts w:ascii="Calibri" w:eastAsia="Times New Roman" w:hAnsi="Calibri" w:cs="Calibri"/>
                <w:color w:val="000000"/>
                <w:lang w:eastAsia="en-GB"/>
              </w:rPr>
              <w:t xml:space="preserve">Jones, W. &amp; Spence, M. GroundWater Spatio-Temporal Data Analysis Tool (GWSDAT Version 2.1) User Manual. Shell Global Solutions (UK). </w:t>
            </w:r>
          </w:p>
        </w:tc>
      </w:tr>
      <w:tr w:rsidR="008B4713" w:rsidRPr="007C3701" w14:paraId="0E46B2E6" w14:textId="77777777" w:rsidTr="005E0C06">
        <w:trPr>
          <w:trHeight w:val="300"/>
        </w:trPr>
        <w:tc>
          <w:tcPr>
            <w:tcW w:w="551" w:type="dxa"/>
            <w:tcBorders>
              <w:top w:val="nil"/>
              <w:left w:val="single" w:sz="4" w:space="0" w:color="auto"/>
              <w:bottom w:val="nil"/>
              <w:right w:val="nil"/>
            </w:tcBorders>
            <w:shd w:val="clear" w:color="auto" w:fill="auto"/>
            <w:noWrap/>
            <w:vAlign w:val="center"/>
            <w:hideMark/>
          </w:tcPr>
          <w:p w14:paraId="7B909FD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240</w:t>
            </w:r>
          </w:p>
        </w:tc>
        <w:tc>
          <w:tcPr>
            <w:tcW w:w="9225" w:type="dxa"/>
            <w:tcBorders>
              <w:top w:val="nil"/>
              <w:left w:val="single" w:sz="4" w:space="0" w:color="auto"/>
              <w:bottom w:val="nil"/>
              <w:right w:val="single" w:sz="4" w:space="0" w:color="auto"/>
            </w:tcBorders>
            <w:shd w:val="clear" w:color="auto" w:fill="auto"/>
            <w:vAlign w:val="center"/>
            <w:hideMark/>
          </w:tcPr>
          <w:p w14:paraId="7650A13E" w14:textId="24559B3B" w:rsidR="008B4713" w:rsidRPr="004F4B2A" w:rsidRDefault="00A56355" w:rsidP="004E0087">
            <w:pPr>
              <w:spacing w:after="0" w:line="240" w:lineRule="auto"/>
              <w:rPr>
                <w:rFonts w:ascii="Calibri" w:eastAsia="Times New Roman" w:hAnsi="Calibri" w:cs="Calibri"/>
                <w:color w:val="000000"/>
                <w:lang w:eastAsia="en-GB"/>
              </w:rPr>
            </w:pPr>
            <w:hyperlink r:id="rId172" w:history="1">
              <w:r w:rsidR="004F4B2A" w:rsidRPr="004F4B2A">
                <w:rPr>
                  <w:rStyle w:val="Hyperlink"/>
                  <w:rFonts w:ascii="Segoe UI" w:eastAsiaTheme="minorEastAsia" w:hAnsi="Segoe UI" w:cs="Segoe UI"/>
                  <w:lang w:eastAsia="ko-KR"/>
                </w:rPr>
                <w:t>https://www.linkedin.com/in/mike-spence-3a26a260/</w:t>
              </w:r>
            </w:hyperlink>
            <w:r w:rsidR="004F4B2A" w:rsidRPr="004F4B2A">
              <w:rPr>
                <w:rFonts w:ascii="Segoe UI" w:eastAsiaTheme="minorEastAsia" w:hAnsi="Segoe UI" w:cs="Segoe UI"/>
                <w:color w:val="000000"/>
                <w:lang w:eastAsia="ko-KR"/>
              </w:rPr>
              <w:t xml:space="preserve"> </w:t>
            </w:r>
            <w:r w:rsidR="005E0C06">
              <w:rPr>
                <w:rFonts w:ascii="Calibri" w:eastAsia="Times New Roman" w:hAnsi="Calibri" w:cs="Calibri"/>
                <w:color w:val="000000"/>
                <w:lang w:eastAsia="en-GB"/>
              </w:rPr>
              <w:t>(accessed 4 September 2019)</w:t>
            </w:r>
          </w:p>
        </w:tc>
      </w:tr>
      <w:tr w:rsidR="008B4713" w:rsidRPr="007C3701" w14:paraId="194DC3C2" w14:textId="77777777" w:rsidTr="005E0C06">
        <w:trPr>
          <w:trHeight w:val="300"/>
        </w:trPr>
        <w:tc>
          <w:tcPr>
            <w:tcW w:w="551" w:type="dxa"/>
            <w:tcBorders>
              <w:top w:val="nil"/>
              <w:left w:val="single" w:sz="4" w:space="0" w:color="auto"/>
              <w:bottom w:val="nil"/>
              <w:right w:val="nil"/>
            </w:tcBorders>
            <w:shd w:val="clear" w:color="auto" w:fill="auto"/>
            <w:noWrap/>
            <w:vAlign w:val="center"/>
            <w:hideMark/>
          </w:tcPr>
          <w:p w14:paraId="4949E04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241</w:t>
            </w:r>
          </w:p>
        </w:tc>
        <w:tc>
          <w:tcPr>
            <w:tcW w:w="9225" w:type="dxa"/>
            <w:tcBorders>
              <w:top w:val="nil"/>
              <w:left w:val="single" w:sz="4" w:space="0" w:color="auto"/>
              <w:bottom w:val="nil"/>
              <w:right w:val="single" w:sz="4" w:space="0" w:color="auto"/>
            </w:tcBorders>
            <w:shd w:val="clear" w:color="auto" w:fill="auto"/>
            <w:vAlign w:val="center"/>
            <w:hideMark/>
          </w:tcPr>
          <w:p w14:paraId="322D922E" w14:textId="0330DA5D" w:rsidR="008B4713" w:rsidRPr="004F4B2A" w:rsidRDefault="00A56355" w:rsidP="004E0087">
            <w:pPr>
              <w:spacing w:after="0" w:line="240" w:lineRule="auto"/>
              <w:rPr>
                <w:rFonts w:ascii="Calibri" w:eastAsia="Times New Roman" w:hAnsi="Calibri" w:cs="Calibri"/>
                <w:color w:val="000000"/>
                <w:lang w:eastAsia="en-GB"/>
              </w:rPr>
            </w:pPr>
            <w:hyperlink r:id="rId173" w:history="1">
              <w:r w:rsidR="004F4B2A" w:rsidRPr="004F4B2A">
                <w:rPr>
                  <w:rStyle w:val="Hyperlink"/>
                  <w:rFonts w:ascii="Segoe UI" w:eastAsiaTheme="minorEastAsia" w:hAnsi="Segoe UI" w:cs="Segoe UI"/>
                  <w:lang w:eastAsia="ko-KR"/>
                </w:rPr>
                <w:t>https://www.linkedin.com/in/waynerjones/</w:t>
              </w:r>
            </w:hyperlink>
            <w:r w:rsidR="004F4B2A" w:rsidRPr="004F4B2A">
              <w:rPr>
                <w:rFonts w:ascii="Segoe UI" w:eastAsiaTheme="minorEastAsia" w:hAnsi="Segoe UI" w:cs="Segoe UI"/>
                <w:color w:val="000000"/>
                <w:lang w:eastAsia="ko-KR"/>
              </w:rPr>
              <w:t xml:space="preserve"> </w:t>
            </w:r>
            <w:r w:rsidR="005E0C06">
              <w:rPr>
                <w:rFonts w:ascii="Calibri" w:eastAsia="Times New Roman" w:hAnsi="Calibri" w:cs="Calibri"/>
                <w:color w:val="000000"/>
                <w:lang w:eastAsia="en-GB"/>
              </w:rPr>
              <w:t>(accessed 4 September 2019)</w:t>
            </w:r>
          </w:p>
        </w:tc>
      </w:tr>
      <w:tr w:rsidR="008B4713" w:rsidRPr="007C3701" w14:paraId="2E834161" w14:textId="77777777" w:rsidTr="005E0C06">
        <w:trPr>
          <w:trHeight w:val="300"/>
        </w:trPr>
        <w:tc>
          <w:tcPr>
            <w:tcW w:w="551" w:type="dxa"/>
            <w:tcBorders>
              <w:top w:val="nil"/>
              <w:left w:val="single" w:sz="4" w:space="0" w:color="auto"/>
              <w:bottom w:val="nil"/>
              <w:right w:val="nil"/>
            </w:tcBorders>
            <w:shd w:val="clear" w:color="auto" w:fill="auto"/>
            <w:noWrap/>
            <w:vAlign w:val="center"/>
            <w:hideMark/>
          </w:tcPr>
          <w:p w14:paraId="575BA32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242</w:t>
            </w:r>
          </w:p>
        </w:tc>
        <w:tc>
          <w:tcPr>
            <w:tcW w:w="9225" w:type="dxa"/>
            <w:tcBorders>
              <w:top w:val="nil"/>
              <w:left w:val="single" w:sz="4" w:space="0" w:color="auto"/>
              <w:bottom w:val="nil"/>
              <w:right w:val="single" w:sz="4" w:space="0" w:color="auto"/>
            </w:tcBorders>
            <w:shd w:val="clear" w:color="auto" w:fill="auto"/>
            <w:vAlign w:val="center"/>
            <w:hideMark/>
          </w:tcPr>
          <w:p w14:paraId="718FA393" w14:textId="0435D08B" w:rsidR="008B4713" w:rsidRPr="007C3701" w:rsidRDefault="00A56355" w:rsidP="004E0087">
            <w:pPr>
              <w:spacing w:after="0" w:line="240" w:lineRule="auto"/>
              <w:rPr>
                <w:rFonts w:ascii="Calibri" w:eastAsia="Times New Roman" w:hAnsi="Calibri" w:cs="Calibri"/>
                <w:color w:val="000000"/>
                <w:lang w:eastAsia="en-GB"/>
              </w:rPr>
            </w:pPr>
            <w:hyperlink r:id="rId174" w:history="1">
              <w:r w:rsidR="004F4B2A" w:rsidRPr="000562AF">
                <w:rPr>
                  <w:rStyle w:val="Hyperlink"/>
                  <w:rFonts w:ascii="Calibri" w:eastAsia="Times New Roman" w:hAnsi="Calibri" w:cs="Calibri"/>
                  <w:lang w:eastAsia="en-GB"/>
                </w:rPr>
                <w:t>https://www.linkedin.com/in/dr-marco-giannitrapani-a9357aa/</w:t>
              </w:r>
            </w:hyperlink>
            <w:r w:rsidR="004F4B2A">
              <w:rPr>
                <w:rFonts w:ascii="Calibri" w:eastAsia="Times New Roman" w:hAnsi="Calibri" w:cs="Calibri"/>
                <w:color w:val="000000"/>
                <w:lang w:eastAsia="en-GB"/>
              </w:rPr>
              <w:t xml:space="preserve"> </w:t>
            </w:r>
            <w:r w:rsidR="005E0C06">
              <w:rPr>
                <w:rFonts w:ascii="Calibri" w:eastAsia="Times New Roman" w:hAnsi="Calibri" w:cs="Calibri"/>
                <w:color w:val="000000"/>
                <w:lang w:eastAsia="en-GB"/>
              </w:rPr>
              <w:t>(accessed 4 September 2019)</w:t>
            </w:r>
          </w:p>
        </w:tc>
      </w:tr>
      <w:tr w:rsidR="008B4713" w:rsidRPr="007C3701" w14:paraId="6CEB7186"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6FED31"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10.2</w:t>
            </w:r>
          </w:p>
        </w:tc>
      </w:tr>
      <w:tr w:rsidR="008B4713" w:rsidRPr="007C3701" w14:paraId="0A881DB2"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1F6F244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243</w:t>
            </w:r>
          </w:p>
        </w:tc>
        <w:tc>
          <w:tcPr>
            <w:tcW w:w="9225" w:type="dxa"/>
            <w:tcBorders>
              <w:top w:val="nil"/>
              <w:left w:val="single" w:sz="4" w:space="0" w:color="auto"/>
              <w:bottom w:val="nil"/>
              <w:right w:val="single" w:sz="4" w:space="0" w:color="auto"/>
            </w:tcBorders>
            <w:shd w:val="clear" w:color="auto" w:fill="auto"/>
            <w:vAlign w:val="center"/>
            <w:hideMark/>
          </w:tcPr>
          <w:p w14:paraId="05CFA8B7" w14:textId="1F8E252A" w:rsidR="008B4713" w:rsidRPr="007C3701" w:rsidRDefault="009E403B"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Glasgow (2014). </w:t>
            </w:r>
            <w:r w:rsidR="008B4713" w:rsidRPr="007C3701">
              <w:rPr>
                <w:rFonts w:ascii="Calibri" w:eastAsia="Times New Roman" w:hAnsi="Calibri" w:cs="Calibri"/>
                <w:color w:val="000000"/>
                <w:lang w:eastAsia="en-GB"/>
              </w:rPr>
              <w:t>REF Impact Case Study no. 26129</w:t>
            </w:r>
            <w:r>
              <w:rPr>
                <w:rFonts w:ascii="Calibri" w:eastAsia="Times New Roman" w:hAnsi="Calibri" w:cs="Calibri"/>
                <w:color w:val="000000"/>
                <w:lang w:eastAsia="en-GB"/>
              </w:rPr>
              <w:t xml:space="preserve">. </w:t>
            </w:r>
            <w:hyperlink r:id="rId175" w:history="1">
              <w:r>
                <w:rPr>
                  <w:rStyle w:val="Hyperlink"/>
                </w:rPr>
                <w:t>https://results.ref.ac.uk/(S(5mhsdcrlek45dkop3v4uw5gx))/Submissions/Impact/567</w:t>
              </w:r>
            </w:hyperlink>
          </w:p>
        </w:tc>
      </w:tr>
      <w:tr w:rsidR="008B4713" w:rsidRPr="007C3701" w14:paraId="11257F9C"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22E7E56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244</w:t>
            </w:r>
          </w:p>
        </w:tc>
        <w:tc>
          <w:tcPr>
            <w:tcW w:w="9225" w:type="dxa"/>
            <w:tcBorders>
              <w:top w:val="nil"/>
              <w:left w:val="single" w:sz="4" w:space="0" w:color="auto"/>
              <w:bottom w:val="nil"/>
              <w:right w:val="single" w:sz="4" w:space="0" w:color="auto"/>
            </w:tcBorders>
            <w:shd w:val="clear" w:color="auto" w:fill="auto"/>
            <w:vAlign w:val="center"/>
            <w:hideMark/>
          </w:tcPr>
          <w:p w14:paraId="3558223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Shepherd J, Cobbe SM, Ford I, et al. (1995). Prevention of coronary heart disease with pravastatin in men with hypercholesterolemia. New Engl J Med. 333, 1301-7. doi:10.1056/NEJM199511163332001. Citations: 5128 (InCites), 6098 (Scopus) *</w:t>
            </w:r>
          </w:p>
        </w:tc>
      </w:tr>
      <w:tr w:rsidR="008B4713" w:rsidRPr="007C3701" w14:paraId="73C42A02"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669D3F2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245</w:t>
            </w:r>
          </w:p>
        </w:tc>
        <w:tc>
          <w:tcPr>
            <w:tcW w:w="9225" w:type="dxa"/>
            <w:tcBorders>
              <w:top w:val="nil"/>
              <w:left w:val="single" w:sz="4" w:space="0" w:color="auto"/>
              <w:bottom w:val="nil"/>
              <w:right w:val="single" w:sz="4" w:space="0" w:color="auto"/>
            </w:tcBorders>
            <w:shd w:val="clear" w:color="auto" w:fill="auto"/>
            <w:vAlign w:val="center"/>
            <w:hideMark/>
          </w:tcPr>
          <w:p w14:paraId="398D10A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WOSCOPS Study Group (1995). Computerised record linkage: compared with traditional follow-up methods in clinical trials and illustrated in a prospective epidemiological study. Journal of Clinical Epidemiology 48, 1441-1452. doi:10.1016/0895-4356(95)00530-7</w:t>
            </w:r>
          </w:p>
        </w:tc>
      </w:tr>
      <w:tr w:rsidR="008B4713" w:rsidRPr="007C3701" w14:paraId="35FCC20C"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478C850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246</w:t>
            </w:r>
          </w:p>
        </w:tc>
        <w:tc>
          <w:tcPr>
            <w:tcW w:w="9225" w:type="dxa"/>
            <w:tcBorders>
              <w:top w:val="nil"/>
              <w:left w:val="single" w:sz="4" w:space="0" w:color="auto"/>
              <w:bottom w:val="nil"/>
              <w:right w:val="single" w:sz="4" w:space="0" w:color="auto"/>
            </w:tcBorders>
            <w:shd w:val="clear" w:color="auto" w:fill="auto"/>
            <w:vAlign w:val="center"/>
            <w:hideMark/>
          </w:tcPr>
          <w:p w14:paraId="74D8A347"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McLeod, M. (1995). Record linkage applied to medical and cohort studies. PhD thesis, University of Glasgow. (available from HEI)</w:t>
            </w:r>
          </w:p>
        </w:tc>
      </w:tr>
      <w:tr w:rsidR="008B4713" w:rsidRPr="007C3701" w14:paraId="75AA3AD6"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CAD058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247</w:t>
            </w:r>
          </w:p>
        </w:tc>
        <w:tc>
          <w:tcPr>
            <w:tcW w:w="9225" w:type="dxa"/>
            <w:tcBorders>
              <w:top w:val="nil"/>
              <w:left w:val="single" w:sz="4" w:space="0" w:color="auto"/>
              <w:bottom w:val="nil"/>
              <w:right w:val="single" w:sz="4" w:space="0" w:color="auto"/>
            </w:tcBorders>
            <w:shd w:val="clear" w:color="auto" w:fill="auto"/>
            <w:vAlign w:val="center"/>
            <w:hideMark/>
          </w:tcPr>
          <w:p w14:paraId="54B9C43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Ford, I., Norrie, J. &amp; Ahmadi, S. (1995). Model inconsistency, illustrated by the Cox proportional hazards model. Statistics in Medicine 14, 735-746. doi:10.1002/sim.4780140804</w:t>
            </w:r>
          </w:p>
        </w:tc>
      </w:tr>
      <w:tr w:rsidR="008B4713" w:rsidRPr="007C3701" w14:paraId="54BD2D87"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1EA02C6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248</w:t>
            </w:r>
          </w:p>
        </w:tc>
        <w:tc>
          <w:tcPr>
            <w:tcW w:w="9225" w:type="dxa"/>
            <w:tcBorders>
              <w:top w:val="nil"/>
              <w:left w:val="single" w:sz="4" w:space="0" w:color="auto"/>
              <w:bottom w:val="nil"/>
              <w:right w:val="single" w:sz="4" w:space="0" w:color="auto"/>
            </w:tcBorders>
            <w:shd w:val="clear" w:color="auto" w:fill="auto"/>
            <w:vAlign w:val="center"/>
            <w:hideMark/>
          </w:tcPr>
          <w:p w14:paraId="01D49DFA"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Ford, I. and Norrie, J. (2002). The role of covariates in estimating treatment effects and risk in long-term clinical trials. Statistics in Medicine 21 (19), 2899-2908. doi:10.1002/sim.1294 *</w:t>
            </w:r>
          </w:p>
        </w:tc>
      </w:tr>
      <w:tr w:rsidR="008B4713" w:rsidRPr="007C3701" w14:paraId="2B14F4D8"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7888663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249</w:t>
            </w:r>
          </w:p>
        </w:tc>
        <w:tc>
          <w:tcPr>
            <w:tcW w:w="9225" w:type="dxa"/>
            <w:tcBorders>
              <w:top w:val="nil"/>
              <w:left w:val="single" w:sz="4" w:space="0" w:color="auto"/>
              <w:bottom w:val="nil"/>
              <w:right w:val="single" w:sz="4" w:space="0" w:color="auto"/>
            </w:tcBorders>
            <w:shd w:val="clear" w:color="auto" w:fill="auto"/>
            <w:vAlign w:val="center"/>
            <w:hideMark/>
          </w:tcPr>
          <w:p w14:paraId="23C72CF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Ford I, Murray H, Packard CJ, Shepherd J, Macfarlane PW, Cobbe SM: WOSCOPS Study Group (2007). Long-term follow-up of the West of Scotland Coronary Prevention Study. N Engl J Med., 357(15):1477-86. doi:10.1056/NEJMoa065994 *</w:t>
            </w:r>
          </w:p>
        </w:tc>
      </w:tr>
      <w:tr w:rsidR="008B4713" w:rsidRPr="007C3701" w14:paraId="53679542" w14:textId="77777777" w:rsidTr="00C0040D">
        <w:trPr>
          <w:trHeight w:val="74"/>
        </w:trPr>
        <w:tc>
          <w:tcPr>
            <w:tcW w:w="551" w:type="dxa"/>
            <w:tcBorders>
              <w:top w:val="nil"/>
              <w:left w:val="single" w:sz="4" w:space="0" w:color="auto"/>
              <w:bottom w:val="nil"/>
              <w:right w:val="nil"/>
            </w:tcBorders>
            <w:shd w:val="clear" w:color="auto" w:fill="auto"/>
            <w:noWrap/>
            <w:vAlign w:val="center"/>
            <w:hideMark/>
          </w:tcPr>
          <w:p w14:paraId="5E01D8A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250</w:t>
            </w:r>
          </w:p>
        </w:tc>
        <w:tc>
          <w:tcPr>
            <w:tcW w:w="9225" w:type="dxa"/>
            <w:tcBorders>
              <w:top w:val="nil"/>
              <w:left w:val="single" w:sz="4" w:space="0" w:color="auto"/>
              <w:bottom w:val="nil"/>
              <w:right w:val="single" w:sz="4" w:space="0" w:color="auto"/>
            </w:tcBorders>
            <w:shd w:val="clear" w:color="auto" w:fill="auto"/>
            <w:vAlign w:val="center"/>
            <w:hideMark/>
          </w:tcPr>
          <w:p w14:paraId="07E0BAB6" w14:textId="2B347D5D" w:rsidR="008B4713" w:rsidRPr="007C3701" w:rsidRDefault="00F508F2"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Ian Ford profile. </w:t>
            </w:r>
            <w:hyperlink r:id="rId176" w:history="1">
              <w:r w:rsidRPr="000562AF">
                <w:rPr>
                  <w:rStyle w:val="Hyperlink"/>
                  <w:rFonts w:ascii="Calibri" w:eastAsia="Times New Roman" w:hAnsi="Calibri" w:cs="Calibri"/>
                  <w:lang w:eastAsia="en-GB"/>
                </w:rPr>
                <w:t>http://www.scot-ship.ac.uk/professor-ian-ford.html</w:t>
              </w:r>
            </w:hyperlink>
            <w:r>
              <w:rPr>
                <w:rFonts w:ascii="Calibri" w:eastAsia="Times New Roman" w:hAnsi="Calibri" w:cs="Calibri"/>
                <w:color w:val="000000"/>
                <w:lang w:eastAsia="en-GB"/>
              </w:rPr>
              <w:t xml:space="preserve"> </w:t>
            </w:r>
            <w:r w:rsidR="00BC5964">
              <w:rPr>
                <w:rFonts w:ascii="Calibri" w:eastAsia="Times New Roman" w:hAnsi="Calibri" w:cs="Calibri"/>
                <w:color w:val="000000"/>
                <w:lang w:eastAsia="en-GB"/>
              </w:rPr>
              <w:t>(accessed 4 September 2019)</w:t>
            </w:r>
          </w:p>
        </w:tc>
      </w:tr>
      <w:tr w:rsidR="008B4713" w:rsidRPr="007C3701" w14:paraId="33FE1FBA"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47D5E73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251</w:t>
            </w:r>
          </w:p>
        </w:tc>
        <w:tc>
          <w:tcPr>
            <w:tcW w:w="9225" w:type="dxa"/>
            <w:tcBorders>
              <w:top w:val="nil"/>
              <w:left w:val="single" w:sz="4" w:space="0" w:color="auto"/>
              <w:bottom w:val="nil"/>
              <w:right w:val="single" w:sz="4" w:space="0" w:color="auto"/>
            </w:tcBorders>
            <w:shd w:val="clear" w:color="auto" w:fill="auto"/>
            <w:vAlign w:val="center"/>
            <w:hideMark/>
          </w:tcPr>
          <w:p w14:paraId="7413BB1C" w14:textId="339A4D29" w:rsidR="008B4713" w:rsidRPr="007C3701" w:rsidRDefault="00F508F2" w:rsidP="004E0087">
            <w:pPr>
              <w:spacing w:after="0" w:line="240" w:lineRule="auto"/>
              <w:rPr>
                <w:rFonts w:ascii="Calibri" w:eastAsia="Times New Roman" w:hAnsi="Calibri" w:cs="Calibri"/>
                <w:color w:val="0563C1"/>
                <w:u w:val="single"/>
                <w:lang w:eastAsia="en-GB"/>
              </w:rPr>
            </w:pPr>
            <w:r>
              <w:t xml:space="preserve">Ian Ford presentation. </w:t>
            </w:r>
            <w:r w:rsidR="00097899" w:rsidRPr="00BC5964">
              <w:rPr>
                <w:rFonts w:ascii="Calibri" w:eastAsia="Times New Roman" w:hAnsi="Calibri" w:cs="Calibri"/>
                <w:color w:val="0563C1"/>
                <w:u w:val="single"/>
                <w:lang w:eastAsia="en-GB"/>
              </w:rPr>
              <w:t xml:space="preserve">https://www.youtube.com/watch?v=mrUQY78C-74 </w:t>
            </w:r>
            <w:r w:rsidR="00BC5964">
              <w:rPr>
                <w:rFonts w:ascii="Calibri" w:eastAsia="Times New Roman" w:hAnsi="Calibri" w:cs="Calibri"/>
                <w:color w:val="000000"/>
                <w:lang w:eastAsia="en-GB"/>
              </w:rPr>
              <w:t>(accessed 4 September 2019)</w:t>
            </w:r>
          </w:p>
        </w:tc>
      </w:tr>
      <w:tr w:rsidR="008B4713" w:rsidRPr="007C3701" w14:paraId="0C0E67E9" w14:textId="77777777" w:rsidTr="004E0087">
        <w:trPr>
          <w:trHeight w:val="1500"/>
        </w:trPr>
        <w:tc>
          <w:tcPr>
            <w:tcW w:w="551" w:type="dxa"/>
            <w:tcBorders>
              <w:top w:val="nil"/>
              <w:left w:val="single" w:sz="4" w:space="0" w:color="auto"/>
              <w:bottom w:val="nil"/>
              <w:right w:val="nil"/>
            </w:tcBorders>
            <w:shd w:val="clear" w:color="auto" w:fill="auto"/>
            <w:noWrap/>
            <w:vAlign w:val="center"/>
            <w:hideMark/>
          </w:tcPr>
          <w:p w14:paraId="3713F47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252</w:t>
            </w:r>
          </w:p>
        </w:tc>
        <w:tc>
          <w:tcPr>
            <w:tcW w:w="9225" w:type="dxa"/>
            <w:tcBorders>
              <w:top w:val="nil"/>
              <w:left w:val="single" w:sz="4" w:space="0" w:color="auto"/>
              <w:bottom w:val="nil"/>
              <w:right w:val="single" w:sz="4" w:space="0" w:color="auto"/>
            </w:tcBorders>
            <w:shd w:val="clear" w:color="auto" w:fill="auto"/>
            <w:vAlign w:val="center"/>
            <w:hideMark/>
          </w:tcPr>
          <w:p w14:paraId="13966787"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Vallejo-Vs, A. J.; Robertson, M.; Catapano, A. L.; Watts, G. F.; Kastelein, J. J.; Packard, C. J.; Ford, I and Ray, K. K. (2017) Low-density lipoprotein-cholesterol lowering for the primary prevention of cardiovascular disease among men with primary elevations of low-density lipoprotein-cholesterol levels of 190 mg/dL or above: analyses from the WOSCOPS (West of Scotland Coronary Prevention Study) 5-year randomized trial and 20-year observational follow-up. Circulation, 2017. 136, p. 1878-1891.</w:t>
            </w:r>
          </w:p>
        </w:tc>
      </w:tr>
      <w:tr w:rsidR="008B4713" w:rsidRPr="007C3701" w14:paraId="46400A21"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1FB4FC2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253</w:t>
            </w:r>
          </w:p>
        </w:tc>
        <w:tc>
          <w:tcPr>
            <w:tcW w:w="9225" w:type="dxa"/>
            <w:tcBorders>
              <w:top w:val="nil"/>
              <w:left w:val="single" w:sz="4" w:space="0" w:color="auto"/>
              <w:bottom w:val="nil"/>
              <w:right w:val="single" w:sz="4" w:space="0" w:color="auto"/>
            </w:tcBorders>
            <w:shd w:val="clear" w:color="auto" w:fill="auto"/>
            <w:vAlign w:val="center"/>
            <w:hideMark/>
          </w:tcPr>
          <w:p w14:paraId="7D3A724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Ford, Ian; Murray, Heather; C246 McCowan, Colin; Packard, Chris J. (2016) Long-Term Safety and Efficacy of Lowering Low-Density Lipoprotein Cholesterol With Statin Therapy: 20-Year Follow-Up of West of Scotland Coronary Prevention Study. Circulation. November, 10, 2016. 10.1161/CIRCULATIONAHA.115.019014</w:t>
            </w:r>
          </w:p>
        </w:tc>
      </w:tr>
      <w:tr w:rsidR="008B4713" w:rsidRPr="007C3701" w14:paraId="4F9EF3E4"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21D16E2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254</w:t>
            </w:r>
          </w:p>
        </w:tc>
        <w:tc>
          <w:tcPr>
            <w:tcW w:w="9225" w:type="dxa"/>
            <w:tcBorders>
              <w:top w:val="nil"/>
              <w:left w:val="single" w:sz="4" w:space="0" w:color="auto"/>
              <w:bottom w:val="single" w:sz="4" w:space="0" w:color="auto"/>
              <w:right w:val="single" w:sz="4" w:space="0" w:color="auto"/>
            </w:tcBorders>
            <w:shd w:val="clear" w:color="auto" w:fill="auto"/>
            <w:vAlign w:val="center"/>
            <w:hideMark/>
          </w:tcPr>
          <w:p w14:paraId="7A7AAF2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The WOSCOPS Study Group. Screening Experience and Baseline Characteristics in the West of Scotland Coronary Prevention Study. American Journal of Cardiology. 1995; 76: 485-491.</w:t>
            </w:r>
          </w:p>
        </w:tc>
      </w:tr>
      <w:tr w:rsidR="008B4713" w:rsidRPr="007C3701" w14:paraId="1E858220"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FF41A1" w14:textId="77777777" w:rsidR="008B4713" w:rsidRPr="007C3701" w:rsidRDefault="008B4713" w:rsidP="004E0087">
            <w:pPr>
              <w:spacing w:after="0" w:line="240" w:lineRule="auto"/>
              <w:jc w:val="center"/>
              <w:rPr>
                <w:rFonts w:ascii="Calibri" w:eastAsia="Times New Roman" w:hAnsi="Calibri" w:cs="Calibri"/>
                <w:b/>
                <w:bCs/>
                <w:color w:val="000000"/>
                <w:lang w:eastAsia="en-GB"/>
              </w:rPr>
            </w:pPr>
            <w:r w:rsidRPr="007C3701">
              <w:rPr>
                <w:rFonts w:ascii="Calibri" w:eastAsia="Times New Roman" w:hAnsi="Calibri" w:cs="Calibri"/>
                <w:b/>
                <w:bCs/>
                <w:color w:val="000000"/>
                <w:lang w:eastAsia="en-GB"/>
              </w:rPr>
              <w:t>Unit of Assesssment 11</w:t>
            </w:r>
          </w:p>
        </w:tc>
      </w:tr>
      <w:tr w:rsidR="008B4713" w:rsidRPr="007C3701" w14:paraId="51E226DC"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02DDC7C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255</w:t>
            </w:r>
          </w:p>
        </w:tc>
        <w:tc>
          <w:tcPr>
            <w:tcW w:w="9225" w:type="dxa"/>
            <w:tcBorders>
              <w:top w:val="nil"/>
              <w:left w:val="single" w:sz="4" w:space="0" w:color="auto"/>
              <w:bottom w:val="nil"/>
              <w:right w:val="single" w:sz="4" w:space="0" w:color="auto"/>
            </w:tcBorders>
            <w:shd w:val="clear" w:color="auto" w:fill="auto"/>
            <w:vAlign w:val="center"/>
            <w:hideMark/>
          </w:tcPr>
          <w:p w14:paraId="114652C6" w14:textId="17BA1D76" w:rsidR="008B4713" w:rsidRPr="007C3701" w:rsidRDefault="002F4B1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Portsmouth (2014). </w:t>
            </w:r>
            <w:r w:rsidR="008B4713" w:rsidRPr="007C3701">
              <w:rPr>
                <w:rFonts w:ascii="Calibri" w:eastAsia="Times New Roman" w:hAnsi="Calibri" w:cs="Calibri"/>
                <w:color w:val="000000"/>
                <w:lang w:eastAsia="en-GB"/>
              </w:rPr>
              <w:t>REF2014 Impact Template</w:t>
            </w:r>
            <w:r>
              <w:rPr>
                <w:rFonts w:ascii="Calibri" w:eastAsia="Times New Roman" w:hAnsi="Calibri" w:cs="Calibri"/>
                <w:color w:val="000000"/>
                <w:lang w:eastAsia="en-GB"/>
              </w:rPr>
              <w:t xml:space="preserve">. </w:t>
            </w:r>
            <w:hyperlink r:id="rId177" w:history="1">
              <w:r>
                <w:rPr>
                  <w:rStyle w:val="Hyperlink"/>
                </w:rPr>
                <w:t>https://results.ref.ac.uk/(S(5mhsdcrlek45dkop3v4uw5gx))/Submissions/Impact/265</w:t>
              </w:r>
            </w:hyperlink>
          </w:p>
        </w:tc>
      </w:tr>
      <w:tr w:rsidR="008B4713" w:rsidRPr="007C3701" w14:paraId="6EF7A051"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6BF9A7D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256</w:t>
            </w:r>
          </w:p>
        </w:tc>
        <w:tc>
          <w:tcPr>
            <w:tcW w:w="9225" w:type="dxa"/>
            <w:tcBorders>
              <w:top w:val="nil"/>
              <w:left w:val="single" w:sz="4" w:space="0" w:color="auto"/>
              <w:bottom w:val="nil"/>
              <w:right w:val="single" w:sz="4" w:space="0" w:color="auto"/>
            </w:tcBorders>
            <w:shd w:val="clear" w:color="auto" w:fill="auto"/>
            <w:vAlign w:val="center"/>
            <w:hideMark/>
          </w:tcPr>
          <w:p w14:paraId="63A93F8B" w14:textId="5A08EA55" w:rsidR="008B4713" w:rsidRPr="007C3701" w:rsidRDefault="002F4B1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Portsmouth (2014). </w:t>
            </w:r>
            <w:r w:rsidR="008B4713" w:rsidRPr="007C3701">
              <w:rPr>
                <w:rFonts w:ascii="Calibri" w:eastAsia="Times New Roman" w:hAnsi="Calibri" w:cs="Calibri"/>
                <w:color w:val="000000"/>
                <w:lang w:eastAsia="en-GB"/>
              </w:rPr>
              <w:t>REF2014 Environment Template</w:t>
            </w:r>
            <w:r>
              <w:rPr>
                <w:rFonts w:ascii="Calibri" w:eastAsia="Times New Roman" w:hAnsi="Calibri" w:cs="Calibri"/>
                <w:color w:val="000000"/>
                <w:lang w:eastAsia="en-GB"/>
              </w:rPr>
              <w:t xml:space="preserve">. </w:t>
            </w:r>
            <w:hyperlink r:id="rId178" w:history="1">
              <w:r>
                <w:rPr>
                  <w:rStyle w:val="Hyperlink"/>
                </w:rPr>
                <w:t>https://results.ref.ac.uk/(S(5mhsdcrlek45dkop3v4uw5gx))/Submissions/Environment/265</w:t>
              </w:r>
            </w:hyperlink>
          </w:p>
        </w:tc>
      </w:tr>
      <w:tr w:rsidR="008B4713" w:rsidRPr="007C3701" w14:paraId="5014AA93" w14:textId="77777777" w:rsidTr="005C7561">
        <w:trPr>
          <w:trHeight w:val="300"/>
        </w:trPr>
        <w:tc>
          <w:tcPr>
            <w:tcW w:w="551" w:type="dxa"/>
            <w:tcBorders>
              <w:top w:val="nil"/>
              <w:left w:val="single" w:sz="4" w:space="0" w:color="auto"/>
              <w:bottom w:val="nil"/>
              <w:right w:val="nil"/>
            </w:tcBorders>
            <w:shd w:val="clear" w:color="auto" w:fill="auto"/>
            <w:noWrap/>
            <w:vAlign w:val="center"/>
            <w:hideMark/>
          </w:tcPr>
          <w:p w14:paraId="2CCE480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257</w:t>
            </w:r>
          </w:p>
        </w:tc>
        <w:tc>
          <w:tcPr>
            <w:tcW w:w="9225" w:type="dxa"/>
            <w:tcBorders>
              <w:top w:val="nil"/>
              <w:left w:val="single" w:sz="4" w:space="0" w:color="auto"/>
              <w:bottom w:val="nil"/>
              <w:right w:val="single" w:sz="4" w:space="0" w:color="auto"/>
            </w:tcBorders>
            <w:shd w:val="clear" w:color="auto" w:fill="auto"/>
            <w:vAlign w:val="center"/>
            <w:hideMark/>
          </w:tcPr>
          <w:p w14:paraId="00AEE1AF" w14:textId="23129263" w:rsidR="008B4713" w:rsidRPr="007C3701" w:rsidRDefault="0009789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Portsmouth. Centre for Healthcare Modelling and Informatics. </w:t>
            </w:r>
            <w:hyperlink r:id="rId179" w:history="1">
              <w:r w:rsidR="00242589" w:rsidRPr="000562AF">
                <w:rPr>
                  <w:rStyle w:val="Hyperlink"/>
                  <w:rFonts w:ascii="Calibri" w:eastAsia="Times New Roman" w:hAnsi="Calibri" w:cs="Calibri"/>
                  <w:lang w:eastAsia="en-GB"/>
                </w:rPr>
                <w:t>http://www.chmi.port.ac.uk/</w:t>
              </w:r>
            </w:hyperlink>
            <w:r w:rsidR="00242589">
              <w:rPr>
                <w:rFonts w:ascii="Calibri" w:eastAsia="Times New Roman" w:hAnsi="Calibri" w:cs="Calibri"/>
                <w:color w:val="000000"/>
                <w:lang w:eastAsia="en-GB"/>
              </w:rPr>
              <w:t xml:space="preserve"> (accessed 4 September 2019)</w:t>
            </w:r>
          </w:p>
        </w:tc>
      </w:tr>
      <w:tr w:rsidR="008B4713" w:rsidRPr="007C3701" w14:paraId="68F3B37C" w14:textId="77777777" w:rsidTr="005C7561">
        <w:trPr>
          <w:trHeight w:val="300"/>
        </w:trPr>
        <w:tc>
          <w:tcPr>
            <w:tcW w:w="551" w:type="dxa"/>
            <w:tcBorders>
              <w:top w:val="nil"/>
              <w:left w:val="single" w:sz="4" w:space="0" w:color="auto"/>
              <w:bottom w:val="nil"/>
              <w:right w:val="nil"/>
            </w:tcBorders>
            <w:shd w:val="clear" w:color="auto" w:fill="auto"/>
            <w:noWrap/>
            <w:vAlign w:val="center"/>
            <w:hideMark/>
          </w:tcPr>
          <w:p w14:paraId="43E0A57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258</w:t>
            </w:r>
          </w:p>
        </w:tc>
        <w:tc>
          <w:tcPr>
            <w:tcW w:w="9225" w:type="dxa"/>
            <w:tcBorders>
              <w:top w:val="nil"/>
              <w:left w:val="single" w:sz="4" w:space="0" w:color="auto"/>
              <w:bottom w:val="nil"/>
              <w:right w:val="single" w:sz="4" w:space="0" w:color="auto"/>
            </w:tcBorders>
            <w:shd w:val="clear" w:color="auto" w:fill="auto"/>
            <w:vAlign w:val="center"/>
            <w:hideMark/>
          </w:tcPr>
          <w:p w14:paraId="1C399AC8" w14:textId="1A86B77C" w:rsidR="008B4713" w:rsidRPr="007C3701" w:rsidRDefault="0009789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University of Portsmouth. I</w:t>
            </w:r>
            <w:r w:rsidR="008B4713" w:rsidRPr="007C3701">
              <w:rPr>
                <w:rFonts w:ascii="Calibri" w:eastAsia="Times New Roman" w:hAnsi="Calibri" w:cs="Calibri"/>
                <w:color w:val="000000"/>
                <w:lang w:eastAsia="en-GB"/>
              </w:rPr>
              <w:t>ntelligent &amp; networked systems research group</w:t>
            </w:r>
            <w:r>
              <w:rPr>
                <w:rFonts w:ascii="Calibri" w:eastAsia="Times New Roman" w:hAnsi="Calibri" w:cs="Calibri"/>
                <w:color w:val="000000"/>
                <w:lang w:eastAsia="en-GB"/>
              </w:rPr>
              <w:t xml:space="preserve">. </w:t>
            </w:r>
            <w:hyperlink r:id="rId180" w:history="1">
              <w:r w:rsidRPr="000562AF">
                <w:rPr>
                  <w:rStyle w:val="Hyperlink"/>
                  <w:rFonts w:ascii="Calibri" w:eastAsia="Times New Roman" w:hAnsi="Calibri" w:cs="Calibri"/>
                  <w:lang w:eastAsia="en-GB"/>
                </w:rPr>
                <w:t>http://www2.port.ac.uk/school-of-engineering/research/intelligent-and-networked-systems-research-group/</w:t>
              </w:r>
            </w:hyperlink>
            <w:r>
              <w:rPr>
                <w:rFonts w:ascii="Calibri" w:eastAsia="Times New Roman" w:hAnsi="Calibri" w:cs="Calibri"/>
                <w:color w:val="000000"/>
                <w:lang w:eastAsia="en-GB"/>
              </w:rPr>
              <w:t xml:space="preserve"> </w:t>
            </w:r>
            <w:r w:rsidR="00D06F17">
              <w:rPr>
                <w:rFonts w:ascii="Calibri" w:eastAsia="Times New Roman" w:hAnsi="Calibri" w:cs="Calibri"/>
                <w:color w:val="000000"/>
                <w:lang w:eastAsia="en-GB"/>
              </w:rPr>
              <w:t>(accessed 4 September 2019)</w:t>
            </w:r>
          </w:p>
        </w:tc>
      </w:tr>
      <w:tr w:rsidR="008B4713" w:rsidRPr="007C3701" w14:paraId="029CB26A" w14:textId="77777777" w:rsidTr="005C7561">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398B2A"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11.1</w:t>
            </w:r>
          </w:p>
        </w:tc>
      </w:tr>
      <w:tr w:rsidR="008B4713" w:rsidRPr="007C3701" w14:paraId="25FAE5D2"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50752C0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259</w:t>
            </w:r>
          </w:p>
        </w:tc>
        <w:tc>
          <w:tcPr>
            <w:tcW w:w="9225" w:type="dxa"/>
            <w:tcBorders>
              <w:top w:val="nil"/>
              <w:left w:val="single" w:sz="4" w:space="0" w:color="auto"/>
              <w:bottom w:val="nil"/>
              <w:right w:val="single" w:sz="4" w:space="0" w:color="auto"/>
            </w:tcBorders>
            <w:shd w:val="clear" w:color="auto" w:fill="auto"/>
            <w:vAlign w:val="center"/>
            <w:hideMark/>
          </w:tcPr>
          <w:p w14:paraId="3A27DA9F" w14:textId="3D39C984" w:rsidR="008B4713" w:rsidRPr="007C3701" w:rsidRDefault="002F4B1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Portsmouth (2014). </w:t>
            </w:r>
            <w:r w:rsidR="008B4713" w:rsidRPr="007C3701">
              <w:rPr>
                <w:rFonts w:ascii="Calibri" w:eastAsia="Times New Roman" w:hAnsi="Calibri" w:cs="Calibri"/>
                <w:color w:val="000000"/>
                <w:lang w:eastAsia="en-GB"/>
              </w:rPr>
              <w:t>REF Impact Case Study no. 14510</w:t>
            </w:r>
            <w:r>
              <w:rPr>
                <w:rFonts w:ascii="Calibri" w:eastAsia="Times New Roman" w:hAnsi="Calibri" w:cs="Calibri"/>
                <w:color w:val="000000"/>
                <w:lang w:eastAsia="en-GB"/>
              </w:rPr>
              <w:t xml:space="preserve">. </w:t>
            </w:r>
            <w:hyperlink r:id="rId181" w:history="1">
              <w:r>
                <w:rPr>
                  <w:rStyle w:val="Hyperlink"/>
                </w:rPr>
                <w:t>https://results.ref.ac.uk/(S(5mhsdcrlek45dkop3v4uw5gx))/Submissions/Impact/265</w:t>
              </w:r>
            </w:hyperlink>
          </w:p>
        </w:tc>
      </w:tr>
      <w:tr w:rsidR="008B4713" w:rsidRPr="007C3701" w14:paraId="286FEA70"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254F7DE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260</w:t>
            </w:r>
          </w:p>
        </w:tc>
        <w:tc>
          <w:tcPr>
            <w:tcW w:w="9225" w:type="dxa"/>
            <w:tcBorders>
              <w:top w:val="nil"/>
              <w:left w:val="single" w:sz="4" w:space="0" w:color="auto"/>
              <w:bottom w:val="nil"/>
              <w:right w:val="single" w:sz="4" w:space="0" w:color="auto"/>
            </w:tcBorders>
            <w:shd w:val="clear" w:color="auto" w:fill="auto"/>
            <w:vAlign w:val="center"/>
            <w:hideMark/>
          </w:tcPr>
          <w:p w14:paraId="759D23B6"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Prytherch DR, Whiteley MS, Higgins B, Weaver PC, Prout WG, Powell SJ. (1998) POSSUM and Portsmouth POSSUM for predicting mortality. Physiological and Operative Severity Scor for the enUmeration of Mortality and morbidity. Br J Surg. 85(9):1217-20.</w:t>
            </w:r>
          </w:p>
        </w:tc>
      </w:tr>
      <w:tr w:rsidR="008B4713" w:rsidRPr="007C3701" w14:paraId="7002B4FE"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6881A52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261</w:t>
            </w:r>
          </w:p>
        </w:tc>
        <w:tc>
          <w:tcPr>
            <w:tcW w:w="9225" w:type="dxa"/>
            <w:tcBorders>
              <w:top w:val="nil"/>
              <w:left w:val="single" w:sz="4" w:space="0" w:color="auto"/>
              <w:bottom w:val="nil"/>
              <w:right w:val="single" w:sz="4" w:space="0" w:color="auto"/>
            </w:tcBorders>
            <w:shd w:val="clear" w:color="auto" w:fill="auto"/>
            <w:vAlign w:val="center"/>
            <w:hideMark/>
          </w:tcPr>
          <w:p w14:paraId="50A89FA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Prytherch DR, Sirl JS, Schmidt P, Featherstone PI, Weaver PC, Smith GB. (2005). The use of routine laboratory data to predict in-hospital death in medical admissions. Resuscitation. 66(2):203-7</w:t>
            </w:r>
          </w:p>
        </w:tc>
      </w:tr>
      <w:tr w:rsidR="008B4713" w:rsidRPr="007C3701" w14:paraId="3028813D"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2E66BD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262</w:t>
            </w:r>
          </w:p>
        </w:tc>
        <w:tc>
          <w:tcPr>
            <w:tcW w:w="9225" w:type="dxa"/>
            <w:tcBorders>
              <w:top w:val="nil"/>
              <w:left w:val="single" w:sz="4" w:space="0" w:color="auto"/>
              <w:bottom w:val="nil"/>
              <w:right w:val="single" w:sz="4" w:space="0" w:color="auto"/>
            </w:tcBorders>
            <w:shd w:val="clear" w:color="auto" w:fill="auto"/>
            <w:vAlign w:val="center"/>
            <w:hideMark/>
          </w:tcPr>
          <w:p w14:paraId="4CC4ACD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Prytherch DR, Briggs JS, Weaver PC, Schmidt P, Smith GB. (2005). Measuring clinical performance using routinely collected clinical data. Med Inform Internet Med; 30(2):151-6.</w:t>
            </w:r>
          </w:p>
        </w:tc>
      </w:tr>
      <w:tr w:rsidR="008B4713" w:rsidRPr="007C3701" w14:paraId="593B53B5"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1CF2CAA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263</w:t>
            </w:r>
          </w:p>
        </w:tc>
        <w:tc>
          <w:tcPr>
            <w:tcW w:w="9225" w:type="dxa"/>
            <w:tcBorders>
              <w:top w:val="nil"/>
              <w:left w:val="single" w:sz="4" w:space="0" w:color="auto"/>
              <w:bottom w:val="nil"/>
              <w:right w:val="single" w:sz="4" w:space="0" w:color="auto"/>
            </w:tcBorders>
            <w:shd w:val="clear" w:color="auto" w:fill="auto"/>
            <w:vAlign w:val="center"/>
            <w:hideMark/>
          </w:tcPr>
          <w:p w14:paraId="2955BCD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Kause J, Smith G, Prytherch D, Parr M, Flabouris A, Hillman K, et al. (2004). A comparison of antecedents to cardiac arrests, deaths and emergency intensive care admissions in Australia and New Zealand, and the United Kingdom - the ACADEMIA study. Resusciation; 62(3):275-82.</w:t>
            </w:r>
          </w:p>
        </w:tc>
      </w:tr>
      <w:tr w:rsidR="008B4713" w:rsidRPr="007C3701" w14:paraId="35EFBA67"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5407366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264</w:t>
            </w:r>
          </w:p>
        </w:tc>
        <w:tc>
          <w:tcPr>
            <w:tcW w:w="9225" w:type="dxa"/>
            <w:tcBorders>
              <w:top w:val="nil"/>
              <w:left w:val="single" w:sz="4" w:space="0" w:color="auto"/>
              <w:bottom w:val="nil"/>
              <w:right w:val="single" w:sz="4" w:space="0" w:color="auto"/>
            </w:tcBorders>
            <w:shd w:val="clear" w:color="auto" w:fill="auto"/>
            <w:vAlign w:val="center"/>
            <w:hideMark/>
          </w:tcPr>
          <w:p w14:paraId="33BEB342"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Smith GB, Prytherch D, Schmidt P, Featherstone PI, Knight D, Clements G, et al. (2006). Hospital-wide physiological surveillance - a new approach to the early identification and management of the sick patient. Resuscitation; 71(1):19-28.</w:t>
            </w:r>
          </w:p>
        </w:tc>
      </w:tr>
      <w:tr w:rsidR="008B4713" w:rsidRPr="007C3701" w14:paraId="6F72CF7F"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48CEC99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265</w:t>
            </w:r>
          </w:p>
        </w:tc>
        <w:tc>
          <w:tcPr>
            <w:tcW w:w="9225" w:type="dxa"/>
            <w:tcBorders>
              <w:top w:val="nil"/>
              <w:left w:val="single" w:sz="4" w:space="0" w:color="auto"/>
              <w:bottom w:val="nil"/>
              <w:right w:val="single" w:sz="4" w:space="0" w:color="auto"/>
            </w:tcBorders>
            <w:shd w:val="clear" w:color="auto" w:fill="auto"/>
            <w:vAlign w:val="center"/>
            <w:hideMark/>
          </w:tcPr>
          <w:p w14:paraId="4017E32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Prytherch D, Smith GB, Schmidt PE, Featherstone PI. (2010). ViEWS-Towards national early warning score for detecting adult inpatient deterioration. Resusciation; 81(8):932-7.</w:t>
            </w:r>
          </w:p>
        </w:tc>
      </w:tr>
      <w:tr w:rsidR="008B4713" w:rsidRPr="007C3701" w14:paraId="3877BB30" w14:textId="77777777" w:rsidTr="00354687">
        <w:trPr>
          <w:trHeight w:val="300"/>
        </w:trPr>
        <w:tc>
          <w:tcPr>
            <w:tcW w:w="551" w:type="dxa"/>
            <w:tcBorders>
              <w:top w:val="nil"/>
              <w:left w:val="single" w:sz="4" w:space="0" w:color="auto"/>
              <w:bottom w:val="nil"/>
              <w:right w:val="nil"/>
            </w:tcBorders>
            <w:shd w:val="clear" w:color="auto" w:fill="auto"/>
            <w:noWrap/>
            <w:vAlign w:val="center"/>
            <w:hideMark/>
          </w:tcPr>
          <w:p w14:paraId="228F240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266</w:t>
            </w:r>
          </w:p>
        </w:tc>
        <w:tc>
          <w:tcPr>
            <w:tcW w:w="9225" w:type="dxa"/>
            <w:tcBorders>
              <w:top w:val="nil"/>
              <w:left w:val="single" w:sz="4" w:space="0" w:color="auto"/>
              <w:bottom w:val="nil"/>
              <w:right w:val="single" w:sz="4" w:space="0" w:color="auto"/>
            </w:tcBorders>
            <w:shd w:val="clear" w:color="auto" w:fill="auto"/>
            <w:vAlign w:val="center"/>
            <w:hideMark/>
          </w:tcPr>
          <w:p w14:paraId="6866527F" w14:textId="6CF4B301"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Resuscitation</w:t>
            </w:r>
            <w:r w:rsidR="00097899">
              <w:rPr>
                <w:rFonts w:ascii="Calibri" w:eastAsia="Times New Roman" w:hAnsi="Calibri" w:cs="Calibri"/>
                <w:color w:val="000000"/>
                <w:lang w:eastAsia="en-GB"/>
              </w:rPr>
              <w:t xml:space="preserve"> (</w:t>
            </w:r>
            <w:r w:rsidRPr="007C3701">
              <w:rPr>
                <w:rFonts w:ascii="Calibri" w:eastAsia="Times New Roman" w:hAnsi="Calibri" w:cs="Calibri"/>
                <w:color w:val="000000"/>
                <w:lang w:eastAsia="en-GB"/>
              </w:rPr>
              <w:t>journal</w:t>
            </w:r>
            <w:r w:rsidR="00097899">
              <w:rPr>
                <w:rFonts w:ascii="Calibri" w:eastAsia="Times New Roman" w:hAnsi="Calibri" w:cs="Calibri"/>
                <w:color w:val="000000"/>
                <w:lang w:eastAsia="en-GB"/>
              </w:rPr>
              <w:t xml:space="preserve">). </w:t>
            </w:r>
            <w:hyperlink r:id="rId182" w:history="1">
              <w:r w:rsidR="004D33ED" w:rsidRPr="000562AF">
                <w:rPr>
                  <w:rStyle w:val="Hyperlink"/>
                  <w:rFonts w:ascii="Calibri" w:eastAsia="Times New Roman" w:hAnsi="Calibri" w:cs="Calibri"/>
                  <w:lang w:eastAsia="en-GB"/>
                </w:rPr>
                <w:t>https://www.resuscitationjournal.com/</w:t>
              </w:r>
            </w:hyperlink>
            <w:r w:rsidR="004D33ED">
              <w:rPr>
                <w:rFonts w:ascii="Calibri" w:eastAsia="Times New Roman" w:hAnsi="Calibri" w:cs="Calibri"/>
                <w:color w:val="000000"/>
                <w:lang w:eastAsia="en-GB"/>
              </w:rPr>
              <w:t xml:space="preserve"> </w:t>
            </w:r>
            <w:r w:rsidR="00A059D6">
              <w:rPr>
                <w:rFonts w:ascii="Calibri" w:eastAsia="Times New Roman" w:hAnsi="Calibri" w:cs="Calibri"/>
                <w:color w:val="000000"/>
                <w:lang w:eastAsia="en-GB"/>
              </w:rPr>
              <w:t>(accessed 4 September 2019)</w:t>
            </w:r>
          </w:p>
        </w:tc>
      </w:tr>
      <w:tr w:rsidR="008B4713" w:rsidRPr="007C3701" w14:paraId="037080A6" w14:textId="77777777" w:rsidTr="00354687">
        <w:trPr>
          <w:trHeight w:val="300"/>
        </w:trPr>
        <w:tc>
          <w:tcPr>
            <w:tcW w:w="551" w:type="dxa"/>
            <w:tcBorders>
              <w:top w:val="nil"/>
              <w:left w:val="single" w:sz="4" w:space="0" w:color="auto"/>
              <w:bottom w:val="nil"/>
              <w:right w:val="nil"/>
            </w:tcBorders>
            <w:shd w:val="clear" w:color="auto" w:fill="auto"/>
            <w:noWrap/>
            <w:vAlign w:val="center"/>
            <w:hideMark/>
          </w:tcPr>
          <w:p w14:paraId="6454ED3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267</w:t>
            </w:r>
          </w:p>
        </w:tc>
        <w:tc>
          <w:tcPr>
            <w:tcW w:w="9225" w:type="dxa"/>
            <w:tcBorders>
              <w:top w:val="nil"/>
              <w:left w:val="single" w:sz="4" w:space="0" w:color="auto"/>
              <w:bottom w:val="nil"/>
              <w:right w:val="single" w:sz="4" w:space="0" w:color="auto"/>
            </w:tcBorders>
            <w:shd w:val="clear" w:color="auto" w:fill="auto"/>
            <w:vAlign w:val="center"/>
            <w:hideMark/>
          </w:tcPr>
          <w:p w14:paraId="291E1DF8" w14:textId="02841658" w:rsidR="008B4713" w:rsidRPr="007C3701" w:rsidRDefault="004D33ED"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Vital Pac. </w:t>
            </w:r>
            <w:hyperlink r:id="rId183" w:history="1">
              <w:r w:rsidRPr="000562AF">
                <w:rPr>
                  <w:rStyle w:val="Hyperlink"/>
                  <w:rFonts w:ascii="Calibri" w:eastAsia="Times New Roman" w:hAnsi="Calibri" w:cs="Calibri"/>
                  <w:lang w:eastAsia="en-GB"/>
                </w:rPr>
                <w:t>http://vitalpac.com/about-us/</w:t>
              </w:r>
            </w:hyperlink>
            <w:r>
              <w:rPr>
                <w:rFonts w:ascii="Calibri" w:eastAsia="Times New Roman" w:hAnsi="Calibri" w:cs="Calibri"/>
                <w:color w:val="000000"/>
                <w:lang w:eastAsia="en-GB"/>
              </w:rPr>
              <w:t xml:space="preserve"> </w:t>
            </w:r>
            <w:r w:rsidR="00A059D6">
              <w:rPr>
                <w:rFonts w:ascii="Calibri" w:eastAsia="Times New Roman" w:hAnsi="Calibri" w:cs="Calibri"/>
                <w:color w:val="000000"/>
                <w:lang w:eastAsia="en-GB"/>
              </w:rPr>
              <w:t>(accessed 4 September 2019)</w:t>
            </w:r>
          </w:p>
        </w:tc>
      </w:tr>
      <w:tr w:rsidR="008B4713" w:rsidRPr="007C3701" w14:paraId="15945304" w14:textId="77777777" w:rsidTr="00354687">
        <w:trPr>
          <w:trHeight w:val="300"/>
        </w:trPr>
        <w:tc>
          <w:tcPr>
            <w:tcW w:w="551" w:type="dxa"/>
            <w:tcBorders>
              <w:top w:val="nil"/>
              <w:left w:val="single" w:sz="4" w:space="0" w:color="auto"/>
              <w:bottom w:val="nil"/>
              <w:right w:val="nil"/>
            </w:tcBorders>
            <w:shd w:val="clear" w:color="auto" w:fill="auto"/>
            <w:noWrap/>
            <w:vAlign w:val="center"/>
            <w:hideMark/>
          </w:tcPr>
          <w:p w14:paraId="0E0413B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268</w:t>
            </w:r>
          </w:p>
        </w:tc>
        <w:tc>
          <w:tcPr>
            <w:tcW w:w="9225" w:type="dxa"/>
            <w:tcBorders>
              <w:top w:val="nil"/>
              <w:left w:val="single" w:sz="4" w:space="0" w:color="auto"/>
              <w:bottom w:val="nil"/>
              <w:right w:val="single" w:sz="4" w:space="0" w:color="auto"/>
            </w:tcBorders>
            <w:shd w:val="clear" w:color="auto" w:fill="auto"/>
            <w:vAlign w:val="center"/>
            <w:hideMark/>
          </w:tcPr>
          <w:p w14:paraId="4D74D175" w14:textId="2059CD84" w:rsidR="008B4713" w:rsidRPr="007C3701" w:rsidRDefault="00A56355" w:rsidP="004E0087">
            <w:pPr>
              <w:spacing w:after="0" w:line="240" w:lineRule="auto"/>
              <w:rPr>
                <w:rFonts w:ascii="Calibri" w:eastAsia="Times New Roman" w:hAnsi="Calibri" w:cs="Calibri"/>
                <w:color w:val="0563C1"/>
                <w:u w:val="single"/>
                <w:lang w:eastAsia="en-GB"/>
              </w:rPr>
            </w:pPr>
            <w:hyperlink r:id="rId184" w:history="1">
              <w:r w:rsidR="008128A9">
                <w:rPr>
                  <w:rStyle w:val="Hyperlink"/>
                </w:rPr>
                <w:t>https://www.porthosp.nhs.uk/PHTNEWS/researcherswinfuntohelp.htm</w:t>
              </w:r>
            </w:hyperlink>
            <w:r w:rsidR="00A059D6">
              <w:rPr>
                <w:rFonts w:ascii="Calibri" w:eastAsia="Times New Roman" w:hAnsi="Calibri" w:cs="Calibri"/>
                <w:color w:val="0563C1"/>
                <w:u w:val="single"/>
                <w:lang w:eastAsia="en-GB"/>
              </w:rPr>
              <w:t xml:space="preserve"> </w:t>
            </w:r>
            <w:r w:rsidR="00A059D6">
              <w:rPr>
                <w:rFonts w:ascii="Calibri" w:eastAsia="Times New Roman" w:hAnsi="Calibri" w:cs="Calibri"/>
                <w:color w:val="000000"/>
                <w:lang w:eastAsia="en-GB"/>
              </w:rPr>
              <w:t>(accessed 4 September 2019)</w:t>
            </w:r>
          </w:p>
        </w:tc>
      </w:tr>
      <w:tr w:rsidR="008B4713" w:rsidRPr="007C3701" w14:paraId="4732E267" w14:textId="77777777" w:rsidTr="00354687">
        <w:trPr>
          <w:trHeight w:val="300"/>
        </w:trPr>
        <w:tc>
          <w:tcPr>
            <w:tcW w:w="551" w:type="dxa"/>
            <w:tcBorders>
              <w:top w:val="nil"/>
              <w:left w:val="single" w:sz="4" w:space="0" w:color="auto"/>
              <w:bottom w:val="nil"/>
              <w:right w:val="nil"/>
            </w:tcBorders>
            <w:shd w:val="clear" w:color="auto" w:fill="auto"/>
            <w:noWrap/>
            <w:vAlign w:val="center"/>
            <w:hideMark/>
          </w:tcPr>
          <w:p w14:paraId="76418E4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269</w:t>
            </w:r>
          </w:p>
        </w:tc>
        <w:tc>
          <w:tcPr>
            <w:tcW w:w="9225" w:type="dxa"/>
            <w:tcBorders>
              <w:top w:val="nil"/>
              <w:left w:val="single" w:sz="4" w:space="0" w:color="auto"/>
              <w:bottom w:val="nil"/>
              <w:right w:val="single" w:sz="4" w:space="0" w:color="auto"/>
            </w:tcBorders>
            <w:shd w:val="clear" w:color="auto" w:fill="auto"/>
            <w:vAlign w:val="center"/>
            <w:hideMark/>
          </w:tcPr>
          <w:p w14:paraId="4BFD159C" w14:textId="302E067D" w:rsidR="008B4713" w:rsidRPr="007C3701" w:rsidRDefault="004D33ED" w:rsidP="004E0087">
            <w:pPr>
              <w:spacing w:after="0" w:line="240" w:lineRule="auto"/>
              <w:rPr>
                <w:rFonts w:ascii="Calibri" w:eastAsia="Times New Roman" w:hAnsi="Calibri" w:cs="Calibri"/>
                <w:color w:val="0563C1"/>
                <w:u w:val="single"/>
                <w:lang w:eastAsia="en-GB"/>
              </w:rPr>
            </w:pPr>
            <w:r>
              <w:t>EPSRC Research Grant.</w:t>
            </w:r>
            <w:hyperlink r:id="rId185" w:history="1">
              <w:r w:rsidRPr="000562AF">
                <w:rPr>
                  <w:rStyle w:val="Hyperlink"/>
                  <w:rFonts w:ascii="Calibri" w:eastAsia="Times New Roman" w:hAnsi="Calibri" w:cs="Calibri"/>
                  <w:lang w:eastAsia="en-GB"/>
                </w:rPr>
                <w:t>http://gow.epsrc.ac.uk/NGBOViewGrant.aspx?GrantRef=EP/F058845/1</w:t>
              </w:r>
            </w:hyperlink>
            <w:r w:rsidR="00A059D6">
              <w:rPr>
                <w:rFonts w:ascii="Calibri" w:eastAsia="Times New Roman" w:hAnsi="Calibri" w:cs="Calibri"/>
                <w:color w:val="0563C1"/>
                <w:u w:val="single"/>
                <w:lang w:eastAsia="en-GB"/>
              </w:rPr>
              <w:t xml:space="preserve"> </w:t>
            </w:r>
            <w:r w:rsidR="00A059D6">
              <w:rPr>
                <w:rFonts w:ascii="Calibri" w:eastAsia="Times New Roman" w:hAnsi="Calibri" w:cs="Calibri"/>
                <w:color w:val="000000"/>
                <w:lang w:eastAsia="en-GB"/>
              </w:rPr>
              <w:t>(accessed 4 September 2019)</w:t>
            </w:r>
          </w:p>
        </w:tc>
      </w:tr>
      <w:tr w:rsidR="008B4713" w:rsidRPr="007C3701" w14:paraId="360FAFD0"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624765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270</w:t>
            </w:r>
          </w:p>
        </w:tc>
        <w:tc>
          <w:tcPr>
            <w:tcW w:w="9225" w:type="dxa"/>
            <w:tcBorders>
              <w:top w:val="nil"/>
              <w:left w:val="single" w:sz="4" w:space="0" w:color="auto"/>
              <w:bottom w:val="nil"/>
              <w:right w:val="single" w:sz="4" w:space="0" w:color="auto"/>
            </w:tcBorders>
            <w:shd w:val="clear" w:color="auto" w:fill="auto"/>
            <w:vAlign w:val="center"/>
            <w:hideMark/>
          </w:tcPr>
          <w:p w14:paraId="3FDDABA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Whiteley, M S, Prytherch, D, Higgins, B, Weaver, P C, Prout, W G. (1996). An evaluation of the POSSUM surgical scoring system. British Journal of Surgery, 83, 812-815</w:t>
            </w:r>
          </w:p>
        </w:tc>
      </w:tr>
      <w:tr w:rsidR="008B4713" w:rsidRPr="007C3701" w14:paraId="1CA8F640"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12D89F9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271</w:t>
            </w:r>
          </w:p>
        </w:tc>
        <w:tc>
          <w:tcPr>
            <w:tcW w:w="9225" w:type="dxa"/>
            <w:tcBorders>
              <w:top w:val="nil"/>
              <w:left w:val="single" w:sz="4" w:space="0" w:color="auto"/>
              <w:bottom w:val="nil"/>
              <w:right w:val="single" w:sz="4" w:space="0" w:color="auto"/>
            </w:tcBorders>
            <w:shd w:val="clear" w:color="auto" w:fill="auto"/>
            <w:vAlign w:val="center"/>
            <w:hideMark/>
          </w:tcPr>
          <w:p w14:paraId="1B6F6CA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Smith, G. (2004). ACADEMIA Study: A comparison of Antecedents to Cardiac Arrests, Deaths and Emergency Intensive Care Admissions in Australia, New Zealand, and the United Kingdom - the ACADEMIA study. The Journal of Intensive Care Society. October 2004, 5, 3, 97.</w:t>
            </w:r>
          </w:p>
        </w:tc>
      </w:tr>
      <w:tr w:rsidR="008B4713" w:rsidRPr="007C3701" w14:paraId="0D2AEF37"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BC115"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11.2</w:t>
            </w:r>
          </w:p>
        </w:tc>
      </w:tr>
      <w:tr w:rsidR="008B4713" w:rsidRPr="007C3701" w14:paraId="151D4F7A"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4327C76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272</w:t>
            </w:r>
          </w:p>
        </w:tc>
        <w:tc>
          <w:tcPr>
            <w:tcW w:w="9225" w:type="dxa"/>
            <w:tcBorders>
              <w:top w:val="nil"/>
              <w:left w:val="single" w:sz="4" w:space="0" w:color="auto"/>
              <w:bottom w:val="nil"/>
              <w:right w:val="single" w:sz="4" w:space="0" w:color="auto"/>
            </w:tcBorders>
            <w:shd w:val="clear" w:color="auto" w:fill="auto"/>
            <w:vAlign w:val="center"/>
            <w:hideMark/>
          </w:tcPr>
          <w:p w14:paraId="6818A921" w14:textId="70BBC977" w:rsidR="008B4713" w:rsidRPr="007C3701" w:rsidRDefault="002F4B10"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Portsmouth (2014). </w:t>
            </w:r>
            <w:r w:rsidR="008B4713" w:rsidRPr="007C3701">
              <w:rPr>
                <w:rFonts w:ascii="Calibri" w:eastAsia="Times New Roman" w:hAnsi="Calibri" w:cs="Calibri"/>
                <w:color w:val="000000"/>
                <w:lang w:eastAsia="en-GB"/>
              </w:rPr>
              <w:t>REF Impact Case Study no. 14511</w:t>
            </w:r>
            <w:r>
              <w:rPr>
                <w:rFonts w:ascii="Calibri" w:eastAsia="Times New Roman" w:hAnsi="Calibri" w:cs="Calibri"/>
                <w:color w:val="000000"/>
                <w:lang w:eastAsia="en-GB"/>
              </w:rPr>
              <w:t xml:space="preserve">. </w:t>
            </w:r>
            <w:hyperlink r:id="rId186" w:history="1">
              <w:r>
                <w:rPr>
                  <w:rStyle w:val="Hyperlink"/>
                </w:rPr>
                <w:t>https://results.ref.ac.uk/(S(5mhsdcrlek45dkop3v4uw5gx))/Submissions/Impact/265</w:t>
              </w:r>
            </w:hyperlink>
          </w:p>
        </w:tc>
      </w:tr>
      <w:tr w:rsidR="008B4713" w:rsidRPr="007C3701" w14:paraId="018CF2AD"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207EB1C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273</w:t>
            </w:r>
          </w:p>
        </w:tc>
        <w:tc>
          <w:tcPr>
            <w:tcW w:w="9225" w:type="dxa"/>
            <w:tcBorders>
              <w:top w:val="nil"/>
              <w:left w:val="single" w:sz="4" w:space="0" w:color="auto"/>
              <w:bottom w:val="nil"/>
              <w:right w:val="single" w:sz="4" w:space="0" w:color="auto"/>
            </w:tcBorders>
            <w:shd w:val="clear" w:color="auto" w:fill="auto"/>
            <w:vAlign w:val="center"/>
            <w:hideMark/>
          </w:tcPr>
          <w:p w14:paraId="3777949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Sanders DA and Stott IJ (1999). A new prototype intelligent mobility system to assist powered wheelchair users. Industrial Robot: An International Journal, Vol 26, Issue: 6, pp 466-475. DOI: 10.1108/01439919910296746</w:t>
            </w:r>
          </w:p>
        </w:tc>
      </w:tr>
      <w:tr w:rsidR="008B4713" w:rsidRPr="007C3701" w14:paraId="65A4179F"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17468DB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274</w:t>
            </w:r>
          </w:p>
        </w:tc>
        <w:tc>
          <w:tcPr>
            <w:tcW w:w="9225" w:type="dxa"/>
            <w:tcBorders>
              <w:top w:val="nil"/>
              <w:left w:val="single" w:sz="4" w:space="0" w:color="auto"/>
              <w:bottom w:val="nil"/>
              <w:right w:val="single" w:sz="4" w:space="0" w:color="auto"/>
            </w:tcBorders>
            <w:shd w:val="clear" w:color="auto" w:fill="auto"/>
            <w:vAlign w:val="center"/>
            <w:hideMark/>
          </w:tcPr>
          <w:p w14:paraId="08B6BE02"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Sanders D, Langner M, Tewkesbury GE, (2010). Improving wheelchair-driving using a sensor system to control wheelchair-veer and variable-switches as an alternative to digital-switches or joysticks, Industrial Robot: An International Journal, Vol. 37 Issue: 2, pp.157 – 167. DOI: 10.1108/01439911011018939</w:t>
            </w:r>
          </w:p>
        </w:tc>
      </w:tr>
      <w:tr w:rsidR="008B4713" w:rsidRPr="007C3701" w14:paraId="42E641B2"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632B1C7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275</w:t>
            </w:r>
          </w:p>
        </w:tc>
        <w:tc>
          <w:tcPr>
            <w:tcW w:w="9225" w:type="dxa"/>
            <w:tcBorders>
              <w:top w:val="nil"/>
              <w:left w:val="single" w:sz="4" w:space="0" w:color="auto"/>
              <w:bottom w:val="nil"/>
              <w:right w:val="single" w:sz="4" w:space="0" w:color="auto"/>
            </w:tcBorders>
            <w:shd w:val="clear" w:color="auto" w:fill="auto"/>
            <w:vAlign w:val="center"/>
            <w:hideMark/>
          </w:tcPr>
          <w:p w14:paraId="07F0FB53"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Sanders D, Stott I; Graham-Jones J et al, (2011). Expert system to interpret hand tremor and provide joystick position signals for powered wheelchairs with ultrasonic sensor systems, Industrial Robot: An International Journal, Vol. 38 Issue: 6, pp.585 – 598. DOI: 10.1108/01439911111179101</w:t>
            </w:r>
          </w:p>
        </w:tc>
      </w:tr>
      <w:tr w:rsidR="008B4713" w:rsidRPr="007C3701" w14:paraId="528ED2EB"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1673196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276</w:t>
            </w:r>
          </w:p>
        </w:tc>
        <w:tc>
          <w:tcPr>
            <w:tcW w:w="9225" w:type="dxa"/>
            <w:tcBorders>
              <w:top w:val="nil"/>
              <w:left w:val="single" w:sz="4" w:space="0" w:color="auto"/>
              <w:bottom w:val="nil"/>
              <w:right w:val="single" w:sz="4" w:space="0" w:color="auto"/>
            </w:tcBorders>
            <w:shd w:val="clear" w:color="auto" w:fill="auto"/>
            <w:vAlign w:val="center"/>
            <w:hideMark/>
          </w:tcPr>
          <w:p w14:paraId="58A1CEF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Langner M &amp; Sanders D, (2008). Controlling wheelchair direction on slopes, Journal of Assistive Technologies, Vol. 2 Issue: 2, pp.32-41. DOI: 10.1108/17549450200800016</w:t>
            </w:r>
          </w:p>
        </w:tc>
      </w:tr>
      <w:tr w:rsidR="008B4713" w:rsidRPr="007C3701" w14:paraId="68C7470F"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4C3E69B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277</w:t>
            </w:r>
          </w:p>
        </w:tc>
        <w:tc>
          <w:tcPr>
            <w:tcW w:w="9225" w:type="dxa"/>
            <w:tcBorders>
              <w:top w:val="nil"/>
              <w:left w:val="single" w:sz="4" w:space="0" w:color="auto"/>
              <w:bottom w:val="nil"/>
              <w:right w:val="single" w:sz="4" w:space="0" w:color="auto"/>
            </w:tcBorders>
            <w:shd w:val="clear" w:color="auto" w:fill="auto"/>
            <w:vAlign w:val="center"/>
            <w:hideMark/>
          </w:tcPr>
          <w:p w14:paraId="116B9F3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Sanders D, Tewkesbury G, Stott I et al, (2011). Simple expert systems to improve an ultrasonic sensor-system for a tele-operated mobile-robot, Sensor Review, Vol. 31 Issue: 3, pp.246-260. DOI: 10.1108/02602281111140029</w:t>
            </w:r>
          </w:p>
        </w:tc>
      </w:tr>
      <w:tr w:rsidR="008B4713" w:rsidRPr="007C3701" w14:paraId="5044C1D8"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3FFDFAF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278</w:t>
            </w:r>
          </w:p>
        </w:tc>
        <w:tc>
          <w:tcPr>
            <w:tcW w:w="9225" w:type="dxa"/>
            <w:tcBorders>
              <w:top w:val="nil"/>
              <w:left w:val="single" w:sz="4" w:space="0" w:color="auto"/>
              <w:bottom w:val="nil"/>
              <w:right w:val="single" w:sz="4" w:space="0" w:color="auto"/>
            </w:tcBorders>
            <w:shd w:val="clear" w:color="auto" w:fill="auto"/>
            <w:vAlign w:val="center"/>
            <w:hideMark/>
          </w:tcPr>
          <w:p w14:paraId="0D92B55F"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Stott IJ and Sanders DA, (2000). New powered wheelchair systems for the rehabilitation of some severely disabled users. Int J Rehabil Res, Volume 23(3), pp.149-153. http://www.ncbi.nlm.nih.gov/pubmed/11131614</w:t>
            </w:r>
          </w:p>
        </w:tc>
      </w:tr>
      <w:tr w:rsidR="008B4713" w:rsidRPr="007C3701" w14:paraId="3463D651" w14:textId="77777777" w:rsidTr="006F3FFE">
        <w:trPr>
          <w:trHeight w:val="300"/>
        </w:trPr>
        <w:tc>
          <w:tcPr>
            <w:tcW w:w="551" w:type="dxa"/>
            <w:tcBorders>
              <w:top w:val="nil"/>
              <w:left w:val="single" w:sz="4" w:space="0" w:color="auto"/>
              <w:bottom w:val="nil"/>
              <w:right w:val="nil"/>
            </w:tcBorders>
            <w:shd w:val="clear" w:color="auto" w:fill="auto"/>
            <w:noWrap/>
            <w:vAlign w:val="center"/>
            <w:hideMark/>
          </w:tcPr>
          <w:p w14:paraId="78CD6E7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279</w:t>
            </w:r>
          </w:p>
        </w:tc>
        <w:tc>
          <w:tcPr>
            <w:tcW w:w="9225" w:type="dxa"/>
            <w:tcBorders>
              <w:top w:val="nil"/>
              <w:left w:val="single" w:sz="4" w:space="0" w:color="auto"/>
              <w:bottom w:val="nil"/>
              <w:right w:val="single" w:sz="4" w:space="0" w:color="auto"/>
            </w:tcBorders>
            <w:shd w:val="clear" w:color="auto" w:fill="auto"/>
            <w:vAlign w:val="center"/>
            <w:hideMark/>
          </w:tcPr>
          <w:p w14:paraId="7C145DEA" w14:textId="6F2CD52F" w:rsidR="008B4713" w:rsidRPr="007C3701" w:rsidRDefault="006F31DB" w:rsidP="004E0087">
            <w:pPr>
              <w:spacing w:after="0" w:line="240" w:lineRule="auto"/>
              <w:rPr>
                <w:rFonts w:ascii="Calibri" w:eastAsia="Times New Roman" w:hAnsi="Calibri" w:cs="Calibri"/>
                <w:color w:val="000000"/>
                <w:lang w:eastAsia="en-GB"/>
              </w:rPr>
            </w:pPr>
            <w:r>
              <w:t xml:space="preserve">Chailey Heritage Foundation. Research. </w:t>
            </w:r>
            <w:hyperlink r:id="rId187" w:history="1">
              <w:r w:rsidR="003C2CE9" w:rsidRPr="000562AF">
                <w:rPr>
                  <w:rStyle w:val="Hyperlink"/>
                </w:rPr>
                <w:t>https://www.chf.org.uk/research-projects.html</w:t>
              </w:r>
            </w:hyperlink>
            <w:r w:rsidR="00600739">
              <w:t xml:space="preserve"> </w:t>
            </w:r>
            <w:r w:rsidR="00600739">
              <w:rPr>
                <w:rFonts w:ascii="Calibri" w:eastAsia="Times New Roman" w:hAnsi="Calibri" w:cs="Calibri"/>
                <w:color w:val="000000"/>
                <w:lang w:eastAsia="en-GB"/>
              </w:rPr>
              <w:t>(accessed 4 September 2019)</w:t>
            </w:r>
          </w:p>
        </w:tc>
      </w:tr>
      <w:tr w:rsidR="008B4713" w:rsidRPr="007C3701" w14:paraId="03E2CE28" w14:textId="77777777" w:rsidTr="006F3FFE">
        <w:trPr>
          <w:trHeight w:val="300"/>
        </w:trPr>
        <w:tc>
          <w:tcPr>
            <w:tcW w:w="551" w:type="dxa"/>
            <w:tcBorders>
              <w:top w:val="nil"/>
              <w:left w:val="single" w:sz="4" w:space="0" w:color="auto"/>
              <w:bottom w:val="nil"/>
              <w:right w:val="nil"/>
            </w:tcBorders>
            <w:shd w:val="clear" w:color="auto" w:fill="auto"/>
            <w:noWrap/>
            <w:vAlign w:val="center"/>
            <w:hideMark/>
          </w:tcPr>
          <w:p w14:paraId="7521A21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280</w:t>
            </w:r>
          </w:p>
        </w:tc>
        <w:tc>
          <w:tcPr>
            <w:tcW w:w="9225" w:type="dxa"/>
            <w:tcBorders>
              <w:top w:val="nil"/>
              <w:left w:val="single" w:sz="4" w:space="0" w:color="auto"/>
              <w:bottom w:val="nil"/>
              <w:right w:val="single" w:sz="4" w:space="0" w:color="auto"/>
            </w:tcBorders>
            <w:shd w:val="clear" w:color="auto" w:fill="auto"/>
            <w:vAlign w:val="center"/>
            <w:hideMark/>
          </w:tcPr>
          <w:p w14:paraId="26541CD5" w14:textId="25FB6F20" w:rsidR="008B4713" w:rsidRPr="007C3701" w:rsidRDefault="003C2CE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Saunders grants. </w:t>
            </w:r>
            <w:hyperlink r:id="rId188" w:history="1">
              <w:r>
                <w:rPr>
                  <w:rStyle w:val="Hyperlink"/>
                </w:rPr>
                <w:t>https://docs.google.com/document/d/1f5TyWbq7DmYm9Tr_EqGmfmcK_END12fhmht4b66tpR8/preview</w:t>
              </w:r>
            </w:hyperlink>
            <w:r w:rsidR="00600739">
              <w:t xml:space="preserve"> </w:t>
            </w:r>
            <w:r w:rsidR="00600739">
              <w:rPr>
                <w:rFonts w:ascii="Calibri" w:eastAsia="Times New Roman" w:hAnsi="Calibri" w:cs="Calibri"/>
                <w:color w:val="000000"/>
                <w:lang w:eastAsia="en-GB"/>
              </w:rPr>
              <w:t>(accessed 4 September 2019)</w:t>
            </w:r>
          </w:p>
        </w:tc>
      </w:tr>
      <w:tr w:rsidR="008B4713" w:rsidRPr="007C3701" w14:paraId="1FB512CD" w14:textId="77777777" w:rsidTr="006F3FFE">
        <w:trPr>
          <w:trHeight w:val="300"/>
        </w:trPr>
        <w:tc>
          <w:tcPr>
            <w:tcW w:w="551" w:type="dxa"/>
            <w:tcBorders>
              <w:top w:val="nil"/>
              <w:left w:val="single" w:sz="4" w:space="0" w:color="auto"/>
              <w:bottom w:val="nil"/>
              <w:right w:val="nil"/>
            </w:tcBorders>
            <w:shd w:val="clear" w:color="auto" w:fill="auto"/>
            <w:noWrap/>
            <w:vAlign w:val="center"/>
            <w:hideMark/>
          </w:tcPr>
          <w:p w14:paraId="2F0B7F8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281</w:t>
            </w:r>
          </w:p>
        </w:tc>
        <w:tc>
          <w:tcPr>
            <w:tcW w:w="9225" w:type="dxa"/>
            <w:tcBorders>
              <w:top w:val="nil"/>
              <w:left w:val="single" w:sz="4" w:space="0" w:color="auto"/>
              <w:bottom w:val="nil"/>
              <w:right w:val="single" w:sz="4" w:space="0" w:color="auto"/>
            </w:tcBorders>
            <w:shd w:val="clear" w:color="auto" w:fill="auto"/>
            <w:vAlign w:val="center"/>
            <w:hideMark/>
          </w:tcPr>
          <w:p w14:paraId="6728B503" w14:textId="39E2ECA0"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Industrial Robot</w:t>
            </w:r>
            <w:r w:rsidR="00DE1635">
              <w:rPr>
                <w:rFonts w:ascii="Calibri" w:eastAsia="Times New Roman" w:hAnsi="Calibri" w:cs="Calibri"/>
                <w:color w:val="000000"/>
                <w:lang w:eastAsia="en-GB"/>
              </w:rPr>
              <w:t xml:space="preserve"> (journal). </w:t>
            </w:r>
            <w:hyperlink r:id="rId189" w:history="1">
              <w:r w:rsidR="00DE1635" w:rsidRPr="000562AF">
                <w:rPr>
                  <w:rStyle w:val="Hyperlink"/>
                  <w:rFonts w:ascii="Calibri" w:eastAsia="Times New Roman" w:hAnsi="Calibri" w:cs="Calibri"/>
                  <w:lang w:eastAsia="en-GB"/>
                </w:rPr>
                <w:t>https://www.emerald.com/insight/publication/issn/0143-991x</w:t>
              </w:r>
            </w:hyperlink>
            <w:r w:rsidR="00DE1635">
              <w:rPr>
                <w:rFonts w:ascii="Calibri" w:eastAsia="Times New Roman" w:hAnsi="Calibri" w:cs="Calibri"/>
                <w:color w:val="000000"/>
                <w:lang w:eastAsia="en-GB"/>
              </w:rPr>
              <w:t xml:space="preserve"> </w:t>
            </w:r>
            <w:r w:rsidR="00600739">
              <w:rPr>
                <w:rFonts w:ascii="Calibri" w:eastAsia="Times New Roman" w:hAnsi="Calibri" w:cs="Calibri"/>
                <w:color w:val="000000"/>
                <w:lang w:eastAsia="en-GB"/>
              </w:rPr>
              <w:t>(accessed 4 September 2019)</w:t>
            </w:r>
          </w:p>
        </w:tc>
      </w:tr>
      <w:tr w:rsidR="008B4713" w:rsidRPr="007C3701" w14:paraId="70B815A2"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9F0CBB" w14:textId="77777777" w:rsidR="008B4713" w:rsidRPr="007C3701" w:rsidRDefault="008B4713" w:rsidP="004E0087">
            <w:pPr>
              <w:spacing w:after="0" w:line="240" w:lineRule="auto"/>
              <w:jc w:val="center"/>
              <w:rPr>
                <w:rFonts w:ascii="Calibri" w:eastAsia="Times New Roman" w:hAnsi="Calibri" w:cs="Calibri"/>
                <w:b/>
                <w:bCs/>
                <w:color w:val="000000"/>
                <w:lang w:eastAsia="en-GB"/>
              </w:rPr>
            </w:pPr>
            <w:r w:rsidRPr="007C3701">
              <w:rPr>
                <w:rFonts w:ascii="Calibri" w:eastAsia="Times New Roman" w:hAnsi="Calibri" w:cs="Calibri"/>
                <w:b/>
                <w:bCs/>
                <w:color w:val="000000"/>
                <w:lang w:eastAsia="en-GB"/>
              </w:rPr>
              <w:t>Unit of Assessment 13</w:t>
            </w:r>
          </w:p>
        </w:tc>
      </w:tr>
      <w:tr w:rsidR="008B4713" w:rsidRPr="007C3701" w14:paraId="77AD2B36"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6122CE6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282</w:t>
            </w:r>
          </w:p>
        </w:tc>
        <w:tc>
          <w:tcPr>
            <w:tcW w:w="9225" w:type="dxa"/>
            <w:tcBorders>
              <w:top w:val="nil"/>
              <w:left w:val="single" w:sz="4" w:space="0" w:color="auto"/>
              <w:bottom w:val="nil"/>
              <w:right w:val="single" w:sz="4" w:space="0" w:color="auto"/>
            </w:tcBorders>
            <w:shd w:val="clear" w:color="auto" w:fill="auto"/>
            <w:vAlign w:val="center"/>
            <w:hideMark/>
          </w:tcPr>
          <w:p w14:paraId="0F562A9B" w14:textId="519C9356" w:rsidR="008B4713" w:rsidRPr="007C3701" w:rsidRDefault="00D32FE2"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Cambridge (2014). </w:t>
            </w:r>
            <w:r w:rsidR="008B4713" w:rsidRPr="007C3701">
              <w:rPr>
                <w:rFonts w:ascii="Calibri" w:eastAsia="Times New Roman" w:hAnsi="Calibri" w:cs="Calibri"/>
                <w:color w:val="000000"/>
                <w:lang w:eastAsia="en-GB"/>
              </w:rPr>
              <w:t>REF2014 Impact Template</w:t>
            </w:r>
            <w:r>
              <w:rPr>
                <w:rFonts w:ascii="Calibri" w:eastAsia="Times New Roman" w:hAnsi="Calibri" w:cs="Calibri"/>
                <w:color w:val="000000"/>
                <w:lang w:eastAsia="en-GB"/>
              </w:rPr>
              <w:t xml:space="preserve">. </w:t>
            </w:r>
            <w:hyperlink r:id="rId190" w:history="1">
              <w:r>
                <w:rPr>
                  <w:rStyle w:val="Hyperlink"/>
                </w:rPr>
                <w:t>https://results.ref.ac.uk/(S(5mhsdcrlek45dkop3v4uw5gx))/Submissions/Impact/517</w:t>
              </w:r>
            </w:hyperlink>
          </w:p>
        </w:tc>
      </w:tr>
      <w:tr w:rsidR="008B4713" w:rsidRPr="007C3701" w14:paraId="7F62F606"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495FAB9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283</w:t>
            </w:r>
          </w:p>
        </w:tc>
        <w:tc>
          <w:tcPr>
            <w:tcW w:w="9225" w:type="dxa"/>
            <w:tcBorders>
              <w:top w:val="nil"/>
              <w:left w:val="single" w:sz="4" w:space="0" w:color="auto"/>
              <w:bottom w:val="nil"/>
              <w:right w:val="single" w:sz="4" w:space="0" w:color="auto"/>
            </w:tcBorders>
            <w:shd w:val="clear" w:color="auto" w:fill="auto"/>
            <w:vAlign w:val="center"/>
            <w:hideMark/>
          </w:tcPr>
          <w:p w14:paraId="76463B6F" w14:textId="7ECD2294" w:rsidR="008B4713" w:rsidRPr="007C3701" w:rsidRDefault="00D32FE2"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Cambridge (2014). </w:t>
            </w:r>
            <w:r w:rsidR="008B4713" w:rsidRPr="007C3701">
              <w:rPr>
                <w:rFonts w:ascii="Calibri" w:eastAsia="Times New Roman" w:hAnsi="Calibri" w:cs="Calibri"/>
                <w:color w:val="000000"/>
                <w:lang w:eastAsia="en-GB"/>
              </w:rPr>
              <w:t>REF2014 Environment Template</w:t>
            </w:r>
            <w:r>
              <w:rPr>
                <w:rFonts w:ascii="Calibri" w:eastAsia="Times New Roman" w:hAnsi="Calibri" w:cs="Calibri"/>
                <w:color w:val="000000"/>
                <w:lang w:eastAsia="en-GB"/>
              </w:rPr>
              <w:t xml:space="preserve">. </w:t>
            </w:r>
            <w:hyperlink r:id="rId191" w:history="1">
              <w:r>
                <w:rPr>
                  <w:rStyle w:val="Hyperlink"/>
                </w:rPr>
                <w:t>https://results.ref.ac.uk/(S(5mhsdcrlek45dkop3v4uw5gx))/Submissions/Environment/517</w:t>
              </w:r>
            </w:hyperlink>
          </w:p>
        </w:tc>
      </w:tr>
      <w:tr w:rsidR="008B4713" w:rsidRPr="007C3701" w14:paraId="44AEF0B1" w14:textId="77777777" w:rsidTr="0020198E">
        <w:trPr>
          <w:trHeight w:val="300"/>
        </w:trPr>
        <w:tc>
          <w:tcPr>
            <w:tcW w:w="551" w:type="dxa"/>
            <w:tcBorders>
              <w:top w:val="nil"/>
              <w:left w:val="single" w:sz="4" w:space="0" w:color="auto"/>
              <w:bottom w:val="nil"/>
              <w:right w:val="nil"/>
            </w:tcBorders>
            <w:shd w:val="clear" w:color="auto" w:fill="auto"/>
            <w:noWrap/>
            <w:vAlign w:val="center"/>
            <w:hideMark/>
          </w:tcPr>
          <w:p w14:paraId="1285492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284</w:t>
            </w:r>
          </w:p>
        </w:tc>
        <w:tc>
          <w:tcPr>
            <w:tcW w:w="9225" w:type="dxa"/>
            <w:tcBorders>
              <w:top w:val="nil"/>
              <w:left w:val="single" w:sz="4" w:space="0" w:color="auto"/>
              <w:bottom w:val="nil"/>
              <w:right w:val="single" w:sz="4" w:space="0" w:color="auto"/>
            </w:tcBorders>
            <w:shd w:val="clear" w:color="auto" w:fill="auto"/>
            <w:vAlign w:val="center"/>
            <w:hideMark/>
          </w:tcPr>
          <w:p w14:paraId="1E552D13" w14:textId="1EB48DE4" w:rsidR="008B4713" w:rsidRPr="007C3701" w:rsidRDefault="00DE1635"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Cambridge. Department of Materials Science and Metallurgy. </w:t>
            </w:r>
            <w:hyperlink r:id="rId192" w:history="1">
              <w:r w:rsidRPr="000562AF">
                <w:rPr>
                  <w:rStyle w:val="Hyperlink"/>
                  <w:rFonts w:ascii="Calibri" w:eastAsia="Times New Roman" w:hAnsi="Calibri" w:cs="Calibri"/>
                  <w:lang w:eastAsia="en-GB"/>
                </w:rPr>
                <w:t>https://www.msm.cam.ac.uk/</w:t>
              </w:r>
            </w:hyperlink>
            <w:r>
              <w:rPr>
                <w:rFonts w:ascii="Calibri" w:eastAsia="Times New Roman" w:hAnsi="Calibri" w:cs="Calibri"/>
                <w:color w:val="000000"/>
                <w:lang w:eastAsia="en-GB"/>
              </w:rPr>
              <w:t xml:space="preserve"> </w:t>
            </w:r>
          </w:p>
        </w:tc>
      </w:tr>
      <w:tr w:rsidR="008B4713" w:rsidRPr="007C3701" w14:paraId="7666B885" w14:textId="77777777" w:rsidTr="005C33AE">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49863"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13.1</w:t>
            </w:r>
          </w:p>
        </w:tc>
      </w:tr>
      <w:tr w:rsidR="008B4713" w:rsidRPr="007C3701" w14:paraId="20FBE28D"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5DC1CD1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285</w:t>
            </w:r>
          </w:p>
        </w:tc>
        <w:tc>
          <w:tcPr>
            <w:tcW w:w="9225" w:type="dxa"/>
            <w:tcBorders>
              <w:top w:val="nil"/>
              <w:left w:val="single" w:sz="4" w:space="0" w:color="auto"/>
              <w:bottom w:val="nil"/>
              <w:right w:val="single" w:sz="4" w:space="0" w:color="auto"/>
            </w:tcBorders>
            <w:shd w:val="clear" w:color="auto" w:fill="auto"/>
            <w:vAlign w:val="center"/>
            <w:hideMark/>
          </w:tcPr>
          <w:p w14:paraId="6EE6A2AE" w14:textId="0FB41CB4" w:rsidR="008B4713" w:rsidRPr="007C3701" w:rsidRDefault="00D32FE2"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Cambridge (2014). </w:t>
            </w:r>
            <w:r w:rsidR="008B4713" w:rsidRPr="007C3701">
              <w:rPr>
                <w:rFonts w:ascii="Calibri" w:eastAsia="Times New Roman" w:hAnsi="Calibri" w:cs="Calibri"/>
                <w:color w:val="000000"/>
                <w:lang w:eastAsia="en-GB"/>
              </w:rPr>
              <w:t>REF Impact Case Study no. 24686</w:t>
            </w:r>
            <w:r>
              <w:rPr>
                <w:rFonts w:ascii="Calibri" w:eastAsia="Times New Roman" w:hAnsi="Calibri" w:cs="Calibri"/>
                <w:color w:val="000000"/>
                <w:lang w:eastAsia="en-GB"/>
              </w:rPr>
              <w:t xml:space="preserve">. </w:t>
            </w:r>
            <w:hyperlink r:id="rId193" w:history="1">
              <w:r>
                <w:rPr>
                  <w:rStyle w:val="Hyperlink"/>
                </w:rPr>
                <w:t>https://results.ref.ac.uk/(S(5mhsdcrlek45dkop3v4uw5gx))/Submissions/Impact/517</w:t>
              </w:r>
            </w:hyperlink>
          </w:p>
        </w:tc>
      </w:tr>
      <w:tr w:rsidR="008B4713" w:rsidRPr="007C3701" w14:paraId="71451533"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7A2F001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286</w:t>
            </w:r>
          </w:p>
        </w:tc>
        <w:tc>
          <w:tcPr>
            <w:tcW w:w="9225" w:type="dxa"/>
            <w:tcBorders>
              <w:top w:val="nil"/>
              <w:left w:val="single" w:sz="4" w:space="0" w:color="auto"/>
              <w:bottom w:val="nil"/>
              <w:right w:val="single" w:sz="4" w:space="0" w:color="auto"/>
            </w:tcBorders>
            <w:shd w:val="clear" w:color="auto" w:fill="auto"/>
            <w:vAlign w:val="center"/>
            <w:hideMark/>
          </w:tcPr>
          <w:p w14:paraId="7822FCB1"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J Mawella, FG Cabellero &amp; HKDH Bhadeshia: ‘Bainitic steel’, World patent WO0111096</w:t>
            </w:r>
          </w:p>
        </w:tc>
      </w:tr>
      <w:tr w:rsidR="008B4713" w:rsidRPr="007C3701" w14:paraId="3452F12F"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024B2BF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287</w:t>
            </w:r>
          </w:p>
        </w:tc>
        <w:tc>
          <w:tcPr>
            <w:tcW w:w="9225" w:type="dxa"/>
            <w:tcBorders>
              <w:top w:val="nil"/>
              <w:left w:val="single" w:sz="4" w:space="0" w:color="auto"/>
              <w:bottom w:val="nil"/>
              <w:right w:val="single" w:sz="4" w:space="0" w:color="auto"/>
            </w:tcBorders>
            <w:shd w:val="clear" w:color="auto" w:fill="auto"/>
            <w:vAlign w:val="center"/>
            <w:hideMark/>
          </w:tcPr>
          <w:p w14:paraId="18E2152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FG Caballero, HKDH Bhadeshia, KJA Mawella, DG Jones &amp; P Brown: Very strong low-temperature bainite, Materials Science and Technology 18 (2002) 279; DOI: 10.1179/026708301225000725 [148 citations as of October 2013]</w:t>
            </w:r>
          </w:p>
        </w:tc>
      </w:tr>
      <w:tr w:rsidR="008B4713" w:rsidRPr="007C3701" w14:paraId="2002C33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6CFB6B6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288</w:t>
            </w:r>
          </w:p>
        </w:tc>
        <w:tc>
          <w:tcPr>
            <w:tcW w:w="9225" w:type="dxa"/>
            <w:tcBorders>
              <w:top w:val="nil"/>
              <w:left w:val="single" w:sz="4" w:space="0" w:color="auto"/>
              <w:bottom w:val="nil"/>
              <w:right w:val="single" w:sz="4" w:space="0" w:color="auto"/>
            </w:tcBorders>
            <w:shd w:val="clear" w:color="auto" w:fill="auto"/>
            <w:vAlign w:val="center"/>
            <w:hideMark/>
          </w:tcPr>
          <w:p w14:paraId="0453DAEF"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C Garcia-Mateo, FG Caballero &amp; HKDH Bhadeshia: Development of hard bainite, ISIJ International 43 (2003) 1238; DOI: 10.2355/isijinternational.43.1238 [96 citations]</w:t>
            </w:r>
          </w:p>
        </w:tc>
      </w:tr>
      <w:tr w:rsidR="008B4713" w:rsidRPr="007C3701" w14:paraId="2963D5FB"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2506E36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289</w:t>
            </w:r>
          </w:p>
        </w:tc>
        <w:tc>
          <w:tcPr>
            <w:tcW w:w="9225" w:type="dxa"/>
            <w:tcBorders>
              <w:top w:val="nil"/>
              <w:left w:val="single" w:sz="4" w:space="0" w:color="auto"/>
              <w:bottom w:val="nil"/>
              <w:right w:val="single" w:sz="4" w:space="0" w:color="auto"/>
            </w:tcBorders>
            <w:shd w:val="clear" w:color="auto" w:fill="auto"/>
            <w:vAlign w:val="center"/>
            <w:hideMark/>
          </w:tcPr>
          <w:p w14:paraId="144EAD87"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C Garcia-Mateo, FG Caballero &amp; HKDH Bhadeshia: Acceleration of low-temperature bainite, ISIJ International 43 (2003) 1821; DOI: 10.2355/isijinternational.43.1821 [108 citations]</w:t>
            </w:r>
          </w:p>
        </w:tc>
      </w:tr>
      <w:tr w:rsidR="008B4713" w:rsidRPr="007C3701" w14:paraId="4427807B"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7614D20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290</w:t>
            </w:r>
          </w:p>
        </w:tc>
        <w:tc>
          <w:tcPr>
            <w:tcW w:w="9225" w:type="dxa"/>
            <w:tcBorders>
              <w:top w:val="nil"/>
              <w:left w:val="single" w:sz="4" w:space="0" w:color="auto"/>
              <w:bottom w:val="nil"/>
              <w:right w:val="single" w:sz="4" w:space="0" w:color="auto"/>
            </w:tcBorders>
            <w:shd w:val="clear" w:color="auto" w:fill="auto"/>
            <w:vAlign w:val="center"/>
            <w:hideMark/>
          </w:tcPr>
          <w:p w14:paraId="17CA3A33"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HKDH Bhadeshia, C Garcia-Mateo &amp; P Brown: ‘Bainite steel and methods of manufacture thereof’, World patent WO/2010/013054, GB2462197, US 2011/0126946 A1</w:t>
            </w:r>
          </w:p>
        </w:tc>
      </w:tr>
      <w:tr w:rsidR="008B4713" w:rsidRPr="007C3701" w14:paraId="3E041273"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A78D33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291</w:t>
            </w:r>
          </w:p>
        </w:tc>
        <w:tc>
          <w:tcPr>
            <w:tcW w:w="9225" w:type="dxa"/>
            <w:tcBorders>
              <w:top w:val="nil"/>
              <w:left w:val="single" w:sz="4" w:space="0" w:color="auto"/>
              <w:bottom w:val="nil"/>
              <w:right w:val="single" w:sz="4" w:space="0" w:color="auto"/>
            </w:tcBorders>
            <w:shd w:val="clear" w:color="auto" w:fill="auto"/>
            <w:vAlign w:val="center"/>
            <w:hideMark/>
          </w:tcPr>
          <w:p w14:paraId="484C9BD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Tata Steel Patent Pending: ‘Super Bainite steel and method for manufacturing it’ (to be assigned to MoD/Ploughshare Innovations), application 10009375.6, 9th Sept. 2010.</w:t>
            </w:r>
          </w:p>
        </w:tc>
      </w:tr>
      <w:tr w:rsidR="008B4713" w:rsidRPr="007C3701" w14:paraId="74A360AD"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D44A33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292</w:t>
            </w:r>
          </w:p>
        </w:tc>
        <w:tc>
          <w:tcPr>
            <w:tcW w:w="9225" w:type="dxa"/>
            <w:tcBorders>
              <w:top w:val="nil"/>
              <w:left w:val="single" w:sz="4" w:space="0" w:color="auto"/>
              <w:bottom w:val="nil"/>
              <w:right w:val="single" w:sz="4" w:space="0" w:color="auto"/>
            </w:tcBorders>
            <w:shd w:val="clear" w:color="auto" w:fill="auto"/>
            <w:vAlign w:val="center"/>
            <w:hideMark/>
          </w:tcPr>
          <w:p w14:paraId="0D363BD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HKDH Bhadeshia: The first bulk nanostructured metal, Science and Technology of Advanced Materials 14 (2013) 014202; DOI: 10.1088/1468-6996/14/1/014202</w:t>
            </w:r>
          </w:p>
        </w:tc>
      </w:tr>
      <w:tr w:rsidR="008B4713" w:rsidRPr="007C3701" w14:paraId="29AC4DCA" w14:textId="77777777" w:rsidTr="00532CCA">
        <w:trPr>
          <w:trHeight w:val="300"/>
        </w:trPr>
        <w:tc>
          <w:tcPr>
            <w:tcW w:w="551" w:type="dxa"/>
            <w:tcBorders>
              <w:top w:val="nil"/>
              <w:left w:val="single" w:sz="4" w:space="0" w:color="auto"/>
              <w:bottom w:val="nil"/>
              <w:right w:val="nil"/>
            </w:tcBorders>
            <w:shd w:val="clear" w:color="auto" w:fill="auto"/>
            <w:noWrap/>
            <w:vAlign w:val="center"/>
            <w:hideMark/>
          </w:tcPr>
          <w:p w14:paraId="3AC0D36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293</w:t>
            </w:r>
          </w:p>
        </w:tc>
        <w:tc>
          <w:tcPr>
            <w:tcW w:w="9225" w:type="dxa"/>
            <w:tcBorders>
              <w:top w:val="nil"/>
              <w:left w:val="single" w:sz="4" w:space="0" w:color="auto"/>
              <w:bottom w:val="nil"/>
              <w:right w:val="single" w:sz="4" w:space="0" w:color="auto"/>
            </w:tcBorders>
            <w:shd w:val="clear" w:color="auto" w:fill="auto"/>
            <w:vAlign w:val="center"/>
            <w:hideMark/>
          </w:tcPr>
          <w:p w14:paraId="127B9268" w14:textId="0BBDD3B3"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Science and Technology of Advanced </w:t>
            </w:r>
            <w:r w:rsidR="00A13AE8">
              <w:rPr>
                <w:rFonts w:ascii="Calibri" w:eastAsia="Times New Roman" w:hAnsi="Calibri" w:cs="Calibri"/>
                <w:color w:val="000000"/>
                <w:lang w:eastAsia="en-GB"/>
              </w:rPr>
              <w:t xml:space="preserve">Materials (journal). </w:t>
            </w:r>
            <w:hyperlink r:id="rId194" w:history="1">
              <w:r w:rsidR="00601CFE" w:rsidRPr="000562AF">
                <w:rPr>
                  <w:rStyle w:val="Hyperlink"/>
                  <w:rFonts w:ascii="Calibri" w:eastAsia="Times New Roman" w:hAnsi="Calibri" w:cs="Calibri"/>
                  <w:lang w:eastAsia="en-GB"/>
                </w:rPr>
                <w:t>https://iopscience.iop.org/journal/1468-6996</w:t>
              </w:r>
            </w:hyperlink>
            <w:r w:rsidR="00601CFE">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0E398D17" w14:textId="77777777" w:rsidTr="00532CCA">
        <w:trPr>
          <w:trHeight w:val="300"/>
        </w:trPr>
        <w:tc>
          <w:tcPr>
            <w:tcW w:w="551" w:type="dxa"/>
            <w:tcBorders>
              <w:top w:val="nil"/>
              <w:left w:val="single" w:sz="4" w:space="0" w:color="auto"/>
              <w:bottom w:val="nil"/>
              <w:right w:val="nil"/>
            </w:tcBorders>
            <w:shd w:val="clear" w:color="auto" w:fill="auto"/>
            <w:noWrap/>
            <w:vAlign w:val="center"/>
            <w:hideMark/>
          </w:tcPr>
          <w:p w14:paraId="5231061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294</w:t>
            </w:r>
          </w:p>
        </w:tc>
        <w:tc>
          <w:tcPr>
            <w:tcW w:w="9225" w:type="dxa"/>
            <w:tcBorders>
              <w:top w:val="nil"/>
              <w:left w:val="single" w:sz="4" w:space="0" w:color="auto"/>
              <w:bottom w:val="nil"/>
              <w:right w:val="single" w:sz="4" w:space="0" w:color="auto"/>
            </w:tcBorders>
            <w:shd w:val="clear" w:color="auto" w:fill="auto"/>
            <w:vAlign w:val="center"/>
            <w:hideMark/>
          </w:tcPr>
          <w:p w14:paraId="3DC373AD" w14:textId="0C6F373F"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ISIJ International </w:t>
            </w:r>
            <w:r w:rsidR="00A13AE8">
              <w:rPr>
                <w:rFonts w:ascii="Calibri" w:eastAsia="Times New Roman" w:hAnsi="Calibri" w:cs="Calibri"/>
                <w:color w:val="000000"/>
                <w:lang w:eastAsia="en-GB"/>
              </w:rPr>
              <w:t>(</w:t>
            </w:r>
            <w:r w:rsidRPr="007C3701">
              <w:rPr>
                <w:rFonts w:ascii="Calibri" w:eastAsia="Times New Roman" w:hAnsi="Calibri" w:cs="Calibri"/>
                <w:color w:val="000000"/>
                <w:lang w:eastAsia="en-GB"/>
              </w:rPr>
              <w:t>journal</w:t>
            </w:r>
            <w:r w:rsidR="00A13AE8">
              <w:rPr>
                <w:rFonts w:ascii="Calibri" w:eastAsia="Times New Roman" w:hAnsi="Calibri" w:cs="Calibri"/>
                <w:color w:val="000000"/>
                <w:lang w:eastAsia="en-GB"/>
              </w:rPr>
              <w:t xml:space="preserve">). </w:t>
            </w:r>
            <w:hyperlink r:id="rId195" w:history="1">
              <w:r w:rsidR="00A13AE8" w:rsidRPr="000562AF">
                <w:rPr>
                  <w:rStyle w:val="Hyperlink"/>
                  <w:rFonts w:ascii="Calibri" w:eastAsia="Times New Roman" w:hAnsi="Calibri" w:cs="Calibri"/>
                  <w:lang w:eastAsia="en-GB"/>
                </w:rPr>
                <w:t>https://www.jstage.jst.go.jp/browse/isijinternational</w:t>
              </w:r>
            </w:hyperlink>
            <w:r w:rsidR="00A13AE8">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01ABFE6B" w14:textId="77777777" w:rsidTr="00532CCA">
        <w:trPr>
          <w:trHeight w:val="300"/>
        </w:trPr>
        <w:tc>
          <w:tcPr>
            <w:tcW w:w="551" w:type="dxa"/>
            <w:tcBorders>
              <w:top w:val="nil"/>
              <w:left w:val="single" w:sz="4" w:space="0" w:color="auto"/>
              <w:bottom w:val="nil"/>
              <w:right w:val="nil"/>
            </w:tcBorders>
            <w:shd w:val="clear" w:color="auto" w:fill="auto"/>
            <w:noWrap/>
            <w:vAlign w:val="center"/>
            <w:hideMark/>
          </w:tcPr>
          <w:p w14:paraId="50E66BA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295</w:t>
            </w:r>
          </w:p>
        </w:tc>
        <w:tc>
          <w:tcPr>
            <w:tcW w:w="9225" w:type="dxa"/>
            <w:tcBorders>
              <w:top w:val="nil"/>
              <w:left w:val="single" w:sz="4" w:space="0" w:color="auto"/>
              <w:bottom w:val="nil"/>
              <w:right w:val="single" w:sz="4" w:space="0" w:color="auto"/>
            </w:tcBorders>
            <w:shd w:val="clear" w:color="auto" w:fill="auto"/>
            <w:vAlign w:val="center"/>
            <w:hideMark/>
          </w:tcPr>
          <w:p w14:paraId="32BC6CF0" w14:textId="21A72EBA"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Materials Science and Technology </w:t>
            </w:r>
            <w:r w:rsidR="00601CFE">
              <w:rPr>
                <w:rFonts w:ascii="Calibri" w:eastAsia="Times New Roman" w:hAnsi="Calibri" w:cs="Calibri"/>
                <w:color w:val="000000"/>
                <w:lang w:eastAsia="en-GB"/>
              </w:rPr>
              <w:t xml:space="preserve">(journal). </w:t>
            </w:r>
            <w:hyperlink r:id="rId196" w:history="1">
              <w:r w:rsidR="00601CFE" w:rsidRPr="000562AF">
                <w:rPr>
                  <w:rStyle w:val="Hyperlink"/>
                  <w:rFonts w:ascii="Calibri" w:eastAsia="Times New Roman" w:hAnsi="Calibri" w:cs="Calibri"/>
                  <w:lang w:eastAsia="en-GB"/>
                </w:rPr>
                <w:t>https://www.tandfonline.com/loi/ymst20</w:t>
              </w:r>
            </w:hyperlink>
            <w:r w:rsidR="00601CFE">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565AF433" w14:textId="77777777" w:rsidTr="00532CCA">
        <w:trPr>
          <w:trHeight w:val="300"/>
        </w:trPr>
        <w:tc>
          <w:tcPr>
            <w:tcW w:w="551" w:type="dxa"/>
            <w:tcBorders>
              <w:top w:val="nil"/>
              <w:left w:val="single" w:sz="4" w:space="0" w:color="auto"/>
              <w:bottom w:val="nil"/>
              <w:right w:val="nil"/>
            </w:tcBorders>
            <w:shd w:val="clear" w:color="auto" w:fill="auto"/>
            <w:noWrap/>
            <w:vAlign w:val="center"/>
            <w:hideMark/>
          </w:tcPr>
          <w:p w14:paraId="3E4C106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296</w:t>
            </w:r>
          </w:p>
        </w:tc>
        <w:tc>
          <w:tcPr>
            <w:tcW w:w="9225" w:type="dxa"/>
            <w:tcBorders>
              <w:top w:val="nil"/>
              <w:left w:val="single" w:sz="4" w:space="0" w:color="auto"/>
              <w:bottom w:val="nil"/>
              <w:right w:val="single" w:sz="4" w:space="0" w:color="auto"/>
            </w:tcBorders>
            <w:shd w:val="clear" w:color="auto" w:fill="auto"/>
            <w:vAlign w:val="center"/>
            <w:hideMark/>
          </w:tcPr>
          <w:p w14:paraId="071F49B2" w14:textId="25B849F2" w:rsidR="008B4713" w:rsidRPr="007C3701" w:rsidRDefault="00A56355" w:rsidP="004E0087">
            <w:pPr>
              <w:spacing w:after="0" w:line="240" w:lineRule="auto"/>
              <w:rPr>
                <w:rFonts w:ascii="Calibri" w:eastAsia="Times New Roman" w:hAnsi="Calibri" w:cs="Calibri"/>
                <w:color w:val="000000"/>
                <w:lang w:eastAsia="en-GB"/>
              </w:rPr>
            </w:pPr>
            <w:hyperlink r:id="rId197" w:history="1">
              <w:r w:rsidR="00601CFE" w:rsidRPr="000562AF">
                <w:rPr>
                  <w:rStyle w:val="Hyperlink"/>
                  <w:rFonts w:ascii="Calibri" w:eastAsia="Times New Roman" w:hAnsi="Calibri" w:cs="Calibri"/>
                  <w:lang w:eastAsia="en-GB"/>
                </w:rPr>
                <w:t>https://gow.epsrc.ukri.org/NGBOViewGrant.aspx?GrantRef=GR/N14620/01</w:t>
              </w:r>
            </w:hyperlink>
            <w:r w:rsidR="00601CFE">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2C8ECE36" w14:textId="77777777" w:rsidTr="00532CCA">
        <w:trPr>
          <w:trHeight w:val="300"/>
        </w:trPr>
        <w:tc>
          <w:tcPr>
            <w:tcW w:w="551" w:type="dxa"/>
            <w:tcBorders>
              <w:top w:val="nil"/>
              <w:left w:val="single" w:sz="4" w:space="0" w:color="auto"/>
              <w:bottom w:val="nil"/>
              <w:right w:val="nil"/>
            </w:tcBorders>
            <w:shd w:val="clear" w:color="auto" w:fill="auto"/>
            <w:noWrap/>
            <w:vAlign w:val="center"/>
            <w:hideMark/>
          </w:tcPr>
          <w:p w14:paraId="7A572DC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297</w:t>
            </w:r>
          </w:p>
        </w:tc>
        <w:tc>
          <w:tcPr>
            <w:tcW w:w="9225" w:type="dxa"/>
            <w:tcBorders>
              <w:top w:val="nil"/>
              <w:left w:val="single" w:sz="4" w:space="0" w:color="auto"/>
              <w:bottom w:val="nil"/>
              <w:right w:val="single" w:sz="4" w:space="0" w:color="auto"/>
            </w:tcBorders>
            <w:shd w:val="clear" w:color="auto" w:fill="auto"/>
            <w:vAlign w:val="center"/>
            <w:hideMark/>
          </w:tcPr>
          <w:p w14:paraId="7D832E29" w14:textId="29F9A17B" w:rsidR="008B4713" w:rsidRPr="007C3701" w:rsidRDefault="003F4409"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Bhadesia EPSRC grants. </w:t>
            </w:r>
            <w:hyperlink r:id="rId198" w:history="1">
              <w:r>
                <w:rPr>
                  <w:rStyle w:val="Hyperlink"/>
                </w:rPr>
                <w:t>https://gow.epsrc.ukri.org/NGBOViewPerson.aspx?PersonId=1352</w:t>
              </w:r>
            </w:hyperlink>
            <w:r>
              <w:t xml:space="preserve"> </w:t>
            </w:r>
            <w:r w:rsidR="00532CCA">
              <w:rPr>
                <w:rFonts w:ascii="Calibri" w:eastAsia="Times New Roman" w:hAnsi="Calibri" w:cs="Calibri"/>
                <w:color w:val="000000"/>
                <w:lang w:eastAsia="en-GB"/>
              </w:rPr>
              <w:t>(accessed 4 September 2019)</w:t>
            </w:r>
          </w:p>
        </w:tc>
      </w:tr>
      <w:tr w:rsidR="008B4713" w:rsidRPr="007C3701" w14:paraId="48BE9241" w14:textId="77777777" w:rsidTr="00532CCA">
        <w:trPr>
          <w:trHeight w:val="300"/>
        </w:trPr>
        <w:tc>
          <w:tcPr>
            <w:tcW w:w="551" w:type="dxa"/>
            <w:tcBorders>
              <w:top w:val="nil"/>
              <w:left w:val="single" w:sz="4" w:space="0" w:color="auto"/>
              <w:bottom w:val="nil"/>
              <w:right w:val="nil"/>
            </w:tcBorders>
            <w:shd w:val="clear" w:color="auto" w:fill="auto"/>
            <w:noWrap/>
            <w:vAlign w:val="center"/>
            <w:hideMark/>
          </w:tcPr>
          <w:p w14:paraId="7D89B61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298</w:t>
            </w:r>
          </w:p>
        </w:tc>
        <w:tc>
          <w:tcPr>
            <w:tcW w:w="9225" w:type="dxa"/>
            <w:tcBorders>
              <w:top w:val="nil"/>
              <w:left w:val="single" w:sz="4" w:space="0" w:color="auto"/>
              <w:bottom w:val="nil"/>
              <w:right w:val="single" w:sz="4" w:space="0" w:color="auto"/>
            </w:tcBorders>
            <w:shd w:val="clear" w:color="auto" w:fill="auto"/>
            <w:vAlign w:val="center"/>
            <w:hideMark/>
          </w:tcPr>
          <w:p w14:paraId="271AC32E" w14:textId="68B4B9FB"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QinetiQ Ltd</w:t>
            </w:r>
            <w:r w:rsidR="003F4409">
              <w:rPr>
                <w:rFonts w:ascii="Calibri" w:eastAsia="Times New Roman" w:hAnsi="Calibri" w:cs="Calibri"/>
                <w:color w:val="000000"/>
                <w:lang w:eastAsia="en-GB"/>
              </w:rPr>
              <w:t xml:space="preserve">. </w:t>
            </w:r>
            <w:hyperlink r:id="rId199" w:history="1">
              <w:r w:rsidR="003F4409" w:rsidRPr="000562AF">
                <w:rPr>
                  <w:rStyle w:val="Hyperlink"/>
                  <w:rFonts w:ascii="Calibri" w:eastAsia="Times New Roman" w:hAnsi="Calibri" w:cs="Calibri"/>
                  <w:lang w:eastAsia="en-GB"/>
                </w:rPr>
                <w:t>https://www.qinetiq.com/about-us/our-history</w:t>
              </w:r>
            </w:hyperlink>
            <w:r w:rsidR="003F4409">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08F9DE65"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FD9996"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13.2</w:t>
            </w:r>
          </w:p>
        </w:tc>
      </w:tr>
      <w:tr w:rsidR="008B4713" w:rsidRPr="007C3701" w14:paraId="2CE274BC"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74D5866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299</w:t>
            </w:r>
          </w:p>
        </w:tc>
        <w:tc>
          <w:tcPr>
            <w:tcW w:w="9225" w:type="dxa"/>
            <w:tcBorders>
              <w:top w:val="nil"/>
              <w:left w:val="single" w:sz="4" w:space="0" w:color="auto"/>
              <w:bottom w:val="nil"/>
              <w:right w:val="single" w:sz="4" w:space="0" w:color="auto"/>
            </w:tcBorders>
            <w:shd w:val="clear" w:color="auto" w:fill="auto"/>
            <w:vAlign w:val="center"/>
            <w:hideMark/>
          </w:tcPr>
          <w:p w14:paraId="3E931D93" w14:textId="784FCB44" w:rsidR="008B4713" w:rsidRPr="007C3701" w:rsidRDefault="00D32FE2"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Cambridge (2014). </w:t>
            </w:r>
            <w:r w:rsidR="008B4713" w:rsidRPr="007C3701">
              <w:rPr>
                <w:rFonts w:ascii="Calibri" w:eastAsia="Times New Roman" w:hAnsi="Calibri" w:cs="Calibri"/>
                <w:color w:val="000000"/>
                <w:lang w:eastAsia="en-GB"/>
              </w:rPr>
              <w:t>REF Impact Case Study no. 24683</w:t>
            </w:r>
            <w:r>
              <w:rPr>
                <w:rFonts w:ascii="Calibri" w:eastAsia="Times New Roman" w:hAnsi="Calibri" w:cs="Calibri"/>
                <w:color w:val="000000"/>
                <w:lang w:eastAsia="en-GB"/>
              </w:rPr>
              <w:t xml:space="preserve">. </w:t>
            </w:r>
            <w:hyperlink r:id="rId200" w:history="1">
              <w:r>
                <w:rPr>
                  <w:rStyle w:val="Hyperlink"/>
                </w:rPr>
                <w:t>https://results.ref.ac.uk/(S(5mhsdcrlek45dkop3v4uw5gx))/Submissions/Impact/517</w:t>
              </w:r>
            </w:hyperlink>
          </w:p>
        </w:tc>
      </w:tr>
      <w:tr w:rsidR="008B4713" w:rsidRPr="007C3701" w14:paraId="606F9B32"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6A50C1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300</w:t>
            </w:r>
          </w:p>
        </w:tc>
        <w:tc>
          <w:tcPr>
            <w:tcW w:w="9225" w:type="dxa"/>
            <w:tcBorders>
              <w:top w:val="nil"/>
              <w:left w:val="single" w:sz="4" w:space="0" w:color="auto"/>
              <w:bottom w:val="nil"/>
              <w:right w:val="single" w:sz="4" w:space="0" w:color="auto"/>
            </w:tcBorders>
            <w:shd w:val="clear" w:color="auto" w:fill="auto"/>
            <w:vAlign w:val="center"/>
            <w:hideMark/>
          </w:tcPr>
          <w:p w14:paraId="04CDA640"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FWH Dean &amp; DJ Fray: A low temperature hydrogen in steel potentiometric sensor, Solid State Ionics, 70–71 (1994) 584; DOI: 10.1016/0167-2738(94)90377-8</w:t>
            </w:r>
          </w:p>
        </w:tc>
      </w:tr>
      <w:tr w:rsidR="008B4713" w:rsidRPr="007C3701" w14:paraId="6DD0DDEC"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4A1C4F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301</w:t>
            </w:r>
          </w:p>
        </w:tc>
        <w:tc>
          <w:tcPr>
            <w:tcW w:w="9225" w:type="dxa"/>
            <w:tcBorders>
              <w:top w:val="nil"/>
              <w:left w:val="single" w:sz="4" w:space="0" w:color="auto"/>
              <w:bottom w:val="nil"/>
              <w:right w:val="single" w:sz="4" w:space="0" w:color="auto"/>
            </w:tcBorders>
            <w:shd w:val="clear" w:color="auto" w:fill="auto"/>
            <w:vAlign w:val="center"/>
            <w:hideMark/>
          </w:tcPr>
          <w:p w14:paraId="3D0E6F4E"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 Tailoka &amp; DJ Fray: Enhancement of mass-transfer using microporous sparger materials, Trans Inst Mining Metal 102 (1993) C1.</w:t>
            </w:r>
          </w:p>
        </w:tc>
      </w:tr>
      <w:tr w:rsidR="008B4713" w:rsidRPr="007C3701" w14:paraId="311ED782"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0DE97B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302</w:t>
            </w:r>
          </w:p>
        </w:tc>
        <w:tc>
          <w:tcPr>
            <w:tcW w:w="9225" w:type="dxa"/>
            <w:tcBorders>
              <w:top w:val="nil"/>
              <w:left w:val="single" w:sz="4" w:space="0" w:color="auto"/>
              <w:bottom w:val="nil"/>
              <w:right w:val="single" w:sz="4" w:space="0" w:color="auto"/>
            </w:tcBorders>
            <w:shd w:val="clear" w:color="auto" w:fill="auto"/>
            <w:vAlign w:val="center"/>
            <w:hideMark/>
          </w:tcPr>
          <w:p w14:paraId="766F911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F Tailoka &amp; DJ Fray: Electrowinning of copper from chloride solutions in presence of gas sparging, Trans Inst Mining Metal 102 (1993) C7.</w:t>
            </w:r>
          </w:p>
        </w:tc>
      </w:tr>
      <w:tr w:rsidR="008B4713" w:rsidRPr="007C3701" w14:paraId="0279665A"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73E70A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303</w:t>
            </w:r>
          </w:p>
        </w:tc>
        <w:tc>
          <w:tcPr>
            <w:tcW w:w="9225" w:type="dxa"/>
            <w:tcBorders>
              <w:top w:val="nil"/>
              <w:left w:val="single" w:sz="4" w:space="0" w:color="auto"/>
              <w:bottom w:val="nil"/>
              <w:right w:val="single" w:sz="4" w:space="0" w:color="auto"/>
            </w:tcBorders>
            <w:shd w:val="clear" w:color="auto" w:fill="auto"/>
            <w:vAlign w:val="center"/>
            <w:hideMark/>
          </w:tcPr>
          <w:p w14:paraId="01750CD1"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DJ Fray &amp; VP Kotzeva, ‘Oxygen Apparatus and Method’. Filed 3/03/2005. Published patents: US2009008261, WO2006092612, GB2431668*, EP1856307, CN2068001317*</w:t>
            </w:r>
          </w:p>
        </w:tc>
      </w:tr>
      <w:tr w:rsidR="008B4713" w:rsidRPr="007C3701" w14:paraId="2DEF6D27"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0658358F"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304</w:t>
            </w:r>
          </w:p>
        </w:tc>
        <w:tc>
          <w:tcPr>
            <w:tcW w:w="9225" w:type="dxa"/>
            <w:tcBorders>
              <w:top w:val="nil"/>
              <w:left w:val="single" w:sz="4" w:space="0" w:color="auto"/>
              <w:bottom w:val="nil"/>
              <w:right w:val="single" w:sz="4" w:space="0" w:color="auto"/>
            </w:tcBorders>
            <w:shd w:val="clear" w:color="auto" w:fill="auto"/>
            <w:vAlign w:val="center"/>
            <w:hideMark/>
          </w:tcPr>
          <w:p w14:paraId="010B6A0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MF Vinton &amp; DJ Fray, ‘Oxygen Concentrator and Method’. Filed 13/09/2010. Published patents: WO2102035298, GB248520*</w:t>
            </w:r>
          </w:p>
        </w:tc>
      </w:tr>
      <w:tr w:rsidR="008B4713" w:rsidRPr="007C3701" w14:paraId="49BD2494"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553B2D0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305</w:t>
            </w:r>
          </w:p>
        </w:tc>
        <w:tc>
          <w:tcPr>
            <w:tcW w:w="9225" w:type="dxa"/>
            <w:tcBorders>
              <w:top w:val="nil"/>
              <w:left w:val="single" w:sz="4" w:space="0" w:color="auto"/>
              <w:bottom w:val="nil"/>
              <w:right w:val="single" w:sz="4" w:space="0" w:color="auto"/>
            </w:tcBorders>
            <w:shd w:val="clear" w:color="auto" w:fill="auto"/>
            <w:vAlign w:val="center"/>
            <w:hideMark/>
          </w:tcPr>
          <w:p w14:paraId="5A3BF89A"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MF Vinton, A Hurst &amp; DJ Fray, ‘Hyperbaric Dressing’. Patent filed 1/04/2005. Published patents: US2008269658,WO2005094744, GB2412589*, EP1755510, CN200580017913*</w:t>
            </w:r>
          </w:p>
        </w:tc>
      </w:tr>
      <w:tr w:rsidR="008B4713" w:rsidRPr="007C3701" w14:paraId="6F9323DC" w14:textId="77777777" w:rsidTr="00F34EA6">
        <w:trPr>
          <w:trHeight w:val="300"/>
        </w:trPr>
        <w:tc>
          <w:tcPr>
            <w:tcW w:w="551" w:type="dxa"/>
            <w:tcBorders>
              <w:top w:val="nil"/>
              <w:left w:val="single" w:sz="4" w:space="0" w:color="auto"/>
              <w:bottom w:val="nil"/>
              <w:right w:val="nil"/>
            </w:tcBorders>
            <w:shd w:val="clear" w:color="auto" w:fill="auto"/>
            <w:noWrap/>
            <w:vAlign w:val="center"/>
            <w:hideMark/>
          </w:tcPr>
          <w:p w14:paraId="78312C8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306</w:t>
            </w:r>
          </w:p>
        </w:tc>
        <w:tc>
          <w:tcPr>
            <w:tcW w:w="9225" w:type="dxa"/>
            <w:tcBorders>
              <w:top w:val="nil"/>
              <w:left w:val="single" w:sz="4" w:space="0" w:color="auto"/>
              <w:bottom w:val="nil"/>
              <w:right w:val="single" w:sz="4" w:space="0" w:color="auto"/>
            </w:tcBorders>
            <w:shd w:val="clear" w:color="auto" w:fill="auto"/>
            <w:vAlign w:val="center"/>
            <w:hideMark/>
          </w:tcPr>
          <w:p w14:paraId="11867DC2" w14:textId="2835DDED" w:rsidR="008B4713" w:rsidRPr="007C3701" w:rsidRDefault="00F97A63"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Solid State Ionics (journal). </w:t>
            </w:r>
            <w:hyperlink r:id="rId201" w:history="1">
              <w:r w:rsidRPr="000562AF">
                <w:rPr>
                  <w:rStyle w:val="Hyperlink"/>
                  <w:rFonts w:ascii="Calibri" w:eastAsia="Times New Roman" w:hAnsi="Calibri" w:cs="Calibri"/>
                  <w:lang w:eastAsia="en-GB"/>
                </w:rPr>
                <w:t>https://www.journals.elsevier.com/solid-state-ionics</w:t>
              </w:r>
            </w:hyperlink>
            <w:r>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3BBF282C" w14:textId="77777777" w:rsidTr="00F34EA6">
        <w:trPr>
          <w:trHeight w:val="300"/>
        </w:trPr>
        <w:tc>
          <w:tcPr>
            <w:tcW w:w="551" w:type="dxa"/>
            <w:tcBorders>
              <w:top w:val="nil"/>
              <w:left w:val="single" w:sz="4" w:space="0" w:color="auto"/>
              <w:bottom w:val="nil"/>
              <w:right w:val="nil"/>
            </w:tcBorders>
            <w:shd w:val="clear" w:color="auto" w:fill="auto"/>
            <w:noWrap/>
            <w:vAlign w:val="center"/>
            <w:hideMark/>
          </w:tcPr>
          <w:p w14:paraId="7AD3AB7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307</w:t>
            </w:r>
          </w:p>
        </w:tc>
        <w:tc>
          <w:tcPr>
            <w:tcW w:w="9225" w:type="dxa"/>
            <w:tcBorders>
              <w:top w:val="nil"/>
              <w:left w:val="single" w:sz="4" w:space="0" w:color="auto"/>
              <w:bottom w:val="nil"/>
              <w:right w:val="single" w:sz="4" w:space="0" w:color="auto"/>
            </w:tcBorders>
            <w:shd w:val="clear" w:color="auto" w:fill="auto"/>
            <w:vAlign w:val="center"/>
            <w:hideMark/>
          </w:tcPr>
          <w:p w14:paraId="256556C9" w14:textId="358F8811" w:rsidR="008B4713" w:rsidRPr="007C3701" w:rsidRDefault="00F97A63"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UK Smart Awards. </w:t>
            </w:r>
            <w:hyperlink r:id="rId202" w:history="1">
              <w:r w:rsidRPr="000562AF">
                <w:rPr>
                  <w:rStyle w:val="Hyperlink"/>
                  <w:rFonts w:ascii="Calibri" w:eastAsia="Times New Roman" w:hAnsi="Calibri" w:cs="Calibri"/>
                  <w:lang w:eastAsia="en-GB"/>
                </w:rPr>
                <w:t>http://sinc.co.uk/article/innovate-uk-smart-awards-what-are-they-and-how-do-i-apply</w:t>
              </w:r>
            </w:hyperlink>
            <w:r>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64ABC627" w14:textId="77777777" w:rsidTr="00F34EA6">
        <w:trPr>
          <w:trHeight w:val="300"/>
        </w:trPr>
        <w:tc>
          <w:tcPr>
            <w:tcW w:w="551" w:type="dxa"/>
            <w:tcBorders>
              <w:top w:val="nil"/>
              <w:left w:val="single" w:sz="4" w:space="0" w:color="auto"/>
              <w:bottom w:val="nil"/>
              <w:right w:val="nil"/>
            </w:tcBorders>
            <w:shd w:val="clear" w:color="auto" w:fill="auto"/>
            <w:noWrap/>
            <w:vAlign w:val="center"/>
            <w:hideMark/>
          </w:tcPr>
          <w:p w14:paraId="2F7500F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308</w:t>
            </w:r>
          </w:p>
        </w:tc>
        <w:tc>
          <w:tcPr>
            <w:tcW w:w="9225" w:type="dxa"/>
            <w:tcBorders>
              <w:top w:val="nil"/>
              <w:left w:val="single" w:sz="4" w:space="0" w:color="auto"/>
              <w:bottom w:val="nil"/>
              <w:right w:val="single" w:sz="4" w:space="0" w:color="auto"/>
            </w:tcBorders>
            <w:shd w:val="clear" w:color="auto" w:fill="auto"/>
            <w:vAlign w:val="center"/>
            <w:hideMark/>
          </w:tcPr>
          <w:p w14:paraId="36B1F90A" w14:textId="5E63CC24" w:rsidR="008B4713" w:rsidRPr="007C3701" w:rsidRDefault="00F97A63"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IonScience. </w:t>
            </w:r>
            <w:hyperlink r:id="rId203" w:history="1">
              <w:r w:rsidRPr="000562AF">
                <w:rPr>
                  <w:rStyle w:val="Hyperlink"/>
                  <w:rFonts w:ascii="Calibri" w:eastAsia="Times New Roman" w:hAnsi="Calibri" w:cs="Calibri"/>
                  <w:lang w:eastAsia="en-GB"/>
                </w:rPr>
                <w:t>http://www.ionscience.com/</w:t>
              </w:r>
            </w:hyperlink>
            <w:r>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727B0574" w14:textId="77777777" w:rsidTr="00F34EA6">
        <w:trPr>
          <w:trHeight w:val="300"/>
        </w:trPr>
        <w:tc>
          <w:tcPr>
            <w:tcW w:w="551" w:type="dxa"/>
            <w:tcBorders>
              <w:top w:val="nil"/>
              <w:left w:val="single" w:sz="4" w:space="0" w:color="auto"/>
              <w:bottom w:val="nil"/>
              <w:right w:val="nil"/>
            </w:tcBorders>
            <w:shd w:val="clear" w:color="auto" w:fill="auto"/>
            <w:noWrap/>
            <w:vAlign w:val="center"/>
            <w:hideMark/>
          </w:tcPr>
          <w:p w14:paraId="2CDDB7FC"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309</w:t>
            </w:r>
          </w:p>
        </w:tc>
        <w:tc>
          <w:tcPr>
            <w:tcW w:w="9225" w:type="dxa"/>
            <w:tcBorders>
              <w:top w:val="nil"/>
              <w:left w:val="single" w:sz="4" w:space="0" w:color="auto"/>
              <w:bottom w:val="nil"/>
              <w:right w:val="single" w:sz="4" w:space="0" w:color="auto"/>
            </w:tcBorders>
            <w:shd w:val="clear" w:color="auto" w:fill="auto"/>
            <w:vAlign w:val="center"/>
            <w:hideMark/>
          </w:tcPr>
          <w:p w14:paraId="50E81503" w14:textId="359B645C" w:rsidR="008B4713" w:rsidRPr="007C3701" w:rsidRDefault="00F97A63"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Welding Alloys. </w:t>
            </w:r>
            <w:hyperlink r:id="rId204" w:history="1">
              <w:r w:rsidRPr="000562AF">
                <w:rPr>
                  <w:rStyle w:val="Hyperlink"/>
                  <w:rFonts w:ascii="Calibri" w:eastAsia="Times New Roman" w:hAnsi="Calibri" w:cs="Calibri"/>
                  <w:lang w:eastAsia="en-GB"/>
                </w:rPr>
                <w:t>https://www.welding-alloys.com/</w:t>
              </w:r>
            </w:hyperlink>
            <w:r>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6B3A30FD" w14:textId="77777777" w:rsidTr="00F34EA6">
        <w:trPr>
          <w:trHeight w:val="300"/>
        </w:trPr>
        <w:tc>
          <w:tcPr>
            <w:tcW w:w="551" w:type="dxa"/>
            <w:tcBorders>
              <w:top w:val="nil"/>
              <w:left w:val="single" w:sz="4" w:space="0" w:color="auto"/>
              <w:bottom w:val="nil"/>
              <w:right w:val="nil"/>
            </w:tcBorders>
            <w:shd w:val="clear" w:color="auto" w:fill="auto"/>
            <w:noWrap/>
            <w:vAlign w:val="center"/>
            <w:hideMark/>
          </w:tcPr>
          <w:p w14:paraId="748D2C8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310</w:t>
            </w:r>
          </w:p>
        </w:tc>
        <w:tc>
          <w:tcPr>
            <w:tcW w:w="9225" w:type="dxa"/>
            <w:tcBorders>
              <w:top w:val="nil"/>
              <w:left w:val="single" w:sz="4" w:space="0" w:color="auto"/>
              <w:bottom w:val="nil"/>
              <w:right w:val="single" w:sz="4" w:space="0" w:color="auto"/>
            </w:tcBorders>
            <w:shd w:val="clear" w:color="auto" w:fill="auto"/>
            <w:vAlign w:val="center"/>
            <w:hideMark/>
          </w:tcPr>
          <w:p w14:paraId="66F1F46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Cambridge Material Eyes. Summer 2016. Issue 2019</w:t>
            </w:r>
          </w:p>
        </w:tc>
      </w:tr>
      <w:tr w:rsidR="008B4713" w:rsidRPr="007C3701" w14:paraId="7A9164EE" w14:textId="77777777" w:rsidTr="00F34EA6">
        <w:trPr>
          <w:trHeight w:val="300"/>
        </w:trPr>
        <w:tc>
          <w:tcPr>
            <w:tcW w:w="551" w:type="dxa"/>
            <w:tcBorders>
              <w:top w:val="nil"/>
              <w:left w:val="single" w:sz="4" w:space="0" w:color="auto"/>
              <w:bottom w:val="nil"/>
              <w:right w:val="nil"/>
            </w:tcBorders>
            <w:shd w:val="clear" w:color="auto" w:fill="auto"/>
            <w:noWrap/>
            <w:vAlign w:val="center"/>
            <w:hideMark/>
          </w:tcPr>
          <w:p w14:paraId="327659B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311</w:t>
            </w:r>
          </w:p>
        </w:tc>
        <w:tc>
          <w:tcPr>
            <w:tcW w:w="9225" w:type="dxa"/>
            <w:tcBorders>
              <w:top w:val="nil"/>
              <w:left w:val="single" w:sz="4" w:space="0" w:color="auto"/>
              <w:bottom w:val="nil"/>
              <w:right w:val="single" w:sz="4" w:space="0" w:color="auto"/>
            </w:tcBorders>
            <w:shd w:val="clear" w:color="auto" w:fill="auto"/>
            <w:vAlign w:val="center"/>
            <w:hideMark/>
          </w:tcPr>
          <w:p w14:paraId="015D7D02" w14:textId="2565EAC0" w:rsidR="008B4713" w:rsidRPr="007C3701" w:rsidRDefault="00F97A63"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Wound Market Consulting. </w:t>
            </w:r>
            <w:hyperlink r:id="rId205" w:history="1">
              <w:r w:rsidR="00532CCA" w:rsidRPr="000562AF">
                <w:rPr>
                  <w:rStyle w:val="Hyperlink"/>
                  <w:rFonts w:ascii="Calibri" w:eastAsia="Times New Roman" w:hAnsi="Calibri" w:cs="Calibri"/>
                  <w:lang w:eastAsia="en-GB"/>
                </w:rPr>
                <w:t>http://www.woundmarketconsulting.com/</w:t>
              </w:r>
            </w:hyperlink>
            <w:r w:rsidR="00532CCA">
              <w:rPr>
                <w:rFonts w:ascii="Calibri" w:eastAsia="Times New Roman" w:hAnsi="Calibri" w:cs="Calibri"/>
                <w:color w:val="000000"/>
                <w:lang w:eastAsia="en-GB"/>
              </w:rPr>
              <w:t xml:space="preserve"> (accessed 4 September 2019)</w:t>
            </w:r>
          </w:p>
        </w:tc>
      </w:tr>
      <w:tr w:rsidR="008B4713" w:rsidRPr="007C3701" w14:paraId="40D09A03" w14:textId="77777777" w:rsidTr="00F34EA6">
        <w:trPr>
          <w:trHeight w:val="300"/>
        </w:trPr>
        <w:tc>
          <w:tcPr>
            <w:tcW w:w="551" w:type="dxa"/>
            <w:tcBorders>
              <w:top w:val="nil"/>
              <w:left w:val="single" w:sz="4" w:space="0" w:color="auto"/>
              <w:bottom w:val="nil"/>
              <w:right w:val="nil"/>
            </w:tcBorders>
            <w:shd w:val="clear" w:color="auto" w:fill="auto"/>
            <w:noWrap/>
            <w:vAlign w:val="center"/>
            <w:hideMark/>
          </w:tcPr>
          <w:p w14:paraId="36D9E8F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312</w:t>
            </w:r>
          </w:p>
        </w:tc>
        <w:tc>
          <w:tcPr>
            <w:tcW w:w="9225" w:type="dxa"/>
            <w:tcBorders>
              <w:top w:val="nil"/>
              <w:left w:val="single" w:sz="4" w:space="0" w:color="auto"/>
              <w:bottom w:val="nil"/>
              <w:right w:val="single" w:sz="4" w:space="0" w:color="auto"/>
            </w:tcBorders>
            <w:shd w:val="clear" w:color="auto" w:fill="auto"/>
            <w:vAlign w:val="center"/>
            <w:hideMark/>
          </w:tcPr>
          <w:p w14:paraId="60CA028C" w14:textId="51EB8C9C"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I</w:t>
            </w:r>
            <w:r w:rsidR="00F97A63">
              <w:rPr>
                <w:rFonts w:ascii="Calibri" w:eastAsia="Times New Roman" w:hAnsi="Calibri" w:cs="Calibri"/>
                <w:color w:val="000000"/>
                <w:lang w:eastAsia="en-GB"/>
              </w:rPr>
              <w:t xml:space="preserve">notec </w:t>
            </w:r>
            <w:r w:rsidRPr="007C3701">
              <w:rPr>
                <w:rFonts w:ascii="Calibri" w:eastAsia="Times New Roman" w:hAnsi="Calibri" w:cs="Calibri"/>
                <w:color w:val="000000"/>
                <w:lang w:eastAsia="en-GB"/>
              </w:rPr>
              <w:t>AMD</w:t>
            </w:r>
            <w:r w:rsidR="00F97A63">
              <w:rPr>
                <w:rFonts w:ascii="Calibri" w:eastAsia="Times New Roman" w:hAnsi="Calibri" w:cs="Calibri"/>
                <w:color w:val="000000"/>
                <w:lang w:eastAsia="en-GB"/>
              </w:rPr>
              <w:t xml:space="preserve">. </w:t>
            </w:r>
            <w:hyperlink r:id="rId206" w:history="1">
              <w:r w:rsidR="00F97A63" w:rsidRPr="000562AF">
                <w:rPr>
                  <w:rStyle w:val="Hyperlink"/>
                  <w:rFonts w:ascii="Calibri" w:eastAsia="Times New Roman" w:hAnsi="Calibri" w:cs="Calibri"/>
                  <w:lang w:eastAsia="en-GB"/>
                </w:rPr>
                <w:t>https://www.natroxwoundcare.com/</w:t>
              </w:r>
            </w:hyperlink>
            <w:r w:rsidR="00F97A63">
              <w:rPr>
                <w:rFonts w:ascii="Calibri" w:eastAsia="Times New Roman" w:hAnsi="Calibri" w:cs="Calibri"/>
                <w:color w:val="000000"/>
                <w:lang w:eastAsia="en-GB"/>
              </w:rPr>
              <w:t xml:space="preserve"> </w:t>
            </w:r>
            <w:r w:rsidR="00532CCA">
              <w:rPr>
                <w:rFonts w:ascii="Calibri" w:eastAsia="Times New Roman" w:hAnsi="Calibri" w:cs="Calibri"/>
                <w:color w:val="000000"/>
                <w:lang w:eastAsia="en-GB"/>
              </w:rPr>
              <w:t>(accessed 4 September 2019)</w:t>
            </w:r>
          </w:p>
        </w:tc>
      </w:tr>
      <w:tr w:rsidR="008B4713" w:rsidRPr="007C3701" w14:paraId="350433E8" w14:textId="77777777" w:rsidTr="0064454F">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B1472C" w14:textId="77777777" w:rsidR="008B4713" w:rsidRPr="007C3701" w:rsidRDefault="008B4713" w:rsidP="004E0087">
            <w:pPr>
              <w:spacing w:after="0" w:line="240" w:lineRule="auto"/>
              <w:jc w:val="center"/>
              <w:rPr>
                <w:rFonts w:ascii="Calibri" w:eastAsia="Times New Roman" w:hAnsi="Calibri" w:cs="Calibri"/>
                <w:b/>
                <w:bCs/>
                <w:color w:val="000000"/>
                <w:lang w:eastAsia="en-GB"/>
              </w:rPr>
            </w:pPr>
            <w:r w:rsidRPr="007C3701">
              <w:rPr>
                <w:rFonts w:ascii="Calibri" w:eastAsia="Times New Roman" w:hAnsi="Calibri" w:cs="Calibri"/>
                <w:b/>
                <w:bCs/>
                <w:color w:val="000000"/>
                <w:lang w:eastAsia="en-GB"/>
              </w:rPr>
              <w:t>Unit of Assessment 14</w:t>
            </w:r>
          </w:p>
        </w:tc>
      </w:tr>
      <w:tr w:rsidR="008B4713" w:rsidRPr="007C3701" w14:paraId="2C36FBBE"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7D482BB6"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313</w:t>
            </w:r>
          </w:p>
        </w:tc>
        <w:tc>
          <w:tcPr>
            <w:tcW w:w="9225" w:type="dxa"/>
            <w:tcBorders>
              <w:top w:val="nil"/>
              <w:left w:val="single" w:sz="4" w:space="0" w:color="auto"/>
              <w:bottom w:val="nil"/>
              <w:right w:val="single" w:sz="4" w:space="0" w:color="auto"/>
            </w:tcBorders>
            <w:shd w:val="clear" w:color="auto" w:fill="auto"/>
            <w:vAlign w:val="center"/>
            <w:hideMark/>
          </w:tcPr>
          <w:p w14:paraId="54C1DC8D" w14:textId="547E13BD" w:rsidR="008B4713" w:rsidRPr="007C3701" w:rsidRDefault="00F878C5"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Sheffield (2014). </w:t>
            </w:r>
            <w:r w:rsidR="008B4713" w:rsidRPr="007C3701">
              <w:rPr>
                <w:rFonts w:ascii="Calibri" w:eastAsia="Times New Roman" w:hAnsi="Calibri" w:cs="Calibri"/>
                <w:color w:val="000000"/>
                <w:lang w:eastAsia="en-GB"/>
              </w:rPr>
              <w:t>REF2014 Impact Template</w:t>
            </w:r>
            <w:r>
              <w:rPr>
                <w:rFonts w:ascii="Calibri" w:eastAsia="Times New Roman" w:hAnsi="Calibri" w:cs="Calibri"/>
                <w:color w:val="000000"/>
                <w:lang w:eastAsia="en-GB"/>
              </w:rPr>
              <w:t xml:space="preserve">. </w:t>
            </w:r>
            <w:hyperlink r:id="rId207" w:history="1">
              <w:r>
                <w:rPr>
                  <w:rStyle w:val="Hyperlink"/>
                </w:rPr>
                <w:t>https://results.ref.ac.uk/(S(5mhsdcrlek45dkop3v4uw5gx))/Submissions/Impact/70</w:t>
              </w:r>
            </w:hyperlink>
          </w:p>
        </w:tc>
      </w:tr>
      <w:tr w:rsidR="008B4713" w:rsidRPr="007C3701" w14:paraId="583AB6E0"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54647EC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314</w:t>
            </w:r>
          </w:p>
        </w:tc>
        <w:tc>
          <w:tcPr>
            <w:tcW w:w="9225" w:type="dxa"/>
            <w:tcBorders>
              <w:top w:val="nil"/>
              <w:left w:val="single" w:sz="4" w:space="0" w:color="auto"/>
              <w:bottom w:val="nil"/>
              <w:right w:val="single" w:sz="4" w:space="0" w:color="auto"/>
            </w:tcBorders>
            <w:shd w:val="clear" w:color="auto" w:fill="auto"/>
            <w:vAlign w:val="center"/>
            <w:hideMark/>
          </w:tcPr>
          <w:p w14:paraId="2E60F243" w14:textId="03C8160D" w:rsidR="008B4713" w:rsidRPr="007C3701" w:rsidRDefault="00F878C5"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Sheffield (2014). </w:t>
            </w:r>
            <w:r w:rsidR="008B4713" w:rsidRPr="007C3701">
              <w:rPr>
                <w:rFonts w:ascii="Calibri" w:eastAsia="Times New Roman" w:hAnsi="Calibri" w:cs="Calibri"/>
                <w:color w:val="000000"/>
                <w:lang w:eastAsia="en-GB"/>
              </w:rPr>
              <w:t>REF2014 Environment Template</w:t>
            </w:r>
            <w:r>
              <w:rPr>
                <w:rFonts w:ascii="Calibri" w:eastAsia="Times New Roman" w:hAnsi="Calibri" w:cs="Calibri"/>
                <w:color w:val="000000"/>
                <w:lang w:eastAsia="en-GB"/>
              </w:rPr>
              <w:t xml:space="preserve">. </w:t>
            </w:r>
            <w:hyperlink r:id="rId208" w:history="1">
              <w:r>
                <w:rPr>
                  <w:rStyle w:val="Hyperlink"/>
                </w:rPr>
                <w:t>https://results.ref.ac.uk/(S(5mhsdcrlek45dkop3v4uw5gx))/Submissions/Environment/70</w:t>
              </w:r>
            </w:hyperlink>
          </w:p>
        </w:tc>
      </w:tr>
      <w:tr w:rsidR="008B4713" w:rsidRPr="007C3701" w14:paraId="48FFC0FF"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86949A"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14.1</w:t>
            </w:r>
          </w:p>
        </w:tc>
      </w:tr>
      <w:tr w:rsidR="008B4713" w:rsidRPr="007C3701" w14:paraId="183F55B1"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169BC371"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315</w:t>
            </w:r>
          </w:p>
        </w:tc>
        <w:tc>
          <w:tcPr>
            <w:tcW w:w="9225" w:type="dxa"/>
            <w:tcBorders>
              <w:top w:val="nil"/>
              <w:left w:val="single" w:sz="4" w:space="0" w:color="auto"/>
              <w:bottom w:val="nil"/>
              <w:right w:val="single" w:sz="4" w:space="0" w:color="auto"/>
            </w:tcBorders>
            <w:shd w:val="clear" w:color="auto" w:fill="auto"/>
            <w:vAlign w:val="center"/>
            <w:hideMark/>
          </w:tcPr>
          <w:p w14:paraId="70A5807E" w14:textId="2E02A2C7" w:rsidR="008B4713" w:rsidRPr="007C3701" w:rsidRDefault="00507815"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Sheffield (2014). </w:t>
            </w:r>
            <w:r w:rsidR="008B4713" w:rsidRPr="007C3701">
              <w:rPr>
                <w:rFonts w:ascii="Calibri" w:eastAsia="Times New Roman" w:hAnsi="Calibri" w:cs="Calibri"/>
                <w:color w:val="000000"/>
                <w:lang w:eastAsia="en-GB"/>
              </w:rPr>
              <w:t>REF Impact Case Study no. 9500</w:t>
            </w:r>
            <w:r>
              <w:rPr>
                <w:rFonts w:ascii="Calibri" w:eastAsia="Times New Roman" w:hAnsi="Calibri" w:cs="Calibri"/>
                <w:color w:val="000000"/>
                <w:lang w:eastAsia="en-GB"/>
              </w:rPr>
              <w:t xml:space="preserve">. </w:t>
            </w:r>
            <w:hyperlink r:id="rId209" w:history="1">
              <w:r>
                <w:rPr>
                  <w:rStyle w:val="Hyperlink"/>
                </w:rPr>
                <w:t>https://results.ref.ac.uk/(S(5mhsdcrlek45dkop3v4uw5gx))/Submissions/Impact/70</w:t>
              </w:r>
            </w:hyperlink>
          </w:p>
        </w:tc>
      </w:tr>
      <w:tr w:rsidR="008B4713" w:rsidRPr="007C3701" w14:paraId="1E667E1F" w14:textId="77777777" w:rsidTr="004E0087">
        <w:trPr>
          <w:trHeight w:val="900"/>
        </w:trPr>
        <w:tc>
          <w:tcPr>
            <w:tcW w:w="551" w:type="dxa"/>
            <w:tcBorders>
              <w:top w:val="nil"/>
              <w:left w:val="single" w:sz="4" w:space="0" w:color="auto"/>
              <w:bottom w:val="nil"/>
              <w:right w:val="nil"/>
            </w:tcBorders>
            <w:shd w:val="clear" w:color="auto" w:fill="auto"/>
            <w:noWrap/>
            <w:vAlign w:val="center"/>
            <w:hideMark/>
          </w:tcPr>
          <w:p w14:paraId="50C71AC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316</w:t>
            </w:r>
          </w:p>
        </w:tc>
        <w:tc>
          <w:tcPr>
            <w:tcW w:w="9225" w:type="dxa"/>
            <w:tcBorders>
              <w:top w:val="nil"/>
              <w:left w:val="single" w:sz="4" w:space="0" w:color="auto"/>
              <w:bottom w:val="nil"/>
              <w:right w:val="single" w:sz="4" w:space="0" w:color="auto"/>
            </w:tcBorders>
            <w:shd w:val="clear" w:color="auto" w:fill="auto"/>
            <w:vAlign w:val="center"/>
            <w:hideMark/>
          </w:tcPr>
          <w:p w14:paraId="015B15F8"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Pavic A &amp; Reynolds P (1999). Experimental Assessment of Vibration Serviceability of Existing Office Floors under Human-Induced Excitation, Experimental Techniques, Vol. 23, No. 5, 41-45. doi: 10.1111/j.1747-1567.1999.tb01305.x</w:t>
            </w:r>
          </w:p>
        </w:tc>
      </w:tr>
      <w:tr w:rsidR="008B4713" w:rsidRPr="007C3701" w14:paraId="19551F6C"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5D01397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317</w:t>
            </w:r>
          </w:p>
        </w:tc>
        <w:tc>
          <w:tcPr>
            <w:tcW w:w="9225" w:type="dxa"/>
            <w:tcBorders>
              <w:top w:val="nil"/>
              <w:left w:val="single" w:sz="4" w:space="0" w:color="auto"/>
              <w:bottom w:val="nil"/>
              <w:right w:val="single" w:sz="4" w:space="0" w:color="auto"/>
            </w:tcBorders>
            <w:shd w:val="clear" w:color="auto" w:fill="auto"/>
            <w:vAlign w:val="center"/>
            <w:hideMark/>
          </w:tcPr>
          <w:p w14:paraId="130747AB"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Brownjohn JMW, Pavic A (2006) ‘Vibration control of ultra-sensitive facilities’. Proceedings ICE Structures and Buildings 159, 295-306. doi: 10.1680/stbu.2006.159.5.295</w:t>
            </w:r>
          </w:p>
        </w:tc>
      </w:tr>
      <w:tr w:rsidR="008B4713" w:rsidRPr="007C3701" w14:paraId="5D20CED1"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71A343D4"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318</w:t>
            </w:r>
          </w:p>
        </w:tc>
        <w:tc>
          <w:tcPr>
            <w:tcW w:w="9225" w:type="dxa"/>
            <w:tcBorders>
              <w:top w:val="nil"/>
              <w:left w:val="single" w:sz="4" w:space="0" w:color="auto"/>
              <w:bottom w:val="nil"/>
              <w:right w:val="single" w:sz="4" w:space="0" w:color="auto"/>
            </w:tcBorders>
            <w:shd w:val="clear" w:color="auto" w:fill="auto"/>
            <w:vAlign w:val="center"/>
            <w:hideMark/>
          </w:tcPr>
          <w:p w14:paraId="1F6E14C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Racic V &amp; Brownjohn JMW (2011) Stochastic model of near periodic vertical loads due to humans walking. Advanced Engineering Informatics 25(2) 259-275. doi: 10.1016/j.aei.2010.07.004</w:t>
            </w:r>
          </w:p>
        </w:tc>
      </w:tr>
      <w:tr w:rsidR="008B4713" w:rsidRPr="007C3701" w14:paraId="696096E2"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4EAB19A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319</w:t>
            </w:r>
          </w:p>
        </w:tc>
        <w:tc>
          <w:tcPr>
            <w:tcW w:w="9225" w:type="dxa"/>
            <w:tcBorders>
              <w:top w:val="nil"/>
              <w:left w:val="single" w:sz="4" w:space="0" w:color="auto"/>
              <w:bottom w:val="nil"/>
              <w:right w:val="single" w:sz="4" w:space="0" w:color="auto"/>
            </w:tcBorders>
            <w:shd w:val="clear" w:color="auto" w:fill="auto"/>
            <w:vAlign w:val="center"/>
            <w:hideMark/>
          </w:tcPr>
          <w:p w14:paraId="1504849F"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Yao S, Wright JR, Pavic A, Reynolds P (2006). Experimental study of human-induced forces due to jumping on a perceptibly moving structure. Journal of Sound and Vibration 296(1-2). doi: 10.1016/j.jsv.2006.02.018</w:t>
            </w:r>
          </w:p>
        </w:tc>
      </w:tr>
      <w:tr w:rsidR="008B4713" w:rsidRPr="007C3701" w14:paraId="759DE69C"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3989551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320</w:t>
            </w:r>
          </w:p>
        </w:tc>
        <w:tc>
          <w:tcPr>
            <w:tcW w:w="9225" w:type="dxa"/>
            <w:tcBorders>
              <w:top w:val="nil"/>
              <w:left w:val="single" w:sz="4" w:space="0" w:color="auto"/>
              <w:bottom w:val="nil"/>
              <w:right w:val="single" w:sz="4" w:space="0" w:color="auto"/>
            </w:tcBorders>
            <w:shd w:val="clear" w:color="auto" w:fill="auto"/>
            <w:vAlign w:val="center"/>
            <w:hideMark/>
          </w:tcPr>
          <w:p w14:paraId="6492FA6C"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Zivanovic S, Pavic A (2009) Probabilistic modelling of walking excitation for building floors. ASCE Journal of Performance of Constructed Facilities 23(1). 132-143. doi: 10.1061/(ASCE)CF.1943-5509.0000005</w:t>
            </w:r>
          </w:p>
        </w:tc>
      </w:tr>
      <w:tr w:rsidR="008B4713" w:rsidRPr="007C3701" w14:paraId="65FA9A32"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45A4E5A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321</w:t>
            </w:r>
          </w:p>
        </w:tc>
        <w:tc>
          <w:tcPr>
            <w:tcW w:w="9225" w:type="dxa"/>
            <w:tcBorders>
              <w:top w:val="nil"/>
              <w:left w:val="single" w:sz="4" w:space="0" w:color="auto"/>
              <w:bottom w:val="nil"/>
              <w:right w:val="single" w:sz="4" w:space="0" w:color="auto"/>
            </w:tcBorders>
            <w:shd w:val="clear" w:color="auto" w:fill="auto"/>
            <w:vAlign w:val="center"/>
            <w:hideMark/>
          </w:tcPr>
          <w:p w14:paraId="620B48F4"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Reynolds P &amp; Diaz IM, (2010) On-off nonlinear active control of floor vibration. Mechanical systems and signal processing 24(6) 1711-1726. doi: 10.1016/j.ymssp.2010.02.011</w:t>
            </w:r>
          </w:p>
        </w:tc>
      </w:tr>
      <w:tr w:rsidR="008B4713" w:rsidRPr="007C3701" w14:paraId="699774E3"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59FA5D0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322</w:t>
            </w:r>
          </w:p>
        </w:tc>
        <w:tc>
          <w:tcPr>
            <w:tcW w:w="9225" w:type="dxa"/>
            <w:tcBorders>
              <w:top w:val="nil"/>
              <w:left w:val="single" w:sz="4" w:space="0" w:color="auto"/>
              <w:bottom w:val="nil"/>
              <w:right w:val="single" w:sz="4" w:space="0" w:color="auto"/>
            </w:tcBorders>
            <w:shd w:val="clear" w:color="auto" w:fill="auto"/>
            <w:vAlign w:val="center"/>
            <w:hideMark/>
          </w:tcPr>
          <w:p w14:paraId="74CFF92F" w14:textId="362B6CA8" w:rsidR="008B4713" w:rsidRPr="007C3701" w:rsidRDefault="001B3C32" w:rsidP="004E0087">
            <w:pPr>
              <w:spacing w:after="0" w:line="240" w:lineRule="auto"/>
              <w:rPr>
                <w:rFonts w:ascii="Calibri" w:eastAsia="Times New Roman" w:hAnsi="Calibri" w:cs="Calibri"/>
                <w:color w:val="0563C1"/>
                <w:u w:val="single"/>
                <w:lang w:eastAsia="en-GB"/>
              </w:rPr>
            </w:pPr>
            <w:r>
              <w:t xml:space="preserve">FSD Ltd. </w:t>
            </w:r>
            <w:hyperlink r:id="rId210" w:history="1">
              <w:r w:rsidRPr="000562AF">
                <w:rPr>
                  <w:rStyle w:val="Hyperlink"/>
                  <w:rFonts w:ascii="Calibri" w:eastAsia="Times New Roman" w:hAnsi="Calibri" w:cs="Calibri"/>
                  <w:lang w:eastAsia="en-GB"/>
                </w:rPr>
                <w:t>http://fullscaledynamics.com/</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49D60035"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726C093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323</w:t>
            </w:r>
          </w:p>
        </w:tc>
        <w:tc>
          <w:tcPr>
            <w:tcW w:w="9225" w:type="dxa"/>
            <w:tcBorders>
              <w:top w:val="nil"/>
              <w:left w:val="single" w:sz="4" w:space="0" w:color="auto"/>
              <w:bottom w:val="nil"/>
              <w:right w:val="single" w:sz="4" w:space="0" w:color="auto"/>
            </w:tcBorders>
            <w:shd w:val="clear" w:color="auto" w:fill="auto"/>
            <w:vAlign w:val="center"/>
            <w:hideMark/>
          </w:tcPr>
          <w:p w14:paraId="35A9B01C" w14:textId="3AF443FF" w:rsidR="008B4713" w:rsidRPr="007C3701" w:rsidRDefault="001B3C32" w:rsidP="004E0087">
            <w:pPr>
              <w:spacing w:after="0" w:line="240" w:lineRule="auto"/>
              <w:rPr>
                <w:rFonts w:ascii="Calibri" w:eastAsia="Times New Roman" w:hAnsi="Calibri" w:cs="Calibri"/>
                <w:color w:val="0563C1"/>
                <w:u w:val="single"/>
                <w:lang w:eastAsia="en-GB"/>
              </w:rPr>
            </w:pPr>
            <w:r>
              <w:t xml:space="preserve">Vibration Engineering Section, University of Exeter. </w:t>
            </w:r>
            <w:hyperlink r:id="rId211" w:history="1">
              <w:r w:rsidRPr="000562AF">
                <w:rPr>
                  <w:rStyle w:val="Hyperlink"/>
                  <w:rFonts w:ascii="Calibri" w:eastAsia="Times New Roman" w:hAnsi="Calibri" w:cs="Calibri"/>
                  <w:lang w:eastAsia="en-GB"/>
                </w:rPr>
                <w:t>https://emps.exeter.ac.uk/engineering/research/ves/about/</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07680B04"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31D2C98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324</w:t>
            </w:r>
          </w:p>
        </w:tc>
        <w:tc>
          <w:tcPr>
            <w:tcW w:w="9225" w:type="dxa"/>
            <w:tcBorders>
              <w:top w:val="nil"/>
              <w:left w:val="single" w:sz="4" w:space="0" w:color="auto"/>
              <w:bottom w:val="nil"/>
              <w:right w:val="single" w:sz="4" w:space="0" w:color="auto"/>
            </w:tcBorders>
            <w:shd w:val="clear" w:color="auto" w:fill="auto"/>
            <w:vAlign w:val="center"/>
            <w:hideMark/>
          </w:tcPr>
          <w:p w14:paraId="7E89CC1A" w14:textId="47E154BE"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Proceedings </w:t>
            </w:r>
            <w:r w:rsidR="001B3C32">
              <w:rPr>
                <w:rFonts w:ascii="Calibri" w:eastAsia="Times New Roman" w:hAnsi="Calibri" w:cs="Calibri"/>
                <w:color w:val="000000"/>
                <w:lang w:eastAsia="en-GB"/>
              </w:rPr>
              <w:t xml:space="preserve">of the Institution of Civil Engineers (journal). </w:t>
            </w:r>
            <w:hyperlink r:id="rId212" w:history="1">
              <w:r w:rsidR="001B3C32" w:rsidRPr="000562AF">
                <w:rPr>
                  <w:rStyle w:val="Hyperlink"/>
                  <w:rFonts w:ascii="Calibri" w:eastAsia="Times New Roman" w:hAnsi="Calibri" w:cs="Calibri"/>
                  <w:lang w:eastAsia="en-GB"/>
                </w:rPr>
                <w:t>https://www.icevirtuallibrary.com/toc/jcien/current</w:t>
              </w:r>
            </w:hyperlink>
            <w:r w:rsidR="001B3C32">
              <w:rPr>
                <w:rFonts w:ascii="Calibri" w:eastAsia="Times New Roman" w:hAnsi="Calibri" w:cs="Calibri"/>
                <w:color w:val="000000"/>
                <w:lang w:eastAsia="en-GB"/>
              </w:rPr>
              <w:t xml:space="preserve"> </w:t>
            </w:r>
            <w:r w:rsidR="00F34EA6">
              <w:rPr>
                <w:rFonts w:ascii="Calibri" w:eastAsia="Times New Roman" w:hAnsi="Calibri" w:cs="Calibri"/>
                <w:color w:val="000000"/>
                <w:lang w:eastAsia="en-GB"/>
              </w:rPr>
              <w:t xml:space="preserve"> (accessed 4 September 2019)</w:t>
            </w:r>
          </w:p>
        </w:tc>
      </w:tr>
      <w:tr w:rsidR="008B4713" w:rsidRPr="007C3701" w14:paraId="7C941D2F"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3D7B5ED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325</w:t>
            </w:r>
          </w:p>
        </w:tc>
        <w:tc>
          <w:tcPr>
            <w:tcW w:w="9225" w:type="dxa"/>
            <w:tcBorders>
              <w:top w:val="nil"/>
              <w:left w:val="single" w:sz="4" w:space="0" w:color="auto"/>
              <w:bottom w:val="nil"/>
              <w:right w:val="single" w:sz="4" w:space="0" w:color="auto"/>
            </w:tcBorders>
            <w:shd w:val="clear" w:color="auto" w:fill="auto"/>
            <w:vAlign w:val="center"/>
            <w:hideMark/>
          </w:tcPr>
          <w:p w14:paraId="40F11A8B" w14:textId="2A7CE553"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 xml:space="preserve">Advanced Engineering </w:t>
            </w:r>
            <w:r w:rsidR="001B3C32">
              <w:rPr>
                <w:rFonts w:ascii="Calibri" w:eastAsia="Times New Roman" w:hAnsi="Calibri" w:cs="Calibri"/>
                <w:color w:val="000000"/>
                <w:lang w:eastAsia="en-GB"/>
              </w:rPr>
              <w:t xml:space="preserve">Informatics (journal). </w:t>
            </w:r>
            <w:hyperlink r:id="rId213" w:history="1">
              <w:r w:rsidR="001B3C32" w:rsidRPr="000562AF">
                <w:rPr>
                  <w:rStyle w:val="Hyperlink"/>
                  <w:rFonts w:ascii="Calibri" w:eastAsia="Times New Roman" w:hAnsi="Calibri" w:cs="Calibri"/>
                  <w:lang w:eastAsia="en-GB"/>
                </w:rPr>
                <w:t>https://www.journals.elsevier.com/advanced-engineering-informatics</w:t>
              </w:r>
            </w:hyperlink>
            <w:r w:rsidR="001B3C32">
              <w:rPr>
                <w:rFonts w:ascii="Calibri" w:eastAsia="Times New Roman" w:hAnsi="Calibri" w:cs="Calibri"/>
                <w:color w:val="000000"/>
                <w:lang w:eastAsia="en-GB"/>
              </w:rPr>
              <w:t xml:space="preserve"> </w:t>
            </w:r>
            <w:r w:rsidR="00F34EA6">
              <w:rPr>
                <w:rFonts w:ascii="Calibri" w:eastAsia="Times New Roman" w:hAnsi="Calibri" w:cs="Calibri"/>
                <w:color w:val="000000"/>
                <w:lang w:eastAsia="en-GB"/>
              </w:rPr>
              <w:t>(accessed 4 September 2019)</w:t>
            </w:r>
          </w:p>
        </w:tc>
      </w:tr>
      <w:tr w:rsidR="008B4713" w:rsidRPr="007C3701" w14:paraId="22B1E4C4"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59309A58"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326</w:t>
            </w:r>
          </w:p>
        </w:tc>
        <w:tc>
          <w:tcPr>
            <w:tcW w:w="9225" w:type="dxa"/>
            <w:tcBorders>
              <w:top w:val="nil"/>
              <w:left w:val="single" w:sz="4" w:space="0" w:color="auto"/>
              <w:bottom w:val="nil"/>
              <w:right w:val="single" w:sz="4" w:space="0" w:color="auto"/>
            </w:tcBorders>
            <w:shd w:val="clear" w:color="auto" w:fill="auto"/>
            <w:vAlign w:val="center"/>
            <w:hideMark/>
          </w:tcPr>
          <w:p w14:paraId="389E0EFD" w14:textId="14767500" w:rsidR="008B4713" w:rsidRPr="007C3701" w:rsidRDefault="001B3C32"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Journal of Sound and Vision. </w:t>
            </w:r>
            <w:hyperlink r:id="rId214" w:history="1">
              <w:r w:rsidR="00F34EA6" w:rsidRPr="000562AF">
                <w:rPr>
                  <w:rStyle w:val="Hyperlink"/>
                  <w:rFonts w:ascii="Calibri" w:eastAsia="Times New Roman" w:hAnsi="Calibri" w:cs="Calibri"/>
                  <w:lang w:eastAsia="en-GB"/>
                </w:rPr>
                <w:t>https://www.journals.elsevier.com/journal-of-sound-and-vibration</w:t>
              </w:r>
            </w:hyperlink>
            <w:r w:rsidR="00F34EA6">
              <w:rPr>
                <w:rFonts w:ascii="Calibri" w:eastAsia="Times New Roman" w:hAnsi="Calibri" w:cs="Calibri"/>
                <w:color w:val="000000"/>
                <w:lang w:eastAsia="en-GB"/>
              </w:rPr>
              <w:t xml:space="preserve"> (accessed 4 September 2019)</w:t>
            </w:r>
          </w:p>
        </w:tc>
      </w:tr>
      <w:tr w:rsidR="008B4713" w:rsidRPr="007C3701" w14:paraId="53D68A28"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1DA1F96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327</w:t>
            </w:r>
          </w:p>
        </w:tc>
        <w:tc>
          <w:tcPr>
            <w:tcW w:w="9225" w:type="dxa"/>
            <w:tcBorders>
              <w:top w:val="nil"/>
              <w:left w:val="single" w:sz="4" w:space="0" w:color="auto"/>
              <w:bottom w:val="nil"/>
              <w:right w:val="single" w:sz="4" w:space="0" w:color="auto"/>
            </w:tcBorders>
            <w:shd w:val="clear" w:color="auto" w:fill="auto"/>
            <w:vAlign w:val="center"/>
            <w:hideMark/>
          </w:tcPr>
          <w:p w14:paraId="69EA128D" w14:textId="1F733E4B" w:rsidR="008B4713" w:rsidRPr="007C3701" w:rsidRDefault="001B3C32"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Mechanical Systems and Signal Processing (journal). </w:t>
            </w:r>
            <w:hyperlink r:id="rId215" w:history="1">
              <w:r w:rsidR="00F34EA6" w:rsidRPr="000562AF">
                <w:rPr>
                  <w:rStyle w:val="Hyperlink"/>
                  <w:rFonts w:ascii="Calibri" w:eastAsia="Times New Roman" w:hAnsi="Calibri" w:cs="Calibri"/>
                  <w:lang w:eastAsia="en-GB"/>
                </w:rPr>
                <w:t>https://www.journals.elsevier.com/mechanical-systems-and-signal-processing</w:t>
              </w:r>
            </w:hyperlink>
            <w:r w:rsidR="00F34EA6">
              <w:rPr>
                <w:rFonts w:ascii="Calibri" w:eastAsia="Times New Roman" w:hAnsi="Calibri" w:cs="Calibri"/>
                <w:color w:val="000000"/>
                <w:lang w:eastAsia="en-GB"/>
              </w:rPr>
              <w:t xml:space="preserve"> (accessed 4 September 2019)</w:t>
            </w:r>
          </w:p>
        </w:tc>
      </w:tr>
      <w:tr w:rsidR="008B4713" w:rsidRPr="007C3701" w14:paraId="5DC7A2B3"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687EFFB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328</w:t>
            </w:r>
          </w:p>
        </w:tc>
        <w:tc>
          <w:tcPr>
            <w:tcW w:w="9225" w:type="dxa"/>
            <w:tcBorders>
              <w:top w:val="nil"/>
              <w:left w:val="single" w:sz="4" w:space="0" w:color="auto"/>
              <w:bottom w:val="nil"/>
              <w:right w:val="single" w:sz="4" w:space="0" w:color="auto"/>
            </w:tcBorders>
            <w:shd w:val="clear" w:color="auto" w:fill="auto"/>
            <w:vAlign w:val="center"/>
            <w:hideMark/>
          </w:tcPr>
          <w:p w14:paraId="6B23F700" w14:textId="23298D0D"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16" w:history="1">
              <w:r w:rsidRPr="000562AF">
                <w:rPr>
                  <w:rStyle w:val="Hyperlink"/>
                  <w:rFonts w:ascii="Calibri" w:eastAsia="Times New Roman" w:hAnsi="Calibri" w:cs="Calibri"/>
                  <w:lang w:eastAsia="en-GB"/>
                </w:rPr>
                <w:t>http://gow.epsrc.ac.uk/NGBOViewGrant.aspx?GrantRef=EP/P020690/1</w:t>
              </w:r>
            </w:hyperlink>
            <w:r w:rsidR="00F34EA6">
              <w:rPr>
                <w:rFonts w:ascii="Calibri" w:eastAsia="Times New Roman" w:hAnsi="Calibri" w:cs="Calibri"/>
                <w:color w:val="000000"/>
                <w:lang w:eastAsia="en-GB"/>
              </w:rPr>
              <w:t>(accessed 4 September 2019)</w:t>
            </w:r>
          </w:p>
        </w:tc>
      </w:tr>
      <w:tr w:rsidR="008B4713" w:rsidRPr="007C3701" w14:paraId="3AB61150"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4EB995DA"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329</w:t>
            </w:r>
          </w:p>
        </w:tc>
        <w:tc>
          <w:tcPr>
            <w:tcW w:w="9225" w:type="dxa"/>
            <w:tcBorders>
              <w:top w:val="nil"/>
              <w:left w:val="single" w:sz="4" w:space="0" w:color="auto"/>
              <w:bottom w:val="nil"/>
              <w:right w:val="single" w:sz="4" w:space="0" w:color="auto"/>
            </w:tcBorders>
            <w:shd w:val="clear" w:color="auto" w:fill="auto"/>
            <w:vAlign w:val="center"/>
            <w:hideMark/>
          </w:tcPr>
          <w:p w14:paraId="40B6AA75" w14:textId="0C150258"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17" w:history="1">
              <w:r w:rsidR="008B4713" w:rsidRPr="007C3701">
                <w:rPr>
                  <w:rFonts w:ascii="Calibri" w:eastAsia="Times New Roman" w:hAnsi="Calibri" w:cs="Calibri"/>
                  <w:color w:val="0563C1"/>
                  <w:u w:val="single"/>
                  <w:lang w:eastAsia="en-GB"/>
                </w:rPr>
                <w:t>http://gow.epsrc.ac.uk/NGBOViewGrant.aspx?GrantRef=EP/P020704/1</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16F11DE5"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75C2F67D"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330</w:t>
            </w:r>
          </w:p>
        </w:tc>
        <w:tc>
          <w:tcPr>
            <w:tcW w:w="9225" w:type="dxa"/>
            <w:tcBorders>
              <w:top w:val="nil"/>
              <w:left w:val="single" w:sz="4" w:space="0" w:color="auto"/>
              <w:bottom w:val="nil"/>
              <w:right w:val="single" w:sz="4" w:space="0" w:color="auto"/>
            </w:tcBorders>
            <w:shd w:val="clear" w:color="auto" w:fill="auto"/>
            <w:vAlign w:val="center"/>
            <w:hideMark/>
          </w:tcPr>
          <w:p w14:paraId="5376FDBD" w14:textId="1D079C8C"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18" w:history="1">
              <w:r w:rsidR="008B4713" w:rsidRPr="007C3701">
                <w:rPr>
                  <w:rFonts w:ascii="Calibri" w:eastAsia="Times New Roman" w:hAnsi="Calibri" w:cs="Calibri"/>
                  <w:color w:val="0563C1"/>
                  <w:u w:val="single"/>
                  <w:lang w:eastAsia="en-GB"/>
                </w:rPr>
                <w:t>http://gow.epsrc.ac.uk/NGBOViewGrant.aspx?GrantRef=EP/G061130/1</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4B91BDCF"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3B1492B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331</w:t>
            </w:r>
          </w:p>
        </w:tc>
        <w:tc>
          <w:tcPr>
            <w:tcW w:w="9225" w:type="dxa"/>
            <w:tcBorders>
              <w:top w:val="nil"/>
              <w:left w:val="single" w:sz="4" w:space="0" w:color="auto"/>
              <w:bottom w:val="nil"/>
              <w:right w:val="single" w:sz="4" w:space="0" w:color="auto"/>
            </w:tcBorders>
            <w:shd w:val="clear" w:color="auto" w:fill="auto"/>
            <w:vAlign w:val="center"/>
            <w:hideMark/>
          </w:tcPr>
          <w:p w14:paraId="1F4C4221" w14:textId="480D71A3"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19" w:history="1">
              <w:r w:rsidR="008B4713" w:rsidRPr="007C3701">
                <w:rPr>
                  <w:rFonts w:ascii="Calibri" w:eastAsia="Times New Roman" w:hAnsi="Calibri" w:cs="Calibri"/>
                  <w:color w:val="0563C1"/>
                  <w:u w:val="single"/>
                  <w:lang w:eastAsia="en-GB"/>
                </w:rPr>
                <w:t>http://gow.epsrc.ac.uk/NGBOViewGrant.aspx?GrantRef=EP/E018734/1</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4F6A330B"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312B958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332</w:t>
            </w:r>
          </w:p>
        </w:tc>
        <w:tc>
          <w:tcPr>
            <w:tcW w:w="9225" w:type="dxa"/>
            <w:tcBorders>
              <w:top w:val="nil"/>
              <w:left w:val="single" w:sz="4" w:space="0" w:color="auto"/>
              <w:bottom w:val="nil"/>
              <w:right w:val="single" w:sz="4" w:space="0" w:color="auto"/>
            </w:tcBorders>
            <w:shd w:val="clear" w:color="auto" w:fill="auto"/>
            <w:vAlign w:val="center"/>
            <w:hideMark/>
          </w:tcPr>
          <w:p w14:paraId="70142206" w14:textId="46CD5EB2"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20" w:history="1">
              <w:r w:rsidR="008B4713" w:rsidRPr="007C3701">
                <w:rPr>
                  <w:rFonts w:ascii="Calibri" w:eastAsia="Times New Roman" w:hAnsi="Calibri" w:cs="Calibri"/>
                  <w:color w:val="0563C1"/>
                  <w:u w:val="single"/>
                  <w:lang w:eastAsia="en-GB"/>
                </w:rPr>
                <w:t xml:space="preserve">http://gow.epsrc.ac.uk/NGBOViewGrant.aspx?GrantRef=EP/P020690/1  </w:t>
              </w:r>
            </w:hyperlink>
            <w:r w:rsidR="00F34EA6">
              <w:rPr>
                <w:rFonts w:ascii="Calibri" w:eastAsia="Times New Roman" w:hAnsi="Calibri" w:cs="Calibri"/>
                <w:color w:val="000000"/>
                <w:lang w:eastAsia="en-GB"/>
              </w:rPr>
              <w:t>(accessed 4 September 2019)</w:t>
            </w:r>
          </w:p>
        </w:tc>
      </w:tr>
      <w:tr w:rsidR="008B4713" w:rsidRPr="007C3701" w14:paraId="3189B350"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3835185E"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333</w:t>
            </w:r>
          </w:p>
        </w:tc>
        <w:tc>
          <w:tcPr>
            <w:tcW w:w="9225" w:type="dxa"/>
            <w:tcBorders>
              <w:top w:val="nil"/>
              <w:left w:val="single" w:sz="4" w:space="0" w:color="auto"/>
              <w:bottom w:val="nil"/>
              <w:right w:val="single" w:sz="4" w:space="0" w:color="auto"/>
            </w:tcBorders>
            <w:shd w:val="clear" w:color="auto" w:fill="auto"/>
            <w:vAlign w:val="center"/>
            <w:hideMark/>
          </w:tcPr>
          <w:p w14:paraId="67F4B326" w14:textId="4FB69C65"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21" w:history="1">
              <w:r w:rsidR="00F34EA6" w:rsidRPr="000562AF">
                <w:rPr>
                  <w:rStyle w:val="Hyperlink"/>
                  <w:rFonts w:ascii="Calibri" w:eastAsia="Times New Roman" w:hAnsi="Calibri" w:cs="Calibri"/>
                  <w:lang w:eastAsia="en-GB"/>
                </w:rPr>
                <w:t>http://gow.epsrc.ac.uk/NGBOViewGrant.aspx?GrantRef=GR/L68742/01</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0065993C"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0AB0DD3B"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334</w:t>
            </w:r>
          </w:p>
        </w:tc>
        <w:tc>
          <w:tcPr>
            <w:tcW w:w="9225" w:type="dxa"/>
            <w:tcBorders>
              <w:top w:val="nil"/>
              <w:left w:val="single" w:sz="4" w:space="0" w:color="auto"/>
              <w:bottom w:val="nil"/>
              <w:right w:val="single" w:sz="4" w:space="0" w:color="auto"/>
            </w:tcBorders>
            <w:shd w:val="clear" w:color="auto" w:fill="auto"/>
            <w:vAlign w:val="center"/>
            <w:hideMark/>
          </w:tcPr>
          <w:p w14:paraId="3E23D9C1" w14:textId="2B9A9E57"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22" w:history="1">
              <w:r w:rsidR="00F34EA6" w:rsidRPr="000562AF">
                <w:rPr>
                  <w:rStyle w:val="Hyperlink"/>
                  <w:rFonts w:ascii="Calibri" w:eastAsia="Times New Roman" w:hAnsi="Calibri" w:cs="Calibri"/>
                  <w:lang w:eastAsia="en-GB"/>
                </w:rPr>
                <w:t>http://gow.epsrc.ac.uk/NGBOViewGrant.aspx?GrantRef=GR/S14924/01</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1478BC17"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54B4374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335</w:t>
            </w:r>
          </w:p>
        </w:tc>
        <w:tc>
          <w:tcPr>
            <w:tcW w:w="9225" w:type="dxa"/>
            <w:tcBorders>
              <w:top w:val="nil"/>
              <w:left w:val="single" w:sz="4" w:space="0" w:color="auto"/>
              <w:bottom w:val="nil"/>
              <w:right w:val="single" w:sz="4" w:space="0" w:color="auto"/>
            </w:tcBorders>
            <w:shd w:val="clear" w:color="auto" w:fill="auto"/>
            <w:vAlign w:val="center"/>
            <w:hideMark/>
          </w:tcPr>
          <w:p w14:paraId="20B9D6F8" w14:textId="65B94CAA"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23" w:history="1">
              <w:r w:rsidR="00F34EA6" w:rsidRPr="000562AF">
                <w:rPr>
                  <w:rStyle w:val="Hyperlink"/>
                  <w:rFonts w:ascii="Calibri" w:eastAsia="Times New Roman" w:hAnsi="Calibri" w:cs="Calibri"/>
                  <w:lang w:eastAsia="en-GB"/>
                </w:rPr>
                <w:t>http://gow.epsrc.ac.uk/NGBOViewGrant.aspx?GrantRef=GR/N38176/01</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1EC84D88"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76D4899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336</w:t>
            </w:r>
          </w:p>
        </w:tc>
        <w:tc>
          <w:tcPr>
            <w:tcW w:w="9225" w:type="dxa"/>
            <w:tcBorders>
              <w:top w:val="nil"/>
              <w:left w:val="single" w:sz="4" w:space="0" w:color="auto"/>
              <w:bottom w:val="nil"/>
              <w:right w:val="single" w:sz="4" w:space="0" w:color="auto"/>
            </w:tcBorders>
            <w:shd w:val="clear" w:color="auto" w:fill="auto"/>
            <w:vAlign w:val="center"/>
            <w:hideMark/>
          </w:tcPr>
          <w:p w14:paraId="52AF010E" w14:textId="10BF0687"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24" w:history="1">
              <w:r w:rsidR="008B4713" w:rsidRPr="007C3701">
                <w:rPr>
                  <w:rFonts w:ascii="Calibri" w:eastAsia="Times New Roman" w:hAnsi="Calibri" w:cs="Calibri"/>
                  <w:color w:val="0563C1"/>
                  <w:u w:val="single"/>
                  <w:lang w:eastAsia="en-GB"/>
                </w:rPr>
                <w:t>http://www.exeter.ac.uk/news/featurednews/title_574555_en.html</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0154ECBF" w14:textId="77777777" w:rsidTr="0040411F">
        <w:trPr>
          <w:trHeight w:val="300"/>
        </w:trPr>
        <w:tc>
          <w:tcPr>
            <w:tcW w:w="551" w:type="dxa"/>
            <w:tcBorders>
              <w:top w:val="nil"/>
              <w:left w:val="single" w:sz="4" w:space="0" w:color="auto"/>
              <w:bottom w:val="nil"/>
              <w:right w:val="nil"/>
            </w:tcBorders>
            <w:shd w:val="clear" w:color="auto" w:fill="auto"/>
            <w:noWrap/>
            <w:vAlign w:val="center"/>
            <w:hideMark/>
          </w:tcPr>
          <w:p w14:paraId="05530CE9"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337</w:t>
            </w:r>
          </w:p>
        </w:tc>
        <w:tc>
          <w:tcPr>
            <w:tcW w:w="9225" w:type="dxa"/>
            <w:tcBorders>
              <w:top w:val="nil"/>
              <w:left w:val="single" w:sz="4" w:space="0" w:color="auto"/>
              <w:bottom w:val="nil"/>
              <w:right w:val="single" w:sz="4" w:space="0" w:color="auto"/>
            </w:tcBorders>
            <w:shd w:val="clear" w:color="auto" w:fill="auto"/>
            <w:vAlign w:val="center"/>
            <w:hideMark/>
          </w:tcPr>
          <w:p w14:paraId="5E230A74" w14:textId="0B6A2AAF" w:rsidR="008B4713" w:rsidRPr="007C3701" w:rsidRDefault="001B3C32" w:rsidP="004E0087">
            <w:pPr>
              <w:spacing w:after="0" w:line="240" w:lineRule="auto"/>
              <w:rPr>
                <w:rFonts w:ascii="Calibri" w:eastAsia="Times New Roman" w:hAnsi="Calibri" w:cs="Calibri"/>
                <w:color w:val="0563C1"/>
                <w:u w:val="single"/>
                <w:lang w:eastAsia="en-GB"/>
              </w:rPr>
            </w:pPr>
            <w:r>
              <w:t xml:space="preserve">EPSRC Research Grant. </w:t>
            </w:r>
            <w:hyperlink r:id="rId225" w:history="1">
              <w:r w:rsidR="00F34EA6" w:rsidRPr="000562AF">
                <w:rPr>
                  <w:rStyle w:val="Hyperlink"/>
                  <w:rFonts w:ascii="Calibri" w:eastAsia="Times New Roman" w:hAnsi="Calibri" w:cs="Calibri"/>
                  <w:lang w:eastAsia="en-GB"/>
                </w:rPr>
                <w:t>http://gow.epsrc.ac.uk/NGBOViewGrant.aspx?GrantRef=GR/T03000/01</w:t>
              </w:r>
            </w:hyperlink>
            <w:r w:rsidR="00F34EA6">
              <w:rPr>
                <w:rFonts w:ascii="Calibri" w:eastAsia="Times New Roman" w:hAnsi="Calibri" w:cs="Calibri"/>
                <w:color w:val="0563C1"/>
                <w:u w:val="single"/>
                <w:lang w:eastAsia="en-GB"/>
              </w:rPr>
              <w:t xml:space="preserve"> </w:t>
            </w:r>
            <w:r w:rsidR="00F34EA6">
              <w:rPr>
                <w:rFonts w:ascii="Calibri" w:eastAsia="Times New Roman" w:hAnsi="Calibri" w:cs="Calibri"/>
                <w:color w:val="000000"/>
                <w:lang w:eastAsia="en-GB"/>
              </w:rPr>
              <w:t>(accessed 4 September 2019)</w:t>
            </w:r>
          </w:p>
        </w:tc>
      </w:tr>
      <w:tr w:rsidR="008B4713" w:rsidRPr="007C3701" w14:paraId="6ACDA268" w14:textId="77777777" w:rsidTr="004E0087">
        <w:trPr>
          <w:trHeight w:val="300"/>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0AFE61" w14:textId="77777777" w:rsidR="008B4713" w:rsidRPr="007C3701" w:rsidRDefault="008B4713" w:rsidP="004E0087">
            <w:pPr>
              <w:spacing w:after="0" w:line="240" w:lineRule="auto"/>
              <w:jc w:val="center"/>
              <w:rPr>
                <w:rFonts w:ascii="Calibri" w:eastAsia="Times New Roman" w:hAnsi="Calibri" w:cs="Calibri"/>
                <w:b/>
                <w:bCs/>
                <w:i/>
                <w:iCs/>
                <w:color w:val="000000"/>
                <w:lang w:eastAsia="en-GB"/>
              </w:rPr>
            </w:pPr>
            <w:r w:rsidRPr="007C3701">
              <w:rPr>
                <w:rFonts w:ascii="Calibri" w:eastAsia="Times New Roman" w:hAnsi="Calibri" w:cs="Calibri"/>
                <w:b/>
                <w:bCs/>
                <w:i/>
                <w:iCs/>
                <w:color w:val="000000"/>
                <w:lang w:eastAsia="en-GB"/>
              </w:rPr>
              <w:t>Body of Research 14.2</w:t>
            </w:r>
          </w:p>
        </w:tc>
      </w:tr>
      <w:tr w:rsidR="008B4713" w:rsidRPr="007C3701" w14:paraId="5D7A150A" w14:textId="77777777" w:rsidTr="004E0087">
        <w:trPr>
          <w:trHeight w:val="300"/>
        </w:trPr>
        <w:tc>
          <w:tcPr>
            <w:tcW w:w="551" w:type="dxa"/>
            <w:tcBorders>
              <w:top w:val="nil"/>
              <w:left w:val="single" w:sz="4" w:space="0" w:color="auto"/>
              <w:bottom w:val="nil"/>
              <w:right w:val="nil"/>
            </w:tcBorders>
            <w:shd w:val="clear" w:color="auto" w:fill="auto"/>
            <w:noWrap/>
            <w:vAlign w:val="center"/>
            <w:hideMark/>
          </w:tcPr>
          <w:p w14:paraId="6DDC6CF2"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338</w:t>
            </w:r>
          </w:p>
        </w:tc>
        <w:tc>
          <w:tcPr>
            <w:tcW w:w="9225" w:type="dxa"/>
            <w:tcBorders>
              <w:top w:val="nil"/>
              <w:left w:val="single" w:sz="4" w:space="0" w:color="auto"/>
              <w:bottom w:val="nil"/>
              <w:right w:val="single" w:sz="4" w:space="0" w:color="auto"/>
            </w:tcBorders>
            <w:shd w:val="clear" w:color="auto" w:fill="auto"/>
            <w:vAlign w:val="center"/>
            <w:hideMark/>
          </w:tcPr>
          <w:p w14:paraId="3C4C7D92" w14:textId="02F4338D" w:rsidR="008B4713" w:rsidRPr="007C3701" w:rsidRDefault="00507815"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Sheffield (2014). </w:t>
            </w:r>
            <w:r w:rsidR="008B4713" w:rsidRPr="007C3701">
              <w:rPr>
                <w:rFonts w:ascii="Calibri" w:eastAsia="Times New Roman" w:hAnsi="Calibri" w:cs="Calibri"/>
                <w:color w:val="000000"/>
                <w:lang w:eastAsia="en-GB"/>
              </w:rPr>
              <w:t>REF Impact Case Study no. 9502</w:t>
            </w:r>
            <w:r>
              <w:rPr>
                <w:rFonts w:ascii="Calibri" w:eastAsia="Times New Roman" w:hAnsi="Calibri" w:cs="Calibri"/>
                <w:color w:val="000000"/>
                <w:lang w:eastAsia="en-GB"/>
              </w:rPr>
              <w:t xml:space="preserve">. </w:t>
            </w:r>
            <w:hyperlink r:id="rId226" w:history="1">
              <w:r>
                <w:rPr>
                  <w:rStyle w:val="Hyperlink"/>
                </w:rPr>
                <w:t>https://results.ref.ac.uk/(S(5mhsdcrlek45dkop3v4uw5gx))/Submissions/Impact/70</w:t>
              </w:r>
            </w:hyperlink>
          </w:p>
        </w:tc>
      </w:tr>
      <w:tr w:rsidR="008B4713" w:rsidRPr="007C3701" w14:paraId="2704AED9"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2F861A0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339</w:t>
            </w:r>
          </w:p>
        </w:tc>
        <w:tc>
          <w:tcPr>
            <w:tcW w:w="9225" w:type="dxa"/>
            <w:tcBorders>
              <w:top w:val="nil"/>
              <w:left w:val="single" w:sz="4" w:space="0" w:color="auto"/>
              <w:bottom w:val="nil"/>
              <w:right w:val="single" w:sz="4" w:space="0" w:color="auto"/>
            </w:tcBorders>
            <w:shd w:val="clear" w:color="auto" w:fill="auto"/>
            <w:vAlign w:val="center"/>
            <w:hideMark/>
          </w:tcPr>
          <w:p w14:paraId="46A0EF2F"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Boxall, J.B., and Saul, A.J. (2005) ‘Modelling discolouration in potable water distribution systems’. Journal Environmental Engineering ASCE. Vol 131, No. 5. pp 716-725. doi: 10.1061/(ASCE)0733-9372(2005)131:5(716)</w:t>
            </w:r>
          </w:p>
        </w:tc>
      </w:tr>
      <w:tr w:rsidR="008B4713" w:rsidRPr="007C3701" w14:paraId="47BFBAA3" w14:textId="77777777" w:rsidTr="00211FA4">
        <w:trPr>
          <w:trHeight w:val="588"/>
        </w:trPr>
        <w:tc>
          <w:tcPr>
            <w:tcW w:w="551" w:type="dxa"/>
            <w:tcBorders>
              <w:top w:val="nil"/>
              <w:left w:val="single" w:sz="4" w:space="0" w:color="auto"/>
              <w:bottom w:val="nil"/>
              <w:right w:val="nil"/>
            </w:tcBorders>
            <w:shd w:val="clear" w:color="auto" w:fill="auto"/>
            <w:noWrap/>
            <w:vAlign w:val="center"/>
            <w:hideMark/>
          </w:tcPr>
          <w:p w14:paraId="79B48D53"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340</w:t>
            </w:r>
          </w:p>
        </w:tc>
        <w:tc>
          <w:tcPr>
            <w:tcW w:w="9225" w:type="dxa"/>
            <w:tcBorders>
              <w:top w:val="nil"/>
              <w:left w:val="single" w:sz="4" w:space="0" w:color="auto"/>
              <w:bottom w:val="nil"/>
              <w:right w:val="single" w:sz="4" w:space="0" w:color="auto"/>
            </w:tcBorders>
            <w:shd w:val="clear" w:color="auto" w:fill="auto"/>
            <w:vAlign w:val="center"/>
            <w:hideMark/>
          </w:tcPr>
          <w:p w14:paraId="1E9EA8D5"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Husband P.S., Boxall J.B. and Saul A.J. (2008) ‘Laboratory studies investigating the processes leading to discolouration in water distribution networks’ Water Research Vol. 42, No. 16, pp 4309-4318. doi: 10.1016/j.watres.2008.07.026</w:t>
            </w:r>
          </w:p>
        </w:tc>
      </w:tr>
      <w:tr w:rsidR="008B4713" w:rsidRPr="007C3701" w14:paraId="287A4B69" w14:textId="77777777" w:rsidTr="00211FA4">
        <w:trPr>
          <w:trHeight w:val="724"/>
        </w:trPr>
        <w:tc>
          <w:tcPr>
            <w:tcW w:w="551" w:type="dxa"/>
            <w:tcBorders>
              <w:top w:val="nil"/>
              <w:left w:val="single" w:sz="4" w:space="0" w:color="auto"/>
              <w:bottom w:val="nil"/>
              <w:right w:val="nil"/>
            </w:tcBorders>
            <w:shd w:val="clear" w:color="auto" w:fill="auto"/>
            <w:noWrap/>
            <w:vAlign w:val="center"/>
            <w:hideMark/>
          </w:tcPr>
          <w:p w14:paraId="2167CF1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341</w:t>
            </w:r>
          </w:p>
        </w:tc>
        <w:tc>
          <w:tcPr>
            <w:tcW w:w="9225" w:type="dxa"/>
            <w:tcBorders>
              <w:top w:val="nil"/>
              <w:left w:val="single" w:sz="4" w:space="0" w:color="auto"/>
              <w:bottom w:val="nil"/>
              <w:right w:val="single" w:sz="4" w:space="0" w:color="auto"/>
            </w:tcBorders>
            <w:shd w:val="clear" w:color="auto" w:fill="auto"/>
            <w:vAlign w:val="center"/>
            <w:hideMark/>
          </w:tcPr>
          <w:p w14:paraId="268070F6"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Husband, P.S. and Boxall J.B. (2010) ‘Field Studies of Discolouration in Water Distribution Systems: Model Verification and Practical Implications’ J. Environmental Engineering, ASCE, Vol. 136. Vol. 136, No.1, pp 86-94. doi: 10.1061/(ASCE)EE.1943-7870.0000115</w:t>
            </w:r>
          </w:p>
        </w:tc>
      </w:tr>
      <w:tr w:rsidR="008B4713" w:rsidRPr="007C3701" w14:paraId="06496C90" w14:textId="77777777" w:rsidTr="004E0087">
        <w:trPr>
          <w:trHeight w:val="600"/>
        </w:trPr>
        <w:tc>
          <w:tcPr>
            <w:tcW w:w="551" w:type="dxa"/>
            <w:tcBorders>
              <w:top w:val="nil"/>
              <w:left w:val="single" w:sz="4" w:space="0" w:color="auto"/>
              <w:bottom w:val="nil"/>
              <w:right w:val="nil"/>
            </w:tcBorders>
            <w:shd w:val="clear" w:color="auto" w:fill="auto"/>
            <w:noWrap/>
            <w:vAlign w:val="center"/>
            <w:hideMark/>
          </w:tcPr>
          <w:p w14:paraId="76ABBDE7"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342</w:t>
            </w:r>
          </w:p>
        </w:tc>
        <w:tc>
          <w:tcPr>
            <w:tcW w:w="9225" w:type="dxa"/>
            <w:tcBorders>
              <w:top w:val="nil"/>
              <w:left w:val="single" w:sz="4" w:space="0" w:color="auto"/>
              <w:bottom w:val="nil"/>
              <w:right w:val="single" w:sz="4" w:space="0" w:color="auto"/>
            </w:tcBorders>
            <w:shd w:val="clear" w:color="auto" w:fill="auto"/>
            <w:vAlign w:val="center"/>
            <w:hideMark/>
          </w:tcPr>
          <w:p w14:paraId="35A1410D"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Husband, P.S. and Boxall J.B. (2011) ‘Asset deterioration and discolouration in water distribution systems’ Water Research, Vol. 45, No. 1, pp 113-124 doi: 10.1016/j.watres.2010.08.021</w:t>
            </w:r>
          </w:p>
        </w:tc>
      </w:tr>
      <w:tr w:rsidR="008B4713" w:rsidRPr="007C3701" w14:paraId="15B15387" w14:textId="77777777" w:rsidTr="00211FA4">
        <w:trPr>
          <w:trHeight w:val="659"/>
        </w:trPr>
        <w:tc>
          <w:tcPr>
            <w:tcW w:w="551" w:type="dxa"/>
            <w:tcBorders>
              <w:top w:val="nil"/>
              <w:left w:val="single" w:sz="4" w:space="0" w:color="auto"/>
              <w:bottom w:val="nil"/>
              <w:right w:val="nil"/>
            </w:tcBorders>
            <w:shd w:val="clear" w:color="auto" w:fill="auto"/>
            <w:noWrap/>
            <w:vAlign w:val="center"/>
            <w:hideMark/>
          </w:tcPr>
          <w:p w14:paraId="49D685D0"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343</w:t>
            </w:r>
          </w:p>
        </w:tc>
        <w:tc>
          <w:tcPr>
            <w:tcW w:w="9225" w:type="dxa"/>
            <w:tcBorders>
              <w:top w:val="nil"/>
              <w:left w:val="single" w:sz="4" w:space="0" w:color="auto"/>
              <w:bottom w:val="nil"/>
              <w:right w:val="single" w:sz="4" w:space="0" w:color="auto"/>
            </w:tcBorders>
            <w:shd w:val="clear" w:color="auto" w:fill="auto"/>
            <w:vAlign w:val="center"/>
            <w:hideMark/>
          </w:tcPr>
          <w:p w14:paraId="45D84A90"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Husband, P.S., Whitehead, J. and Boxall, J.B. (2010) ‘The Role of Trunk Mains in Discolouration’ Proc. of the Institution of Civil Engineers, Water Management, Vol. 163 Issue WM8 pp 397-406. doi: 10.1680/wama.900063</w:t>
            </w:r>
          </w:p>
        </w:tc>
      </w:tr>
      <w:tr w:rsidR="008B4713" w:rsidRPr="007C3701" w14:paraId="41D15D7D" w14:textId="77777777" w:rsidTr="00211FA4">
        <w:trPr>
          <w:trHeight w:val="724"/>
        </w:trPr>
        <w:tc>
          <w:tcPr>
            <w:tcW w:w="551" w:type="dxa"/>
            <w:tcBorders>
              <w:top w:val="nil"/>
              <w:left w:val="single" w:sz="4" w:space="0" w:color="auto"/>
              <w:bottom w:val="nil"/>
              <w:right w:val="nil"/>
            </w:tcBorders>
            <w:shd w:val="clear" w:color="auto" w:fill="auto"/>
            <w:noWrap/>
            <w:vAlign w:val="center"/>
            <w:hideMark/>
          </w:tcPr>
          <w:p w14:paraId="4EDE140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344</w:t>
            </w:r>
          </w:p>
        </w:tc>
        <w:tc>
          <w:tcPr>
            <w:tcW w:w="9225" w:type="dxa"/>
            <w:tcBorders>
              <w:top w:val="nil"/>
              <w:left w:val="single" w:sz="4" w:space="0" w:color="auto"/>
              <w:bottom w:val="nil"/>
              <w:right w:val="single" w:sz="4" w:space="0" w:color="auto"/>
            </w:tcBorders>
            <w:shd w:val="clear" w:color="auto" w:fill="auto"/>
            <w:vAlign w:val="center"/>
            <w:hideMark/>
          </w:tcPr>
          <w:p w14:paraId="38B2E393" w14:textId="77777777" w:rsidR="008B4713" w:rsidRPr="007C3701" w:rsidRDefault="008B4713" w:rsidP="004E0087">
            <w:pPr>
              <w:spacing w:after="0" w:line="240" w:lineRule="auto"/>
              <w:rPr>
                <w:rFonts w:ascii="Calibri" w:eastAsia="Times New Roman" w:hAnsi="Calibri" w:cs="Calibri"/>
                <w:color w:val="000000"/>
                <w:lang w:eastAsia="en-GB"/>
              </w:rPr>
            </w:pPr>
            <w:r w:rsidRPr="007C3701">
              <w:rPr>
                <w:rFonts w:ascii="Calibri" w:eastAsia="Times New Roman" w:hAnsi="Calibri" w:cs="Calibri"/>
                <w:color w:val="000000"/>
                <w:lang w:eastAsia="en-GB"/>
              </w:rPr>
              <w:t>Boxall, J.B. and Prince, R.A. (2006) ‘Modelling discolouration in a Melbourne (Australia) potable water distribution System’ Journal of Water Supply: Research and Technology - AQUA. Vol. 55, No. 3, pp. 207-219. doi: 10.2166/aqua.2006.029</w:t>
            </w:r>
          </w:p>
        </w:tc>
      </w:tr>
      <w:tr w:rsidR="008B4713" w:rsidRPr="007C3701" w14:paraId="362C5301" w14:textId="77777777" w:rsidTr="00433AE4">
        <w:trPr>
          <w:trHeight w:val="300"/>
        </w:trPr>
        <w:tc>
          <w:tcPr>
            <w:tcW w:w="551" w:type="dxa"/>
            <w:tcBorders>
              <w:top w:val="nil"/>
              <w:left w:val="single" w:sz="4" w:space="0" w:color="auto"/>
              <w:bottom w:val="single" w:sz="4" w:space="0" w:color="auto"/>
              <w:right w:val="nil"/>
            </w:tcBorders>
            <w:shd w:val="clear" w:color="auto" w:fill="auto"/>
            <w:noWrap/>
            <w:vAlign w:val="center"/>
            <w:hideMark/>
          </w:tcPr>
          <w:p w14:paraId="17FC4B25" w14:textId="77777777" w:rsidR="008B4713" w:rsidRPr="007C3701" w:rsidRDefault="008B4713" w:rsidP="004E0087">
            <w:pPr>
              <w:spacing w:after="0" w:line="240" w:lineRule="auto"/>
              <w:jc w:val="right"/>
              <w:rPr>
                <w:rFonts w:ascii="Calibri" w:eastAsia="Times New Roman" w:hAnsi="Calibri" w:cs="Calibri"/>
                <w:color w:val="000000"/>
                <w:lang w:eastAsia="en-GB"/>
              </w:rPr>
            </w:pPr>
            <w:r w:rsidRPr="007C3701">
              <w:rPr>
                <w:rFonts w:ascii="Calibri" w:eastAsia="Times New Roman" w:hAnsi="Calibri" w:cs="Calibri"/>
                <w:color w:val="000000"/>
                <w:lang w:eastAsia="en-GB"/>
              </w:rPr>
              <w:t>345</w:t>
            </w:r>
          </w:p>
        </w:tc>
        <w:tc>
          <w:tcPr>
            <w:tcW w:w="9225" w:type="dxa"/>
            <w:tcBorders>
              <w:top w:val="nil"/>
              <w:left w:val="single" w:sz="4" w:space="0" w:color="auto"/>
              <w:bottom w:val="single" w:sz="4" w:space="0" w:color="auto"/>
              <w:right w:val="single" w:sz="4" w:space="0" w:color="auto"/>
            </w:tcBorders>
            <w:shd w:val="clear" w:color="auto" w:fill="auto"/>
            <w:vAlign w:val="center"/>
            <w:hideMark/>
          </w:tcPr>
          <w:p w14:paraId="44DB8FE6" w14:textId="6D6A4FA2" w:rsidR="008B4713" w:rsidRPr="007C3701" w:rsidRDefault="00717BAF" w:rsidP="004E008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University of Sheffield. </w:t>
            </w:r>
            <w:r w:rsidR="008B4713" w:rsidRPr="007C3701">
              <w:rPr>
                <w:rFonts w:ascii="Calibri" w:eastAsia="Times New Roman" w:hAnsi="Calibri" w:cs="Calibri"/>
                <w:color w:val="000000"/>
                <w:lang w:eastAsia="en-GB"/>
              </w:rPr>
              <w:t>PODDS</w:t>
            </w:r>
            <w:r w:rsidR="0036696A">
              <w:rPr>
                <w:rFonts w:ascii="Calibri" w:eastAsia="Times New Roman" w:hAnsi="Calibri" w:cs="Calibri"/>
                <w:color w:val="000000"/>
                <w:lang w:eastAsia="en-GB"/>
              </w:rPr>
              <w:t xml:space="preserve">. </w:t>
            </w:r>
            <w:hyperlink r:id="rId227" w:history="1">
              <w:r w:rsidR="0025352F" w:rsidRPr="000562AF">
                <w:rPr>
                  <w:rStyle w:val="Hyperlink"/>
                  <w:rFonts w:ascii="Calibri" w:eastAsia="Times New Roman" w:hAnsi="Calibri" w:cs="Calibri"/>
                  <w:lang w:eastAsia="en-GB"/>
                </w:rPr>
                <w:t>https://podds.group.shef.ac.uk/</w:t>
              </w:r>
            </w:hyperlink>
            <w:r w:rsidR="0025352F">
              <w:rPr>
                <w:rFonts w:ascii="Calibri" w:eastAsia="Times New Roman" w:hAnsi="Calibri" w:cs="Calibri"/>
                <w:color w:val="000000"/>
                <w:lang w:eastAsia="en-GB"/>
              </w:rPr>
              <w:t xml:space="preserve"> (accessed 4 September 2019)</w:t>
            </w:r>
          </w:p>
        </w:tc>
      </w:tr>
    </w:tbl>
    <w:p w14:paraId="5D792F25" w14:textId="77777777" w:rsidR="008B4713" w:rsidRDefault="008B4713" w:rsidP="008B4713"/>
    <w:p w14:paraId="3F470B6C" w14:textId="77777777" w:rsidR="00272012" w:rsidRDefault="00272012" w:rsidP="00272012">
      <w:pPr>
        <w:rPr>
          <w:rFonts w:eastAsiaTheme="majorEastAsia" w:cstheme="majorBidi"/>
          <w:color w:val="2F5496" w:themeColor="accent1" w:themeShade="BF"/>
          <w:sz w:val="28"/>
          <w:szCs w:val="26"/>
        </w:rPr>
      </w:pPr>
      <w:r>
        <w:br w:type="page"/>
      </w:r>
    </w:p>
    <w:p w14:paraId="238DFEC9" w14:textId="4F5010A0" w:rsidR="00272012" w:rsidRDefault="00272012" w:rsidP="00272012">
      <w:pPr>
        <w:pStyle w:val="Heading2"/>
      </w:pPr>
      <w:bookmarkStart w:id="258" w:name="_Toc536717995"/>
      <w:bookmarkStart w:id="259" w:name="_Toc31702018"/>
      <w:r>
        <w:t xml:space="preserve">Appendix </w:t>
      </w:r>
      <w:r w:rsidR="004D3BA5">
        <w:t>D</w:t>
      </w:r>
      <w:r>
        <w:t>. Narrative accounts and plotted typologies of sampled Bo</w:t>
      </w:r>
      <w:r w:rsidR="00A9238D">
        <w:t>dies of Research (BoRs</w:t>
      </w:r>
      <w:r>
        <w:t>)</w:t>
      </w:r>
      <w:bookmarkEnd w:id="258"/>
      <w:bookmarkEnd w:id="259"/>
    </w:p>
    <w:p w14:paraId="2914FD85" w14:textId="2D4EA6CF" w:rsidR="00576B63" w:rsidRPr="00576B63" w:rsidRDefault="00536D71" w:rsidP="00576B63">
      <w:pPr>
        <w:spacing w:after="120" w:line="360" w:lineRule="auto"/>
        <w:rPr>
          <w:sz w:val="24"/>
          <w:szCs w:val="24"/>
        </w:rPr>
      </w:pPr>
      <w:r>
        <w:rPr>
          <w:sz w:val="24"/>
          <w:szCs w:val="24"/>
        </w:rPr>
        <w:t xml:space="preserve">I group the narratives of the n=19 bodies of research (BoRs) according to the ten different departmental, or ‘Unit of Analysis’ (UoA) REF2014 submissions with which they are associated. Under each BoR is its plotted typology. </w:t>
      </w:r>
      <w:r w:rsidR="000B78E8">
        <w:rPr>
          <w:sz w:val="24"/>
          <w:szCs w:val="24"/>
        </w:rPr>
        <w:t>I provide some brief context of each department before describing the BoRs sampled from it.</w:t>
      </w:r>
      <w:r>
        <w:rPr>
          <w:sz w:val="24"/>
          <w:szCs w:val="24"/>
        </w:rPr>
        <w:t xml:space="preserve"> </w:t>
      </w:r>
    </w:p>
    <w:p w14:paraId="67295E42" w14:textId="6DFA0735" w:rsidR="00272012" w:rsidRDefault="0093259B" w:rsidP="00272012">
      <w:pPr>
        <w:pStyle w:val="Heading3"/>
      </w:pPr>
      <w:bookmarkStart w:id="260" w:name="_Toc531007170"/>
      <w:bookmarkStart w:id="261" w:name="_Toc536717996"/>
      <w:bookmarkStart w:id="262" w:name="_Toc31702019"/>
      <w:r>
        <w:t xml:space="preserve">BoRs sampled from </w:t>
      </w:r>
      <w:r w:rsidR="00272012">
        <w:t>UoA 1</w:t>
      </w:r>
      <w:bookmarkEnd w:id="260"/>
      <w:bookmarkEnd w:id="261"/>
      <w:bookmarkEnd w:id="262"/>
    </w:p>
    <w:p w14:paraId="7E9CD7C0" w14:textId="79B0DDE5" w:rsidR="00272012" w:rsidRPr="00E00AD0" w:rsidRDefault="00272012" w:rsidP="00AB6F5B">
      <w:pPr>
        <w:spacing w:after="120" w:line="360" w:lineRule="auto"/>
        <w:rPr>
          <w:sz w:val="24"/>
          <w:szCs w:val="24"/>
        </w:rPr>
      </w:pPr>
      <w:r>
        <w:rPr>
          <w:sz w:val="24"/>
          <w:szCs w:val="24"/>
        </w:rPr>
        <w:t xml:space="preserve">The five Impact Case Studies sampled from the nineteen which formed Glasgow’s UoA 1 submission are based on research in the Institute of Cardiovascular &amp; Medical Sciences (ICMS). ICMS, like the broader College of Medical, Veterinary and Life Sciences within which it is situated, supports collaborations between clinical experts and life scientists. </w:t>
      </w:r>
      <w:r w:rsidR="00AB6F5B">
        <w:rPr>
          <w:sz w:val="24"/>
          <w:szCs w:val="24"/>
        </w:rPr>
        <w:t xml:space="preserve">The five Impact Case Studies contribute to two distinct bodies of research (BoRs). </w:t>
      </w:r>
    </w:p>
    <w:p w14:paraId="620DD290" w14:textId="1F846CD5" w:rsidR="00272012" w:rsidRDefault="00656D42" w:rsidP="00272012">
      <w:pPr>
        <w:pStyle w:val="Heading4"/>
      </w:pPr>
      <w:r>
        <w:t>Body of Research 1.1</w:t>
      </w:r>
      <w:r w:rsidR="00187BD3">
        <w:t>: ‘Diagnosing and Treating Cardiovascular Conditions’</w:t>
      </w:r>
    </w:p>
    <w:p w14:paraId="4753DB38" w14:textId="6EE2288C" w:rsidR="00272012" w:rsidRDefault="00272012" w:rsidP="00272012">
      <w:pPr>
        <w:spacing w:after="120" w:line="360" w:lineRule="auto"/>
        <w:rPr>
          <w:sz w:val="24"/>
          <w:szCs w:val="24"/>
        </w:rPr>
      </w:pPr>
      <w:r w:rsidRPr="00FC33ED">
        <w:rPr>
          <w:sz w:val="24"/>
          <w:szCs w:val="24"/>
        </w:rPr>
        <w:t>Title</w:t>
      </w:r>
      <w:r>
        <w:rPr>
          <w:sz w:val="24"/>
          <w:szCs w:val="24"/>
        </w:rPr>
        <w:t>s</w:t>
      </w:r>
      <w:r w:rsidR="00656D42">
        <w:rPr>
          <w:sz w:val="24"/>
          <w:szCs w:val="24"/>
        </w:rPr>
        <w:t xml:space="preserve"> of relevant REF Impact Case Studies</w:t>
      </w:r>
      <w:r w:rsidRPr="00FC33ED">
        <w:rPr>
          <w:sz w:val="24"/>
          <w:szCs w:val="24"/>
        </w:rPr>
        <w:t>:</w:t>
      </w:r>
      <w:r>
        <w:rPr>
          <w:sz w:val="24"/>
          <w:szCs w:val="24"/>
        </w:rPr>
        <w:t xml:space="preserve"> </w:t>
      </w:r>
      <w:r w:rsidRPr="00FC33ED">
        <w:rPr>
          <w:sz w:val="24"/>
          <w:szCs w:val="24"/>
        </w:rPr>
        <w:t xml:space="preserve"> </w:t>
      </w:r>
      <w:r>
        <w:rPr>
          <w:sz w:val="24"/>
          <w:szCs w:val="24"/>
        </w:rPr>
        <w:br/>
        <w:t>‘Advancing heart disease diagnosis – influencing international guidelines and commercial adoption of automated ECG analysis software’</w:t>
      </w:r>
    </w:p>
    <w:p w14:paraId="770DC550" w14:textId="706E33CE" w:rsidR="00272012" w:rsidRDefault="00272012" w:rsidP="00272012">
      <w:pPr>
        <w:spacing w:after="120" w:line="360" w:lineRule="auto"/>
        <w:rPr>
          <w:sz w:val="24"/>
          <w:szCs w:val="24"/>
        </w:rPr>
      </w:pPr>
      <w:r>
        <w:rPr>
          <w:sz w:val="24"/>
          <w:szCs w:val="24"/>
        </w:rPr>
        <w:t>‘Global adoption of statins for cardiovascular disease prevention’</w:t>
      </w:r>
    </w:p>
    <w:p w14:paraId="66578353" w14:textId="335EB6B9" w:rsidR="00272012" w:rsidRDefault="00272012" w:rsidP="00272012">
      <w:pPr>
        <w:spacing w:after="120" w:line="360" w:lineRule="auto"/>
        <w:rPr>
          <w:sz w:val="24"/>
          <w:szCs w:val="24"/>
        </w:rPr>
      </w:pPr>
      <w:r>
        <w:rPr>
          <w:sz w:val="24"/>
          <w:szCs w:val="24"/>
        </w:rPr>
        <w:t>‘Statin therapy: Patient selection, clinical guidelines and revision of safety labelling’</w:t>
      </w:r>
    </w:p>
    <w:p w14:paraId="6931F019" w14:textId="719C54DD" w:rsidR="00272012" w:rsidRDefault="00272012" w:rsidP="00272012">
      <w:pPr>
        <w:spacing w:after="120" w:line="360" w:lineRule="auto"/>
        <w:rPr>
          <w:sz w:val="24"/>
          <w:szCs w:val="24"/>
        </w:rPr>
      </w:pPr>
      <w:r w:rsidRPr="00FC33ED">
        <w:rPr>
          <w:sz w:val="24"/>
          <w:szCs w:val="24"/>
          <w:u w:val="single"/>
        </w:rPr>
        <w:t xml:space="preserve">Phase 1. </w:t>
      </w:r>
      <w:r>
        <w:rPr>
          <w:sz w:val="24"/>
          <w:szCs w:val="24"/>
          <w:u w:val="single"/>
        </w:rPr>
        <w:t>Diagnosis of cardiovascular conditions using automated analysis and interpretation</w:t>
      </w:r>
      <w:r>
        <w:rPr>
          <w:sz w:val="24"/>
          <w:szCs w:val="24"/>
          <w:u w:val="single"/>
        </w:rPr>
        <w:br/>
      </w:r>
      <w:r>
        <w:rPr>
          <w:sz w:val="24"/>
          <w:szCs w:val="24"/>
        </w:rPr>
        <w:t xml:space="preserve">An electrocardiogram (ECG) is a test whereby nodes are attached to a patient’s chest to measure the heart’s electrical activity, enabling the detection of abnormal activity and, potentially, diagnosis of underlying cardiovascular conditions. However, the accurate interpretation of ECG results in clinical contexts is complicated by the fact that what counts as ‘normal’ electrical activity varies from patient to patient, including across demographic characteristics such as age, gender and ethnicity. Glasgow’s ICMS researchers pioneered automated ECG analysis and interpretation of ECG results since the 1980s. From the 1990s, they began systematically studying the variations associated with these demographic characteristics and incorporating them into the automated diagnostic algorithms. Thanks to continuing refinement of the algorithms, automated ECG’s capabilities have now been found to be, on average, comparable, or even superior, to that of specialist cardiologists in diagnosing certain conditions. </w:t>
      </w:r>
    </w:p>
    <w:p w14:paraId="3BD4CF37" w14:textId="77777777" w:rsidR="00272012" w:rsidRPr="001E7D6C" w:rsidRDefault="00272012" w:rsidP="00272012">
      <w:pPr>
        <w:spacing w:after="120" w:line="360" w:lineRule="auto"/>
        <w:rPr>
          <w:sz w:val="24"/>
          <w:szCs w:val="24"/>
        </w:rPr>
      </w:pPr>
      <w:r>
        <w:rPr>
          <w:sz w:val="24"/>
          <w:szCs w:val="24"/>
        </w:rPr>
        <w:t xml:space="preserve">Research under Phase 1 has generally been conducted as a core ICMS capability in partnership with local hospitals and therefore has no specific grant funding associated with it. The advances made by ICMS have influenced international diagnostic guidelines. Additionally, ICMS’ ECG algorithms have been commercialised and incorporated into many leading medical devices. As well as generating revenue and aiding accurate and efficient diagnosis for millions of patients each year, ICMS’ ECG algorithms have been crucial to the efficiency of large-scale, industry-funded trials of cardiovascular treatment drugs, as can be seen in Phase 2. </w:t>
      </w:r>
    </w:p>
    <w:p w14:paraId="6E1E4C8A" w14:textId="38D63544" w:rsidR="00272012" w:rsidRPr="00F67F1A" w:rsidRDefault="00272012" w:rsidP="00272012">
      <w:pPr>
        <w:spacing w:after="120" w:line="360" w:lineRule="auto"/>
        <w:rPr>
          <w:sz w:val="24"/>
          <w:szCs w:val="24"/>
          <w:u w:val="single"/>
        </w:rPr>
      </w:pPr>
      <w:r w:rsidRPr="00FC33ED">
        <w:rPr>
          <w:sz w:val="24"/>
          <w:szCs w:val="24"/>
          <w:u w:val="single"/>
        </w:rPr>
        <w:t>Phase 2.</w:t>
      </w:r>
      <w:r>
        <w:rPr>
          <w:sz w:val="24"/>
          <w:szCs w:val="24"/>
          <w:u w:val="single"/>
        </w:rPr>
        <w:t xml:space="preserve"> Randomised controlled trials of cardiovascular treatments (statins)</w:t>
      </w:r>
      <w:r>
        <w:rPr>
          <w:sz w:val="24"/>
          <w:szCs w:val="24"/>
          <w:u w:val="single"/>
        </w:rPr>
        <w:br/>
      </w:r>
      <w:r>
        <w:rPr>
          <w:sz w:val="24"/>
          <w:szCs w:val="24"/>
        </w:rPr>
        <w:t xml:space="preserve">High cholesterol levels are the main modifiable risk factor for cardiovascular disease, such as heart attacks. Statins are a class of drugs which lower cholesterol levels and are therefore potentially valuable as a treatment for the prevention of cardiovascular disease. From the 1990s, ICMS researchers conducted large, industry-sponsored randomised controlled trials of commercial statins. Due to the large sample and the multiple measurements required of each of the several thousand participants, accurate automated ECG readings and interpretations, enabled by the algorithms developed by ICMS in Phase 1, were crucial to the efficiency, reliability and feasibility of these trials in Phase 2. The results of the trials found significant reductions in heart attacks and heart disease in the statin group. </w:t>
      </w:r>
    </w:p>
    <w:p w14:paraId="1B6B48FD" w14:textId="77777777" w:rsidR="00272012" w:rsidRPr="00A7562B" w:rsidRDefault="00272012" w:rsidP="00272012">
      <w:pPr>
        <w:spacing w:after="120" w:line="360" w:lineRule="auto"/>
        <w:rPr>
          <w:sz w:val="24"/>
          <w:szCs w:val="24"/>
        </w:rPr>
      </w:pPr>
      <w:r>
        <w:rPr>
          <w:sz w:val="24"/>
          <w:szCs w:val="24"/>
        </w:rPr>
        <w:t xml:space="preserve">Although the original trials were funded mainly by industry, recent follow-up analyses of the lasting benefits of statins have been supported mainly by other public and charitable organisations. </w:t>
      </w:r>
    </w:p>
    <w:p w14:paraId="7DDBD950" w14:textId="038D76CC" w:rsidR="00272012" w:rsidRDefault="00272012" w:rsidP="00272012">
      <w:pPr>
        <w:tabs>
          <w:tab w:val="left" w:pos="4821"/>
        </w:tabs>
        <w:spacing w:after="120" w:line="360" w:lineRule="auto"/>
        <w:rPr>
          <w:sz w:val="24"/>
          <w:szCs w:val="24"/>
        </w:rPr>
      </w:pPr>
      <w:r w:rsidRPr="00FC33ED">
        <w:rPr>
          <w:sz w:val="24"/>
          <w:szCs w:val="24"/>
          <w:u w:val="single"/>
        </w:rPr>
        <w:t>Phase 3.</w:t>
      </w:r>
      <w:r>
        <w:rPr>
          <w:sz w:val="24"/>
          <w:szCs w:val="24"/>
          <w:u w:val="single"/>
        </w:rPr>
        <w:t xml:space="preserve"> Meta-analyses address concerns about the (over-)prescription of statins</w:t>
      </w:r>
      <w:r>
        <w:rPr>
          <w:sz w:val="24"/>
          <w:szCs w:val="24"/>
          <w:u w:val="single"/>
        </w:rPr>
        <w:br/>
      </w:r>
      <w:r>
        <w:rPr>
          <w:sz w:val="24"/>
          <w:szCs w:val="24"/>
        </w:rPr>
        <w:t xml:space="preserve">The benefits associated with statins saw them become the most-prescribed medicines in the United Kingdom and United States by the end of the 2000s. This has raised concerns about whether such widespread prescription was always medically appropriate, prompting ICMS researchers to conduct meta-analyses on their benefits and potential harm, both in general and within specific sub-groups. One general finding was that statins were found to be associated with a small increased risk of diabetes, but that this risk is significantly outweighed by the previously-identified benefits. In relation to one specific sub-population, ICMS showed that sufferers of certain types of arthritis are at a higher risk of cardiovascular disease and should therefore be considered for statins even if their cholesterol levels are normal. These findings have informed influential international guidelines, prompting them to re-state and/or extend their recommendations for the prescription of statins. Meta-analyses described here were primarily supported by non-industrial sources, such as research councils, charities, and the Scottish Government. </w:t>
      </w:r>
    </w:p>
    <w:p w14:paraId="65131DE3" w14:textId="25544E1F" w:rsidR="00F17E45" w:rsidRDefault="00F17E45" w:rsidP="00272012">
      <w:pPr>
        <w:tabs>
          <w:tab w:val="left" w:pos="4821"/>
        </w:tabs>
        <w:spacing w:after="120" w:line="360" w:lineRule="auto"/>
        <w:rPr>
          <w:sz w:val="24"/>
          <w:szCs w:val="24"/>
        </w:rPr>
      </w:pPr>
    </w:p>
    <w:p w14:paraId="2E45C61E" w14:textId="45CE31FB" w:rsidR="00F17E45" w:rsidRDefault="00F17E45" w:rsidP="00272012">
      <w:pPr>
        <w:tabs>
          <w:tab w:val="left" w:pos="4821"/>
        </w:tabs>
        <w:spacing w:after="120" w:line="360" w:lineRule="auto"/>
        <w:rPr>
          <w:sz w:val="24"/>
          <w:szCs w:val="24"/>
        </w:rPr>
      </w:pPr>
    </w:p>
    <w:p w14:paraId="12605629" w14:textId="14D60C8F" w:rsidR="00F17E45" w:rsidRDefault="00F17E45" w:rsidP="00272012">
      <w:pPr>
        <w:tabs>
          <w:tab w:val="left" w:pos="4821"/>
        </w:tabs>
        <w:spacing w:after="120" w:line="360" w:lineRule="auto"/>
        <w:rPr>
          <w:sz w:val="24"/>
          <w:szCs w:val="24"/>
        </w:rPr>
      </w:pPr>
    </w:p>
    <w:p w14:paraId="72AC7D1F" w14:textId="77777777" w:rsidR="00F17E45" w:rsidRDefault="00F17E45" w:rsidP="00272012">
      <w:pPr>
        <w:tabs>
          <w:tab w:val="left" w:pos="4821"/>
        </w:tabs>
        <w:spacing w:after="120" w:line="360" w:lineRule="auto"/>
        <w:rPr>
          <w:sz w:val="24"/>
          <w:szCs w:val="24"/>
        </w:rPr>
      </w:pPr>
    </w:p>
    <w:tbl>
      <w:tblPr>
        <w:tblW w:w="7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4586"/>
      </w:tblGrid>
      <w:tr w:rsidR="00456A4E" w14:paraId="3B9854A9" w14:textId="77777777" w:rsidTr="00456A4E">
        <w:tc>
          <w:tcPr>
            <w:tcW w:w="2569" w:type="dxa"/>
          </w:tcPr>
          <w:p w14:paraId="3123A586" w14:textId="073A9C39" w:rsidR="00456A4E" w:rsidRPr="002B4060" w:rsidRDefault="00456A4E" w:rsidP="004130A7">
            <w:pPr>
              <w:spacing w:after="0" w:line="240" w:lineRule="auto"/>
              <w:rPr>
                <w:b/>
                <w:sz w:val="24"/>
                <w:szCs w:val="24"/>
              </w:rPr>
            </w:pPr>
            <w:r w:rsidRPr="002B4060">
              <w:rPr>
                <w:b/>
                <w:sz w:val="24"/>
                <w:szCs w:val="24"/>
              </w:rPr>
              <w:t>Attribute</w:t>
            </w:r>
            <w:r>
              <w:rPr>
                <w:b/>
                <w:sz w:val="24"/>
                <w:szCs w:val="24"/>
              </w:rPr>
              <w:t>/activity</w:t>
            </w:r>
          </w:p>
        </w:tc>
        <w:tc>
          <w:tcPr>
            <w:tcW w:w="4586" w:type="dxa"/>
          </w:tcPr>
          <w:p w14:paraId="3F91C48B" w14:textId="5546B32B" w:rsidR="00456A4E" w:rsidRPr="00B8594F" w:rsidRDefault="00456A4E" w:rsidP="004130A7">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562DF18B" w14:textId="77777777" w:rsidR="00456A4E" w:rsidRPr="00B8594F" w:rsidRDefault="00456A4E" w:rsidP="004130A7">
            <w:pPr>
              <w:spacing w:after="0" w:line="240" w:lineRule="auto"/>
              <w:jc w:val="center"/>
              <w:rPr>
                <w:b/>
                <w:sz w:val="24"/>
                <w:szCs w:val="24"/>
              </w:rPr>
            </w:pPr>
            <w:r w:rsidRPr="00B8594F">
              <w:rPr>
                <w:b/>
                <w:sz w:val="24"/>
                <w:szCs w:val="24"/>
              </w:rPr>
              <w:t>1               2               3               4               5</w:t>
            </w:r>
          </w:p>
        </w:tc>
      </w:tr>
      <w:tr w:rsidR="00456A4E" w14:paraId="6D98B4A0" w14:textId="77777777" w:rsidTr="00456A4E">
        <w:tc>
          <w:tcPr>
            <w:tcW w:w="2569" w:type="dxa"/>
          </w:tcPr>
          <w:p w14:paraId="104B7072" w14:textId="77777777" w:rsidR="00456A4E" w:rsidRDefault="00456A4E" w:rsidP="004130A7">
            <w:pPr>
              <w:spacing w:after="0" w:line="240" w:lineRule="auto"/>
              <w:rPr>
                <w:sz w:val="24"/>
                <w:szCs w:val="24"/>
              </w:rPr>
            </w:pPr>
            <w:r>
              <w:rPr>
                <w:sz w:val="24"/>
                <w:szCs w:val="24"/>
              </w:rPr>
              <w:t>Expertise</w:t>
            </w:r>
          </w:p>
        </w:tc>
        <w:tc>
          <w:tcPr>
            <w:tcW w:w="4586" w:type="dxa"/>
          </w:tcPr>
          <w:p w14:paraId="392578D1" w14:textId="77777777" w:rsidR="00456A4E" w:rsidRDefault="00456A4E" w:rsidP="004130A7">
            <w:pPr>
              <w:spacing w:after="0" w:line="240" w:lineRule="auto"/>
              <w:rPr>
                <w:sz w:val="24"/>
                <w:szCs w:val="24"/>
              </w:rPr>
            </w:pPr>
            <w:r>
              <w:rPr>
                <w:sz w:val="24"/>
                <w:szCs w:val="24"/>
              </w:rPr>
              <w:t xml:space="preserve">               1 2 3</w:t>
            </w:r>
          </w:p>
        </w:tc>
      </w:tr>
      <w:tr w:rsidR="00456A4E" w14:paraId="10660D2E" w14:textId="77777777" w:rsidTr="00456A4E">
        <w:tc>
          <w:tcPr>
            <w:tcW w:w="2569" w:type="dxa"/>
          </w:tcPr>
          <w:p w14:paraId="0AFA67DB" w14:textId="77777777" w:rsidR="00456A4E" w:rsidRDefault="00456A4E" w:rsidP="004130A7">
            <w:pPr>
              <w:spacing w:after="0" w:line="240" w:lineRule="auto"/>
              <w:rPr>
                <w:sz w:val="24"/>
                <w:szCs w:val="24"/>
              </w:rPr>
            </w:pPr>
            <w:r>
              <w:rPr>
                <w:sz w:val="24"/>
                <w:szCs w:val="24"/>
              </w:rPr>
              <w:t>Relevance</w:t>
            </w:r>
          </w:p>
        </w:tc>
        <w:tc>
          <w:tcPr>
            <w:tcW w:w="4586" w:type="dxa"/>
          </w:tcPr>
          <w:p w14:paraId="436EE578" w14:textId="77777777" w:rsidR="00456A4E" w:rsidRDefault="00456A4E" w:rsidP="004130A7">
            <w:pPr>
              <w:spacing w:after="0" w:line="240" w:lineRule="auto"/>
              <w:rPr>
                <w:sz w:val="24"/>
                <w:szCs w:val="24"/>
              </w:rPr>
            </w:pPr>
            <w:r>
              <w:rPr>
                <w:sz w:val="24"/>
                <w:szCs w:val="24"/>
              </w:rPr>
              <w:t xml:space="preserve">                                  1 2              3  </w:t>
            </w:r>
          </w:p>
        </w:tc>
      </w:tr>
      <w:tr w:rsidR="00456A4E" w14:paraId="5221EF87" w14:textId="77777777" w:rsidTr="00456A4E">
        <w:tc>
          <w:tcPr>
            <w:tcW w:w="2569" w:type="dxa"/>
          </w:tcPr>
          <w:p w14:paraId="4541C730" w14:textId="77777777" w:rsidR="00456A4E" w:rsidRDefault="00456A4E" w:rsidP="004130A7">
            <w:pPr>
              <w:spacing w:after="0" w:line="240" w:lineRule="auto"/>
              <w:rPr>
                <w:sz w:val="24"/>
                <w:szCs w:val="24"/>
              </w:rPr>
            </w:pPr>
            <w:r>
              <w:rPr>
                <w:sz w:val="24"/>
                <w:szCs w:val="24"/>
              </w:rPr>
              <w:t>Disciplinary focus</w:t>
            </w:r>
          </w:p>
        </w:tc>
        <w:tc>
          <w:tcPr>
            <w:tcW w:w="4586" w:type="dxa"/>
          </w:tcPr>
          <w:p w14:paraId="07834605" w14:textId="77777777" w:rsidR="00456A4E" w:rsidRDefault="00456A4E" w:rsidP="004130A7">
            <w:pPr>
              <w:spacing w:after="0" w:line="240" w:lineRule="auto"/>
              <w:rPr>
                <w:sz w:val="24"/>
                <w:szCs w:val="24"/>
              </w:rPr>
            </w:pPr>
            <w:r>
              <w:rPr>
                <w:sz w:val="24"/>
                <w:szCs w:val="24"/>
              </w:rPr>
              <w:t xml:space="preserve">               1 2 3</w:t>
            </w:r>
          </w:p>
        </w:tc>
      </w:tr>
      <w:tr w:rsidR="00456A4E" w14:paraId="11E521E9" w14:textId="77777777" w:rsidTr="00456A4E">
        <w:tc>
          <w:tcPr>
            <w:tcW w:w="2569" w:type="dxa"/>
          </w:tcPr>
          <w:p w14:paraId="3BFA66FD" w14:textId="77777777" w:rsidR="00456A4E" w:rsidRDefault="00456A4E" w:rsidP="004130A7">
            <w:pPr>
              <w:spacing w:after="0" w:line="240" w:lineRule="auto"/>
              <w:rPr>
                <w:sz w:val="24"/>
                <w:szCs w:val="24"/>
              </w:rPr>
            </w:pPr>
            <w:r>
              <w:rPr>
                <w:sz w:val="24"/>
                <w:szCs w:val="24"/>
              </w:rPr>
              <w:t>Uncertainty</w:t>
            </w:r>
          </w:p>
        </w:tc>
        <w:tc>
          <w:tcPr>
            <w:tcW w:w="4586" w:type="dxa"/>
          </w:tcPr>
          <w:p w14:paraId="104DC0AB" w14:textId="77777777" w:rsidR="00456A4E" w:rsidRDefault="00456A4E" w:rsidP="004130A7">
            <w:pPr>
              <w:spacing w:after="0" w:line="240" w:lineRule="auto"/>
              <w:rPr>
                <w:sz w:val="24"/>
                <w:szCs w:val="24"/>
              </w:rPr>
            </w:pPr>
            <w:r>
              <w:rPr>
                <w:sz w:val="24"/>
                <w:szCs w:val="24"/>
              </w:rPr>
              <w:t xml:space="preserve">                 2 3             1</w:t>
            </w:r>
          </w:p>
        </w:tc>
      </w:tr>
      <w:tr w:rsidR="00456A4E" w14:paraId="70DC8D15" w14:textId="77777777" w:rsidTr="00456A4E">
        <w:tc>
          <w:tcPr>
            <w:tcW w:w="2569" w:type="dxa"/>
          </w:tcPr>
          <w:p w14:paraId="64D8E61E" w14:textId="77777777" w:rsidR="00456A4E" w:rsidRDefault="00456A4E" w:rsidP="004130A7">
            <w:pPr>
              <w:spacing w:after="0" w:line="240" w:lineRule="auto"/>
              <w:rPr>
                <w:sz w:val="24"/>
                <w:szCs w:val="24"/>
              </w:rPr>
            </w:pPr>
            <w:r>
              <w:rPr>
                <w:sz w:val="24"/>
                <w:szCs w:val="24"/>
              </w:rPr>
              <w:t>Goals</w:t>
            </w:r>
          </w:p>
        </w:tc>
        <w:tc>
          <w:tcPr>
            <w:tcW w:w="4586" w:type="dxa"/>
          </w:tcPr>
          <w:p w14:paraId="7000FC50" w14:textId="77777777" w:rsidR="00456A4E" w:rsidRDefault="00456A4E" w:rsidP="004130A7">
            <w:pPr>
              <w:spacing w:after="0" w:line="240" w:lineRule="auto"/>
              <w:rPr>
                <w:sz w:val="24"/>
                <w:szCs w:val="24"/>
              </w:rPr>
            </w:pPr>
            <w:r>
              <w:rPr>
                <w:sz w:val="24"/>
                <w:szCs w:val="24"/>
              </w:rPr>
              <w:t xml:space="preserve">                                                   1 2              3</w:t>
            </w:r>
          </w:p>
        </w:tc>
      </w:tr>
      <w:tr w:rsidR="00456A4E" w14:paraId="7104AD7A" w14:textId="77777777" w:rsidTr="00456A4E">
        <w:tc>
          <w:tcPr>
            <w:tcW w:w="2569" w:type="dxa"/>
          </w:tcPr>
          <w:p w14:paraId="7A1C5F80" w14:textId="77777777" w:rsidR="00456A4E" w:rsidRDefault="00456A4E" w:rsidP="004130A7">
            <w:pPr>
              <w:spacing w:after="0" w:line="240" w:lineRule="auto"/>
              <w:rPr>
                <w:sz w:val="24"/>
                <w:szCs w:val="24"/>
              </w:rPr>
            </w:pPr>
            <w:r>
              <w:rPr>
                <w:sz w:val="24"/>
                <w:szCs w:val="24"/>
              </w:rPr>
              <w:t>Learning</w:t>
            </w:r>
          </w:p>
        </w:tc>
        <w:tc>
          <w:tcPr>
            <w:tcW w:w="4586" w:type="dxa"/>
          </w:tcPr>
          <w:p w14:paraId="2D88B7EC" w14:textId="77777777" w:rsidR="00456A4E" w:rsidRDefault="00456A4E" w:rsidP="004130A7">
            <w:pPr>
              <w:spacing w:after="0" w:line="240" w:lineRule="auto"/>
              <w:rPr>
                <w:sz w:val="24"/>
                <w:szCs w:val="24"/>
              </w:rPr>
            </w:pPr>
            <w:r>
              <w:rPr>
                <w:sz w:val="24"/>
                <w:szCs w:val="24"/>
              </w:rPr>
              <w:t>1 2 3</w:t>
            </w:r>
          </w:p>
        </w:tc>
      </w:tr>
      <w:tr w:rsidR="00456A4E" w14:paraId="46B6DC66" w14:textId="77777777" w:rsidTr="00456A4E">
        <w:tc>
          <w:tcPr>
            <w:tcW w:w="2569" w:type="dxa"/>
          </w:tcPr>
          <w:p w14:paraId="5A5428E0" w14:textId="77777777" w:rsidR="00456A4E" w:rsidRDefault="00456A4E" w:rsidP="004130A7">
            <w:pPr>
              <w:spacing w:after="0" w:line="240" w:lineRule="auto"/>
              <w:rPr>
                <w:sz w:val="24"/>
                <w:szCs w:val="24"/>
              </w:rPr>
            </w:pPr>
            <w:r>
              <w:rPr>
                <w:sz w:val="24"/>
                <w:szCs w:val="24"/>
              </w:rPr>
              <w:t>Knowledge exchange</w:t>
            </w:r>
          </w:p>
        </w:tc>
        <w:tc>
          <w:tcPr>
            <w:tcW w:w="4586" w:type="dxa"/>
          </w:tcPr>
          <w:p w14:paraId="69B1026C" w14:textId="77777777" w:rsidR="00456A4E" w:rsidRDefault="00456A4E" w:rsidP="004130A7">
            <w:pPr>
              <w:spacing w:after="0" w:line="240" w:lineRule="auto"/>
              <w:rPr>
                <w:sz w:val="24"/>
                <w:szCs w:val="24"/>
              </w:rPr>
            </w:pPr>
            <w:r>
              <w:rPr>
                <w:sz w:val="24"/>
                <w:szCs w:val="24"/>
              </w:rPr>
              <w:t xml:space="preserve">                                1 2 3</w:t>
            </w:r>
          </w:p>
        </w:tc>
      </w:tr>
      <w:tr w:rsidR="00456A4E" w14:paraId="584570CD" w14:textId="77777777" w:rsidTr="00456A4E">
        <w:tc>
          <w:tcPr>
            <w:tcW w:w="2569" w:type="dxa"/>
          </w:tcPr>
          <w:p w14:paraId="4C7D8CD6" w14:textId="77777777" w:rsidR="00456A4E" w:rsidRDefault="00456A4E" w:rsidP="004130A7">
            <w:pPr>
              <w:spacing w:after="0" w:line="240" w:lineRule="auto"/>
              <w:rPr>
                <w:sz w:val="24"/>
                <w:szCs w:val="24"/>
              </w:rPr>
            </w:pPr>
            <w:r>
              <w:rPr>
                <w:sz w:val="24"/>
                <w:szCs w:val="24"/>
              </w:rPr>
              <w:t>Network</w:t>
            </w:r>
          </w:p>
        </w:tc>
        <w:tc>
          <w:tcPr>
            <w:tcW w:w="4586" w:type="dxa"/>
          </w:tcPr>
          <w:p w14:paraId="0790C796" w14:textId="77777777" w:rsidR="00456A4E" w:rsidRDefault="00456A4E" w:rsidP="004130A7">
            <w:pPr>
              <w:spacing w:after="0" w:line="240" w:lineRule="auto"/>
              <w:rPr>
                <w:sz w:val="24"/>
                <w:szCs w:val="24"/>
              </w:rPr>
            </w:pPr>
            <w:r>
              <w:rPr>
                <w:sz w:val="24"/>
                <w:szCs w:val="24"/>
              </w:rPr>
              <w:t xml:space="preserve">                  1              2 3</w:t>
            </w:r>
          </w:p>
        </w:tc>
      </w:tr>
      <w:tr w:rsidR="00456A4E" w14:paraId="2D3C25F3" w14:textId="77777777" w:rsidTr="00456A4E">
        <w:tc>
          <w:tcPr>
            <w:tcW w:w="2569" w:type="dxa"/>
          </w:tcPr>
          <w:p w14:paraId="13BC8983" w14:textId="77777777" w:rsidR="00456A4E" w:rsidRDefault="00456A4E" w:rsidP="004130A7">
            <w:pPr>
              <w:spacing w:after="0" w:line="240" w:lineRule="auto"/>
              <w:rPr>
                <w:sz w:val="24"/>
                <w:szCs w:val="24"/>
              </w:rPr>
            </w:pPr>
            <w:r>
              <w:rPr>
                <w:sz w:val="24"/>
                <w:szCs w:val="24"/>
              </w:rPr>
              <w:t>Social capital</w:t>
            </w:r>
          </w:p>
        </w:tc>
        <w:tc>
          <w:tcPr>
            <w:tcW w:w="4586" w:type="dxa"/>
          </w:tcPr>
          <w:p w14:paraId="42F43258" w14:textId="77777777" w:rsidR="00456A4E" w:rsidRDefault="00456A4E" w:rsidP="004130A7">
            <w:pPr>
              <w:tabs>
                <w:tab w:val="left" w:pos="1240"/>
              </w:tabs>
              <w:spacing w:after="0" w:line="240" w:lineRule="auto"/>
              <w:rPr>
                <w:sz w:val="24"/>
                <w:szCs w:val="24"/>
              </w:rPr>
            </w:pPr>
            <w:r>
              <w:rPr>
                <w:sz w:val="24"/>
                <w:szCs w:val="24"/>
              </w:rPr>
              <w:t xml:space="preserve">                 1 3             2</w:t>
            </w:r>
          </w:p>
        </w:tc>
      </w:tr>
      <w:tr w:rsidR="00456A4E" w14:paraId="4677406E" w14:textId="77777777" w:rsidTr="00456A4E">
        <w:tc>
          <w:tcPr>
            <w:tcW w:w="2569" w:type="dxa"/>
          </w:tcPr>
          <w:p w14:paraId="4DE787A1" w14:textId="77777777" w:rsidR="00456A4E" w:rsidRDefault="00456A4E" w:rsidP="004130A7">
            <w:pPr>
              <w:spacing w:after="0" w:line="240" w:lineRule="auto"/>
              <w:rPr>
                <w:sz w:val="24"/>
                <w:szCs w:val="24"/>
              </w:rPr>
            </w:pPr>
            <w:r>
              <w:rPr>
                <w:sz w:val="24"/>
                <w:szCs w:val="24"/>
              </w:rPr>
              <w:t>Accessibility</w:t>
            </w:r>
          </w:p>
        </w:tc>
        <w:tc>
          <w:tcPr>
            <w:tcW w:w="4586" w:type="dxa"/>
          </w:tcPr>
          <w:p w14:paraId="464B0122" w14:textId="77777777" w:rsidR="00456A4E" w:rsidRDefault="00456A4E" w:rsidP="004130A7">
            <w:pPr>
              <w:spacing w:after="0" w:line="240" w:lineRule="auto"/>
              <w:rPr>
                <w:sz w:val="24"/>
                <w:szCs w:val="24"/>
              </w:rPr>
            </w:pPr>
            <w:r>
              <w:rPr>
                <w:sz w:val="24"/>
                <w:szCs w:val="24"/>
              </w:rPr>
              <w:t xml:space="preserve">                  1              2 3</w:t>
            </w:r>
          </w:p>
        </w:tc>
      </w:tr>
      <w:tr w:rsidR="00456A4E" w14:paraId="2572F116" w14:textId="77777777" w:rsidTr="00456A4E">
        <w:tc>
          <w:tcPr>
            <w:tcW w:w="2569" w:type="dxa"/>
          </w:tcPr>
          <w:p w14:paraId="6D586AE2" w14:textId="77777777" w:rsidR="00456A4E" w:rsidRDefault="00456A4E" w:rsidP="004130A7">
            <w:pPr>
              <w:spacing w:after="0" w:line="240" w:lineRule="auto"/>
              <w:rPr>
                <w:sz w:val="24"/>
                <w:szCs w:val="24"/>
              </w:rPr>
            </w:pPr>
            <w:r>
              <w:rPr>
                <w:sz w:val="24"/>
                <w:szCs w:val="24"/>
              </w:rPr>
              <w:t>Outputs and outcomes</w:t>
            </w:r>
          </w:p>
        </w:tc>
        <w:tc>
          <w:tcPr>
            <w:tcW w:w="4586" w:type="dxa"/>
          </w:tcPr>
          <w:p w14:paraId="7409579C" w14:textId="77777777" w:rsidR="00456A4E" w:rsidRDefault="00456A4E" w:rsidP="004130A7">
            <w:pPr>
              <w:tabs>
                <w:tab w:val="left" w:pos="1165"/>
              </w:tabs>
              <w:spacing w:after="0" w:line="240" w:lineRule="auto"/>
              <w:rPr>
                <w:sz w:val="24"/>
                <w:szCs w:val="24"/>
              </w:rPr>
            </w:pPr>
            <w:r>
              <w:rPr>
                <w:sz w:val="24"/>
                <w:szCs w:val="24"/>
              </w:rPr>
              <w:t xml:space="preserve">                                                  1 2 3</w:t>
            </w:r>
          </w:p>
        </w:tc>
      </w:tr>
      <w:tr w:rsidR="00456A4E" w14:paraId="2B5E3BA4" w14:textId="77777777" w:rsidTr="00456A4E">
        <w:tc>
          <w:tcPr>
            <w:tcW w:w="2569" w:type="dxa"/>
          </w:tcPr>
          <w:p w14:paraId="6597FF5D" w14:textId="77777777" w:rsidR="00456A4E" w:rsidRDefault="00456A4E" w:rsidP="004130A7">
            <w:pPr>
              <w:spacing w:after="0" w:line="240" w:lineRule="auto"/>
              <w:rPr>
                <w:sz w:val="24"/>
                <w:szCs w:val="24"/>
              </w:rPr>
            </w:pPr>
            <w:r>
              <w:rPr>
                <w:sz w:val="24"/>
                <w:szCs w:val="24"/>
              </w:rPr>
              <w:t>Evaluation</w:t>
            </w:r>
          </w:p>
        </w:tc>
        <w:tc>
          <w:tcPr>
            <w:tcW w:w="4586" w:type="dxa"/>
          </w:tcPr>
          <w:p w14:paraId="132C73AC" w14:textId="77777777" w:rsidR="00456A4E" w:rsidRDefault="00456A4E" w:rsidP="004130A7">
            <w:pPr>
              <w:spacing w:after="0" w:line="240" w:lineRule="auto"/>
              <w:rPr>
                <w:sz w:val="24"/>
                <w:szCs w:val="24"/>
              </w:rPr>
            </w:pPr>
            <w:r>
              <w:rPr>
                <w:sz w:val="24"/>
                <w:szCs w:val="24"/>
              </w:rPr>
              <w:t xml:space="preserve">                                1 2 3  </w:t>
            </w:r>
          </w:p>
        </w:tc>
      </w:tr>
      <w:tr w:rsidR="00456A4E" w14:paraId="478E9656" w14:textId="77777777" w:rsidTr="00456A4E">
        <w:tc>
          <w:tcPr>
            <w:tcW w:w="2569" w:type="dxa"/>
          </w:tcPr>
          <w:p w14:paraId="28CDCDC9" w14:textId="77777777" w:rsidR="00456A4E" w:rsidRDefault="00456A4E" w:rsidP="004130A7">
            <w:pPr>
              <w:spacing w:after="0" w:line="240" w:lineRule="auto"/>
              <w:rPr>
                <w:sz w:val="24"/>
                <w:szCs w:val="24"/>
              </w:rPr>
            </w:pPr>
            <w:r>
              <w:rPr>
                <w:sz w:val="24"/>
                <w:szCs w:val="24"/>
              </w:rPr>
              <w:t>Flexibility</w:t>
            </w:r>
          </w:p>
        </w:tc>
        <w:tc>
          <w:tcPr>
            <w:tcW w:w="4586" w:type="dxa"/>
          </w:tcPr>
          <w:p w14:paraId="7A5C7201" w14:textId="77777777" w:rsidR="00456A4E" w:rsidRDefault="00456A4E" w:rsidP="004130A7">
            <w:pPr>
              <w:tabs>
                <w:tab w:val="left" w:pos="1027"/>
              </w:tabs>
              <w:spacing w:after="0" w:line="240" w:lineRule="auto"/>
              <w:rPr>
                <w:sz w:val="24"/>
                <w:szCs w:val="24"/>
              </w:rPr>
            </w:pPr>
            <w:r>
              <w:rPr>
                <w:sz w:val="24"/>
                <w:szCs w:val="24"/>
              </w:rPr>
              <w:t xml:space="preserve">               1 2 3</w:t>
            </w:r>
          </w:p>
        </w:tc>
      </w:tr>
      <w:tr w:rsidR="00456A4E" w14:paraId="58E3737D" w14:textId="77777777" w:rsidTr="00456A4E">
        <w:tc>
          <w:tcPr>
            <w:tcW w:w="2569" w:type="dxa"/>
          </w:tcPr>
          <w:p w14:paraId="21DBF54E" w14:textId="77777777" w:rsidR="00456A4E" w:rsidRDefault="00456A4E" w:rsidP="004130A7">
            <w:pPr>
              <w:spacing w:after="0" w:line="240" w:lineRule="auto"/>
              <w:rPr>
                <w:sz w:val="24"/>
                <w:szCs w:val="24"/>
              </w:rPr>
            </w:pPr>
            <w:r>
              <w:rPr>
                <w:sz w:val="24"/>
                <w:szCs w:val="24"/>
              </w:rPr>
              <w:t>Human capital</w:t>
            </w:r>
          </w:p>
        </w:tc>
        <w:tc>
          <w:tcPr>
            <w:tcW w:w="4586" w:type="dxa"/>
          </w:tcPr>
          <w:p w14:paraId="0E5E760C" w14:textId="77777777" w:rsidR="00456A4E" w:rsidRDefault="00456A4E" w:rsidP="004130A7">
            <w:pPr>
              <w:spacing w:after="0" w:line="240" w:lineRule="auto"/>
              <w:rPr>
                <w:sz w:val="24"/>
                <w:szCs w:val="24"/>
              </w:rPr>
            </w:pPr>
            <w:r>
              <w:rPr>
                <w:sz w:val="24"/>
                <w:szCs w:val="24"/>
              </w:rPr>
              <w:t xml:space="preserve"> 3             1 2</w:t>
            </w:r>
          </w:p>
        </w:tc>
      </w:tr>
      <w:tr w:rsidR="00456A4E" w14:paraId="5E08260C" w14:textId="77777777" w:rsidTr="00456A4E">
        <w:tc>
          <w:tcPr>
            <w:tcW w:w="2569" w:type="dxa"/>
          </w:tcPr>
          <w:p w14:paraId="2AC7C24D" w14:textId="77777777" w:rsidR="00456A4E" w:rsidRDefault="00456A4E" w:rsidP="004130A7">
            <w:pPr>
              <w:spacing w:after="0" w:line="240" w:lineRule="auto"/>
              <w:rPr>
                <w:sz w:val="24"/>
                <w:szCs w:val="24"/>
              </w:rPr>
            </w:pPr>
            <w:r>
              <w:rPr>
                <w:sz w:val="24"/>
                <w:szCs w:val="24"/>
              </w:rPr>
              <w:t>Boundary management</w:t>
            </w:r>
          </w:p>
        </w:tc>
        <w:tc>
          <w:tcPr>
            <w:tcW w:w="4586" w:type="dxa"/>
          </w:tcPr>
          <w:p w14:paraId="4C75CB61" w14:textId="77777777" w:rsidR="00456A4E" w:rsidRDefault="00456A4E" w:rsidP="004130A7">
            <w:pPr>
              <w:keepNext/>
              <w:spacing w:after="0" w:line="240" w:lineRule="auto"/>
              <w:rPr>
                <w:sz w:val="24"/>
                <w:szCs w:val="24"/>
              </w:rPr>
            </w:pPr>
            <w:r>
              <w:rPr>
                <w:sz w:val="24"/>
                <w:szCs w:val="24"/>
              </w:rPr>
              <w:t xml:space="preserve"> 1                               2 3</w:t>
            </w:r>
          </w:p>
        </w:tc>
      </w:tr>
    </w:tbl>
    <w:p w14:paraId="36808353" w14:textId="6A37BADC" w:rsidR="00272012" w:rsidRPr="002B686E" w:rsidRDefault="00272012" w:rsidP="00272012">
      <w:pPr>
        <w:pStyle w:val="Caption"/>
        <w:spacing w:after="120" w:line="360" w:lineRule="auto"/>
      </w:pPr>
      <w:bookmarkStart w:id="263" w:name="_Toc531023150"/>
      <w:bookmarkStart w:id="264" w:name="_Toc536438911"/>
      <w:bookmarkStart w:id="265" w:name="_Toc31702086"/>
      <w:r w:rsidRPr="002B686E">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17</w:t>
      </w:r>
      <w:r w:rsidR="00233012">
        <w:rPr>
          <w:noProof/>
        </w:rPr>
        <w:fldChar w:fldCharType="end"/>
      </w:r>
      <w:r w:rsidRPr="002B686E">
        <w:t xml:space="preserve">. Plotted typology. </w:t>
      </w:r>
      <w:r>
        <w:t>BoR1.1</w:t>
      </w:r>
      <w:bookmarkEnd w:id="263"/>
      <w:bookmarkEnd w:id="264"/>
      <w:bookmarkEnd w:id="265"/>
    </w:p>
    <w:p w14:paraId="7B3ADF57" w14:textId="03F4F67E" w:rsidR="00272012" w:rsidRDefault="00731595" w:rsidP="00272012">
      <w:pPr>
        <w:pStyle w:val="Heading4"/>
      </w:pPr>
      <w:r>
        <w:t>Body of Research 1.2: ‘Treating Heart Failure’</w:t>
      </w:r>
      <w:r w:rsidR="00272012">
        <w:t xml:space="preserve">  </w:t>
      </w:r>
    </w:p>
    <w:p w14:paraId="41A1AADA" w14:textId="77777777" w:rsidR="00731595" w:rsidRDefault="00272012" w:rsidP="00272012">
      <w:pPr>
        <w:spacing w:after="120" w:line="360" w:lineRule="auto"/>
        <w:rPr>
          <w:sz w:val="24"/>
          <w:szCs w:val="24"/>
        </w:rPr>
      </w:pPr>
      <w:r w:rsidRPr="00FC33ED">
        <w:rPr>
          <w:sz w:val="24"/>
          <w:szCs w:val="24"/>
        </w:rPr>
        <w:t>Title</w:t>
      </w:r>
      <w:r>
        <w:rPr>
          <w:sz w:val="24"/>
          <w:szCs w:val="24"/>
        </w:rPr>
        <w:t>s</w:t>
      </w:r>
      <w:r w:rsidR="00731595">
        <w:rPr>
          <w:sz w:val="24"/>
          <w:szCs w:val="24"/>
        </w:rPr>
        <w:t xml:space="preserve"> of relevant REF Impact Case Studies</w:t>
      </w:r>
      <w:r w:rsidRPr="00FC33ED">
        <w:rPr>
          <w:sz w:val="24"/>
          <w:szCs w:val="24"/>
        </w:rPr>
        <w:t>:</w:t>
      </w:r>
      <w:r>
        <w:rPr>
          <w:sz w:val="24"/>
          <w:szCs w:val="24"/>
        </w:rPr>
        <w:t xml:space="preserve"> </w:t>
      </w:r>
      <w:r w:rsidRPr="00FC33ED">
        <w:rPr>
          <w:sz w:val="24"/>
          <w:szCs w:val="24"/>
        </w:rPr>
        <w:t xml:space="preserve"> </w:t>
      </w:r>
    </w:p>
    <w:p w14:paraId="1C9704CB" w14:textId="0A718FAE" w:rsidR="00272012" w:rsidRDefault="00272012" w:rsidP="00272012">
      <w:pPr>
        <w:spacing w:after="120" w:line="360" w:lineRule="auto"/>
        <w:rPr>
          <w:sz w:val="24"/>
          <w:szCs w:val="24"/>
        </w:rPr>
      </w:pPr>
      <w:r>
        <w:rPr>
          <w:sz w:val="24"/>
          <w:szCs w:val="24"/>
        </w:rPr>
        <w:t>‘Landmark advances in outcomes for patients with heart failure’</w:t>
      </w:r>
    </w:p>
    <w:p w14:paraId="689FA0B5" w14:textId="34AF0445" w:rsidR="00272012" w:rsidRDefault="00272012" w:rsidP="00272012">
      <w:pPr>
        <w:spacing w:after="120" w:line="360" w:lineRule="auto"/>
        <w:rPr>
          <w:sz w:val="24"/>
          <w:szCs w:val="24"/>
        </w:rPr>
      </w:pPr>
      <w:r>
        <w:rPr>
          <w:sz w:val="24"/>
          <w:szCs w:val="24"/>
        </w:rPr>
        <w:t>‘Transforming the treatment of atrial fibrillation’</w:t>
      </w:r>
    </w:p>
    <w:p w14:paraId="48D9ADF2" w14:textId="737345F1" w:rsidR="00272012" w:rsidRDefault="00272012" w:rsidP="00272012">
      <w:pPr>
        <w:spacing w:after="120" w:line="360" w:lineRule="auto"/>
        <w:rPr>
          <w:sz w:val="24"/>
          <w:szCs w:val="24"/>
        </w:rPr>
      </w:pPr>
      <w:r w:rsidRPr="00FC33ED">
        <w:rPr>
          <w:sz w:val="24"/>
          <w:szCs w:val="24"/>
          <w:u w:val="single"/>
        </w:rPr>
        <w:t>Phase 1.</w:t>
      </w:r>
      <w:r>
        <w:rPr>
          <w:sz w:val="24"/>
          <w:szCs w:val="24"/>
          <w:u w:val="single"/>
        </w:rPr>
        <w:t xml:space="preserve"> New methods, strategies and pharmaceutical treatments for heart failure </w:t>
      </w:r>
      <w:r>
        <w:rPr>
          <w:sz w:val="24"/>
          <w:szCs w:val="24"/>
        </w:rPr>
        <w:br/>
        <w:t>From the mid-1990s, a core of leading ICMS researchers, in collaboration with industrial scientists, commenced a broad range of trials of new methods, strategies and drugs for the diagnosis and treatment of heart failure. Although the main focus was the testing of new drug treatments, the programme of research was interested in improving the whole treatment experience, and this required collaboration with expert nurses specialising in care of heart failure patients.</w:t>
      </w:r>
    </w:p>
    <w:p w14:paraId="61F30836" w14:textId="77777777" w:rsidR="00272012" w:rsidRPr="00FC33ED" w:rsidRDefault="00272012" w:rsidP="00272012">
      <w:pPr>
        <w:spacing w:after="120" w:line="360" w:lineRule="auto"/>
        <w:rPr>
          <w:sz w:val="24"/>
          <w:szCs w:val="24"/>
          <w:u w:val="single"/>
        </w:rPr>
      </w:pPr>
      <w:r>
        <w:rPr>
          <w:sz w:val="24"/>
          <w:szCs w:val="24"/>
        </w:rPr>
        <w:t>As well as showing the broad effectiveness of these new treatments, the large-scale nature of the trials enabled the researchers to analyse how they benefited different kinds of patients to varying degrees, for example in terms of their age, gender and medical history. This latter, a focus on sub-groups based on medical history, is taken up further in Phase 2.</w:t>
      </w:r>
    </w:p>
    <w:p w14:paraId="438EDDA7" w14:textId="7ECA6A6A" w:rsidR="00272012" w:rsidRDefault="00272012" w:rsidP="00272012">
      <w:pPr>
        <w:spacing w:after="120" w:line="360" w:lineRule="auto"/>
        <w:rPr>
          <w:sz w:val="24"/>
          <w:szCs w:val="24"/>
        </w:rPr>
      </w:pPr>
      <w:r w:rsidRPr="00FC33ED">
        <w:rPr>
          <w:sz w:val="24"/>
          <w:szCs w:val="24"/>
          <w:u w:val="single"/>
        </w:rPr>
        <w:t>Phase 2.</w:t>
      </w:r>
      <w:r>
        <w:rPr>
          <w:sz w:val="24"/>
          <w:szCs w:val="24"/>
          <w:u w:val="single"/>
        </w:rPr>
        <w:t xml:space="preserve"> Focusing on at-risk sub-populations and extending recommendations of medicines </w:t>
      </w:r>
      <w:r w:rsidRPr="00FC33ED">
        <w:rPr>
          <w:sz w:val="24"/>
          <w:szCs w:val="24"/>
          <w:u w:val="single"/>
        </w:rPr>
        <w:t xml:space="preserve"> </w:t>
      </w:r>
      <w:r>
        <w:rPr>
          <w:sz w:val="24"/>
          <w:szCs w:val="24"/>
        </w:rPr>
        <w:br/>
        <w:t>Generally, heart failure is associated with high cholesterol and/or blood pressure. However, some patients may have unrelated medical histories or conditions which put them at greater risk of heart failure despite having normal levels of cholesterol and blood pressure. This raises the question of whether the most effective treatments for heart failure caused by cholesterol or blood pressure are the same for heart failure caused by unrelated medical conditions. Phase 2 relates to ICMS research throughout the 2000s which focuses on one major such condition, atrial fibrillation (AF), a heart rhythm disorder, which had been found to increase risk of heart failure for normal cholesterol level patients.</w:t>
      </w:r>
    </w:p>
    <w:p w14:paraId="5ADA27EF" w14:textId="77777777" w:rsidR="00272012" w:rsidRPr="007D7C95" w:rsidRDefault="00272012" w:rsidP="00272012">
      <w:pPr>
        <w:spacing w:after="120" w:line="360" w:lineRule="auto"/>
        <w:rPr>
          <w:sz w:val="24"/>
          <w:szCs w:val="24"/>
        </w:rPr>
      </w:pPr>
      <w:r>
        <w:rPr>
          <w:sz w:val="24"/>
          <w:szCs w:val="24"/>
        </w:rPr>
        <w:t xml:space="preserve">Glasgow researchers either led or collaborated on several large, industry-sponsored randomised controlled trials of treatments for patients with AF who have suffered heart failure or heart attack. Treatments proven in these trials have been recommended in major guidelines globally. </w:t>
      </w:r>
    </w:p>
    <w:p w14:paraId="7E3AD49C" w14:textId="50281A09" w:rsidR="00272012" w:rsidRDefault="00272012" w:rsidP="00272012">
      <w:pPr>
        <w:spacing w:after="120" w:line="360" w:lineRule="auto"/>
        <w:rPr>
          <w:sz w:val="24"/>
          <w:szCs w:val="24"/>
        </w:rPr>
      </w:pPr>
      <w:r w:rsidRPr="00FC33ED">
        <w:rPr>
          <w:sz w:val="24"/>
          <w:szCs w:val="24"/>
          <w:u w:val="single"/>
        </w:rPr>
        <w:t>Phase 3.</w:t>
      </w:r>
      <w:r>
        <w:rPr>
          <w:sz w:val="24"/>
          <w:szCs w:val="24"/>
          <w:u w:val="single"/>
        </w:rPr>
        <w:t xml:space="preserve"> Addressing concerns around drug treatments and testing non-drug alternatives</w:t>
      </w:r>
      <w:r>
        <w:rPr>
          <w:sz w:val="24"/>
          <w:szCs w:val="24"/>
        </w:rPr>
        <w:br/>
        <w:t xml:space="preserve">By the late 2000s, drug treatments had become standard, but some studies had shown adverse effects on AF patients. There was thus emerging interest in testing the effectiveness of non-pharmaceutical alternative treatments, such as ablation. Ablation aims to physically destroy those areas of the heart or surrounding area which are responsible for AF symptoms. This is achieved by subjecting the affected area to either high or low temperatures, destroying the area such that it is prevented from sending electrical impulses to the heart, thereby bypassing the arrhythmia which the affected area was previously causing. In a government-funded study, ICMS researchers, in collaboration with a local Glasgow hospital, tested the effectiveness of ablation, finding that it was in fact less effective and less safe than standard drug treatments. This reinforced the value of drugs trials and related analysis conducted in Phases 1 and 2. </w:t>
      </w:r>
    </w:p>
    <w:tbl>
      <w:tblPr>
        <w:tblW w:w="7155" w:type="dxa"/>
        <w:tblLook w:val="04A0" w:firstRow="1" w:lastRow="0" w:firstColumn="1" w:lastColumn="0" w:noHBand="0" w:noVBand="1"/>
      </w:tblPr>
      <w:tblGrid>
        <w:gridCol w:w="2569"/>
        <w:gridCol w:w="4586"/>
      </w:tblGrid>
      <w:tr w:rsidR="00683039" w14:paraId="5CB0F2B2" w14:textId="77777777" w:rsidTr="00683039">
        <w:tc>
          <w:tcPr>
            <w:tcW w:w="2569" w:type="dxa"/>
            <w:tcBorders>
              <w:top w:val="single" w:sz="4" w:space="0" w:color="auto"/>
              <w:left w:val="single" w:sz="4" w:space="0" w:color="auto"/>
              <w:bottom w:val="single" w:sz="4" w:space="0" w:color="auto"/>
              <w:right w:val="single" w:sz="4" w:space="0" w:color="auto"/>
            </w:tcBorders>
          </w:tcPr>
          <w:p w14:paraId="15C106E2" w14:textId="64B2D7FA" w:rsidR="00683039" w:rsidRPr="002B4060" w:rsidRDefault="00683039" w:rsidP="00683039">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77A6963A" w14:textId="77777777" w:rsidR="00683039" w:rsidRPr="00B8594F" w:rsidRDefault="00683039" w:rsidP="00683039">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77C85D51" w14:textId="4CDE1BDE" w:rsidR="00683039" w:rsidRPr="00B8594F" w:rsidRDefault="00683039" w:rsidP="00683039">
            <w:pPr>
              <w:spacing w:after="0" w:line="240" w:lineRule="auto"/>
              <w:jc w:val="center"/>
              <w:rPr>
                <w:b/>
                <w:sz w:val="24"/>
                <w:szCs w:val="24"/>
              </w:rPr>
            </w:pPr>
            <w:r w:rsidRPr="00B8594F">
              <w:rPr>
                <w:b/>
                <w:sz w:val="24"/>
                <w:szCs w:val="24"/>
              </w:rPr>
              <w:t>1               2               3               4               5</w:t>
            </w:r>
          </w:p>
        </w:tc>
      </w:tr>
      <w:tr w:rsidR="00683039" w14:paraId="117E6A08" w14:textId="77777777" w:rsidTr="00683039">
        <w:tc>
          <w:tcPr>
            <w:tcW w:w="2569" w:type="dxa"/>
            <w:tcBorders>
              <w:top w:val="single" w:sz="4" w:space="0" w:color="auto"/>
              <w:left w:val="single" w:sz="4" w:space="0" w:color="auto"/>
              <w:bottom w:val="single" w:sz="4" w:space="0" w:color="auto"/>
              <w:right w:val="single" w:sz="4" w:space="0" w:color="auto"/>
            </w:tcBorders>
          </w:tcPr>
          <w:p w14:paraId="50D7B56D" w14:textId="77777777" w:rsidR="00683039" w:rsidRDefault="00683039"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7E58032A" w14:textId="77777777" w:rsidR="00683039" w:rsidRDefault="00683039" w:rsidP="004130A7">
            <w:pPr>
              <w:spacing w:after="0" w:line="240" w:lineRule="auto"/>
              <w:rPr>
                <w:sz w:val="24"/>
                <w:szCs w:val="24"/>
              </w:rPr>
            </w:pPr>
            <w:r>
              <w:rPr>
                <w:sz w:val="24"/>
                <w:szCs w:val="24"/>
              </w:rPr>
              <w:t xml:space="preserve">                 2 3             1</w:t>
            </w:r>
          </w:p>
        </w:tc>
      </w:tr>
      <w:tr w:rsidR="00683039" w14:paraId="7955234D" w14:textId="77777777" w:rsidTr="00683039">
        <w:tc>
          <w:tcPr>
            <w:tcW w:w="2569" w:type="dxa"/>
            <w:tcBorders>
              <w:top w:val="single" w:sz="4" w:space="0" w:color="auto"/>
              <w:left w:val="single" w:sz="4" w:space="0" w:color="auto"/>
              <w:bottom w:val="single" w:sz="4" w:space="0" w:color="auto"/>
              <w:right w:val="single" w:sz="4" w:space="0" w:color="auto"/>
            </w:tcBorders>
          </w:tcPr>
          <w:p w14:paraId="2692C07B" w14:textId="77777777" w:rsidR="00683039" w:rsidRDefault="00683039"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66EEFC62" w14:textId="77777777" w:rsidR="00683039" w:rsidRDefault="00683039" w:rsidP="004130A7">
            <w:pPr>
              <w:spacing w:after="0" w:line="240" w:lineRule="auto"/>
              <w:rPr>
                <w:sz w:val="24"/>
                <w:szCs w:val="24"/>
              </w:rPr>
            </w:pPr>
            <w:r>
              <w:rPr>
                <w:sz w:val="24"/>
                <w:szCs w:val="24"/>
              </w:rPr>
              <w:t xml:space="preserve">                                   1                2               3</w:t>
            </w:r>
          </w:p>
        </w:tc>
      </w:tr>
      <w:tr w:rsidR="00683039" w14:paraId="218D541C" w14:textId="77777777" w:rsidTr="00683039">
        <w:tc>
          <w:tcPr>
            <w:tcW w:w="2569" w:type="dxa"/>
            <w:tcBorders>
              <w:top w:val="single" w:sz="4" w:space="0" w:color="auto"/>
              <w:left w:val="single" w:sz="4" w:space="0" w:color="auto"/>
              <w:bottom w:val="single" w:sz="4" w:space="0" w:color="auto"/>
              <w:right w:val="single" w:sz="4" w:space="0" w:color="auto"/>
            </w:tcBorders>
          </w:tcPr>
          <w:p w14:paraId="4FA85572" w14:textId="77777777" w:rsidR="00683039" w:rsidRDefault="00683039"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07E2C432" w14:textId="77777777" w:rsidR="00683039" w:rsidRDefault="00683039" w:rsidP="004130A7">
            <w:pPr>
              <w:spacing w:after="0" w:line="240" w:lineRule="auto"/>
              <w:rPr>
                <w:sz w:val="24"/>
                <w:szCs w:val="24"/>
              </w:rPr>
            </w:pPr>
            <w:r>
              <w:rPr>
                <w:sz w:val="24"/>
                <w:szCs w:val="24"/>
              </w:rPr>
              <w:t xml:space="preserve">                1 2 3</w:t>
            </w:r>
          </w:p>
        </w:tc>
      </w:tr>
      <w:tr w:rsidR="00683039" w14:paraId="4024693E" w14:textId="77777777" w:rsidTr="00683039">
        <w:tc>
          <w:tcPr>
            <w:tcW w:w="2569" w:type="dxa"/>
            <w:tcBorders>
              <w:top w:val="single" w:sz="4" w:space="0" w:color="auto"/>
              <w:left w:val="single" w:sz="4" w:space="0" w:color="auto"/>
              <w:bottom w:val="single" w:sz="4" w:space="0" w:color="auto"/>
              <w:right w:val="single" w:sz="4" w:space="0" w:color="auto"/>
            </w:tcBorders>
          </w:tcPr>
          <w:p w14:paraId="4EE2A439" w14:textId="77777777" w:rsidR="00683039" w:rsidRDefault="00683039"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67C3085B" w14:textId="77777777" w:rsidR="00683039" w:rsidRDefault="00683039" w:rsidP="004130A7">
            <w:pPr>
              <w:tabs>
                <w:tab w:val="left" w:pos="1002"/>
              </w:tabs>
              <w:spacing w:after="0" w:line="240" w:lineRule="auto"/>
              <w:rPr>
                <w:sz w:val="24"/>
                <w:szCs w:val="24"/>
              </w:rPr>
            </w:pPr>
            <w:r>
              <w:rPr>
                <w:sz w:val="24"/>
                <w:szCs w:val="24"/>
              </w:rPr>
              <w:t xml:space="preserve">                1 2 3</w:t>
            </w:r>
          </w:p>
        </w:tc>
      </w:tr>
      <w:tr w:rsidR="00683039" w14:paraId="42D403E0" w14:textId="77777777" w:rsidTr="00683039">
        <w:tc>
          <w:tcPr>
            <w:tcW w:w="2569" w:type="dxa"/>
            <w:tcBorders>
              <w:top w:val="single" w:sz="4" w:space="0" w:color="auto"/>
              <w:left w:val="single" w:sz="4" w:space="0" w:color="auto"/>
              <w:bottom w:val="single" w:sz="4" w:space="0" w:color="auto"/>
              <w:right w:val="single" w:sz="4" w:space="0" w:color="auto"/>
            </w:tcBorders>
          </w:tcPr>
          <w:p w14:paraId="5273911E" w14:textId="77777777" w:rsidR="00683039" w:rsidRDefault="00683039"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36930FDB" w14:textId="77777777" w:rsidR="00683039" w:rsidRDefault="00683039" w:rsidP="004130A7">
            <w:pPr>
              <w:spacing w:after="0" w:line="240" w:lineRule="auto"/>
              <w:rPr>
                <w:sz w:val="24"/>
                <w:szCs w:val="24"/>
              </w:rPr>
            </w:pPr>
            <w:r>
              <w:rPr>
                <w:sz w:val="24"/>
                <w:szCs w:val="24"/>
              </w:rPr>
              <w:t xml:space="preserve">                                                  1 2 3   </w:t>
            </w:r>
          </w:p>
        </w:tc>
      </w:tr>
      <w:tr w:rsidR="00683039" w14:paraId="6D125958" w14:textId="77777777" w:rsidTr="00683039">
        <w:tc>
          <w:tcPr>
            <w:tcW w:w="2569" w:type="dxa"/>
            <w:tcBorders>
              <w:top w:val="single" w:sz="4" w:space="0" w:color="auto"/>
              <w:left w:val="single" w:sz="4" w:space="0" w:color="auto"/>
              <w:bottom w:val="single" w:sz="4" w:space="0" w:color="auto"/>
              <w:right w:val="single" w:sz="4" w:space="0" w:color="auto"/>
            </w:tcBorders>
          </w:tcPr>
          <w:p w14:paraId="178D4BAB" w14:textId="77777777" w:rsidR="00683039" w:rsidRDefault="00683039"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229C9BD1" w14:textId="77777777" w:rsidR="00683039" w:rsidRDefault="00683039" w:rsidP="004130A7">
            <w:pPr>
              <w:spacing w:after="0" w:line="240" w:lineRule="auto"/>
              <w:rPr>
                <w:sz w:val="24"/>
                <w:szCs w:val="24"/>
              </w:rPr>
            </w:pPr>
            <w:r>
              <w:rPr>
                <w:sz w:val="24"/>
                <w:szCs w:val="24"/>
              </w:rPr>
              <w:t xml:space="preserve">1 2 3   </w:t>
            </w:r>
          </w:p>
        </w:tc>
      </w:tr>
      <w:tr w:rsidR="00683039" w14:paraId="2A1B0E17" w14:textId="77777777" w:rsidTr="00683039">
        <w:tc>
          <w:tcPr>
            <w:tcW w:w="2569" w:type="dxa"/>
            <w:tcBorders>
              <w:top w:val="single" w:sz="4" w:space="0" w:color="auto"/>
              <w:left w:val="single" w:sz="4" w:space="0" w:color="auto"/>
              <w:bottom w:val="single" w:sz="4" w:space="0" w:color="auto"/>
              <w:right w:val="single" w:sz="4" w:space="0" w:color="auto"/>
            </w:tcBorders>
          </w:tcPr>
          <w:p w14:paraId="6B892987" w14:textId="77777777" w:rsidR="00683039" w:rsidRDefault="00683039"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080B0713" w14:textId="77777777" w:rsidR="00683039" w:rsidRDefault="00683039" w:rsidP="004130A7">
            <w:pPr>
              <w:spacing w:after="0" w:line="240" w:lineRule="auto"/>
              <w:rPr>
                <w:sz w:val="24"/>
                <w:szCs w:val="24"/>
              </w:rPr>
            </w:pPr>
            <w:r>
              <w:rPr>
                <w:sz w:val="24"/>
                <w:szCs w:val="24"/>
              </w:rPr>
              <w:t xml:space="preserve">                                1 2 3   </w:t>
            </w:r>
          </w:p>
        </w:tc>
      </w:tr>
      <w:tr w:rsidR="00683039" w14:paraId="6594FA01" w14:textId="77777777" w:rsidTr="00683039">
        <w:tc>
          <w:tcPr>
            <w:tcW w:w="2569" w:type="dxa"/>
            <w:tcBorders>
              <w:top w:val="single" w:sz="4" w:space="0" w:color="auto"/>
              <w:left w:val="single" w:sz="4" w:space="0" w:color="auto"/>
              <w:bottom w:val="single" w:sz="4" w:space="0" w:color="auto"/>
              <w:right w:val="single" w:sz="4" w:space="0" w:color="auto"/>
            </w:tcBorders>
          </w:tcPr>
          <w:p w14:paraId="51A03A97" w14:textId="77777777" w:rsidR="00683039" w:rsidRDefault="00683039"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0AF49F6E" w14:textId="77777777" w:rsidR="00683039" w:rsidRDefault="00683039" w:rsidP="004130A7">
            <w:pPr>
              <w:spacing w:after="0" w:line="240" w:lineRule="auto"/>
              <w:rPr>
                <w:sz w:val="24"/>
                <w:szCs w:val="24"/>
              </w:rPr>
            </w:pPr>
            <w:r>
              <w:rPr>
                <w:sz w:val="24"/>
                <w:szCs w:val="24"/>
              </w:rPr>
              <w:t xml:space="preserve">                                  2 3              1</w:t>
            </w:r>
          </w:p>
        </w:tc>
      </w:tr>
      <w:tr w:rsidR="00683039" w14:paraId="1FEE4468" w14:textId="77777777" w:rsidTr="00683039">
        <w:tc>
          <w:tcPr>
            <w:tcW w:w="2569" w:type="dxa"/>
            <w:tcBorders>
              <w:top w:val="single" w:sz="4" w:space="0" w:color="auto"/>
              <w:left w:val="single" w:sz="4" w:space="0" w:color="auto"/>
              <w:bottom w:val="single" w:sz="4" w:space="0" w:color="auto"/>
              <w:right w:val="single" w:sz="4" w:space="0" w:color="auto"/>
            </w:tcBorders>
          </w:tcPr>
          <w:p w14:paraId="221B5DC5" w14:textId="77777777" w:rsidR="00683039" w:rsidRDefault="00683039"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0EE91C45" w14:textId="77777777" w:rsidR="00683039" w:rsidRDefault="00683039" w:rsidP="004130A7">
            <w:pPr>
              <w:tabs>
                <w:tab w:val="left" w:pos="1240"/>
              </w:tabs>
              <w:spacing w:after="0" w:line="240" w:lineRule="auto"/>
              <w:rPr>
                <w:sz w:val="24"/>
                <w:szCs w:val="24"/>
              </w:rPr>
            </w:pPr>
            <w:r>
              <w:rPr>
                <w:sz w:val="24"/>
                <w:szCs w:val="24"/>
              </w:rPr>
              <w:t xml:space="preserve">                1 2 3</w:t>
            </w:r>
          </w:p>
        </w:tc>
      </w:tr>
      <w:tr w:rsidR="00683039" w14:paraId="72DC6671" w14:textId="77777777" w:rsidTr="00683039">
        <w:tc>
          <w:tcPr>
            <w:tcW w:w="2569" w:type="dxa"/>
            <w:tcBorders>
              <w:top w:val="single" w:sz="4" w:space="0" w:color="auto"/>
              <w:left w:val="single" w:sz="4" w:space="0" w:color="auto"/>
              <w:bottom w:val="single" w:sz="4" w:space="0" w:color="auto"/>
              <w:right w:val="single" w:sz="4" w:space="0" w:color="auto"/>
            </w:tcBorders>
          </w:tcPr>
          <w:p w14:paraId="5FB984C8" w14:textId="77777777" w:rsidR="00683039" w:rsidRDefault="00683039"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6B27D9D3" w14:textId="77777777" w:rsidR="00683039" w:rsidRDefault="00683039" w:rsidP="004130A7">
            <w:pPr>
              <w:spacing w:after="0" w:line="240" w:lineRule="auto"/>
              <w:rPr>
                <w:sz w:val="24"/>
                <w:szCs w:val="24"/>
              </w:rPr>
            </w:pPr>
            <w:r>
              <w:rPr>
                <w:sz w:val="24"/>
                <w:szCs w:val="24"/>
              </w:rPr>
              <w:t xml:space="preserve">                                1 2 3</w:t>
            </w:r>
          </w:p>
        </w:tc>
      </w:tr>
      <w:tr w:rsidR="00683039" w14:paraId="559BD455" w14:textId="77777777" w:rsidTr="00683039">
        <w:tc>
          <w:tcPr>
            <w:tcW w:w="2569" w:type="dxa"/>
            <w:tcBorders>
              <w:top w:val="single" w:sz="4" w:space="0" w:color="auto"/>
              <w:left w:val="single" w:sz="4" w:space="0" w:color="auto"/>
              <w:bottom w:val="single" w:sz="4" w:space="0" w:color="auto"/>
              <w:right w:val="single" w:sz="4" w:space="0" w:color="auto"/>
            </w:tcBorders>
          </w:tcPr>
          <w:p w14:paraId="629D2878" w14:textId="77777777" w:rsidR="00683039" w:rsidRDefault="00683039"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42266274" w14:textId="77777777" w:rsidR="00683039" w:rsidRDefault="00683039" w:rsidP="004130A7">
            <w:pPr>
              <w:spacing w:after="0" w:line="240" w:lineRule="auto"/>
              <w:rPr>
                <w:sz w:val="24"/>
                <w:szCs w:val="24"/>
              </w:rPr>
            </w:pPr>
            <w:r>
              <w:rPr>
                <w:sz w:val="24"/>
                <w:szCs w:val="24"/>
              </w:rPr>
              <w:t xml:space="preserve">                                                  1 2 3</w:t>
            </w:r>
          </w:p>
        </w:tc>
      </w:tr>
      <w:tr w:rsidR="00683039" w14:paraId="6AB37B7F" w14:textId="77777777" w:rsidTr="00683039">
        <w:tc>
          <w:tcPr>
            <w:tcW w:w="2569" w:type="dxa"/>
            <w:tcBorders>
              <w:top w:val="single" w:sz="4" w:space="0" w:color="auto"/>
              <w:left w:val="single" w:sz="4" w:space="0" w:color="auto"/>
              <w:bottom w:val="single" w:sz="4" w:space="0" w:color="auto"/>
              <w:right w:val="single" w:sz="4" w:space="0" w:color="auto"/>
            </w:tcBorders>
          </w:tcPr>
          <w:p w14:paraId="2D61C45B" w14:textId="77777777" w:rsidR="00683039" w:rsidRDefault="00683039"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1AB69D0B" w14:textId="77777777" w:rsidR="00683039" w:rsidRDefault="00683039" w:rsidP="004130A7">
            <w:pPr>
              <w:spacing w:after="0" w:line="240" w:lineRule="auto"/>
              <w:rPr>
                <w:sz w:val="24"/>
                <w:szCs w:val="24"/>
              </w:rPr>
            </w:pPr>
            <w:r>
              <w:rPr>
                <w:sz w:val="24"/>
                <w:szCs w:val="24"/>
              </w:rPr>
              <w:t xml:space="preserve">                                1 2 3  </w:t>
            </w:r>
          </w:p>
        </w:tc>
      </w:tr>
      <w:tr w:rsidR="00683039" w14:paraId="72DF76BA" w14:textId="77777777" w:rsidTr="00683039">
        <w:tc>
          <w:tcPr>
            <w:tcW w:w="2569" w:type="dxa"/>
            <w:tcBorders>
              <w:top w:val="single" w:sz="4" w:space="0" w:color="auto"/>
              <w:left w:val="single" w:sz="4" w:space="0" w:color="auto"/>
              <w:bottom w:val="single" w:sz="4" w:space="0" w:color="auto"/>
              <w:right w:val="single" w:sz="4" w:space="0" w:color="auto"/>
            </w:tcBorders>
          </w:tcPr>
          <w:p w14:paraId="41855A5C" w14:textId="77777777" w:rsidR="00683039" w:rsidRDefault="00683039"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33E853B1" w14:textId="77777777" w:rsidR="00683039" w:rsidRDefault="00683039" w:rsidP="004130A7">
            <w:pPr>
              <w:spacing w:after="0" w:line="240" w:lineRule="auto"/>
              <w:rPr>
                <w:sz w:val="24"/>
                <w:szCs w:val="24"/>
              </w:rPr>
            </w:pPr>
            <w:r>
              <w:rPr>
                <w:sz w:val="24"/>
                <w:szCs w:val="24"/>
              </w:rPr>
              <w:t xml:space="preserve">                1 2 3</w:t>
            </w:r>
          </w:p>
        </w:tc>
      </w:tr>
      <w:tr w:rsidR="00683039" w14:paraId="715F622B" w14:textId="77777777" w:rsidTr="00683039">
        <w:tc>
          <w:tcPr>
            <w:tcW w:w="2569" w:type="dxa"/>
            <w:tcBorders>
              <w:top w:val="single" w:sz="4" w:space="0" w:color="auto"/>
              <w:left w:val="single" w:sz="4" w:space="0" w:color="auto"/>
              <w:bottom w:val="single" w:sz="4" w:space="0" w:color="auto"/>
              <w:right w:val="single" w:sz="4" w:space="0" w:color="auto"/>
            </w:tcBorders>
          </w:tcPr>
          <w:p w14:paraId="3FBAA629" w14:textId="77777777" w:rsidR="00683039" w:rsidRDefault="00683039"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768542C4" w14:textId="77777777" w:rsidR="00683039" w:rsidRDefault="00683039" w:rsidP="004130A7">
            <w:pPr>
              <w:spacing w:after="0" w:line="240" w:lineRule="auto"/>
              <w:rPr>
                <w:sz w:val="24"/>
                <w:szCs w:val="24"/>
              </w:rPr>
            </w:pPr>
            <w:r>
              <w:rPr>
                <w:sz w:val="24"/>
                <w:szCs w:val="24"/>
              </w:rPr>
              <w:t xml:space="preserve"> 3                2              1 </w:t>
            </w:r>
          </w:p>
        </w:tc>
      </w:tr>
      <w:tr w:rsidR="00683039" w14:paraId="22F0DC8A" w14:textId="77777777" w:rsidTr="00683039">
        <w:tc>
          <w:tcPr>
            <w:tcW w:w="2569" w:type="dxa"/>
            <w:tcBorders>
              <w:top w:val="single" w:sz="4" w:space="0" w:color="auto"/>
              <w:left w:val="single" w:sz="4" w:space="0" w:color="auto"/>
              <w:bottom w:val="single" w:sz="4" w:space="0" w:color="auto"/>
              <w:right w:val="single" w:sz="4" w:space="0" w:color="auto"/>
            </w:tcBorders>
          </w:tcPr>
          <w:p w14:paraId="6179ECD0" w14:textId="77777777" w:rsidR="00683039" w:rsidRDefault="00683039"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1D7EC24E" w14:textId="77777777" w:rsidR="00683039" w:rsidRDefault="00683039" w:rsidP="004130A7">
            <w:pPr>
              <w:keepNext/>
              <w:spacing w:after="0" w:line="240" w:lineRule="auto"/>
              <w:rPr>
                <w:sz w:val="24"/>
                <w:szCs w:val="24"/>
              </w:rPr>
            </w:pPr>
            <w:r>
              <w:rPr>
                <w:sz w:val="24"/>
                <w:szCs w:val="24"/>
              </w:rPr>
              <w:t xml:space="preserve"> 3                               1 2                                </w:t>
            </w:r>
          </w:p>
        </w:tc>
      </w:tr>
    </w:tbl>
    <w:p w14:paraId="4189C83D" w14:textId="544AB22B" w:rsidR="00272012" w:rsidRPr="00AC7B01" w:rsidRDefault="00272012" w:rsidP="00272012">
      <w:pPr>
        <w:pStyle w:val="Caption"/>
        <w:spacing w:after="120" w:line="360" w:lineRule="auto"/>
        <w:rPr>
          <w:sz w:val="24"/>
          <w:szCs w:val="24"/>
        </w:rPr>
      </w:pPr>
      <w:bookmarkStart w:id="266" w:name="_Toc531023151"/>
      <w:bookmarkStart w:id="267" w:name="_Toc536438912"/>
      <w:bookmarkStart w:id="268" w:name="_Toc31702087"/>
      <w:r w:rsidRPr="00AC7B01">
        <w:t xml:space="preserve">Figure </w:t>
      </w:r>
      <w:r w:rsidR="00233012" w:rsidRPr="00AC7B01">
        <w:rPr>
          <w:noProof/>
        </w:rPr>
        <w:fldChar w:fldCharType="begin"/>
      </w:r>
      <w:r w:rsidRPr="00AC7B01">
        <w:rPr>
          <w:noProof/>
        </w:rPr>
        <w:instrText xml:space="preserve"> SEQ Figure \* ARABIC </w:instrText>
      </w:r>
      <w:r w:rsidR="00233012" w:rsidRPr="00AC7B01">
        <w:rPr>
          <w:noProof/>
        </w:rPr>
        <w:fldChar w:fldCharType="separate"/>
      </w:r>
      <w:r w:rsidR="0011424E">
        <w:rPr>
          <w:noProof/>
        </w:rPr>
        <w:t>18</w:t>
      </w:r>
      <w:r w:rsidR="00233012" w:rsidRPr="00AC7B01">
        <w:rPr>
          <w:noProof/>
        </w:rPr>
        <w:fldChar w:fldCharType="end"/>
      </w:r>
      <w:r w:rsidRPr="00AC7B01">
        <w:t>. Plotted typology.</w:t>
      </w:r>
      <w:r>
        <w:t xml:space="preserve"> BoR1.2</w:t>
      </w:r>
      <w:bookmarkEnd w:id="266"/>
      <w:bookmarkEnd w:id="267"/>
      <w:bookmarkEnd w:id="268"/>
    </w:p>
    <w:p w14:paraId="3E8DB7B8" w14:textId="77777777" w:rsidR="000E21D6" w:rsidRDefault="000E21D6">
      <w:pPr>
        <w:rPr>
          <w:rFonts w:asciiTheme="majorHAnsi" w:eastAsiaTheme="majorEastAsia" w:hAnsiTheme="majorHAnsi" w:cstheme="majorBidi"/>
          <w:caps/>
          <w:color w:val="1F3763" w:themeColor="accent1" w:themeShade="7F"/>
          <w:sz w:val="24"/>
          <w:szCs w:val="24"/>
        </w:rPr>
      </w:pPr>
      <w:bookmarkStart w:id="269" w:name="_Toc531007171"/>
      <w:bookmarkStart w:id="270" w:name="_Toc536717997"/>
      <w:r>
        <w:br w:type="page"/>
      </w:r>
    </w:p>
    <w:p w14:paraId="5DD39D28" w14:textId="33411CA0" w:rsidR="00272012" w:rsidRDefault="0093259B" w:rsidP="00272012">
      <w:pPr>
        <w:pStyle w:val="Heading3"/>
      </w:pPr>
      <w:bookmarkStart w:id="271" w:name="_Toc31702020"/>
      <w:r>
        <w:t xml:space="preserve">BoRs sampled from </w:t>
      </w:r>
      <w:r w:rsidR="00272012">
        <w:t>UoA 4</w:t>
      </w:r>
      <w:bookmarkEnd w:id="269"/>
      <w:bookmarkEnd w:id="270"/>
      <w:bookmarkEnd w:id="271"/>
    </w:p>
    <w:p w14:paraId="1A40EEEF" w14:textId="77777777" w:rsidR="00272012" w:rsidRDefault="00272012" w:rsidP="00272012">
      <w:pPr>
        <w:spacing w:after="120" w:line="360" w:lineRule="auto"/>
        <w:rPr>
          <w:sz w:val="24"/>
          <w:szCs w:val="24"/>
        </w:rPr>
      </w:pPr>
      <w:r w:rsidRPr="001E5A57">
        <w:rPr>
          <w:sz w:val="24"/>
          <w:szCs w:val="24"/>
        </w:rPr>
        <w:t xml:space="preserve">Both </w:t>
      </w:r>
      <w:r>
        <w:rPr>
          <w:sz w:val="24"/>
          <w:szCs w:val="24"/>
        </w:rPr>
        <w:t>of UEL’s Case Studies</w:t>
      </w:r>
      <w:r w:rsidRPr="001E5A57">
        <w:rPr>
          <w:sz w:val="24"/>
          <w:szCs w:val="24"/>
        </w:rPr>
        <w:t xml:space="preserve"> were based on research </w:t>
      </w:r>
      <w:r>
        <w:rPr>
          <w:sz w:val="24"/>
          <w:szCs w:val="24"/>
        </w:rPr>
        <w:t xml:space="preserve">led </w:t>
      </w:r>
      <w:r w:rsidRPr="001E5A57">
        <w:rPr>
          <w:sz w:val="24"/>
          <w:szCs w:val="24"/>
        </w:rPr>
        <w:t>by</w:t>
      </w:r>
      <w:r>
        <w:rPr>
          <w:sz w:val="24"/>
          <w:szCs w:val="24"/>
        </w:rPr>
        <w:t xml:space="preserve"> the</w:t>
      </w:r>
      <w:r w:rsidRPr="001E5A57">
        <w:rPr>
          <w:sz w:val="24"/>
          <w:szCs w:val="24"/>
        </w:rPr>
        <w:t xml:space="preserve"> </w:t>
      </w:r>
      <w:r>
        <w:rPr>
          <w:sz w:val="24"/>
          <w:szCs w:val="24"/>
        </w:rPr>
        <w:t xml:space="preserve">School of Psychology’s </w:t>
      </w:r>
      <w:r w:rsidRPr="001E5A57">
        <w:rPr>
          <w:sz w:val="24"/>
          <w:szCs w:val="24"/>
        </w:rPr>
        <w:t>Drugs and Addictive Behaviours Research Group (</w:t>
      </w:r>
      <w:r>
        <w:rPr>
          <w:sz w:val="24"/>
          <w:szCs w:val="24"/>
        </w:rPr>
        <w:t>DABRG</w:t>
      </w:r>
      <w:r w:rsidRPr="001E5A57">
        <w:rPr>
          <w:sz w:val="24"/>
          <w:szCs w:val="24"/>
        </w:rPr>
        <w:t>)</w:t>
      </w:r>
      <w:r>
        <w:rPr>
          <w:sz w:val="24"/>
          <w:szCs w:val="24"/>
        </w:rPr>
        <w:t xml:space="preserve">, whose members also established the wider Substance Use and Misuse (SUM) network, through which its research is further disseminated, particularly amongst policy actors and other user groups, although also bridging across other disciplines. DABRG’s own research is best described as belonging to the inherently interdisciplinary and use-inspired field of </w:t>
      </w:r>
      <w:r w:rsidRPr="001C4DE7">
        <w:rPr>
          <w:i/>
          <w:sz w:val="24"/>
          <w:szCs w:val="24"/>
        </w:rPr>
        <w:t>psychopharmacology</w:t>
      </w:r>
      <w:r>
        <w:rPr>
          <w:sz w:val="24"/>
          <w:szCs w:val="24"/>
        </w:rPr>
        <w:t xml:space="preserve">, which is concerned with the effect of drugs </w:t>
      </w:r>
      <w:r w:rsidRPr="00E21E44">
        <w:rPr>
          <w:sz w:val="24"/>
          <w:szCs w:val="24"/>
        </w:rPr>
        <w:t>on cognitive processes, behaviour and physi</w:t>
      </w:r>
      <w:r>
        <w:rPr>
          <w:sz w:val="24"/>
          <w:szCs w:val="24"/>
        </w:rPr>
        <w:t xml:space="preserve">ology. Within this disciplinary context, the main guiding principle for their research agenda has been delineating the extent of long-term health impacts and is thus oriented towards the more applied goal of producing information relevant to policymakers, health professionals and users. However, certain phases of DABRG research is interested in advancing a fundamental scientific understanding of the problems they address. </w:t>
      </w:r>
    </w:p>
    <w:p w14:paraId="481B13C7" w14:textId="77777777" w:rsidR="00272012" w:rsidRPr="00AA7409" w:rsidRDefault="00272012" w:rsidP="00272012">
      <w:pPr>
        <w:spacing w:after="120" w:line="360" w:lineRule="auto"/>
      </w:pPr>
      <w:r>
        <w:rPr>
          <w:sz w:val="24"/>
          <w:szCs w:val="24"/>
        </w:rPr>
        <w:t xml:space="preserve">As will be shown, the research underpinning the two Case Studies follow largely similar trajectories: (a) DABRG researchers demonstrate the extent of negative psychopharmacological effects of a given drug; (b) these findings are developed with greater detail and specificity thanks to large research grants, in both cases from the United States Government’s National Institute for Drug Abuse (NIDA); (c) this mass of evidence is sufficient to overcome competing scientific interpretations and influence policy (among other impacts). </w:t>
      </w:r>
    </w:p>
    <w:p w14:paraId="51D281AC" w14:textId="2E851BEA" w:rsidR="00272012" w:rsidRDefault="00731595" w:rsidP="00272012">
      <w:pPr>
        <w:pStyle w:val="Heading4"/>
      </w:pPr>
      <w:r>
        <w:t>Body of Research 4.1: ‘Informing Smoking Policy’</w:t>
      </w:r>
    </w:p>
    <w:p w14:paraId="13C58F29" w14:textId="5964741C" w:rsidR="00272012" w:rsidRPr="00B2511C" w:rsidRDefault="00272012" w:rsidP="00272012">
      <w:pPr>
        <w:spacing w:after="120" w:line="360" w:lineRule="auto"/>
        <w:rPr>
          <w:sz w:val="24"/>
          <w:szCs w:val="24"/>
        </w:rPr>
      </w:pPr>
      <w:r w:rsidRPr="008F47B0">
        <w:rPr>
          <w:sz w:val="24"/>
          <w:szCs w:val="24"/>
        </w:rPr>
        <w:t>Title</w:t>
      </w:r>
      <w:r w:rsidR="00731595">
        <w:rPr>
          <w:sz w:val="24"/>
          <w:szCs w:val="24"/>
        </w:rPr>
        <w:t xml:space="preserve"> of relevant REF Impact Case Study</w:t>
      </w:r>
      <w:r w:rsidRPr="008F47B0">
        <w:rPr>
          <w:sz w:val="24"/>
          <w:szCs w:val="24"/>
        </w:rPr>
        <w:t xml:space="preserve">: ‘Informing public and policy debate about improving understanding of the effects of </w:t>
      </w:r>
      <w:r w:rsidRPr="00B2511C">
        <w:rPr>
          <w:sz w:val="24"/>
          <w:szCs w:val="24"/>
        </w:rPr>
        <w:t>cigarette and e-cigarette smoking’</w:t>
      </w:r>
      <w:r>
        <w:rPr>
          <w:sz w:val="24"/>
          <w:szCs w:val="24"/>
        </w:rPr>
        <w:t xml:space="preserve"> </w:t>
      </w:r>
    </w:p>
    <w:p w14:paraId="1D11CC0C" w14:textId="0AC5EE57" w:rsidR="00272012" w:rsidRPr="00CD0C41" w:rsidRDefault="00272012" w:rsidP="00272012">
      <w:pPr>
        <w:spacing w:after="120" w:line="360" w:lineRule="auto"/>
        <w:rPr>
          <w:sz w:val="24"/>
          <w:szCs w:val="24"/>
          <w:u w:val="single"/>
        </w:rPr>
      </w:pPr>
      <w:r w:rsidRPr="00B2511C">
        <w:rPr>
          <w:sz w:val="24"/>
          <w:szCs w:val="24"/>
          <w:u w:val="single"/>
        </w:rPr>
        <w:t>Phase 1. First demonstration of negative effects of nicotine on mood and cognitive function</w:t>
      </w:r>
      <w:r>
        <w:rPr>
          <w:sz w:val="24"/>
          <w:szCs w:val="24"/>
          <w:u w:val="single"/>
        </w:rPr>
        <w:br/>
      </w:r>
      <w:r w:rsidRPr="00B2511C">
        <w:rPr>
          <w:sz w:val="24"/>
          <w:szCs w:val="24"/>
        </w:rPr>
        <w:t xml:space="preserve">In the 1990s, the DABRG was involved in a debate about how to interpret the observation that smoking temporarily improves mood and cognitive performance. Some believed that these were genuine gains above normal ‘baseline’ levels. DABRG were able to dispel this interpretation by showing that after smoking, mood and cognitive skills did not return down to a ‘baseline’ but rather kept on deteriorating. DABRG were thus the first to demonstrate that psychological dependence on nicotine was responsible for </w:t>
      </w:r>
      <w:r>
        <w:rPr>
          <w:sz w:val="24"/>
          <w:szCs w:val="24"/>
        </w:rPr>
        <w:t>long-term reduced</w:t>
      </w:r>
      <w:r w:rsidRPr="00B2511C">
        <w:rPr>
          <w:sz w:val="24"/>
          <w:szCs w:val="24"/>
        </w:rPr>
        <w:t xml:space="preserve"> mood and performance</w:t>
      </w:r>
      <w:r>
        <w:rPr>
          <w:sz w:val="24"/>
          <w:szCs w:val="24"/>
        </w:rPr>
        <w:t xml:space="preserve"> (rather than a temporary boost above normal levels of mood and performance). </w:t>
      </w:r>
    </w:p>
    <w:p w14:paraId="4ECDAC05" w14:textId="6B64F784" w:rsidR="00272012" w:rsidRDefault="00272012" w:rsidP="00272012">
      <w:pPr>
        <w:spacing w:after="120" w:line="360" w:lineRule="auto"/>
        <w:rPr>
          <w:sz w:val="24"/>
          <w:szCs w:val="24"/>
        </w:rPr>
      </w:pPr>
      <w:r w:rsidRPr="00B2511C">
        <w:rPr>
          <w:sz w:val="24"/>
          <w:szCs w:val="24"/>
          <w:u w:val="single"/>
        </w:rPr>
        <w:t>Phase 2. Influencing tobacco control policy in the UK Health Act 2009</w:t>
      </w:r>
      <w:r>
        <w:rPr>
          <w:sz w:val="24"/>
          <w:szCs w:val="24"/>
        </w:rPr>
        <w:br/>
        <w:t xml:space="preserve">Over the following decade, DABRG developed this research through a large NIDA grant. They gained a greater understanding of (a) the time course of psychological nicotine-withdrawal symptoms, (b) the length of abstinence necessary to recover from these symptoms, (c) the variations in the time-course of symptoms and recovery that different abstinent smokers experience, and (d) the effect of these variations on the likelihood of success when attempting to quit. This mass of evidence contributed significantly to the British Psychological Society’s </w:t>
      </w:r>
      <w:r w:rsidR="00233012" w:rsidRPr="00110C13">
        <w:rPr>
          <w:sz w:val="24"/>
          <w:szCs w:val="24"/>
        </w:rPr>
        <w:fldChar w:fldCharType="begin"/>
      </w:r>
      <w:r w:rsidRPr="00110C13">
        <w:rPr>
          <w:sz w:val="24"/>
          <w:szCs w:val="24"/>
        </w:rPr>
        <w:instrText xml:space="preserve"> ADDIN EN.CITE &lt;EndNote&gt;&lt;Cite ExcludeAuth="1"&gt;&lt;Author&gt;British Psychological Society&lt;/Author&gt;&lt;Year&gt;2008&lt;/Year&gt;&lt;IDText&gt;Response to the Department of Health consultation:  Consultation on the Future of Tobacco Control   &lt;/IDText&gt;&lt;DisplayText&gt;(2008)&lt;/DisplayText&gt;&lt;record&gt;&lt;urls&gt;&lt;related-urls&gt;&lt;url&gt;http://www.smokefreeaction.org.uk/consultation-response/responses/ASH_DH_Consultation_tobacco_control_final.pdf&lt;/url&gt;&lt;/related-urls&gt;&lt;/urls&gt;&lt;titles&gt;&lt;title&gt;Response to the Department of Health consultation:  Consultation on the Future of Tobacco Control   &lt;/title&gt;&lt;/titles&gt;&lt;contributors&gt;&lt;authors&gt;&lt;author&gt;British Psychological Society,&lt;/author&gt;&lt;/authors&gt;&lt;/contributors&gt;&lt;added-date format="utc"&gt;1495710729&lt;/added-date&gt;&lt;ref-type name="Report"&gt;27&lt;/ref-type&gt;&lt;dates&gt;&lt;year&gt;2008&lt;/year&gt;&lt;/dates&gt;&lt;rec-number&gt;7065&lt;/rec-number&gt;&lt;publisher&gt;British Psychological Society,&lt;/publisher&gt;&lt;last-updated-date format="utc"&gt;1496936970&lt;/last-updated-date&gt;&lt;/record&gt;&lt;/Cite&gt;&lt;/EndNote&gt;</w:instrText>
      </w:r>
      <w:r w:rsidR="00233012" w:rsidRPr="00110C13">
        <w:rPr>
          <w:sz w:val="24"/>
          <w:szCs w:val="24"/>
        </w:rPr>
        <w:fldChar w:fldCharType="separate"/>
      </w:r>
      <w:r w:rsidRPr="00110C13">
        <w:rPr>
          <w:noProof/>
          <w:sz w:val="24"/>
          <w:szCs w:val="24"/>
        </w:rPr>
        <w:t>(2008)</w:t>
      </w:r>
      <w:r w:rsidR="00233012" w:rsidRPr="00110C13">
        <w:rPr>
          <w:sz w:val="24"/>
          <w:szCs w:val="24"/>
        </w:rPr>
        <w:fldChar w:fldCharType="end"/>
      </w:r>
      <w:r>
        <w:rPr>
          <w:sz w:val="24"/>
          <w:szCs w:val="24"/>
        </w:rPr>
        <w:t xml:space="preserve"> </w:t>
      </w:r>
      <w:r w:rsidRPr="00110C13">
        <w:rPr>
          <w:sz w:val="24"/>
          <w:szCs w:val="24"/>
        </w:rPr>
        <w:t xml:space="preserve">consultation to the Department of Health </w:t>
      </w:r>
      <w:r>
        <w:rPr>
          <w:sz w:val="24"/>
          <w:szCs w:val="24"/>
        </w:rPr>
        <w:t>and ultimately to</w:t>
      </w:r>
      <w:r w:rsidRPr="00110C13">
        <w:rPr>
          <w:sz w:val="24"/>
          <w:szCs w:val="24"/>
        </w:rPr>
        <w:t xml:space="preserve"> </w:t>
      </w:r>
      <w:r>
        <w:rPr>
          <w:sz w:val="24"/>
          <w:szCs w:val="24"/>
        </w:rPr>
        <w:t>the Health Act 2009 which introduced a n</w:t>
      </w:r>
      <w:r w:rsidRPr="00110C13">
        <w:rPr>
          <w:sz w:val="24"/>
          <w:szCs w:val="24"/>
        </w:rPr>
        <w:t xml:space="preserve">ational strategy </w:t>
      </w:r>
      <w:r>
        <w:rPr>
          <w:sz w:val="24"/>
          <w:szCs w:val="24"/>
        </w:rPr>
        <w:t>to</w:t>
      </w:r>
      <w:r w:rsidRPr="00110C13">
        <w:rPr>
          <w:sz w:val="24"/>
          <w:szCs w:val="24"/>
        </w:rPr>
        <w:t xml:space="preserve"> reduc</w:t>
      </w:r>
      <w:r>
        <w:rPr>
          <w:sz w:val="24"/>
          <w:szCs w:val="24"/>
        </w:rPr>
        <w:t>e</w:t>
      </w:r>
      <w:r w:rsidRPr="00110C13">
        <w:rPr>
          <w:sz w:val="24"/>
          <w:szCs w:val="24"/>
        </w:rPr>
        <w:t xml:space="preserve"> smoking rates</w:t>
      </w:r>
      <w:r>
        <w:rPr>
          <w:sz w:val="24"/>
          <w:szCs w:val="24"/>
        </w:rPr>
        <w:t>.</w:t>
      </w:r>
      <w:r w:rsidRPr="00110C13">
        <w:rPr>
          <w:sz w:val="24"/>
          <w:szCs w:val="24"/>
        </w:rPr>
        <w:t xml:space="preserve"> </w:t>
      </w:r>
      <w:r>
        <w:rPr>
          <w:sz w:val="24"/>
          <w:szCs w:val="24"/>
        </w:rPr>
        <w:tab/>
      </w:r>
    </w:p>
    <w:p w14:paraId="7F643E47" w14:textId="053DB3B3" w:rsidR="00272012" w:rsidRPr="0049526C" w:rsidRDefault="00272012" w:rsidP="00272012">
      <w:pPr>
        <w:spacing w:after="120" w:line="360" w:lineRule="auto"/>
        <w:rPr>
          <w:i/>
          <w:sz w:val="24"/>
          <w:szCs w:val="24"/>
        </w:rPr>
      </w:pPr>
      <w:r w:rsidRPr="003E38FD">
        <w:rPr>
          <w:sz w:val="24"/>
          <w:szCs w:val="24"/>
          <w:u w:val="single"/>
        </w:rPr>
        <w:t xml:space="preserve">Phase 3. Meeting the new demand for knowledge of electronic cigarettes </w:t>
      </w:r>
      <w:r>
        <w:rPr>
          <w:sz w:val="24"/>
          <w:szCs w:val="24"/>
          <w:u w:val="single"/>
        </w:rPr>
        <w:br/>
      </w:r>
      <w:r>
        <w:rPr>
          <w:sz w:val="24"/>
          <w:szCs w:val="24"/>
        </w:rPr>
        <w:t xml:space="preserve">With the arrival on the market of electronic cigarettes (e-cigarettes), there arose a new demand for scientific knowledge on their effects on withdrawal symptoms and cognition effects. For the first time, DABRG found itself somewhat aligned with the interests of smoking product manufacturers; that is, both DABRG and e-cigarette companies lobbied (and continue to lobby) to make the case for e-cigarettes as less harmful alternatives to tobacco cigarettes. This new dynamic prompted two new lines of DABRG research: comparisons between the two types of cigarette; and research into the demographic patterns and factors in e-cigarette use. One DABRG researcher in particular has developed strong collaborative ties with the e-cigarette manufacturing industry “whose marketing strategies, lobbying activities and preparations for regulatory control have been directly informed” </w:t>
      </w:r>
      <w:r w:rsidR="00233012" w:rsidRPr="000020B1">
        <w:rPr>
          <w:sz w:val="24"/>
          <w:szCs w:val="24"/>
        </w:rPr>
        <w:fldChar w:fldCharType="begin"/>
      </w:r>
      <w:r>
        <w:rPr>
          <w:sz w:val="24"/>
          <w:szCs w:val="24"/>
        </w:rPr>
        <w:instrText xml:space="preserve"> ADDIN EN.CITE &lt;EndNote&gt;&lt;Cite ExcludeAuth="1"&gt;&lt;Author&gt;University of East London&lt;/Author&gt;&lt;Year&gt;2014&lt;/Year&gt;&lt;Prefix&gt;UEL`, &lt;/Prefix&gt;&lt;Pages&gt;2&lt;/Pages&gt;&lt;DisplayText&gt;(UEL, 2014, p. 2)&lt;/DisplayText&gt;&lt;record&gt;&lt;urls&gt;&lt;related-urls&gt;&lt;url&gt;http://impact.ref.ac.uk/CaseStudies/CaseStudy.aspx?Id=41149&lt;/url&gt;&lt;/related-urls&gt;&lt;/urls&gt;&lt;titles&gt;&lt;tertiary-title&gt;REF 2014 Impact Case Studies&lt;/tertiary-title&gt;&lt;title&gt;Informing public and policy debate about and improving understanding of the effects of cigarette and e-cigarette smoking (ID 41149)&lt;/title&gt;&lt;/titles&gt;&lt;contributors&gt;&lt;authors&gt;&lt;author&gt;University of East London,&lt;/author&gt;&lt;/authors&gt;&lt;/contributors&gt;&lt;added-date format="utc"&gt;1469953586&lt;/added-date&gt;&lt;ref-type name="Electronic Article"&gt;27&lt;/ref-type&gt;&lt;dates&gt;&lt;year&gt;2014&lt;/year&gt;&lt;/dates&gt;&lt;rec-number&gt;1468&lt;/rec-number&gt;&lt;last-updated-date format="utc"&gt;1492549267&lt;/last-updated-date&gt;&lt;/record&gt;&lt;/Cite&gt;&lt;/EndNote&gt;</w:instrText>
      </w:r>
      <w:r w:rsidR="00233012" w:rsidRPr="000020B1">
        <w:rPr>
          <w:sz w:val="24"/>
          <w:szCs w:val="24"/>
        </w:rPr>
        <w:fldChar w:fldCharType="separate"/>
      </w:r>
      <w:r>
        <w:rPr>
          <w:noProof/>
          <w:sz w:val="24"/>
          <w:szCs w:val="24"/>
        </w:rPr>
        <w:t>(UEL, 2014, p. 2)</w:t>
      </w:r>
      <w:r w:rsidR="00233012" w:rsidRPr="000020B1">
        <w:rPr>
          <w:sz w:val="24"/>
          <w:szCs w:val="24"/>
        </w:rPr>
        <w:fldChar w:fldCharType="end"/>
      </w:r>
      <w:r>
        <w:rPr>
          <w:sz w:val="24"/>
          <w:szCs w:val="24"/>
        </w:rPr>
        <w:t xml:space="preserve"> by her work.</w:t>
      </w:r>
    </w:p>
    <w:tbl>
      <w:tblPr>
        <w:tblW w:w="7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4586"/>
      </w:tblGrid>
      <w:tr w:rsidR="00573A1C" w14:paraId="4A1EE75A" w14:textId="77777777" w:rsidTr="00573A1C">
        <w:tc>
          <w:tcPr>
            <w:tcW w:w="2569" w:type="dxa"/>
          </w:tcPr>
          <w:p w14:paraId="3D595A1D" w14:textId="60C8A7CC" w:rsidR="00573A1C" w:rsidRPr="002B4060" w:rsidRDefault="00573A1C" w:rsidP="00573A1C">
            <w:pPr>
              <w:spacing w:after="0" w:line="240" w:lineRule="auto"/>
              <w:rPr>
                <w:b/>
                <w:sz w:val="24"/>
                <w:szCs w:val="24"/>
              </w:rPr>
            </w:pPr>
            <w:r w:rsidRPr="002B4060">
              <w:rPr>
                <w:b/>
                <w:sz w:val="24"/>
                <w:szCs w:val="24"/>
              </w:rPr>
              <w:t>Attribute</w:t>
            </w:r>
            <w:r>
              <w:rPr>
                <w:b/>
                <w:sz w:val="24"/>
                <w:szCs w:val="24"/>
              </w:rPr>
              <w:t>/activity</w:t>
            </w:r>
          </w:p>
        </w:tc>
        <w:tc>
          <w:tcPr>
            <w:tcW w:w="4586" w:type="dxa"/>
          </w:tcPr>
          <w:p w14:paraId="25E5D77E" w14:textId="77777777" w:rsidR="00573A1C" w:rsidRPr="00B8594F" w:rsidRDefault="00573A1C" w:rsidP="00573A1C">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44354182" w14:textId="7D88D496" w:rsidR="00573A1C" w:rsidRPr="00B8594F" w:rsidRDefault="00573A1C" w:rsidP="00573A1C">
            <w:pPr>
              <w:spacing w:after="0" w:line="240" w:lineRule="auto"/>
              <w:jc w:val="center"/>
              <w:rPr>
                <w:b/>
                <w:sz w:val="24"/>
                <w:szCs w:val="24"/>
              </w:rPr>
            </w:pPr>
            <w:r w:rsidRPr="00B8594F">
              <w:rPr>
                <w:b/>
                <w:sz w:val="24"/>
                <w:szCs w:val="24"/>
              </w:rPr>
              <w:t>1               2               3               4               5</w:t>
            </w:r>
          </w:p>
        </w:tc>
      </w:tr>
      <w:tr w:rsidR="00573A1C" w14:paraId="45C477CF" w14:textId="77777777" w:rsidTr="00573A1C">
        <w:tc>
          <w:tcPr>
            <w:tcW w:w="2569" w:type="dxa"/>
          </w:tcPr>
          <w:p w14:paraId="373102DC" w14:textId="77777777" w:rsidR="00573A1C" w:rsidRDefault="00573A1C" w:rsidP="004130A7">
            <w:pPr>
              <w:spacing w:after="0" w:line="240" w:lineRule="auto"/>
              <w:rPr>
                <w:sz w:val="24"/>
                <w:szCs w:val="24"/>
              </w:rPr>
            </w:pPr>
            <w:r>
              <w:rPr>
                <w:sz w:val="24"/>
                <w:szCs w:val="24"/>
              </w:rPr>
              <w:t>Expertise</w:t>
            </w:r>
          </w:p>
        </w:tc>
        <w:tc>
          <w:tcPr>
            <w:tcW w:w="4586" w:type="dxa"/>
          </w:tcPr>
          <w:p w14:paraId="6E4770EF" w14:textId="77777777" w:rsidR="00573A1C" w:rsidRDefault="00573A1C" w:rsidP="004130A7">
            <w:pPr>
              <w:spacing w:after="0" w:line="240" w:lineRule="auto"/>
              <w:rPr>
                <w:sz w:val="24"/>
                <w:szCs w:val="24"/>
              </w:rPr>
            </w:pPr>
            <w:r>
              <w:rPr>
                <w:sz w:val="24"/>
                <w:szCs w:val="24"/>
              </w:rPr>
              <w:t>1 2             3</w:t>
            </w:r>
          </w:p>
        </w:tc>
      </w:tr>
      <w:tr w:rsidR="00573A1C" w14:paraId="42C3FC07" w14:textId="77777777" w:rsidTr="00573A1C">
        <w:tc>
          <w:tcPr>
            <w:tcW w:w="2569" w:type="dxa"/>
          </w:tcPr>
          <w:p w14:paraId="1BC425D2" w14:textId="77777777" w:rsidR="00573A1C" w:rsidRDefault="00573A1C" w:rsidP="004130A7">
            <w:pPr>
              <w:spacing w:after="0" w:line="240" w:lineRule="auto"/>
              <w:rPr>
                <w:sz w:val="24"/>
                <w:szCs w:val="24"/>
              </w:rPr>
            </w:pPr>
            <w:r>
              <w:rPr>
                <w:sz w:val="24"/>
                <w:szCs w:val="24"/>
              </w:rPr>
              <w:t>Relevance</w:t>
            </w:r>
          </w:p>
        </w:tc>
        <w:tc>
          <w:tcPr>
            <w:tcW w:w="4586" w:type="dxa"/>
          </w:tcPr>
          <w:p w14:paraId="4EEBAFCC" w14:textId="77777777" w:rsidR="00573A1C" w:rsidRDefault="00573A1C" w:rsidP="004130A7">
            <w:pPr>
              <w:spacing w:after="0" w:line="240" w:lineRule="auto"/>
              <w:rPr>
                <w:sz w:val="24"/>
                <w:szCs w:val="24"/>
              </w:rPr>
            </w:pPr>
            <w:r>
              <w:rPr>
                <w:sz w:val="24"/>
                <w:szCs w:val="24"/>
              </w:rPr>
              <w:t xml:space="preserve">                                  1 2             3</w:t>
            </w:r>
          </w:p>
        </w:tc>
      </w:tr>
      <w:tr w:rsidR="00573A1C" w14:paraId="1B502870" w14:textId="77777777" w:rsidTr="00573A1C">
        <w:tc>
          <w:tcPr>
            <w:tcW w:w="2569" w:type="dxa"/>
          </w:tcPr>
          <w:p w14:paraId="1E83FEEF" w14:textId="77777777" w:rsidR="00573A1C" w:rsidRDefault="00573A1C" w:rsidP="004130A7">
            <w:pPr>
              <w:spacing w:after="0" w:line="240" w:lineRule="auto"/>
              <w:rPr>
                <w:sz w:val="24"/>
                <w:szCs w:val="24"/>
              </w:rPr>
            </w:pPr>
            <w:r>
              <w:rPr>
                <w:sz w:val="24"/>
                <w:szCs w:val="24"/>
              </w:rPr>
              <w:t>Disciplinary focus</w:t>
            </w:r>
          </w:p>
        </w:tc>
        <w:tc>
          <w:tcPr>
            <w:tcW w:w="4586" w:type="dxa"/>
          </w:tcPr>
          <w:p w14:paraId="48D7D697" w14:textId="77777777" w:rsidR="00573A1C" w:rsidRDefault="00573A1C" w:rsidP="004130A7">
            <w:pPr>
              <w:spacing w:after="0" w:line="240" w:lineRule="auto"/>
              <w:rPr>
                <w:sz w:val="24"/>
                <w:szCs w:val="24"/>
              </w:rPr>
            </w:pPr>
            <w:r>
              <w:rPr>
                <w:sz w:val="24"/>
                <w:szCs w:val="24"/>
              </w:rPr>
              <w:t>1 2             3</w:t>
            </w:r>
          </w:p>
        </w:tc>
      </w:tr>
      <w:tr w:rsidR="00573A1C" w14:paraId="348BA6F2" w14:textId="77777777" w:rsidTr="00573A1C">
        <w:tc>
          <w:tcPr>
            <w:tcW w:w="2569" w:type="dxa"/>
          </w:tcPr>
          <w:p w14:paraId="4ECAB85B" w14:textId="77777777" w:rsidR="00573A1C" w:rsidRDefault="00573A1C" w:rsidP="004130A7">
            <w:pPr>
              <w:spacing w:after="0" w:line="240" w:lineRule="auto"/>
              <w:rPr>
                <w:sz w:val="24"/>
                <w:szCs w:val="24"/>
              </w:rPr>
            </w:pPr>
            <w:r>
              <w:rPr>
                <w:sz w:val="24"/>
                <w:szCs w:val="24"/>
              </w:rPr>
              <w:t>Uncertainty</w:t>
            </w:r>
          </w:p>
        </w:tc>
        <w:tc>
          <w:tcPr>
            <w:tcW w:w="4586" w:type="dxa"/>
          </w:tcPr>
          <w:p w14:paraId="520F6B13" w14:textId="77777777" w:rsidR="00573A1C" w:rsidRDefault="00573A1C" w:rsidP="004130A7">
            <w:pPr>
              <w:spacing w:after="0" w:line="240" w:lineRule="auto"/>
              <w:rPr>
                <w:sz w:val="24"/>
                <w:szCs w:val="24"/>
              </w:rPr>
            </w:pPr>
            <w:r>
              <w:rPr>
                <w:sz w:val="24"/>
                <w:szCs w:val="24"/>
              </w:rPr>
              <w:t xml:space="preserve">                                   1             2 3</w:t>
            </w:r>
          </w:p>
        </w:tc>
      </w:tr>
      <w:tr w:rsidR="00573A1C" w14:paraId="6877D250" w14:textId="77777777" w:rsidTr="00573A1C">
        <w:tc>
          <w:tcPr>
            <w:tcW w:w="2569" w:type="dxa"/>
          </w:tcPr>
          <w:p w14:paraId="7C9C501C" w14:textId="77777777" w:rsidR="00573A1C" w:rsidRDefault="00573A1C" w:rsidP="004130A7">
            <w:pPr>
              <w:spacing w:after="0" w:line="240" w:lineRule="auto"/>
              <w:rPr>
                <w:sz w:val="24"/>
                <w:szCs w:val="24"/>
              </w:rPr>
            </w:pPr>
            <w:r>
              <w:rPr>
                <w:sz w:val="24"/>
                <w:szCs w:val="24"/>
              </w:rPr>
              <w:t>Goals</w:t>
            </w:r>
          </w:p>
        </w:tc>
        <w:tc>
          <w:tcPr>
            <w:tcW w:w="4586" w:type="dxa"/>
          </w:tcPr>
          <w:p w14:paraId="13BA2DB2" w14:textId="77777777" w:rsidR="00573A1C" w:rsidRDefault="00573A1C" w:rsidP="004130A7">
            <w:pPr>
              <w:spacing w:after="0" w:line="240" w:lineRule="auto"/>
              <w:rPr>
                <w:sz w:val="24"/>
                <w:szCs w:val="24"/>
              </w:rPr>
            </w:pPr>
            <w:r>
              <w:rPr>
                <w:sz w:val="24"/>
                <w:szCs w:val="24"/>
              </w:rPr>
              <w:t xml:space="preserve">                                  1 2             3</w:t>
            </w:r>
          </w:p>
        </w:tc>
      </w:tr>
      <w:tr w:rsidR="00573A1C" w14:paraId="5F2A9D12" w14:textId="77777777" w:rsidTr="00573A1C">
        <w:tc>
          <w:tcPr>
            <w:tcW w:w="2569" w:type="dxa"/>
          </w:tcPr>
          <w:p w14:paraId="51CB7967" w14:textId="77777777" w:rsidR="00573A1C" w:rsidRDefault="00573A1C" w:rsidP="004130A7">
            <w:pPr>
              <w:spacing w:after="0" w:line="240" w:lineRule="auto"/>
              <w:rPr>
                <w:sz w:val="24"/>
                <w:szCs w:val="24"/>
              </w:rPr>
            </w:pPr>
            <w:r>
              <w:rPr>
                <w:sz w:val="24"/>
                <w:szCs w:val="24"/>
              </w:rPr>
              <w:t>Learning</w:t>
            </w:r>
          </w:p>
        </w:tc>
        <w:tc>
          <w:tcPr>
            <w:tcW w:w="4586" w:type="dxa"/>
          </w:tcPr>
          <w:p w14:paraId="05FD3D70" w14:textId="77777777" w:rsidR="00573A1C" w:rsidRDefault="00573A1C" w:rsidP="004130A7">
            <w:pPr>
              <w:spacing w:after="0" w:line="240" w:lineRule="auto"/>
              <w:rPr>
                <w:sz w:val="24"/>
                <w:szCs w:val="24"/>
              </w:rPr>
            </w:pPr>
            <w:r>
              <w:rPr>
                <w:sz w:val="24"/>
                <w:szCs w:val="24"/>
              </w:rPr>
              <w:t>1 2             3</w:t>
            </w:r>
          </w:p>
        </w:tc>
      </w:tr>
      <w:tr w:rsidR="00573A1C" w14:paraId="58FE3BA3" w14:textId="77777777" w:rsidTr="00573A1C">
        <w:tc>
          <w:tcPr>
            <w:tcW w:w="2569" w:type="dxa"/>
          </w:tcPr>
          <w:p w14:paraId="10E190A9" w14:textId="77777777" w:rsidR="00573A1C" w:rsidRDefault="00573A1C" w:rsidP="004130A7">
            <w:pPr>
              <w:spacing w:after="0" w:line="240" w:lineRule="auto"/>
              <w:rPr>
                <w:sz w:val="24"/>
                <w:szCs w:val="24"/>
              </w:rPr>
            </w:pPr>
            <w:r>
              <w:rPr>
                <w:sz w:val="24"/>
                <w:szCs w:val="24"/>
              </w:rPr>
              <w:t>Knowledge exchange</w:t>
            </w:r>
          </w:p>
        </w:tc>
        <w:tc>
          <w:tcPr>
            <w:tcW w:w="4586" w:type="dxa"/>
          </w:tcPr>
          <w:p w14:paraId="38776F86" w14:textId="77777777" w:rsidR="00573A1C" w:rsidRDefault="00573A1C" w:rsidP="004130A7">
            <w:pPr>
              <w:spacing w:after="0" w:line="240" w:lineRule="auto"/>
              <w:rPr>
                <w:sz w:val="24"/>
                <w:szCs w:val="24"/>
              </w:rPr>
            </w:pPr>
            <w:r>
              <w:rPr>
                <w:sz w:val="24"/>
                <w:szCs w:val="24"/>
              </w:rPr>
              <w:t xml:space="preserve">  1              2               3</w:t>
            </w:r>
          </w:p>
        </w:tc>
      </w:tr>
      <w:tr w:rsidR="00573A1C" w14:paraId="38B86CEA" w14:textId="77777777" w:rsidTr="00573A1C">
        <w:tc>
          <w:tcPr>
            <w:tcW w:w="2569" w:type="dxa"/>
          </w:tcPr>
          <w:p w14:paraId="167A26D2" w14:textId="77777777" w:rsidR="00573A1C" w:rsidRDefault="00573A1C" w:rsidP="004130A7">
            <w:pPr>
              <w:spacing w:after="0" w:line="240" w:lineRule="auto"/>
              <w:rPr>
                <w:sz w:val="24"/>
                <w:szCs w:val="24"/>
              </w:rPr>
            </w:pPr>
            <w:r>
              <w:rPr>
                <w:sz w:val="24"/>
                <w:szCs w:val="24"/>
              </w:rPr>
              <w:t>Network</w:t>
            </w:r>
          </w:p>
        </w:tc>
        <w:tc>
          <w:tcPr>
            <w:tcW w:w="4586" w:type="dxa"/>
          </w:tcPr>
          <w:p w14:paraId="67300839" w14:textId="77777777" w:rsidR="00573A1C" w:rsidRDefault="00573A1C" w:rsidP="004130A7">
            <w:pPr>
              <w:spacing w:after="0" w:line="240" w:lineRule="auto"/>
              <w:rPr>
                <w:sz w:val="24"/>
                <w:szCs w:val="24"/>
              </w:rPr>
            </w:pPr>
            <w:r>
              <w:rPr>
                <w:sz w:val="24"/>
                <w:szCs w:val="24"/>
              </w:rPr>
              <w:t xml:space="preserve">  1              2               3</w:t>
            </w:r>
          </w:p>
        </w:tc>
      </w:tr>
      <w:tr w:rsidR="00573A1C" w14:paraId="3C829067" w14:textId="77777777" w:rsidTr="00573A1C">
        <w:tc>
          <w:tcPr>
            <w:tcW w:w="2569" w:type="dxa"/>
          </w:tcPr>
          <w:p w14:paraId="5E52B390" w14:textId="77777777" w:rsidR="00573A1C" w:rsidRDefault="00573A1C" w:rsidP="004130A7">
            <w:pPr>
              <w:spacing w:after="0" w:line="240" w:lineRule="auto"/>
              <w:rPr>
                <w:sz w:val="24"/>
                <w:szCs w:val="24"/>
              </w:rPr>
            </w:pPr>
            <w:r>
              <w:rPr>
                <w:sz w:val="24"/>
                <w:szCs w:val="24"/>
              </w:rPr>
              <w:t>Social capital</w:t>
            </w:r>
          </w:p>
        </w:tc>
        <w:tc>
          <w:tcPr>
            <w:tcW w:w="4586" w:type="dxa"/>
          </w:tcPr>
          <w:p w14:paraId="25BF71EE" w14:textId="77777777" w:rsidR="00573A1C" w:rsidRDefault="00573A1C" w:rsidP="004130A7">
            <w:pPr>
              <w:spacing w:after="0" w:line="240" w:lineRule="auto"/>
              <w:rPr>
                <w:sz w:val="24"/>
                <w:szCs w:val="24"/>
              </w:rPr>
            </w:pPr>
            <w:r>
              <w:rPr>
                <w:sz w:val="24"/>
                <w:szCs w:val="24"/>
              </w:rPr>
              <w:t xml:space="preserve">  1              2               3</w:t>
            </w:r>
          </w:p>
        </w:tc>
      </w:tr>
      <w:tr w:rsidR="00573A1C" w14:paraId="47FBB114" w14:textId="77777777" w:rsidTr="00573A1C">
        <w:tc>
          <w:tcPr>
            <w:tcW w:w="2569" w:type="dxa"/>
          </w:tcPr>
          <w:p w14:paraId="7BC484A4" w14:textId="77777777" w:rsidR="00573A1C" w:rsidRDefault="00573A1C" w:rsidP="004130A7">
            <w:pPr>
              <w:spacing w:after="0" w:line="240" w:lineRule="auto"/>
              <w:rPr>
                <w:sz w:val="24"/>
                <w:szCs w:val="24"/>
              </w:rPr>
            </w:pPr>
            <w:r>
              <w:rPr>
                <w:sz w:val="24"/>
                <w:szCs w:val="24"/>
              </w:rPr>
              <w:t>Accessibility</w:t>
            </w:r>
          </w:p>
        </w:tc>
        <w:tc>
          <w:tcPr>
            <w:tcW w:w="4586" w:type="dxa"/>
          </w:tcPr>
          <w:p w14:paraId="3D2177BF" w14:textId="77777777" w:rsidR="00573A1C" w:rsidRDefault="00573A1C" w:rsidP="004130A7">
            <w:pPr>
              <w:spacing w:after="0" w:line="240" w:lineRule="auto"/>
              <w:rPr>
                <w:sz w:val="24"/>
                <w:szCs w:val="24"/>
              </w:rPr>
            </w:pPr>
            <w:r>
              <w:rPr>
                <w:sz w:val="24"/>
                <w:szCs w:val="24"/>
              </w:rPr>
              <w:t xml:space="preserve"> 1 2                             3</w:t>
            </w:r>
          </w:p>
        </w:tc>
      </w:tr>
      <w:tr w:rsidR="00573A1C" w14:paraId="2832728E" w14:textId="77777777" w:rsidTr="00573A1C">
        <w:tc>
          <w:tcPr>
            <w:tcW w:w="2569" w:type="dxa"/>
          </w:tcPr>
          <w:p w14:paraId="303C8102" w14:textId="77777777" w:rsidR="00573A1C" w:rsidRDefault="00573A1C" w:rsidP="004130A7">
            <w:pPr>
              <w:spacing w:after="0" w:line="240" w:lineRule="auto"/>
              <w:rPr>
                <w:sz w:val="24"/>
                <w:szCs w:val="24"/>
              </w:rPr>
            </w:pPr>
            <w:r>
              <w:rPr>
                <w:sz w:val="24"/>
                <w:szCs w:val="24"/>
              </w:rPr>
              <w:t>Outputs and outcomes</w:t>
            </w:r>
          </w:p>
        </w:tc>
        <w:tc>
          <w:tcPr>
            <w:tcW w:w="4586" w:type="dxa"/>
          </w:tcPr>
          <w:p w14:paraId="1C2DE838" w14:textId="77777777" w:rsidR="00573A1C" w:rsidRDefault="00573A1C" w:rsidP="004130A7">
            <w:pPr>
              <w:spacing w:after="0" w:line="240" w:lineRule="auto"/>
              <w:rPr>
                <w:sz w:val="24"/>
                <w:szCs w:val="24"/>
              </w:rPr>
            </w:pPr>
            <w:r>
              <w:rPr>
                <w:sz w:val="24"/>
                <w:szCs w:val="24"/>
              </w:rPr>
              <w:t xml:space="preserve">  1              2                               3</w:t>
            </w:r>
          </w:p>
        </w:tc>
      </w:tr>
      <w:tr w:rsidR="00573A1C" w14:paraId="42545964" w14:textId="77777777" w:rsidTr="00573A1C">
        <w:tc>
          <w:tcPr>
            <w:tcW w:w="2569" w:type="dxa"/>
          </w:tcPr>
          <w:p w14:paraId="5E913B6C" w14:textId="77777777" w:rsidR="00573A1C" w:rsidRDefault="00573A1C" w:rsidP="004130A7">
            <w:pPr>
              <w:spacing w:after="0" w:line="240" w:lineRule="auto"/>
              <w:rPr>
                <w:sz w:val="24"/>
                <w:szCs w:val="24"/>
              </w:rPr>
            </w:pPr>
            <w:r>
              <w:rPr>
                <w:sz w:val="24"/>
                <w:szCs w:val="24"/>
              </w:rPr>
              <w:t>Evaluation</w:t>
            </w:r>
          </w:p>
        </w:tc>
        <w:tc>
          <w:tcPr>
            <w:tcW w:w="4586" w:type="dxa"/>
          </w:tcPr>
          <w:p w14:paraId="04A17D66" w14:textId="77777777" w:rsidR="00573A1C" w:rsidRDefault="00573A1C" w:rsidP="004130A7">
            <w:pPr>
              <w:spacing w:after="0" w:line="240" w:lineRule="auto"/>
              <w:rPr>
                <w:sz w:val="24"/>
                <w:szCs w:val="24"/>
              </w:rPr>
            </w:pPr>
            <w:r>
              <w:rPr>
                <w:sz w:val="24"/>
                <w:szCs w:val="24"/>
              </w:rPr>
              <w:t xml:space="preserve">                                  1 2            3</w:t>
            </w:r>
          </w:p>
        </w:tc>
      </w:tr>
      <w:tr w:rsidR="00573A1C" w14:paraId="3F4CA0F4" w14:textId="77777777" w:rsidTr="00573A1C">
        <w:tc>
          <w:tcPr>
            <w:tcW w:w="2569" w:type="dxa"/>
          </w:tcPr>
          <w:p w14:paraId="58F6AA5E" w14:textId="77777777" w:rsidR="00573A1C" w:rsidRDefault="00573A1C" w:rsidP="004130A7">
            <w:pPr>
              <w:spacing w:after="0" w:line="240" w:lineRule="auto"/>
              <w:rPr>
                <w:sz w:val="24"/>
                <w:szCs w:val="24"/>
              </w:rPr>
            </w:pPr>
            <w:r>
              <w:rPr>
                <w:sz w:val="24"/>
                <w:szCs w:val="24"/>
              </w:rPr>
              <w:t>Flexibility</w:t>
            </w:r>
          </w:p>
        </w:tc>
        <w:tc>
          <w:tcPr>
            <w:tcW w:w="4586" w:type="dxa"/>
          </w:tcPr>
          <w:p w14:paraId="09F2B669" w14:textId="77777777" w:rsidR="00573A1C" w:rsidRDefault="00573A1C" w:rsidP="004130A7">
            <w:pPr>
              <w:spacing w:after="0" w:line="240" w:lineRule="auto"/>
              <w:rPr>
                <w:sz w:val="24"/>
                <w:szCs w:val="24"/>
              </w:rPr>
            </w:pPr>
            <w:r>
              <w:rPr>
                <w:sz w:val="24"/>
                <w:szCs w:val="24"/>
              </w:rPr>
              <w:t xml:space="preserve">  1              2               3</w:t>
            </w:r>
          </w:p>
        </w:tc>
      </w:tr>
      <w:tr w:rsidR="00573A1C" w14:paraId="344AD3A7" w14:textId="77777777" w:rsidTr="00573A1C">
        <w:tc>
          <w:tcPr>
            <w:tcW w:w="2569" w:type="dxa"/>
          </w:tcPr>
          <w:p w14:paraId="7515D980" w14:textId="77777777" w:rsidR="00573A1C" w:rsidRDefault="00573A1C" w:rsidP="004130A7">
            <w:pPr>
              <w:spacing w:after="0" w:line="240" w:lineRule="auto"/>
              <w:rPr>
                <w:sz w:val="24"/>
                <w:szCs w:val="24"/>
              </w:rPr>
            </w:pPr>
            <w:r>
              <w:rPr>
                <w:sz w:val="24"/>
                <w:szCs w:val="24"/>
              </w:rPr>
              <w:t>Human capital</w:t>
            </w:r>
          </w:p>
        </w:tc>
        <w:tc>
          <w:tcPr>
            <w:tcW w:w="4586" w:type="dxa"/>
          </w:tcPr>
          <w:p w14:paraId="62460C18" w14:textId="77777777" w:rsidR="00573A1C" w:rsidRDefault="00573A1C" w:rsidP="004130A7">
            <w:pPr>
              <w:spacing w:after="0" w:line="240" w:lineRule="auto"/>
              <w:rPr>
                <w:sz w:val="24"/>
                <w:szCs w:val="24"/>
              </w:rPr>
            </w:pPr>
            <w:r>
              <w:rPr>
                <w:sz w:val="24"/>
                <w:szCs w:val="24"/>
              </w:rPr>
              <w:t xml:space="preserve">  1              2               3</w:t>
            </w:r>
          </w:p>
        </w:tc>
      </w:tr>
      <w:tr w:rsidR="00573A1C" w14:paraId="2E9BAF89" w14:textId="77777777" w:rsidTr="00573A1C">
        <w:tc>
          <w:tcPr>
            <w:tcW w:w="2569" w:type="dxa"/>
          </w:tcPr>
          <w:p w14:paraId="51756EB7" w14:textId="77777777" w:rsidR="00573A1C" w:rsidRDefault="00573A1C" w:rsidP="004130A7">
            <w:pPr>
              <w:spacing w:after="0" w:line="240" w:lineRule="auto"/>
              <w:rPr>
                <w:sz w:val="24"/>
                <w:szCs w:val="24"/>
              </w:rPr>
            </w:pPr>
            <w:r>
              <w:rPr>
                <w:sz w:val="24"/>
                <w:szCs w:val="24"/>
              </w:rPr>
              <w:t>Boundary management</w:t>
            </w:r>
          </w:p>
        </w:tc>
        <w:tc>
          <w:tcPr>
            <w:tcW w:w="4586" w:type="dxa"/>
          </w:tcPr>
          <w:p w14:paraId="21254A2F" w14:textId="77777777" w:rsidR="00573A1C" w:rsidRDefault="00573A1C" w:rsidP="004130A7">
            <w:pPr>
              <w:keepNext/>
              <w:spacing w:after="0" w:line="240" w:lineRule="auto"/>
              <w:rPr>
                <w:sz w:val="24"/>
                <w:szCs w:val="24"/>
              </w:rPr>
            </w:pPr>
            <w:r>
              <w:rPr>
                <w:sz w:val="24"/>
                <w:szCs w:val="24"/>
              </w:rPr>
              <w:t xml:space="preserve">                  1               2              3</w:t>
            </w:r>
          </w:p>
        </w:tc>
      </w:tr>
    </w:tbl>
    <w:p w14:paraId="08C35E9D" w14:textId="5276B704" w:rsidR="00272012" w:rsidRDefault="00272012" w:rsidP="00272012">
      <w:pPr>
        <w:pStyle w:val="Caption"/>
        <w:spacing w:after="120" w:line="360" w:lineRule="auto"/>
        <w:rPr>
          <w:sz w:val="24"/>
          <w:szCs w:val="24"/>
        </w:rPr>
      </w:pPr>
      <w:bookmarkStart w:id="272" w:name="_Toc531023152"/>
      <w:bookmarkStart w:id="273" w:name="_Toc536438913"/>
      <w:bookmarkStart w:id="274" w:name="_Toc31702088"/>
      <w:r w:rsidRPr="00353A0C">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19</w:t>
      </w:r>
      <w:r w:rsidR="00233012">
        <w:rPr>
          <w:noProof/>
        </w:rPr>
        <w:fldChar w:fldCharType="end"/>
      </w:r>
      <w:r w:rsidRPr="00353A0C">
        <w:t xml:space="preserve">. Plotted typology. </w:t>
      </w:r>
      <w:r>
        <w:t>BoR4.1</w:t>
      </w:r>
      <w:bookmarkEnd w:id="272"/>
      <w:bookmarkEnd w:id="273"/>
      <w:bookmarkEnd w:id="274"/>
    </w:p>
    <w:p w14:paraId="4A1168D4" w14:textId="2C1369D5" w:rsidR="00272012" w:rsidRDefault="00055AF0" w:rsidP="00272012">
      <w:pPr>
        <w:pStyle w:val="Heading4"/>
      </w:pPr>
      <w:r>
        <w:t>Body of Research 4.2: ‘Informing MDMA Policy’</w:t>
      </w:r>
    </w:p>
    <w:p w14:paraId="18EF64E9" w14:textId="36F0883E" w:rsidR="00272012" w:rsidRPr="004F4CAB" w:rsidRDefault="00272012" w:rsidP="00272012">
      <w:pPr>
        <w:spacing w:after="120" w:line="360" w:lineRule="auto"/>
        <w:rPr>
          <w:sz w:val="24"/>
          <w:szCs w:val="24"/>
        </w:rPr>
      </w:pPr>
      <w:r w:rsidRPr="004F4CAB">
        <w:rPr>
          <w:sz w:val="24"/>
          <w:szCs w:val="24"/>
        </w:rPr>
        <w:t>Title</w:t>
      </w:r>
      <w:r w:rsidR="00055AF0">
        <w:rPr>
          <w:sz w:val="24"/>
          <w:szCs w:val="24"/>
        </w:rPr>
        <w:t xml:space="preserve"> of relevant REF Impact Case Study</w:t>
      </w:r>
      <w:r w:rsidRPr="004F4CAB">
        <w:rPr>
          <w:sz w:val="24"/>
          <w:szCs w:val="24"/>
        </w:rPr>
        <w:t xml:space="preserve">: ‘Improving understanding among policy makers, the public and medical professionals of the potential harm that MDMA (Ecstasy) use may have on the neuro-psychological functioning of adults and </w:t>
      </w:r>
      <w:r w:rsidR="00055AF0">
        <w:rPr>
          <w:sz w:val="24"/>
          <w:szCs w:val="24"/>
        </w:rPr>
        <w:t>babies’</w:t>
      </w:r>
    </w:p>
    <w:p w14:paraId="32FEF498" w14:textId="6FAD889E" w:rsidR="00272012" w:rsidRDefault="00272012" w:rsidP="00272012">
      <w:pPr>
        <w:spacing w:after="120" w:line="360" w:lineRule="auto"/>
        <w:rPr>
          <w:sz w:val="24"/>
          <w:szCs w:val="24"/>
        </w:rPr>
      </w:pPr>
      <w:r w:rsidRPr="008607CB">
        <w:rPr>
          <w:sz w:val="24"/>
          <w:szCs w:val="24"/>
          <w:u w:val="single"/>
        </w:rPr>
        <w:t xml:space="preserve">Phase 1. </w:t>
      </w:r>
      <w:r>
        <w:rPr>
          <w:sz w:val="24"/>
          <w:szCs w:val="24"/>
          <w:u w:val="single"/>
        </w:rPr>
        <w:t xml:space="preserve">Contributing to psychopharmacological understanding of </w:t>
      </w:r>
      <w:r w:rsidRPr="008607CB">
        <w:rPr>
          <w:sz w:val="24"/>
          <w:szCs w:val="24"/>
          <w:u w:val="single"/>
        </w:rPr>
        <w:t>MDMA (ecstasy)</w:t>
      </w:r>
      <w:r>
        <w:rPr>
          <w:sz w:val="24"/>
          <w:szCs w:val="24"/>
        </w:rPr>
        <w:br/>
        <w:t xml:space="preserve">DABRG contributed to several scientific debates about the MDMA drug (popularly known as ecstasy), most significantly around two questions: Do the negative effects of MDMA outweigh apparent benefits? What psychopharmacological mechanisms underpin observed effects? </w:t>
      </w:r>
    </w:p>
    <w:p w14:paraId="79FA3CAA" w14:textId="77777777" w:rsidR="00272012" w:rsidRDefault="00272012" w:rsidP="00272012">
      <w:pPr>
        <w:spacing w:after="120" w:line="360" w:lineRule="auto"/>
        <w:rPr>
          <w:sz w:val="24"/>
          <w:szCs w:val="24"/>
        </w:rPr>
      </w:pPr>
      <w:r>
        <w:rPr>
          <w:sz w:val="24"/>
          <w:szCs w:val="24"/>
        </w:rPr>
        <w:t xml:space="preserve">Based on systematic reviews and novel empirical studies, DABRG showed significant negative effects of MDMA on cognitive functioning and mood in both the short and long term. Moreover, they showed that the strength of these effects correlate with both frequency and quantity of MDMA use. Additionally, they provided strong evidence in support of their hypothesis that these effects are the direct result of damage to neurons which release a chemical (serotonin) that is associated both with the feeling of elation brought on by ecstasy pills and with cognitive functioning (e.g. memory). </w:t>
      </w:r>
    </w:p>
    <w:p w14:paraId="0FF6309C" w14:textId="38F2303B" w:rsidR="00272012" w:rsidRDefault="00272012" w:rsidP="00272012">
      <w:pPr>
        <w:spacing w:after="120" w:line="360" w:lineRule="auto"/>
        <w:rPr>
          <w:sz w:val="24"/>
          <w:szCs w:val="24"/>
        </w:rPr>
      </w:pPr>
      <w:r w:rsidRPr="008F0046">
        <w:rPr>
          <w:sz w:val="24"/>
          <w:szCs w:val="24"/>
          <w:u w:val="single"/>
        </w:rPr>
        <w:t xml:space="preserve">Phase 2. </w:t>
      </w:r>
      <w:r>
        <w:rPr>
          <w:sz w:val="24"/>
          <w:szCs w:val="24"/>
          <w:u w:val="single"/>
        </w:rPr>
        <w:t>Contributing to practical debates around MDMA</w:t>
      </w:r>
      <w:r>
        <w:rPr>
          <w:sz w:val="24"/>
          <w:szCs w:val="24"/>
        </w:rPr>
        <w:br/>
        <w:t xml:space="preserve">Having advanced the scientific understanding of the causes and effects of MDMA, DABRG follow-up work focused on ascertaining the extent, nature and mediating factors (i.e. frequency, length and conditions of MDMA use) of negative effects in users. This research advanced understanding of the real-life contexts of MDMA use and its impacts. The strengthened body of evidence produced by this research influenced the UK Government’s decision to maintain MDMA’s status as a Class A drug, despite official recommendation that it be reduced to Class B. </w:t>
      </w:r>
    </w:p>
    <w:p w14:paraId="72B3850B" w14:textId="5DCDF10C" w:rsidR="00272012" w:rsidRDefault="00272012" w:rsidP="00272012">
      <w:pPr>
        <w:spacing w:after="120" w:line="360" w:lineRule="auto"/>
        <w:rPr>
          <w:sz w:val="24"/>
          <w:szCs w:val="24"/>
        </w:rPr>
      </w:pPr>
      <w:r w:rsidRPr="00237EA9">
        <w:rPr>
          <w:sz w:val="24"/>
          <w:szCs w:val="24"/>
          <w:u w:val="single"/>
        </w:rPr>
        <w:t xml:space="preserve">Phase 3. Scientific advances </w:t>
      </w:r>
      <w:r>
        <w:rPr>
          <w:sz w:val="24"/>
          <w:szCs w:val="24"/>
          <w:u w:val="single"/>
        </w:rPr>
        <w:t>prompt</w:t>
      </w:r>
      <w:r w:rsidRPr="00237EA9">
        <w:rPr>
          <w:sz w:val="24"/>
          <w:szCs w:val="24"/>
          <w:u w:val="single"/>
        </w:rPr>
        <w:t xml:space="preserve"> new demand for knowledge</w:t>
      </w:r>
      <w:r>
        <w:rPr>
          <w:sz w:val="24"/>
          <w:szCs w:val="24"/>
          <w:u w:val="single"/>
        </w:rPr>
        <w:br/>
      </w:r>
      <w:r>
        <w:rPr>
          <w:sz w:val="24"/>
          <w:szCs w:val="24"/>
        </w:rPr>
        <w:t xml:space="preserve">DABRG’s success in evidencing the long-term psychological damage of MDMA in adult users prompted a new concern about the effects that MDMA use by pregnant women may have on children. DABRG collaborated on a large, longitudinal NIDA-funded study into MDMA use of pregnant women and the cognitive effects on children at various intervals after birth. Their findings have been disseminated and discussed internationally via the media, governmental agencies, pregnancy and parenting websites, and medical professionals. </w:t>
      </w:r>
    </w:p>
    <w:p w14:paraId="40A54615" w14:textId="1F7E5C9D" w:rsidR="000E21D6" w:rsidRDefault="000E21D6" w:rsidP="00272012">
      <w:pPr>
        <w:spacing w:after="120" w:line="360" w:lineRule="auto"/>
        <w:rPr>
          <w:sz w:val="24"/>
          <w:szCs w:val="24"/>
          <w:u w:val="single"/>
        </w:rPr>
      </w:pPr>
    </w:p>
    <w:p w14:paraId="4DB3A35D" w14:textId="7F8F06B1" w:rsidR="000E21D6" w:rsidRDefault="000E21D6" w:rsidP="00272012">
      <w:pPr>
        <w:spacing w:after="120" w:line="360" w:lineRule="auto"/>
        <w:rPr>
          <w:sz w:val="24"/>
          <w:szCs w:val="24"/>
          <w:u w:val="single"/>
        </w:rPr>
      </w:pPr>
    </w:p>
    <w:p w14:paraId="2D00A153" w14:textId="0C39ABB9" w:rsidR="000E21D6" w:rsidRDefault="000E21D6" w:rsidP="00272012">
      <w:pPr>
        <w:spacing w:after="120" w:line="360" w:lineRule="auto"/>
        <w:rPr>
          <w:sz w:val="24"/>
          <w:szCs w:val="24"/>
          <w:u w:val="single"/>
        </w:rPr>
      </w:pPr>
    </w:p>
    <w:p w14:paraId="1B7D7F06" w14:textId="387EC01A" w:rsidR="000E21D6" w:rsidRDefault="000E21D6" w:rsidP="00272012">
      <w:pPr>
        <w:spacing w:after="120" w:line="360" w:lineRule="auto"/>
        <w:rPr>
          <w:sz w:val="24"/>
          <w:szCs w:val="24"/>
          <w:u w:val="single"/>
        </w:rPr>
      </w:pPr>
    </w:p>
    <w:p w14:paraId="719C84C0" w14:textId="1C9DBBC1" w:rsidR="000E21D6" w:rsidRDefault="000E21D6" w:rsidP="00272012">
      <w:pPr>
        <w:spacing w:after="120" w:line="360" w:lineRule="auto"/>
        <w:rPr>
          <w:sz w:val="24"/>
          <w:szCs w:val="24"/>
          <w:u w:val="single"/>
        </w:rPr>
      </w:pPr>
    </w:p>
    <w:p w14:paraId="6A389448" w14:textId="179D7EB4" w:rsidR="000E21D6" w:rsidRDefault="000E21D6" w:rsidP="00272012">
      <w:pPr>
        <w:spacing w:after="120" w:line="360" w:lineRule="auto"/>
        <w:rPr>
          <w:sz w:val="24"/>
          <w:szCs w:val="24"/>
          <w:u w:val="single"/>
        </w:rPr>
      </w:pPr>
    </w:p>
    <w:p w14:paraId="10126C20" w14:textId="2DCACBF6" w:rsidR="000E21D6" w:rsidRDefault="000E21D6" w:rsidP="00272012">
      <w:pPr>
        <w:spacing w:after="120" w:line="360" w:lineRule="auto"/>
        <w:rPr>
          <w:sz w:val="24"/>
          <w:szCs w:val="24"/>
          <w:u w:val="single"/>
        </w:rPr>
      </w:pPr>
    </w:p>
    <w:tbl>
      <w:tblPr>
        <w:tblW w:w="7155" w:type="dxa"/>
        <w:tblLook w:val="04A0" w:firstRow="1" w:lastRow="0" w:firstColumn="1" w:lastColumn="0" w:noHBand="0" w:noVBand="1"/>
      </w:tblPr>
      <w:tblGrid>
        <w:gridCol w:w="2569"/>
        <w:gridCol w:w="4586"/>
      </w:tblGrid>
      <w:tr w:rsidR="00162453" w14:paraId="3726B90F" w14:textId="77777777" w:rsidTr="00573A1C">
        <w:tc>
          <w:tcPr>
            <w:tcW w:w="2569" w:type="dxa"/>
            <w:tcBorders>
              <w:top w:val="single" w:sz="4" w:space="0" w:color="auto"/>
              <w:left w:val="single" w:sz="4" w:space="0" w:color="auto"/>
              <w:bottom w:val="single" w:sz="4" w:space="0" w:color="auto"/>
              <w:right w:val="single" w:sz="4" w:space="0" w:color="auto"/>
            </w:tcBorders>
          </w:tcPr>
          <w:p w14:paraId="0EADD91C" w14:textId="1E51C948" w:rsidR="00162453" w:rsidRDefault="00162453" w:rsidP="00162453">
            <w:pPr>
              <w:spacing w:after="0" w:line="240" w:lineRule="auto"/>
              <w:rPr>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42A39C8F" w14:textId="77777777" w:rsidR="00162453" w:rsidRPr="00B8594F" w:rsidRDefault="00162453" w:rsidP="00162453">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3E6EAE6F" w14:textId="19B9E5C8" w:rsidR="00162453" w:rsidRDefault="00162453" w:rsidP="00162453">
            <w:pPr>
              <w:spacing w:after="0" w:line="240" w:lineRule="auto"/>
              <w:rPr>
                <w:sz w:val="24"/>
                <w:szCs w:val="24"/>
              </w:rPr>
            </w:pPr>
            <w:r w:rsidRPr="00B8594F">
              <w:rPr>
                <w:b/>
                <w:sz w:val="24"/>
                <w:szCs w:val="24"/>
              </w:rPr>
              <w:t>1               2               3               4               5</w:t>
            </w:r>
          </w:p>
        </w:tc>
      </w:tr>
      <w:tr w:rsidR="00573A1C" w14:paraId="0E465DEC" w14:textId="77777777" w:rsidTr="00573A1C">
        <w:tc>
          <w:tcPr>
            <w:tcW w:w="2569" w:type="dxa"/>
            <w:tcBorders>
              <w:top w:val="single" w:sz="4" w:space="0" w:color="auto"/>
              <w:left w:val="single" w:sz="4" w:space="0" w:color="auto"/>
              <w:bottom w:val="single" w:sz="4" w:space="0" w:color="auto"/>
              <w:right w:val="single" w:sz="4" w:space="0" w:color="auto"/>
            </w:tcBorders>
          </w:tcPr>
          <w:p w14:paraId="70E786FB" w14:textId="77777777" w:rsidR="00573A1C" w:rsidRDefault="00573A1C"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7D32507A" w14:textId="77777777" w:rsidR="00573A1C" w:rsidRDefault="00573A1C" w:rsidP="004130A7">
            <w:pPr>
              <w:spacing w:after="0" w:line="240" w:lineRule="auto"/>
              <w:rPr>
                <w:sz w:val="24"/>
                <w:szCs w:val="24"/>
              </w:rPr>
            </w:pPr>
            <w:r>
              <w:rPr>
                <w:sz w:val="24"/>
                <w:szCs w:val="24"/>
              </w:rPr>
              <w:t>1 2 3</w:t>
            </w:r>
          </w:p>
        </w:tc>
      </w:tr>
      <w:tr w:rsidR="00573A1C" w14:paraId="59A960DE" w14:textId="77777777" w:rsidTr="00573A1C">
        <w:tc>
          <w:tcPr>
            <w:tcW w:w="2569" w:type="dxa"/>
            <w:tcBorders>
              <w:top w:val="single" w:sz="4" w:space="0" w:color="auto"/>
              <w:left w:val="single" w:sz="4" w:space="0" w:color="auto"/>
              <w:bottom w:val="single" w:sz="4" w:space="0" w:color="auto"/>
              <w:right w:val="single" w:sz="4" w:space="0" w:color="auto"/>
            </w:tcBorders>
          </w:tcPr>
          <w:p w14:paraId="2835A416" w14:textId="77777777" w:rsidR="00573A1C" w:rsidRDefault="00573A1C"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2CE49EB5" w14:textId="77777777" w:rsidR="00573A1C" w:rsidRDefault="00573A1C" w:rsidP="004130A7">
            <w:pPr>
              <w:spacing w:after="0" w:line="240" w:lineRule="auto"/>
              <w:rPr>
                <w:sz w:val="24"/>
                <w:szCs w:val="24"/>
              </w:rPr>
            </w:pPr>
            <w:r>
              <w:rPr>
                <w:sz w:val="24"/>
                <w:szCs w:val="24"/>
              </w:rPr>
              <w:t xml:space="preserve">                                1 2 3              </w:t>
            </w:r>
          </w:p>
        </w:tc>
      </w:tr>
      <w:tr w:rsidR="00573A1C" w14:paraId="68BFCF10" w14:textId="77777777" w:rsidTr="00573A1C">
        <w:tc>
          <w:tcPr>
            <w:tcW w:w="2569" w:type="dxa"/>
            <w:tcBorders>
              <w:top w:val="single" w:sz="4" w:space="0" w:color="auto"/>
              <w:left w:val="single" w:sz="4" w:space="0" w:color="auto"/>
              <w:bottom w:val="single" w:sz="4" w:space="0" w:color="auto"/>
              <w:right w:val="single" w:sz="4" w:space="0" w:color="auto"/>
            </w:tcBorders>
          </w:tcPr>
          <w:p w14:paraId="6478DB5B" w14:textId="77777777" w:rsidR="00573A1C" w:rsidRDefault="00573A1C"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0B842D05" w14:textId="77777777" w:rsidR="00573A1C" w:rsidRDefault="00573A1C" w:rsidP="004130A7">
            <w:pPr>
              <w:spacing w:after="0" w:line="240" w:lineRule="auto"/>
              <w:rPr>
                <w:sz w:val="24"/>
                <w:szCs w:val="24"/>
              </w:rPr>
            </w:pPr>
            <w:r>
              <w:rPr>
                <w:sz w:val="24"/>
                <w:szCs w:val="24"/>
              </w:rPr>
              <w:t xml:space="preserve"> 1 2             3              </w:t>
            </w:r>
          </w:p>
        </w:tc>
      </w:tr>
      <w:tr w:rsidR="00573A1C" w14:paraId="7C3B6594" w14:textId="77777777" w:rsidTr="00573A1C">
        <w:tc>
          <w:tcPr>
            <w:tcW w:w="2569" w:type="dxa"/>
            <w:tcBorders>
              <w:top w:val="single" w:sz="4" w:space="0" w:color="auto"/>
              <w:left w:val="single" w:sz="4" w:space="0" w:color="auto"/>
              <w:bottom w:val="single" w:sz="4" w:space="0" w:color="auto"/>
              <w:right w:val="single" w:sz="4" w:space="0" w:color="auto"/>
            </w:tcBorders>
          </w:tcPr>
          <w:p w14:paraId="0161A0B8" w14:textId="77777777" w:rsidR="00573A1C" w:rsidRDefault="00573A1C"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195F6892" w14:textId="77777777" w:rsidR="00573A1C" w:rsidRDefault="00573A1C" w:rsidP="004130A7">
            <w:pPr>
              <w:spacing w:after="0" w:line="240" w:lineRule="auto"/>
              <w:rPr>
                <w:sz w:val="24"/>
                <w:szCs w:val="24"/>
              </w:rPr>
            </w:pPr>
            <w:r>
              <w:rPr>
                <w:sz w:val="24"/>
                <w:szCs w:val="24"/>
              </w:rPr>
              <w:t xml:space="preserve">                1 2 3</w:t>
            </w:r>
          </w:p>
        </w:tc>
      </w:tr>
      <w:tr w:rsidR="00573A1C" w14:paraId="23357439" w14:textId="77777777" w:rsidTr="00573A1C">
        <w:tc>
          <w:tcPr>
            <w:tcW w:w="2569" w:type="dxa"/>
            <w:tcBorders>
              <w:top w:val="single" w:sz="4" w:space="0" w:color="auto"/>
              <w:left w:val="single" w:sz="4" w:space="0" w:color="auto"/>
              <w:bottom w:val="single" w:sz="4" w:space="0" w:color="auto"/>
              <w:right w:val="single" w:sz="4" w:space="0" w:color="auto"/>
            </w:tcBorders>
          </w:tcPr>
          <w:p w14:paraId="6F3AED8B" w14:textId="77777777" w:rsidR="00573A1C" w:rsidRDefault="00573A1C"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42B7E0BC" w14:textId="77777777" w:rsidR="00573A1C" w:rsidRDefault="00573A1C" w:rsidP="004130A7">
            <w:pPr>
              <w:spacing w:after="0" w:line="240" w:lineRule="auto"/>
              <w:rPr>
                <w:sz w:val="24"/>
                <w:szCs w:val="24"/>
              </w:rPr>
            </w:pPr>
            <w:r>
              <w:rPr>
                <w:sz w:val="24"/>
                <w:szCs w:val="24"/>
              </w:rPr>
              <w:t xml:space="preserve">                                1 2 3              </w:t>
            </w:r>
          </w:p>
        </w:tc>
      </w:tr>
      <w:tr w:rsidR="00573A1C" w14:paraId="5702EFA4" w14:textId="77777777" w:rsidTr="00573A1C">
        <w:tc>
          <w:tcPr>
            <w:tcW w:w="2569" w:type="dxa"/>
            <w:tcBorders>
              <w:top w:val="single" w:sz="4" w:space="0" w:color="auto"/>
              <w:left w:val="single" w:sz="4" w:space="0" w:color="auto"/>
              <w:bottom w:val="single" w:sz="4" w:space="0" w:color="auto"/>
              <w:right w:val="single" w:sz="4" w:space="0" w:color="auto"/>
            </w:tcBorders>
          </w:tcPr>
          <w:p w14:paraId="45FC58CD" w14:textId="77777777" w:rsidR="00573A1C" w:rsidRDefault="00573A1C"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7CE77867" w14:textId="77777777" w:rsidR="00573A1C" w:rsidRDefault="00573A1C" w:rsidP="004130A7">
            <w:pPr>
              <w:spacing w:after="0" w:line="240" w:lineRule="auto"/>
              <w:rPr>
                <w:sz w:val="24"/>
                <w:szCs w:val="24"/>
              </w:rPr>
            </w:pPr>
            <w:r>
              <w:rPr>
                <w:sz w:val="24"/>
                <w:szCs w:val="24"/>
              </w:rPr>
              <w:t>1 2 3</w:t>
            </w:r>
          </w:p>
        </w:tc>
      </w:tr>
      <w:tr w:rsidR="00573A1C" w14:paraId="477D9AA1" w14:textId="77777777" w:rsidTr="00573A1C">
        <w:tc>
          <w:tcPr>
            <w:tcW w:w="2569" w:type="dxa"/>
            <w:tcBorders>
              <w:top w:val="single" w:sz="4" w:space="0" w:color="auto"/>
              <w:left w:val="single" w:sz="4" w:space="0" w:color="auto"/>
              <w:bottom w:val="single" w:sz="4" w:space="0" w:color="auto"/>
              <w:right w:val="single" w:sz="4" w:space="0" w:color="auto"/>
            </w:tcBorders>
          </w:tcPr>
          <w:p w14:paraId="56756E92" w14:textId="77777777" w:rsidR="00573A1C" w:rsidRDefault="00573A1C"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721FC2B5" w14:textId="77777777" w:rsidR="00573A1C" w:rsidRDefault="00573A1C" w:rsidP="004130A7">
            <w:pPr>
              <w:spacing w:after="0" w:line="240" w:lineRule="auto"/>
              <w:rPr>
                <w:sz w:val="24"/>
                <w:szCs w:val="24"/>
              </w:rPr>
            </w:pPr>
            <w:r>
              <w:rPr>
                <w:sz w:val="24"/>
                <w:szCs w:val="24"/>
              </w:rPr>
              <w:t xml:space="preserve">  1              2               3</w:t>
            </w:r>
          </w:p>
        </w:tc>
      </w:tr>
      <w:tr w:rsidR="00573A1C" w14:paraId="73982509" w14:textId="77777777" w:rsidTr="00573A1C">
        <w:tc>
          <w:tcPr>
            <w:tcW w:w="2569" w:type="dxa"/>
            <w:tcBorders>
              <w:top w:val="single" w:sz="4" w:space="0" w:color="auto"/>
              <w:left w:val="single" w:sz="4" w:space="0" w:color="auto"/>
              <w:bottom w:val="single" w:sz="4" w:space="0" w:color="auto"/>
              <w:right w:val="single" w:sz="4" w:space="0" w:color="auto"/>
            </w:tcBorders>
          </w:tcPr>
          <w:p w14:paraId="39610841" w14:textId="77777777" w:rsidR="00573A1C" w:rsidRDefault="00573A1C"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5A867735" w14:textId="77777777" w:rsidR="00573A1C" w:rsidRDefault="00573A1C" w:rsidP="004130A7">
            <w:pPr>
              <w:spacing w:after="0" w:line="240" w:lineRule="auto"/>
              <w:rPr>
                <w:sz w:val="24"/>
                <w:szCs w:val="24"/>
              </w:rPr>
            </w:pPr>
            <w:r>
              <w:rPr>
                <w:sz w:val="24"/>
                <w:szCs w:val="24"/>
              </w:rPr>
              <w:t xml:space="preserve">  1             2 3</w:t>
            </w:r>
          </w:p>
        </w:tc>
      </w:tr>
      <w:tr w:rsidR="00573A1C" w14:paraId="58A6CD94" w14:textId="77777777" w:rsidTr="00573A1C">
        <w:tc>
          <w:tcPr>
            <w:tcW w:w="2569" w:type="dxa"/>
            <w:tcBorders>
              <w:top w:val="single" w:sz="4" w:space="0" w:color="auto"/>
              <w:left w:val="single" w:sz="4" w:space="0" w:color="auto"/>
              <w:bottom w:val="single" w:sz="4" w:space="0" w:color="auto"/>
              <w:right w:val="single" w:sz="4" w:space="0" w:color="auto"/>
            </w:tcBorders>
          </w:tcPr>
          <w:p w14:paraId="4031E2A3" w14:textId="77777777" w:rsidR="00573A1C" w:rsidRDefault="00573A1C"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54D05DAE" w14:textId="77777777" w:rsidR="00573A1C" w:rsidRDefault="00573A1C" w:rsidP="004130A7">
            <w:pPr>
              <w:spacing w:after="0" w:line="240" w:lineRule="auto"/>
              <w:rPr>
                <w:sz w:val="24"/>
                <w:szCs w:val="24"/>
              </w:rPr>
            </w:pPr>
            <w:r>
              <w:rPr>
                <w:sz w:val="24"/>
                <w:szCs w:val="24"/>
              </w:rPr>
              <w:t xml:space="preserve">  1             2 3</w:t>
            </w:r>
          </w:p>
        </w:tc>
      </w:tr>
      <w:tr w:rsidR="00573A1C" w14:paraId="3516542D" w14:textId="77777777" w:rsidTr="00573A1C">
        <w:tc>
          <w:tcPr>
            <w:tcW w:w="2569" w:type="dxa"/>
            <w:tcBorders>
              <w:top w:val="single" w:sz="4" w:space="0" w:color="auto"/>
              <w:left w:val="single" w:sz="4" w:space="0" w:color="auto"/>
              <w:bottom w:val="single" w:sz="4" w:space="0" w:color="auto"/>
              <w:right w:val="single" w:sz="4" w:space="0" w:color="auto"/>
            </w:tcBorders>
          </w:tcPr>
          <w:p w14:paraId="5C31F7BF" w14:textId="77777777" w:rsidR="00573A1C" w:rsidRDefault="00573A1C"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03FA5187" w14:textId="77777777" w:rsidR="00573A1C" w:rsidRDefault="00573A1C" w:rsidP="004130A7">
            <w:pPr>
              <w:spacing w:after="0" w:line="240" w:lineRule="auto"/>
              <w:rPr>
                <w:sz w:val="24"/>
                <w:szCs w:val="24"/>
              </w:rPr>
            </w:pPr>
            <w:r>
              <w:rPr>
                <w:sz w:val="24"/>
                <w:szCs w:val="24"/>
              </w:rPr>
              <w:t>1 2 3</w:t>
            </w:r>
          </w:p>
        </w:tc>
      </w:tr>
      <w:tr w:rsidR="00573A1C" w14:paraId="17F5171F" w14:textId="77777777" w:rsidTr="00573A1C">
        <w:tc>
          <w:tcPr>
            <w:tcW w:w="2569" w:type="dxa"/>
            <w:tcBorders>
              <w:top w:val="single" w:sz="4" w:space="0" w:color="auto"/>
              <w:left w:val="single" w:sz="4" w:space="0" w:color="auto"/>
              <w:bottom w:val="single" w:sz="4" w:space="0" w:color="auto"/>
              <w:right w:val="single" w:sz="4" w:space="0" w:color="auto"/>
            </w:tcBorders>
          </w:tcPr>
          <w:p w14:paraId="303A1004" w14:textId="77777777" w:rsidR="00573A1C" w:rsidRDefault="00573A1C"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3E853954" w14:textId="77777777" w:rsidR="00573A1C" w:rsidRDefault="00573A1C" w:rsidP="004130A7">
            <w:pPr>
              <w:spacing w:after="0" w:line="240" w:lineRule="auto"/>
              <w:rPr>
                <w:sz w:val="24"/>
                <w:szCs w:val="24"/>
              </w:rPr>
            </w:pPr>
            <w:r>
              <w:rPr>
                <w:sz w:val="24"/>
                <w:szCs w:val="24"/>
              </w:rPr>
              <w:t xml:space="preserve">  1             2 3</w:t>
            </w:r>
          </w:p>
        </w:tc>
      </w:tr>
      <w:tr w:rsidR="00573A1C" w14:paraId="46FF9308" w14:textId="77777777" w:rsidTr="00573A1C">
        <w:tc>
          <w:tcPr>
            <w:tcW w:w="2569" w:type="dxa"/>
            <w:tcBorders>
              <w:top w:val="single" w:sz="4" w:space="0" w:color="auto"/>
              <w:left w:val="single" w:sz="4" w:space="0" w:color="auto"/>
              <w:bottom w:val="single" w:sz="4" w:space="0" w:color="auto"/>
              <w:right w:val="single" w:sz="4" w:space="0" w:color="auto"/>
            </w:tcBorders>
          </w:tcPr>
          <w:p w14:paraId="6F857918" w14:textId="77777777" w:rsidR="00573A1C" w:rsidRDefault="00573A1C"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6E8387D9" w14:textId="77777777" w:rsidR="00573A1C" w:rsidRDefault="00573A1C" w:rsidP="004130A7">
            <w:pPr>
              <w:spacing w:after="0" w:line="240" w:lineRule="auto"/>
              <w:rPr>
                <w:sz w:val="24"/>
                <w:szCs w:val="24"/>
              </w:rPr>
            </w:pPr>
            <w:r>
              <w:rPr>
                <w:sz w:val="24"/>
                <w:szCs w:val="24"/>
              </w:rPr>
              <w:t xml:space="preserve">                   1             2 3              </w:t>
            </w:r>
          </w:p>
        </w:tc>
      </w:tr>
      <w:tr w:rsidR="00573A1C" w14:paraId="53FA7C02" w14:textId="77777777" w:rsidTr="00573A1C">
        <w:tc>
          <w:tcPr>
            <w:tcW w:w="2569" w:type="dxa"/>
            <w:tcBorders>
              <w:top w:val="single" w:sz="4" w:space="0" w:color="auto"/>
              <w:left w:val="single" w:sz="4" w:space="0" w:color="auto"/>
              <w:bottom w:val="single" w:sz="4" w:space="0" w:color="auto"/>
              <w:right w:val="single" w:sz="4" w:space="0" w:color="auto"/>
            </w:tcBorders>
          </w:tcPr>
          <w:p w14:paraId="208DB471" w14:textId="77777777" w:rsidR="00573A1C" w:rsidRDefault="00573A1C"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775005C6" w14:textId="77777777" w:rsidR="00573A1C" w:rsidRDefault="00573A1C" w:rsidP="004130A7">
            <w:pPr>
              <w:spacing w:after="0" w:line="240" w:lineRule="auto"/>
              <w:rPr>
                <w:sz w:val="24"/>
                <w:szCs w:val="24"/>
              </w:rPr>
            </w:pPr>
            <w:r>
              <w:rPr>
                <w:sz w:val="24"/>
                <w:szCs w:val="24"/>
              </w:rPr>
              <w:t xml:space="preserve"> 1 2             3</w:t>
            </w:r>
          </w:p>
        </w:tc>
      </w:tr>
      <w:tr w:rsidR="00573A1C" w14:paraId="7A0086EB" w14:textId="77777777" w:rsidTr="00573A1C">
        <w:tc>
          <w:tcPr>
            <w:tcW w:w="2569" w:type="dxa"/>
            <w:tcBorders>
              <w:top w:val="single" w:sz="4" w:space="0" w:color="auto"/>
              <w:left w:val="single" w:sz="4" w:space="0" w:color="auto"/>
              <w:bottom w:val="single" w:sz="4" w:space="0" w:color="auto"/>
              <w:right w:val="single" w:sz="4" w:space="0" w:color="auto"/>
            </w:tcBorders>
          </w:tcPr>
          <w:p w14:paraId="4420B236" w14:textId="77777777" w:rsidR="00573A1C" w:rsidRDefault="00573A1C"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35618A39" w14:textId="77777777" w:rsidR="00573A1C" w:rsidRDefault="00573A1C" w:rsidP="004130A7">
            <w:pPr>
              <w:spacing w:after="0" w:line="240" w:lineRule="auto"/>
              <w:rPr>
                <w:sz w:val="24"/>
                <w:szCs w:val="24"/>
              </w:rPr>
            </w:pPr>
            <w:r>
              <w:rPr>
                <w:sz w:val="24"/>
                <w:szCs w:val="24"/>
              </w:rPr>
              <w:t xml:space="preserve"> 1 2             3</w:t>
            </w:r>
          </w:p>
        </w:tc>
      </w:tr>
      <w:tr w:rsidR="00573A1C" w14:paraId="37CF2532" w14:textId="77777777" w:rsidTr="00573A1C">
        <w:tc>
          <w:tcPr>
            <w:tcW w:w="2569" w:type="dxa"/>
            <w:tcBorders>
              <w:top w:val="single" w:sz="4" w:space="0" w:color="auto"/>
              <w:left w:val="single" w:sz="4" w:space="0" w:color="auto"/>
              <w:bottom w:val="single" w:sz="4" w:space="0" w:color="auto"/>
              <w:right w:val="single" w:sz="4" w:space="0" w:color="auto"/>
            </w:tcBorders>
          </w:tcPr>
          <w:p w14:paraId="49679E53" w14:textId="77777777" w:rsidR="00573A1C" w:rsidRDefault="00573A1C"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2731AD39" w14:textId="77777777" w:rsidR="00573A1C" w:rsidRDefault="00573A1C" w:rsidP="004130A7">
            <w:pPr>
              <w:keepNext/>
              <w:spacing w:after="0" w:line="240" w:lineRule="auto"/>
              <w:rPr>
                <w:sz w:val="24"/>
                <w:szCs w:val="24"/>
              </w:rPr>
            </w:pPr>
            <w:r>
              <w:rPr>
                <w:sz w:val="24"/>
                <w:szCs w:val="24"/>
              </w:rPr>
              <w:t xml:space="preserve">  1             2 3</w:t>
            </w:r>
          </w:p>
        </w:tc>
      </w:tr>
    </w:tbl>
    <w:p w14:paraId="3F977712" w14:textId="6D464B4D" w:rsidR="00272012" w:rsidRPr="00A91A32" w:rsidRDefault="00272012" w:rsidP="00272012">
      <w:pPr>
        <w:pStyle w:val="Caption"/>
        <w:spacing w:after="120" w:line="360" w:lineRule="auto"/>
      </w:pPr>
      <w:bookmarkStart w:id="275" w:name="_Toc531023153"/>
      <w:bookmarkStart w:id="276" w:name="_Toc536438914"/>
      <w:bookmarkStart w:id="277" w:name="_Toc31702089"/>
      <w:r w:rsidRPr="00A91A32">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20</w:t>
      </w:r>
      <w:r w:rsidR="00233012">
        <w:rPr>
          <w:noProof/>
        </w:rPr>
        <w:fldChar w:fldCharType="end"/>
      </w:r>
      <w:r w:rsidRPr="00A91A32">
        <w:t>. Plotted typology.</w:t>
      </w:r>
      <w:r>
        <w:t xml:space="preserve"> BoR4.2</w:t>
      </w:r>
      <w:bookmarkEnd w:id="275"/>
      <w:bookmarkEnd w:id="276"/>
      <w:bookmarkEnd w:id="277"/>
    </w:p>
    <w:p w14:paraId="71CFB0BA" w14:textId="77777777" w:rsidR="000E21D6" w:rsidRDefault="000E21D6">
      <w:pPr>
        <w:rPr>
          <w:rFonts w:asciiTheme="majorHAnsi" w:eastAsiaTheme="majorEastAsia" w:hAnsiTheme="majorHAnsi" w:cstheme="majorBidi"/>
          <w:caps/>
          <w:color w:val="1F3763" w:themeColor="accent1" w:themeShade="7F"/>
          <w:sz w:val="24"/>
          <w:szCs w:val="24"/>
        </w:rPr>
      </w:pPr>
      <w:r>
        <w:br w:type="page"/>
      </w:r>
    </w:p>
    <w:p w14:paraId="30BFCF2C" w14:textId="5B4FB943" w:rsidR="00272012" w:rsidRPr="008A682A" w:rsidRDefault="0093259B" w:rsidP="00272012">
      <w:pPr>
        <w:pStyle w:val="Heading3"/>
      </w:pPr>
      <w:bookmarkStart w:id="278" w:name="_Toc31702021"/>
      <w:r>
        <w:t>BoRs sampled from UoA 5</w:t>
      </w:r>
      <w:bookmarkEnd w:id="278"/>
    </w:p>
    <w:p w14:paraId="497B9876" w14:textId="77777777" w:rsidR="00272012" w:rsidRPr="00D8605B" w:rsidRDefault="00272012" w:rsidP="00272012">
      <w:pPr>
        <w:spacing w:after="120" w:line="360" w:lineRule="auto"/>
      </w:pPr>
      <w:r>
        <w:rPr>
          <w:sz w:val="24"/>
          <w:szCs w:val="24"/>
        </w:rPr>
        <w:t xml:space="preserve">From the University of St Andrews (henceforth St Andrews) I have selected four Impact Case Studies out of the six submitted to UoA 5. All four are based on research within the Sea Mammals Research Unit (SMRU). SMRU started life in 1978 within the Natural Environment Research Council (NERC), created to fulfil NERC’s obligation to advise the UK Government on seal management according to NERC’s Royal Charter and the Conservation of Seals Act 1970. SMRU was moved to St Andrews School of Biology in 1996, with NERC continuing to fund SMRU’s work related to advisory obligations. The overall discipline which best describes SMRU’s research is marine ecology, with particular focus on the interdisciplinary subfield of marine mammalogy. This implies that while SMRU research makes some fundamental advances in knowledge, ‘use’ of knowledge is a major driver of the research. </w:t>
      </w:r>
    </w:p>
    <w:p w14:paraId="2594B9AA" w14:textId="77777777" w:rsidR="00272012" w:rsidRDefault="00272012" w:rsidP="00272012">
      <w:pPr>
        <w:spacing w:after="120" w:line="360" w:lineRule="auto"/>
        <w:rPr>
          <w:sz w:val="24"/>
          <w:szCs w:val="24"/>
        </w:rPr>
      </w:pPr>
      <w:r>
        <w:rPr>
          <w:sz w:val="24"/>
          <w:szCs w:val="24"/>
        </w:rPr>
        <w:t>Beyond this underpinning epistemic context, the empirical content and context of the research underpinning the four Impact Case Studies have several commonalities which can be summarised under six interrelated themes: (a) the methodological framing of the empirical context as a complex ‘open system’ (i.e. the marine ecosystem); (b) this requires advances in technology and software for the collection and analysis of complex data; (c) the novel datasets produced by such technologies require development of new statistical techniques; (d) the inherent multi-disciplinarity of the study of sea mammals requires scientists to work towards shared, robust definitions of key concepts; (e) in order to influence society, scientists also need to construct concepts that are understandable to governing bodies and the wider public; (f) scientists must be sensitive to the socio-economic factors (e.g. fishing) associated with sea mammal depletion, as scientific evidence alone is insufficient to guide policy.</w:t>
      </w:r>
    </w:p>
    <w:p w14:paraId="7C159A43" w14:textId="26A606B1" w:rsidR="00272012" w:rsidRDefault="009528FE" w:rsidP="00272012">
      <w:pPr>
        <w:pStyle w:val="Heading4"/>
      </w:pPr>
      <w:r>
        <w:t>Body of Research 5: ‘Sea Mammal Research &amp; Impact’</w:t>
      </w:r>
    </w:p>
    <w:p w14:paraId="63CBF413" w14:textId="0F8336C0" w:rsidR="00272012" w:rsidRDefault="00272012" w:rsidP="00272012">
      <w:pPr>
        <w:spacing w:after="120" w:line="360" w:lineRule="auto"/>
        <w:rPr>
          <w:sz w:val="24"/>
          <w:szCs w:val="24"/>
        </w:rPr>
      </w:pPr>
      <w:r w:rsidRPr="00594051">
        <w:rPr>
          <w:sz w:val="24"/>
          <w:szCs w:val="24"/>
        </w:rPr>
        <w:t>Title</w:t>
      </w:r>
      <w:r>
        <w:rPr>
          <w:sz w:val="24"/>
          <w:szCs w:val="24"/>
        </w:rPr>
        <w:t>s</w:t>
      </w:r>
      <w:r w:rsidR="009528FE">
        <w:rPr>
          <w:sz w:val="24"/>
          <w:szCs w:val="24"/>
        </w:rPr>
        <w:t xml:space="preserve"> of relevant REF Impact Case Studies</w:t>
      </w:r>
      <w:r w:rsidRPr="00594051">
        <w:rPr>
          <w:sz w:val="24"/>
          <w:szCs w:val="24"/>
        </w:rPr>
        <w:t>:</w:t>
      </w:r>
      <w:r>
        <w:rPr>
          <w:sz w:val="24"/>
          <w:szCs w:val="24"/>
        </w:rPr>
        <w:t xml:space="preserve"> </w:t>
      </w:r>
      <w:r>
        <w:rPr>
          <w:sz w:val="24"/>
          <w:szCs w:val="24"/>
        </w:rPr>
        <w:br/>
        <w:t>‘Animal-borne telemetry tags for conservation and weather forecasting’</w:t>
      </w:r>
      <w:r>
        <w:rPr>
          <w:sz w:val="24"/>
          <w:szCs w:val="24"/>
        </w:rPr>
        <w:br/>
        <w:t>‘Mitigating environmental impacts of naval Sonar’</w:t>
      </w:r>
      <w:r>
        <w:rPr>
          <w:sz w:val="24"/>
          <w:szCs w:val="24"/>
        </w:rPr>
        <w:br/>
        <w:t>‘Enabling industry compliance with offshore regulation’</w:t>
      </w:r>
      <w:r>
        <w:rPr>
          <w:sz w:val="24"/>
          <w:szCs w:val="24"/>
        </w:rPr>
        <w:br/>
        <w:t>‘Marine Mammal Conservation: from policy to bycatch reduction’</w:t>
      </w:r>
    </w:p>
    <w:p w14:paraId="4016771B" w14:textId="78505A1E" w:rsidR="00272012" w:rsidRDefault="00272012" w:rsidP="00272012">
      <w:pPr>
        <w:spacing w:after="120" w:line="360" w:lineRule="auto"/>
        <w:rPr>
          <w:sz w:val="24"/>
          <w:szCs w:val="24"/>
        </w:rPr>
      </w:pPr>
      <w:r w:rsidRPr="00594051">
        <w:rPr>
          <w:sz w:val="24"/>
          <w:szCs w:val="24"/>
          <w:u w:val="single"/>
        </w:rPr>
        <w:t>Phase 1</w:t>
      </w:r>
      <w:r>
        <w:rPr>
          <w:sz w:val="24"/>
          <w:szCs w:val="24"/>
          <w:u w:val="single"/>
        </w:rPr>
        <w:t>. Co-advancement of science and technology</w:t>
      </w:r>
      <w:r w:rsidRPr="003417AF">
        <w:rPr>
          <w:sz w:val="24"/>
          <w:szCs w:val="24"/>
        </w:rPr>
        <w:t xml:space="preserve"> </w:t>
      </w:r>
    </w:p>
    <w:p w14:paraId="38E42F2F" w14:textId="77777777" w:rsidR="00272012" w:rsidRDefault="00272012" w:rsidP="00272012">
      <w:pPr>
        <w:spacing w:after="120" w:line="360" w:lineRule="auto"/>
        <w:rPr>
          <w:sz w:val="24"/>
          <w:szCs w:val="24"/>
        </w:rPr>
      </w:pPr>
      <w:r>
        <w:rPr>
          <w:sz w:val="24"/>
          <w:szCs w:val="24"/>
        </w:rPr>
        <w:t xml:space="preserve">Sea mammals, such as seals, are top predators in marine ecosystems, and thereby raise concerns about competition with fisheries, prompting calls for seal population controls. Sustainable control requires detailed knowledge about both population distribution and behaviour, particularly behaviour related to foraging habits. In short, seal management depends upon fundamental mammalogical knowledge, that is, zoological and ecological knowledge of sea mammals. </w:t>
      </w:r>
    </w:p>
    <w:p w14:paraId="24F2F8E4" w14:textId="77777777" w:rsidR="00272012" w:rsidRDefault="00272012" w:rsidP="00272012">
      <w:pPr>
        <w:spacing w:after="120" w:line="360" w:lineRule="auto"/>
        <w:rPr>
          <w:sz w:val="24"/>
          <w:szCs w:val="24"/>
        </w:rPr>
      </w:pPr>
      <w:r>
        <w:rPr>
          <w:sz w:val="24"/>
          <w:szCs w:val="24"/>
        </w:rPr>
        <w:t xml:space="preserve">SMRU brings together an interdisciplinary group of experts, including ecologists, zoologists, statisticians and engineers. This provides the environment for a highly effective mode of operation in which scientific demand spurs technological developments, which in turn make new kinds of scientific question feasible. Throughout the 1990s, breakthroughs in SMRU research, instrumentation and software made significant advances in the scope of marine mammalogy. New SMRU technologies provided the ability to track seals’ at-sea behaviour, allowing greater levels of breadth and depth (literally) of data collection than ever before possible. </w:t>
      </w:r>
    </w:p>
    <w:p w14:paraId="1842FC00" w14:textId="77777777" w:rsidR="00272012" w:rsidRDefault="00272012" w:rsidP="00272012">
      <w:pPr>
        <w:spacing w:after="120" w:line="360" w:lineRule="auto"/>
        <w:rPr>
          <w:sz w:val="24"/>
          <w:szCs w:val="24"/>
        </w:rPr>
      </w:pPr>
      <w:r>
        <w:rPr>
          <w:sz w:val="24"/>
          <w:szCs w:val="24"/>
        </w:rPr>
        <w:t xml:space="preserve">The knowledge and information gained through this mutually-sustaining cycle of science and technology has influenced a range of policies and initiatives around sea mammal control and conservation, as well as supporting the naval, oil/gas and fishing industries whose operations inevitably lead to interactions with, and therefore potential disturbances to, sea mammals. As such, these industries are subject to stringent regulatory compliance. SMRU technologies have enabled organisations within these sectors to comply with these regulations and have therefore become important to core operations.  </w:t>
      </w:r>
    </w:p>
    <w:p w14:paraId="5CCA562D" w14:textId="3D9E305A" w:rsidR="00272012" w:rsidRDefault="00272012" w:rsidP="00272012">
      <w:pPr>
        <w:spacing w:after="120" w:line="360" w:lineRule="auto"/>
        <w:rPr>
          <w:sz w:val="24"/>
          <w:szCs w:val="24"/>
        </w:rPr>
      </w:pPr>
      <w:r>
        <w:rPr>
          <w:sz w:val="24"/>
          <w:szCs w:val="24"/>
          <w:u w:val="single"/>
        </w:rPr>
        <w:t>Phase 2. Methodological innovations</w:t>
      </w:r>
      <w:r>
        <w:rPr>
          <w:sz w:val="24"/>
          <w:szCs w:val="24"/>
          <w:u w:val="single"/>
        </w:rPr>
        <w:br/>
      </w:r>
      <w:r>
        <w:rPr>
          <w:sz w:val="24"/>
          <w:szCs w:val="24"/>
        </w:rPr>
        <w:t xml:space="preserve">If advances in empirical and technological capacity develop roughly in synchronisation, then close behind them are methodological advances, primarily in the form of statistical innovations which aim to both estimate the error inherent in existing methods and to maximise the analytical potential of newly-acquirable data. For example, SMRU used their own technology to calculate the errors inherent in the satellite systems used by research groups around the world. In addition, they proposed and tested novel statistical methods for the analysis of complex data enabled by their and others’ new technologies. </w:t>
      </w:r>
    </w:p>
    <w:p w14:paraId="5958F5CE" w14:textId="77777777" w:rsidR="00272012" w:rsidRDefault="00272012" w:rsidP="00272012">
      <w:pPr>
        <w:spacing w:after="120" w:line="360" w:lineRule="auto"/>
        <w:rPr>
          <w:sz w:val="24"/>
          <w:szCs w:val="24"/>
        </w:rPr>
      </w:pPr>
      <w:r>
        <w:rPr>
          <w:sz w:val="24"/>
          <w:szCs w:val="24"/>
        </w:rPr>
        <w:t>SMRU’s aim of sharing their own innovations to as wide a relevant audience as possible can be seen in the publications associated with Phase 2, for example publishing in general ecology journals rather than marine ecology specific journals.</w:t>
      </w:r>
    </w:p>
    <w:p w14:paraId="44DACA89" w14:textId="78B1C57B" w:rsidR="00272012" w:rsidRDefault="00272012" w:rsidP="00272012">
      <w:pPr>
        <w:spacing w:after="120" w:line="360" w:lineRule="auto"/>
        <w:rPr>
          <w:sz w:val="24"/>
          <w:szCs w:val="24"/>
        </w:rPr>
      </w:pPr>
      <w:r>
        <w:rPr>
          <w:sz w:val="24"/>
          <w:szCs w:val="24"/>
          <w:u w:val="single"/>
        </w:rPr>
        <w:t>Phase 3. Disseminating technologies and techniques, generating revenue</w:t>
      </w:r>
      <w:r w:rsidRPr="00620294">
        <w:rPr>
          <w:i/>
          <w:sz w:val="24"/>
          <w:szCs w:val="24"/>
        </w:rPr>
        <w:t xml:space="preserve"> </w:t>
      </w:r>
      <w:r>
        <w:rPr>
          <w:i/>
          <w:sz w:val="24"/>
          <w:szCs w:val="24"/>
        </w:rPr>
        <w:br/>
      </w:r>
      <w:r>
        <w:rPr>
          <w:sz w:val="24"/>
          <w:szCs w:val="24"/>
        </w:rPr>
        <w:t xml:space="preserve">The technological, methodological and theoretical advances prompted by SMRU’s scientific questions also have broader potential applications in conservation and conservation science, beyond mammalogy. Phase 3 centres around SMRU’s efforts to explore, develop and explain their technologies’ potential applicability by others, particularly other ecological scientists (beyond mammalogists) or sectors affected by conservation regulations. </w:t>
      </w:r>
    </w:p>
    <w:p w14:paraId="1898B66D" w14:textId="77777777" w:rsidR="00272012" w:rsidRPr="0008325F" w:rsidRDefault="00272012" w:rsidP="00272012">
      <w:pPr>
        <w:spacing w:after="120" w:line="360" w:lineRule="auto"/>
        <w:rPr>
          <w:sz w:val="24"/>
          <w:szCs w:val="24"/>
          <w:u w:val="single"/>
        </w:rPr>
      </w:pPr>
      <w:r>
        <w:rPr>
          <w:sz w:val="24"/>
          <w:szCs w:val="24"/>
        </w:rPr>
        <w:t xml:space="preserve">Again, this calls for a broader audience, and this is reflected in the journals of these academic outputs, such as journals of relevance to biology in general rather than focused on (marine) ecology or mammalogy. </w:t>
      </w:r>
    </w:p>
    <w:p w14:paraId="359B201B" w14:textId="77777777" w:rsidR="00272012" w:rsidRPr="00FD550C" w:rsidRDefault="00272012" w:rsidP="00272012">
      <w:pPr>
        <w:spacing w:after="120" w:line="360" w:lineRule="auto"/>
        <w:rPr>
          <w:sz w:val="24"/>
          <w:szCs w:val="24"/>
        </w:rPr>
      </w:pPr>
      <w:r>
        <w:rPr>
          <w:sz w:val="24"/>
          <w:szCs w:val="24"/>
        </w:rPr>
        <w:t xml:space="preserve">Moreover, successful dissemination of these technologies has resulted in significant financial returns, either through sales developed and sold through the SMRU Instrumentation Group, or through SMRU’s spin-out company SMRU Consulting. </w:t>
      </w:r>
    </w:p>
    <w:tbl>
      <w:tblPr>
        <w:tblW w:w="7155" w:type="dxa"/>
        <w:tblLook w:val="04A0" w:firstRow="1" w:lastRow="0" w:firstColumn="1" w:lastColumn="0" w:noHBand="0" w:noVBand="1"/>
      </w:tblPr>
      <w:tblGrid>
        <w:gridCol w:w="2569"/>
        <w:gridCol w:w="4586"/>
      </w:tblGrid>
      <w:tr w:rsidR="00045790" w14:paraId="0377A73F" w14:textId="77777777" w:rsidTr="00045790">
        <w:tc>
          <w:tcPr>
            <w:tcW w:w="2569" w:type="dxa"/>
            <w:tcBorders>
              <w:top w:val="single" w:sz="4" w:space="0" w:color="auto"/>
              <w:left w:val="single" w:sz="4" w:space="0" w:color="auto"/>
              <w:bottom w:val="single" w:sz="4" w:space="0" w:color="auto"/>
              <w:right w:val="single" w:sz="4" w:space="0" w:color="auto"/>
            </w:tcBorders>
          </w:tcPr>
          <w:p w14:paraId="6F17C9F5" w14:textId="23D3893D" w:rsidR="00045790" w:rsidRPr="002B4060" w:rsidRDefault="00045790" w:rsidP="00045790">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34314B47" w14:textId="77777777" w:rsidR="00045790" w:rsidRPr="00B8594F" w:rsidRDefault="00045790" w:rsidP="00045790">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1C299CF8" w14:textId="6221A22E" w:rsidR="00045790" w:rsidRPr="00B8594F" w:rsidRDefault="00045790" w:rsidP="00045790">
            <w:pPr>
              <w:spacing w:after="0" w:line="240" w:lineRule="auto"/>
              <w:jc w:val="center"/>
              <w:rPr>
                <w:b/>
                <w:sz w:val="24"/>
                <w:szCs w:val="24"/>
              </w:rPr>
            </w:pPr>
            <w:r w:rsidRPr="00B8594F">
              <w:rPr>
                <w:b/>
                <w:sz w:val="24"/>
                <w:szCs w:val="24"/>
              </w:rPr>
              <w:t>1               2               3               4               5</w:t>
            </w:r>
          </w:p>
        </w:tc>
      </w:tr>
      <w:tr w:rsidR="00045790" w14:paraId="79528303" w14:textId="77777777" w:rsidTr="00045790">
        <w:tc>
          <w:tcPr>
            <w:tcW w:w="2569" w:type="dxa"/>
            <w:tcBorders>
              <w:top w:val="single" w:sz="4" w:space="0" w:color="auto"/>
              <w:left w:val="single" w:sz="4" w:space="0" w:color="auto"/>
              <w:bottom w:val="single" w:sz="4" w:space="0" w:color="auto"/>
              <w:right w:val="single" w:sz="4" w:space="0" w:color="auto"/>
            </w:tcBorders>
          </w:tcPr>
          <w:p w14:paraId="621A2735" w14:textId="77777777" w:rsidR="00045790" w:rsidRDefault="00045790"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205F0BC0" w14:textId="77777777" w:rsidR="00045790" w:rsidRDefault="00045790" w:rsidP="004130A7">
            <w:pPr>
              <w:spacing w:after="0" w:line="240" w:lineRule="auto"/>
              <w:rPr>
                <w:sz w:val="24"/>
                <w:szCs w:val="24"/>
              </w:rPr>
            </w:pPr>
            <w:r>
              <w:rPr>
                <w:sz w:val="24"/>
                <w:szCs w:val="24"/>
              </w:rPr>
              <w:t>1 2 3</w:t>
            </w:r>
          </w:p>
        </w:tc>
      </w:tr>
      <w:tr w:rsidR="00045790" w14:paraId="0650A4D7" w14:textId="77777777" w:rsidTr="00045790">
        <w:tc>
          <w:tcPr>
            <w:tcW w:w="2569" w:type="dxa"/>
            <w:tcBorders>
              <w:top w:val="single" w:sz="4" w:space="0" w:color="auto"/>
              <w:left w:val="single" w:sz="4" w:space="0" w:color="auto"/>
              <w:bottom w:val="single" w:sz="4" w:space="0" w:color="auto"/>
              <w:right w:val="single" w:sz="4" w:space="0" w:color="auto"/>
            </w:tcBorders>
          </w:tcPr>
          <w:p w14:paraId="573954D1" w14:textId="77777777" w:rsidR="00045790" w:rsidRDefault="00045790"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4D77C1BF" w14:textId="77777777" w:rsidR="00045790" w:rsidRDefault="00045790" w:rsidP="004130A7">
            <w:pPr>
              <w:spacing w:after="0" w:line="240" w:lineRule="auto"/>
              <w:rPr>
                <w:sz w:val="24"/>
                <w:szCs w:val="24"/>
              </w:rPr>
            </w:pPr>
            <w:r>
              <w:rPr>
                <w:sz w:val="24"/>
                <w:szCs w:val="24"/>
              </w:rPr>
              <w:t xml:space="preserve">                                  1 2              3  </w:t>
            </w:r>
          </w:p>
        </w:tc>
      </w:tr>
      <w:tr w:rsidR="00045790" w14:paraId="15545702" w14:textId="77777777" w:rsidTr="00045790">
        <w:tc>
          <w:tcPr>
            <w:tcW w:w="2569" w:type="dxa"/>
            <w:tcBorders>
              <w:top w:val="single" w:sz="4" w:space="0" w:color="auto"/>
              <w:left w:val="single" w:sz="4" w:space="0" w:color="auto"/>
              <w:bottom w:val="single" w:sz="4" w:space="0" w:color="auto"/>
              <w:right w:val="single" w:sz="4" w:space="0" w:color="auto"/>
            </w:tcBorders>
          </w:tcPr>
          <w:p w14:paraId="00EBFB19" w14:textId="77777777" w:rsidR="00045790" w:rsidRDefault="00045790"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780C9245" w14:textId="77777777" w:rsidR="00045790" w:rsidRDefault="00045790" w:rsidP="004130A7">
            <w:pPr>
              <w:spacing w:after="0" w:line="240" w:lineRule="auto"/>
              <w:rPr>
                <w:sz w:val="24"/>
                <w:szCs w:val="24"/>
              </w:rPr>
            </w:pPr>
            <w:r>
              <w:rPr>
                <w:sz w:val="24"/>
                <w:szCs w:val="24"/>
              </w:rPr>
              <w:t xml:space="preserve">                   2             1 3</w:t>
            </w:r>
          </w:p>
        </w:tc>
      </w:tr>
      <w:tr w:rsidR="00045790" w14:paraId="304F78B4" w14:textId="77777777" w:rsidTr="00045790">
        <w:tc>
          <w:tcPr>
            <w:tcW w:w="2569" w:type="dxa"/>
            <w:tcBorders>
              <w:top w:val="single" w:sz="4" w:space="0" w:color="auto"/>
              <w:left w:val="single" w:sz="4" w:space="0" w:color="auto"/>
              <w:bottom w:val="single" w:sz="4" w:space="0" w:color="auto"/>
              <w:right w:val="single" w:sz="4" w:space="0" w:color="auto"/>
            </w:tcBorders>
          </w:tcPr>
          <w:p w14:paraId="4A6BDE1D" w14:textId="77777777" w:rsidR="00045790" w:rsidRDefault="00045790"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2734D155" w14:textId="77777777" w:rsidR="00045790" w:rsidRDefault="00045790" w:rsidP="004130A7">
            <w:pPr>
              <w:spacing w:after="0" w:line="240" w:lineRule="auto"/>
              <w:rPr>
                <w:sz w:val="24"/>
                <w:szCs w:val="24"/>
              </w:rPr>
            </w:pPr>
            <w:r>
              <w:rPr>
                <w:sz w:val="24"/>
                <w:szCs w:val="24"/>
              </w:rPr>
              <w:t xml:space="preserve">                   1             2 3</w:t>
            </w:r>
          </w:p>
        </w:tc>
      </w:tr>
      <w:tr w:rsidR="00045790" w14:paraId="53E7F46A" w14:textId="77777777" w:rsidTr="00045790">
        <w:tc>
          <w:tcPr>
            <w:tcW w:w="2569" w:type="dxa"/>
            <w:tcBorders>
              <w:top w:val="single" w:sz="4" w:space="0" w:color="auto"/>
              <w:left w:val="single" w:sz="4" w:space="0" w:color="auto"/>
              <w:bottom w:val="single" w:sz="4" w:space="0" w:color="auto"/>
              <w:right w:val="single" w:sz="4" w:space="0" w:color="auto"/>
            </w:tcBorders>
          </w:tcPr>
          <w:p w14:paraId="045B026B" w14:textId="77777777" w:rsidR="00045790" w:rsidRDefault="00045790"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3278808A" w14:textId="77777777" w:rsidR="00045790" w:rsidRDefault="00045790" w:rsidP="004130A7">
            <w:pPr>
              <w:spacing w:after="0" w:line="240" w:lineRule="auto"/>
              <w:rPr>
                <w:sz w:val="24"/>
                <w:szCs w:val="24"/>
              </w:rPr>
            </w:pPr>
            <w:r>
              <w:rPr>
                <w:sz w:val="24"/>
                <w:szCs w:val="24"/>
              </w:rPr>
              <w:t xml:space="preserve">                                  1 2               3</w:t>
            </w:r>
          </w:p>
        </w:tc>
      </w:tr>
      <w:tr w:rsidR="00045790" w14:paraId="0D9C6CAE" w14:textId="77777777" w:rsidTr="00045790">
        <w:tc>
          <w:tcPr>
            <w:tcW w:w="2569" w:type="dxa"/>
            <w:tcBorders>
              <w:top w:val="single" w:sz="4" w:space="0" w:color="auto"/>
              <w:left w:val="single" w:sz="4" w:space="0" w:color="auto"/>
              <w:bottom w:val="single" w:sz="4" w:space="0" w:color="auto"/>
              <w:right w:val="single" w:sz="4" w:space="0" w:color="auto"/>
            </w:tcBorders>
          </w:tcPr>
          <w:p w14:paraId="66E2AEEA" w14:textId="77777777" w:rsidR="00045790" w:rsidRDefault="00045790"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215D268B" w14:textId="77777777" w:rsidR="00045790" w:rsidRDefault="00045790" w:rsidP="004130A7">
            <w:pPr>
              <w:spacing w:after="0" w:line="240" w:lineRule="auto"/>
              <w:rPr>
                <w:sz w:val="24"/>
                <w:szCs w:val="24"/>
              </w:rPr>
            </w:pPr>
            <w:r>
              <w:rPr>
                <w:sz w:val="24"/>
                <w:szCs w:val="24"/>
              </w:rPr>
              <w:t xml:space="preserve">                1 2 3</w:t>
            </w:r>
          </w:p>
        </w:tc>
      </w:tr>
      <w:tr w:rsidR="00045790" w14:paraId="0F8C96DE" w14:textId="77777777" w:rsidTr="00045790">
        <w:tc>
          <w:tcPr>
            <w:tcW w:w="2569" w:type="dxa"/>
            <w:tcBorders>
              <w:top w:val="single" w:sz="4" w:space="0" w:color="auto"/>
              <w:left w:val="single" w:sz="4" w:space="0" w:color="auto"/>
              <w:bottom w:val="single" w:sz="4" w:space="0" w:color="auto"/>
              <w:right w:val="single" w:sz="4" w:space="0" w:color="auto"/>
            </w:tcBorders>
          </w:tcPr>
          <w:p w14:paraId="782B373F" w14:textId="77777777" w:rsidR="00045790" w:rsidRDefault="00045790"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2CF35EE7" w14:textId="77777777" w:rsidR="00045790" w:rsidRDefault="00045790" w:rsidP="004130A7">
            <w:pPr>
              <w:spacing w:after="0" w:line="240" w:lineRule="auto"/>
              <w:rPr>
                <w:sz w:val="24"/>
                <w:szCs w:val="24"/>
              </w:rPr>
            </w:pPr>
            <w:r>
              <w:rPr>
                <w:sz w:val="24"/>
                <w:szCs w:val="24"/>
              </w:rPr>
              <w:t xml:space="preserve">                                1 2 3</w:t>
            </w:r>
          </w:p>
        </w:tc>
      </w:tr>
      <w:tr w:rsidR="00045790" w14:paraId="4D0CC222" w14:textId="77777777" w:rsidTr="00045790">
        <w:tc>
          <w:tcPr>
            <w:tcW w:w="2569" w:type="dxa"/>
            <w:tcBorders>
              <w:top w:val="single" w:sz="4" w:space="0" w:color="auto"/>
              <w:left w:val="single" w:sz="4" w:space="0" w:color="auto"/>
              <w:bottom w:val="single" w:sz="4" w:space="0" w:color="auto"/>
              <w:right w:val="single" w:sz="4" w:space="0" w:color="auto"/>
            </w:tcBorders>
          </w:tcPr>
          <w:p w14:paraId="38249641" w14:textId="77777777" w:rsidR="00045790" w:rsidRDefault="00045790"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6EA50DBB" w14:textId="77777777" w:rsidR="00045790" w:rsidRDefault="00045790" w:rsidP="004130A7">
            <w:pPr>
              <w:spacing w:after="0" w:line="240" w:lineRule="auto"/>
              <w:rPr>
                <w:sz w:val="24"/>
                <w:szCs w:val="24"/>
              </w:rPr>
            </w:pPr>
            <w:r>
              <w:rPr>
                <w:sz w:val="24"/>
                <w:szCs w:val="24"/>
              </w:rPr>
              <w:t xml:space="preserve">                                  1 2               3</w:t>
            </w:r>
          </w:p>
        </w:tc>
      </w:tr>
      <w:tr w:rsidR="00045790" w14:paraId="72F725F9" w14:textId="77777777" w:rsidTr="00045790">
        <w:tc>
          <w:tcPr>
            <w:tcW w:w="2569" w:type="dxa"/>
            <w:tcBorders>
              <w:top w:val="single" w:sz="4" w:space="0" w:color="auto"/>
              <w:left w:val="single" w:sz="4" w:space="0" w:color="auto"/>
              <w:bottom w:val="single" w:sz="4" w:space="0" w:color="auto"/>
              <w:right w:val="single" w:sz="4" w:space="0" w:color="auto"/>
            </w:tcBorders>
          </w:tcPr>
          <w:p w14:paraId="4313E1DA" w14:textId="77777777" w:rsidR="00045790" w:rsidRDefault="00045790"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6CCC416F" w14:textId="77777777" w:rsidR="00045790" w:rsidRDefault="00045790" w:rsidP="004130A7">
            <w:pPr>
              <w:spacing w:after="0" w:line="240" w:lineRule="auto"/>
              <w:rPr>
                <w:sz w:val="24"/>
                <w:szCs w:val="24"/>
              </w:rPr>
            </w:pPr>
            <w:r>
              <w:rPr>
                <w:sz w:val="24"/>
                <w:szCs w:val="24"/>
              </w:rPr>
              <w:t xml:space="preserve">   2              1              3</w:t>
            </w:r>
          </w:p>
        </w:tc>
      </w:tr>
      <w:tr w:rsidR="00045790" w14:paraId="73BEA661" w14:textId="77777777" w:rsidTr="00045790">
        <w:tc>
          <w:tcPr>
            <w:tcW w:w="2569" w:type="dxa"/>
            <w:tcBorders>
              <w:top w:val="single" w:sz="4" w:space="0" w:color="auto"/>
              <w:left w:val="single" w:sz="4" w:space="0" w:color="auto"/>
              <w:bottom w:val="single" w:sz="4" w:space="0" w:color="auto"/>
              <w:right w:val="single" w:sz="4" w:space="0" w:color="auto"/>
            </w:tcBorders>
          </w:tcPr>
          <w:p w14:paraId="48CFCBF8" w14:textId="77777777" w:rsidR="00045790" w:rsidRDefault="00045790"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66D0CFBE" w14:textId="77777777" w:rsidR="00045790" w:rsidRDefault="00045790" w:rsidP="004130A7">
            <w:pPr>
              <w:spacing w:after="0" w:line="240" w:lineRule="auto"/>
              <w:rPr>
                <w:sz w:val="24"/>
                <w:szCs w:val="24"/>
              </w:rPr>
            </w:pPr>
            <w:r>
              <w:rPr>
                <w:sz w:val="24"/>
                <w:szCs w:val="24"/>
              </w:rPr>
              <w:t xml:space="preserve">                                1 2 3</w:t>
            </w:r>
          </w:p>
        </w:tc>
      </w:tr>
      <w:tr w:rsidR="00045790" w14:paraId="658B8123" w14:textId="77777777" w:rsidTr="00045790">
        <w:tc>
          <w:tcPr>
            <w:tcW w:w="2569" w:type="dxa"/>
            <w:tcBorders>
              <w:top w:val="single" w:sz="4" w:space="0" w:color="auto"/>
              <w:left w:val="single" w:sz="4" w:space="0" w:color="auto"/>
              <w:bottom w:val="single" w:sz="4" w:space="0" w:color="auto"/>
              <w:right w:val="single" w:sz="4" w:space="0" w:color="auto"/>
            </w:tcBorders>
          </w:tcPr>
          <w:p w14:paraId="038254F2" w14:textId="77777777" w:rsidR="00045790" w:rsidRDefault="00045790"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3A0178FE" w14:textId="77777777" w:rsidR="00045790" w:rsidRDefault="00045790" w:rsidP="004130A7">
            <w:pPr>
              <w:spacing w:after="0" w:line="240" w:lineRule="auto"/>
              <w:rPr>
                <w:sz w:val="24"/>
                <w:szCs w:val="24"/>
              </w:rPr>
            </w:pPr>
            <w:r>
              <w:rPr>
                <w:sz w:val="24"/>
                <w:szCs w:val="24"/>
              </w:rPr>
              <w:t xml:space="preserve">                  1 2            3</w:t>
            </w:r>
          </w:p>
        </w:tc>
      </w:tr>
      <w:tr w:rsidR="00045790" w14:paraId="5C884393" w14:textId="77777777" w:rsidTr="00045790">
        <w:tc>
          <w:tcPr>
            <w:tcW w:w="2569" w:type="dxa"/>
            <w:tcBorders>
              <w:top w:val="single" w:sz="4" w:space="0" w:color="auto"/>
              <w:left w:val="single" w:sz="4" w:space="0" w:color="auto"/>
              <w:bottom w:val="single" w:sz="4" w:space="0" w:color="auto"/>
              <w:right w:val="single" w:sz="4" w:space="0" w:color="auto"/>
            </w:tcBorders>
          </w:tcPr>
          <w:p w14:paraId="1A7CBE11" w14:textId="77777777" w:rsidR="00045790" w:rsidRDefault="00045790"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3E945B88" w14:textId="77777777" w:rsidR="00045790" w:rsidRDefault="00045790" w:rsidP="004130A7">
            <w:pPr>
              <w:spacing w:after="0" w:line="240" w:lineRule="auto"/>
              <w:rPr>
                <w:sz w:val="24"/>
                <w:szCs w:val="24"/>
              </w:rPr>
            </w:pPr>
            <w:r>
              <w:rPr>
                <w:sz w:val="24"/>
                <w:szCs w:val="24"/>
              </w:rPr>
              <w:t xml:space="preserve">                  1 2            3</w:t>
            </w:r>
          </w:p>
        </w:tc>
      </w:tr>
      <w:tr w:rsidR="00045790" w14:paraId="02ED654B" w14:textId="77777777" w:rsidTr="00045790">
        <w:tc>
          <w:tcPr>
            <w:tcW w:w="2569" w:type="dxa"/>
            <w:tcBorders>
              <w:top w:val="single" w:sz="4" w:space="0" w:color="auto"/>
              <w:left w:val="single" w:sz="4" w:space="0" w:color="auto"/>
              <w:bottom w:val="single" w:sz="4" w:space="0" w:color="auto"/>
              <w:right w:val="single" w:sz="4" w:space="0" w:color="auto"/>
            </w:tcBorders>
          </w:tcPr>
          <w:p w14:paraId="652D8B11" w14:textId="77777777" w:rsidR="00045790" w:rsidRDefault="00045790"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1F3D04C9" w14:textId="77777777" w:rsidR="00045790" w:rsidRDefault="00045790" w:rsidP="004130A7">
            <w:pPr>
              <w:spacing w:after="0" w:line="240" w:lineRule="auto"/>
              <w:rPr>
                <w:sz w:val="24"/>
                <w:szCs w:val="24"/>
              </w:rPr>
            </w:pPr>
            <w:r>
              <w:rPr>
                <w:sz w:val="24"/>
                <w:szCs w:val="24"/>
              </w:rPr>
              <w:t xml:space="preserve">                 1 2 3</w:t>
            </w:r>
          </w:p>
        </w:tc>
      </w:tr>
      <w:tr w:rsidR="00045790" w14:paraId="1A74327D" w14:textId="77777777" w:rsidTr="00045790">
        <w:tc>
          <w:tcPr>
            <w:tcW w:w="2569" w:type="dxa"/>
            <w:tcBorders>
              <w:top w:val="single" w:sz="4" w:space="0" w:color="auto"/>
              <w:left w:val="single" w:sz="4" w:space="0" w:color="auto"/>
              <w:bottom w:val="single" w:sz="4" w:space="0" w:color="auto"/>
              <w:right w:val="single" w:sz="4" w:space="0" w:color="auto"/>
            </w:tcBorders>
          </w:tcPr>
          <w:p w14:paraId="6DF9AAA7" w14:textId="77777777" w:rsidR="00045790" w:rsidRDefault="00045790"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1E14AE6C" w14:textId="77777777" w:rsidR="00045790" w:rsidRDefault="00045790" w:rsidP="004130A7">
            <w:pPr>
              <w:spacing w:after="0" w:line="240" w:lineRule="auto"/>
              <w:rPr>
                <w:sz w:val="24"/>
                <w:szCs w:val="24"/>
              </w:rPr>
            </w:pPr>
            <w:r>
              <w:rPr>
                <w:sz w:val="24"/>
                <w:szCs w:val="24"/>
              </w:rPr>
              <w:t xml:space="preserve">                 1 2 3</w:t>
            </w:r>
          </w:p>
        </w:tc>
      </w:tr>
      <w:tr w:rsidR="00045790" w14:paraId="58F1FC2A" w14:textId="77777777" w:rsidTr="00045790">
        <w:tc>
          <w:tcPr>
            <w:tcW w:w="2569" w:type="dxa"/>
            <w:tcBorders>
              <w:top w:val="single" w:sz="4" w:space="0" w:color="auto"/>
              <w:left w:val="single" w:sz="4" w:space="0" w:color="auto"/>
              <w:bottom w:val="single" w:sz="4" w:space="0" w:color="auto"/>
              <w:right w:val="single" w:sz="4" w:space="0" w:color="auto"/>
            </w:tcBorders>
          </w:tcPr>
          <w:p w14:paraId="7DA29C28" w14:textId="77777777" w:rsidR="00045790" w:rsidRDefault="00045790"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624DACFB" w14:textId="77777777" w:rsidR="00045790" w:rsidRDefault="00045790" w:rsidP="004130A7">
            <w:pPr>
              <w:keepNext/>
              <w:spacing w:after="0" w:line="240" w:lineRule="auto"/>
              <w:rPr>
                <w:sz w:val="24"/>
                <w:szCs w:val="24"/>
              </w:rPr>
            </w:pPr>
            <w:r>
              <w:rPr>
                <w:sz w:val="24"/>
                <w:szCs w:val="24"/>
              </w:rPr>
              <w:t xml:space="preserve">                   1 2           3</w:t>
            </w:r>
          </w:p>
        </w:tc>
      </w:tr>
    </w:tbl>
    <w:p w14:paraId="3309C39D" w14:textId="0279191E" w:rsidR="00272012" w:rsidRPr="00B67CA7" w:rsidRDefault="00272012" w:rsidP="00272012">
      <w:pPr>
        <w:pStyle w:val="Caption"/>
        <w:spacing w:after="120" w:line="360" w:lineRule="auto"/>
      </w:pPr>
      <w:bookmarkStart w:id="279" w:name="_Ref520815805"/>
      <w:bookmarkStart w:id="280" w:name="_Ref520815799"/>
      <w:bookmarkStart w:id="281" w:name="_Toc531023154"/>
      <w:bookmarkStart w:id="282" w:name="_Toc536438915"/>
      <w:bookmarkStart w:id="283" w:name="_Toc31702090"/>
      <w:r w:rsidRPr="00B67CA7">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21</w:t>
      </w:r>
      <w:r w:rsidR="00233012">
        <w:rPr>
          <w:noProof/>
        </w:rPr>
        <w:fldChar w:fldCharType="end"/>
      </w:r>
      <w:bookmarkEnd w:id="279"/>
      <w:r w:rsidRPr="00B67CA7">
        <w:t>. Plotted typology.</w:t>
      </w:r>
      <w:r>
        <w:t xml:space="preserve"> BoR5</w:t>
      </w:r>
      <w:bookmarkEnd w:id="280"/>
      <w:bookmarkEnd w:id="281"/>
      <w:bookmarkEnd w:id="282"/>
      <w:bookmarkEnd w:id="283"/>
    </w:p>
    <w:p w14:paraId="0B01F1F9" w14:textId="77777777" w:rsidR="000E21D6" w:rsidRDefault="000E21D6">
      <w:pPr>
        <w:rPr>
          <w:rFonts w:asciiTheme="majorHAnsi" w:eastAsiaTheme="majorEastAsia" w:hAnsiTheme="majorHAnsi" w:cstheme="majorBidi"/>
          <w:caps/>
          <w:color w:val="1F3763" w:themeColor="accent1" w:themeShade="7F"/>
          <w:sz w:val="24"/>
          <w:szCs w:val="24"/>
        </w:rPr>
      </w:pPr>
      <w:bookmarkStart w:id="284" w:name="_Toc531007173"/>
      <w:bookmarkStart w:id="285" w:name="_Toc536717999"/>
      <w:r>
        <w:br w:type="page"/>
      </w:r>
    </w:p>
    <w:p w14:paraId="18A23C26" w14:textId="16C713E8" w:rsidR="00272012" w:rsidRDefault="0093259B" w:rsidP="00272012">
      <w:pPr>
        <w:pStyle w:val="Heading3"/>
      </w:pPr>
      <w:bookmarkStart w:id="286" w:name="_Toc31702022"/>
      <w:r>
        <w:t xml:space="preserve">BoRs sampled from </w:t>
      </w:r>
      <w:r w:rsidR="00272012">
        <w:t>UoA 7</w:t>
      </w:r>
      <w:bookmarkEnd w:id="284"/>
      <w:bookmarkEnd w:id="285"/>
      <w:bookmarkEnd w:id="286"/>
    </w:p>
    <w:p w14:paraId="22EA36AD" w14:textId="77777777" w:rsidR="00272012" w:rsidRPr="00CE2B3A" w:rsidRDefault="00272012" w:rsidP="00272012">
      <w:pPr>
        <w:spacing w:after="120" w:line="360" w:lineRule="auto"/>
        <w:rPr>
          <w:sz w:val="24"/>
          <w:szCs w:val="24"/>
        </w:rPr>
      </w:pPr>
      <w:r>
        <w:rPr>
          <w:sz w:val="24"/>
          <w:szCs w:val="24"/>
        </w:rPr>
        <w:t xml:space="preserve">At Edinburgh Napier University (ENU), research related to UoA7, Earth Systems and Environmental Sciences, took place in the very broadly-titled School of Life, Sport and Social Sciences (although since REF 2014 this has been replaced by the similarly broad School of Applied Science). Both BoRs discussed below are associated with the still relatively broad Animals and Plants Science Research Group, which combines expertise on ecology, animal behaviour, veterinary science and parasitology, among other fields. A common thread across these areas of research is a focus on applying this expertise to the management and conservation of biodiversity and ecosystems, and this reflected in the specific centre with which the below BoRs are associated, namely, the Centre for Environmental and Marine Sciences and Services (CEMaSS). Within the context of CEMaSS, BoR7.1 can be located in the scientific sub-discipline of oceanography, while that of BoR7.2 has a more applied focus in conservation ecology. </w:t>
      </w:r>
    </w:p>
    <w:p w14:paraId="0E405F85" w14:textId="6372C0A7" w:rsidR="00272012" w:rsidRDefault="009528FE" w:rsidP="00272012">
      <w:pPr>
        <w:pStyle w:val="Heading4"/>
      </w:pPr>
      <w:r>
        <w:t>Body of Research 7.1: ‘Defining and Sustaining Healthy Seas’</w:t>
      </w:r>
    </w:p>
    <w:p w14:paraId="569D2E88" w14:textId="5E0867CC" w:rsidR="00272012"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w:t>
      </w:r>
      <w:r w:rsidRPr="00FC33ED">
        <w:rPr>
          <w:sz w:val="24"/>
          <w:szCs w:val="24"/>
        </w:rPr>
        <w:t>Defining and Sustaining Healthy Seas</w:t>
      </w:r>
      <w:r>
        <w:rPr>
          <w:sz w:val="24"/>
          <w:szCs w:val="24"/>
        </w:rPr>
        <w:t>’</w:t>
      </w:r>
    </w:p>
    <w:p w14:paraId="670F009A" w14:textId="0382F406" w:rsidR="00272012" w:rsidRDefault="00272012" w:rsidP="00272012">
      <w:pPr>
        <w:spacing w:after="120" w:line="360" w:lineRule="auto"/>
        <w:rPr>
          <w:sz w:val="24"/>
          <w:szCs w:val="24"/>
        </w:rPr>
      </w:pPr>
      <w:r w:rsidRPr="00FC33ED">
        <w:rPr>
          <w:sz w:val="24"/>
          <w:szCs w:val="24"/>
          <w:u w:val="single"/>
        </w:rPr>
        <w:t>Phase 1.</w:t>
      </w:r>
      <w:r>
        <w:rPr>
          <w:sz w:val="24"/>
          <w:szCs w:val="24"/>
          <w:u w:val="single"/>
        </w:rPr>
        <w:t xml:space="preserve"> Understanding ‘normal’ sea conditions and what constitutes ‘unhealthy’ change</w:t>
      </w:r>
      <w:r>
        <w:rPr>
          <w:sz w:val="24"/>
          <w:szCs w:val="24"/>
          <w:u w:val="single"/>
        </w:rPr>
        <w:br/>
      </w:r>
      <w:r>
        <w:rPr>
          <w:sz w:val="24"/>
          <w:szCs w:val="24"/>
        </w:rPr>
        <w:t>Eutrophication is a process in which waste from human activity, such as from agricultural fertilizers or sewage, reaches a body of water, thereby increasing the availability of nutrients in the water to above normal levels and fuelling the accelerated growth of phytoplankton (algae) on the water’s surface. Following a process of eutrophication, phytoplankton, which survive by absorbing energy from the sun and nutrients from the water, can multiply to take up so much of the water’s surface as to reduce the levels of sunlight and oxygen reaching sea life below, with potentially harmful effects. Between 1996 and 2003, CEMaSS research increased understanding of the process of how human waste influences phytoplankton growth and, in turn, how this impacts sea life. CEMaSS produced models simple enough for policy and regulatory use which could predict the impacts of human waste in specific regions, particularly in EU seas.</w:t>
      </w:r>
    </w:p>
    <w:p w14:paraId="4597150C" w14:textId="51D847C5" w:rsidR="00272012" w:rsidRDefault="00272012" w:rsidP="00272012">
      <w:pPr>
        <w:spacing w:after="120" w:line="360" w:lineRule="auto"/>
        <w:rPr>
          <w:sz w:val="24"/>
          <w:szCs w:val="24"/>
        </w:rPr>
      </w:pPr>
      <w:r w:rsidRPr="00FC33ED">
        <w:rPr>
          <w:sz w:val="24"/>
          <w:szCs w:val="24"/>
          <w:u w:val="single"/>
        </w:rPr>
        <w:t>Phase 2.</w:t>
      </w:r>
      <w:r>
        <w:rPr>
          <w:sz w:val="24"/>
          <w:szCs w:val="24"/>
          <w:u w:val="single"/>
        </w:rPr>
        <w:t xml:space="preserve"> ‘Assimilative capacity’ as a usable regulatory model</w:t>
      </w:r>
      <w:r>
        <w:rPr>
          <w:sz w:val="24"/>
          <w:szCs w:val="24"/>
          <w:u w:val="single"/>
        </w:rPr>
        <w:br/>
      </w:r>
      <w:r>
        <w:rPr>
          <w:sz w:val="24"/>
          <w:szCs w:val="24"/>
        </w:rPr>
        <w:t xml:space="preserve">The above research was explicitly oriented towards the general needs and regulations of EU countries. However, Phase 2 refers to even more direct efforts to provide political actors with an understandable and usable concept to understand the health and stability of European seas, but one still grounded in rigorous science. CEMaSS put forward the concept of ‘assimilative capacity’. This term summarises a model which assumes that all natural environments have the capacity to assimilate some level of acceptable change, and that only change beyond this level should be considered unacceptable. The ‘assimilative capacity’ model aimed to provide a formula for ascertaining what level of change a given region or environment could acceptably assimilate. CEMaSS were thus proposing a model which accounted not only for the latest oceanographic science but also for political realities, such as current regulation and the inevitability of clashing socio-economic interests (such as between regulators and farmers whose agricultural waste may cause eutrophication). </w:t>
      </w:r>
    </w:p>
    <w:p w14:paraId="73E60BAD" w14:textId="7D56FAEF" w:rsidR="00F357EE" w:rsidRDefault="00272012" w:rsidP="00272012">
      <w:pPr>
        <w:pStyle w:val="NoSpacing"/>
        <w:spacing w:after="120" w:line="360" w:lineRule="auto"/>
        <w:rPr>
          <w:sz w:val="24"/>
          <w:szCs w:val="24"/>
        </w:rPr>
      </w:pPr>
      <w:r>
        <w:rPr>
          <w:sz w:val="24"/>
          <w:szCs w:val="24"/>
          <w:u w:val="single"/>
        </w:rPr>
        <w:t>Phase 3. Directly influencing the parameters for legally acceptable human impact</w:t>
      </w:r>
      <w:r>
        <w:rPr>
          <w:sz w:val="24"/>
          <w:szCs w:val="24"/>
          <w:u w:val="single"/>
        </w:rPr>
        <w:br/>
      </w:r>
      <w:r>
        <w:rPr>
          <w:sz w:val="24"/>
          <w:szCs w:val="24"/>
        </w:rPr>
        <w:t xml:space="preserve">From 2004, CEMaSS received a pressing new impetus and remit to advance understanding of, and agreement on, what should count as ‘undesirable disturbance’ of human activities on waters. Research was commissioned by the Department for Environment, Food and Rural Affairs (DEFRA) in anticipation of a legal case made by the European Commission against the UK for failing to identify eutrophic waters in their jurisdiction. Based on the methods and parameters CEMaSS developed for ascertaining ‘undesirable disturbance’, the UK Government was able to win the case being made against it. </w:t>
      </w:r>
    </w:p>
    <w:tbl>
      <w:tblPr>
        <w:tblW w:w="7155" w:type="dxa"/>
        <w:tblLook w:val="04A0" w:firstRow="1" w:lastRow="0" w:firstColumn="1" w:lastColumn="0" w:noHBand="0" w:noVBand="1"/>
      </w:tblPr>
      <w:tblGrid>
        <w:gridCol w:w="2569"/>
        <w:gridCol w:w="4586"/>
      </w:tblGrid>
      <w:tr w:rsidR="00662940" w14:paraId="3CA9E1CF" w14:textId="77777777" w:rsidTr="00662940">
        <w:tc>
          <w:tcPr>
            <w:tcW w:w="2569" w:type="dxa"/>
            <w:tcBorders>
              <w:top w:val="single" w:sz="4" w:space="0" w:color="auto"/>
              <w:left w:val="single" w:sz="4" w:space="0" w:color="auto"/>
              <w:bottom w:val="single" w:sz="4" w:space="0" w:color="auto"/>
              <w:right w:val="single" w:sz="4" w:space="0" w:color="auto"/>
            </w:tcBorders>
          </w:tcPr>
          <w:p w14:paraId="44C412C7" w14:textId="12E0E9FA" w:rsidR="00662940" w:rsidRPr="002B4060" w:rsidRDefault="00662940" w:rsidP="00662940">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25379C20" w14:textId="77777777" w:rsidR="00662940" w:rsidRPr="00B8594F" w:rsidRDefault="00662940" w:rsidP="00662940">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79A4A70F" w14:textId="616D4D44" w:rsidR="00662940" w:rsidRPr="00B8594F" w:rsidRDefault="00662940" w:rsidP="00662940">
            <w:pPr>
              <w:spacing w:after="0" w:line="240" w:lineRule="auto"/>
              <w:jc w:val="center"/>
              <w:rPr>
                <w:b/>
                <w:sz w:val="24"/>
                <w:szCs w:val="24"/>
              </w:rPr>
            </w:pPr>
            <w:r w:rsidRPr="00B8594F">
              <w:rPr>
                <w:b/>
                <w:sz w:val="24"/>
                <w:szCs w:val="24"/>
              </w:rPr>
              <w:t>1               2               3               4               5</w:t>
            </w:r>
          </w:p>
        </w:tc>
      </w:tr>
      <w:tr w:rsidR="00662940" w14:paraId="49FF1CB3" w14:textId="77777777" w:rsidTr="00662940">
        <w:tc>
          <w:tcPr>
            <w:tcW w:w="2569" w:type="dxa"/>
            <w:tcBorders>
              <w:top w:val="single" w:sz="4" w:space="0" w:color="auto"/>
              <w:left w:val="single" w:sz="4" w:space="0" w:color="auto"/>
              <w:bottom w:val="single" w:sz="4" w:space="0" w:color="auto"/>
              <w:right w:val="single" w:sz="4" w:space="0" w:color="auto"/>
            </w:tcBorders>
          </w:tcPr>
          <w:p w14:paraId="6AA225C4" w14:textId="77777777" w:rsidR="00662940" w:rsidRDefault="00662940"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698FBAD3" w14:textId="77777777" w:rsidR="00662940" w:rsidRDefault="00662940" w:rsidP="004130A7">
            <w:pPr>
              <w:spacing w:after="0" w:line="240" w:lineRule="auto"/>
              <w:rPr>
                <w:sz w:val="24"/>
                <w:szCs w:val="24"/>
              </w:rPr>
            </w:pPr>
            <w:r>
              <w:rPr>
                <w:sz w:val="24"/>
                <w:szCs w:val="24"/>
              </w:rPr>
              <w:t xml:space="preserve"> 1              2 3</w:t>
            </w:r>
          </w:p>
        </w:tc>
      </w:tr>
      <w:tr w:rsidR="00662940" w14:paraId="5031003B" w14:textId="77777777" w:rsidTr="00662940">
        <w:tc>
          <w:tcPr>
            <w:tcW w:w="2569" w:type="dxa"/>
            <w:tcBorders>
              <w:top w:val="single" w:sz="4" w:space="0" w:color="auto"/>
              <w:left w:val="single" w:sz="4" w:space="0" w:color="auto"/>
              <w:bottom w:val="single" w:sz="4" w:space="0" w:color="auto"/>
              <w:right w:val="single" w:sz="4" w:space="0" w:color="auto"/>
            </w:tcBorders>
          </w:tcPr>
          <w:p w14:paraId="30AB533C" w14:textId="77777777" w:rsidR="00662940" w:rsidRDefault="00662940"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37A50156" w14:textId="77777777" w:rsidR="00662940" w:rsidRDefault="00662940" w:rsidP="004130A7">
            <w:pPr>
              <w:spacing w:after="0" w:line="240" w:lineRule="auto"/>
              <w:rPr>
                <w:sz w:val="24"/>
                <w:szCs w:val="24"/>
              </w:rPr>
            </w:pPr>
            <w:r>
              <w:rPr>
                <w:sz w:val="24"/>
                <w:szCs w:val="24"/>
              </w:rPr>
              <w:t xml:space="preserve">                   1             2 3 </w:t>
            </w:r>
          </w:p>
        </w:tc>
      </w:tr>
      <w:tr w:rsidR="00662940" w14:paraId="3046E58B" w14:textId="77777777" w:rsidTr="00662940">
        <w:tc>
          <w:tcPr>
            <w:tcW w:w="2569" w:type="dxa"/>
            <w:tcBorders>
              <w:top w:val="single" w:sz="4" w:space="0" w:color="auto"/>
              <w:left w:val="single" w:sz="4" w:space="0" w:color="auto"/>
              <w:bottom w:val="single" w:sz="4" w:space="0" w:color="auto"/>
              <w:right w:val="single" w:sz="4" w:space="0" w:color="auto"/>
            </w:tcBorders>
          </w:tcPr>
          <w:p w14:paraId="4E69D415" w14:textId="77777777" w:rsidR="00662940" w:rsidRDefault="00662940"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4CFA100F" w14:textId="77777777" w:rsidR="00662940" w:rsidRDefault="00662940" w:rsidP="004130A7">
            <w:pPr>
              <w:spacing w:after="0" w:line="240" w:lineRule="auto"/>
              <w:rPr>
                <w:sz w:val="24"/>
                <w:szCs w:val="24"/>
              </w:rPr>
            </w:pPr>
            <w:r>
              <w:rPr>
                <w:sz w:val="24"/>
                <w:szCs w:val="24"/>
              </w:rPr>
              <w:t xml:space="preserve"> 1              2 3</w:t>
            </w:r>
          </w:p>
        </w:tc>
      </w:tr>
      <w:tr w:rsidR="00662940" w14:paraId="04EB79AB" w14:textId="77777777" w:rsidTr="00662940">
        <w:tc>
          <w:tcPr>
            <w:tcW w:w="2569" w:type="dxa"/>
            <w:tcBorders>
              <w:top w:val="single" w:sz="4" w:space="0" w:color="auto"/>
              <w:left w:val="single" w:sz="4" w:space="0" w:color="auto"/>
              <w:bottom w:val="single" w:sz="4" w:space="0" w:color="auto"/>
              <w:right w:val="single" w:sz="4" w:space="0" w:color="auto"/>
            </w:tcBorders>
          </w:tcPr>
          <w:p w14:paraId="0E32AB72" w14:textId="77777777" w:rsidR="00662940" w:rsidRDefault="00662940"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48E7EFE8" w14:textId="77777777" w:rsidR="00662940" w:rsidRDefault="00662940" w:rsidP="004130A7">
            <w:pPr>
              <w:spacing w:after="0" w:line="240" w:lineRule="auto"/>
              <w:rPr>
                <w:sz w:val="24"/>
                <w:szCs w:val="24"/>
              </w:rPr>
            </w:pPr>
            <w:r>
              <w:rPr>
                <w:sz w:val="24"/>
                <w:szCs w:val="24"/>
              </w:rPr>
              <w:t xml:space="preserve">                   1               2              3    </w:t>
            </w:r>
          </w:p>
        </w:tc>
      </w:tr>
      <w:tr w:rsidR="00662940" w14:paraId="6E0F0A12" w14:textId="77777777" w:rsidTr="00662940">
        <w:tc>
          <w:tcPr>
            <w:tcW w:w="2569" w:type="dxa"/>
            <w:tcBorders>
              <w:top w:val="single" w:sz="4" w:space="0" w:color="auto"/>
              <w:left w:val="single" w:sz="4" w:space="0" w:color="auto"/>
              <w:bottom w:val="single" w:sz="4" w:space="0" w:color="auto"/>
              <w:right w:val="single" w:sz="4" w:space="0" w:color="auto"/>
            </w:tcBorders>
          </w:tcPr>
          <w:p w14:paraId="21B068C0" w14:textId="77777777" w:rsidR="00662940" w:rsidRDefault="00662940"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07AF6053" w14:textId="77777777" w:rsidR="00662940" w:rsidRDefault="00662940" w:rsidP="004130A7">
            <w:pPr>
              <w:spacing w:after="0" w:line="240" w:lineRule="auto"/>
              <w:rPr>
                <w:sz w:val="24"/>
                <w:szCs w:val="24"/>
              </w:rPr>
            </w:pPr>
            <w:r>
              <w:rPr>
                <w:sz w:val="24"/>
                <w:szCs w:val="24"/>
              </w:rPr>
              <w:t xml:space="preserve">                   1               2              3    </w:t>
            </w:r>
          </w:p>
        </w:tc>
      </w:tr>
      <w:tr w:rsidR="00662940" w14:paraId="1BB465E0" w14:textId="77777777" w:rsidTr="00662940">
        <w:tc>
          <w:tcPr>
            <w:tcW w:w="2569" w:type="dxa"/>
            <w:tcBorders>
              <w:top w:val="single" w:sz="4" w:space="0" w:color="auto"/>
              <w:left w:val="single" w:sz="4" w:space="0" w:color="auto"/>
              <w:bottom w:val="single" w:sz="4" w:space="0" w:color="auto"/>
              <w:right w:val="single" w:sz="4" w:space="0" w:color="auto"/>
            </w:tcBorders>
          </w:tcPr>
          <w:p w14:paraId="3B12D5E2" w14:textId="77777777" w:rsidR="00662940" w:rsidRDefault="00662940"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5CA4072E" w14:textId="77777777" w:rsidR="00662940" w:rsidRDefault="00662940" w:rsidP="004130A7">
            <w:pPr>
              <w:spacing w:after="0" w:line="240" w:lineRule="auto"/>
              <w:rPr>
                <w:sz w:val="24"/>
                <w:szCs w:val="24"/>
              </w:rPr>
            </w:pPr>
            <w:r>
              <w:rPr>
                <w:sz w:val="24"/>
                <w:szCs w:val="24"/>
              </w:rPr>
              <w:t>1                2 3</w:t>
            </w:r>
          </w:p>
        </w:tc>
      </w:tr>
      <w:tr w:rsidR="00662940" w14:paraId="41BCF72A" w14:textId="77777777" w:rsidTr="00662940">
        <w:tc>
          <w:tcPr>
            <w:tcW w:w="2569" w:type="dxa"/>
            <w:tcBorders>
              <w:top w:val="single" w:sz="4" w:space="0" w:color="auto"/>
              <w:left w:val="single" w:sz="4" w:space="0" w:color="auto"/>
              <w:bottom w:val="single" w:sz="4" w:space="0" w:color="auto"/>
              <w:right w:val="single" w:sz="4" w:space="0" w:color="auto"/>
            </w:tcBorders>
          </w:tcPr>
          <w:p w14:paraId="25DAC041" w14:textId="77777777" w:rsidR="00662940" w:rsidRDefault="00662940"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540E4013" w14:textId="77777777" w:rsidR="00662940" w:rsidRDefault="00662940" w:rsidP="004130A7">
            <w:pPr>
              <w:tabs>
                <w:tab w:val="left" w:pos="1227"/>
              </w:tabs>
              <w:spacing w:after="0" w:line="240" w:lineRule="auto"/>
              <w:rPr>
                <w:sz w:val="24"/>
                <w:szCs w:val="24"/>
              </w:rPr>
            </w:pPr>
            <w:r>
              <w:rPr>
                <w:sz w:val="24"/>
                <w:szCs w:val="24"/>
              </w:rPr>
              <w:t xml:space="preserve">                1 2 3</w:t>
            </w:r>
          </w:p>
        </w:tc>
      </w:tr>
      <w:tr w:rsidR="00662940" w14:paraId="5F129096" w14:textId="77777777" w:rsidTr="00662940">
        <w:tc>
          <w:tcPr>
            <w:tcW w:w="2569" w:type="dxa"/>
            <w:tcBorders>
              <w:top w:val="single" w:sz="4" w:space="0" w:color="auto"/>
              <w:left w:val="single" w:sz="4" w:space="0" w:color="auto"/>
              <w:bottom w:val="single" w:sz="4" w:space="0" w:color="auto"/>
              <w:right w:val="single" w:sz="4" w:space="0" w:color="auto"/>
            </w:tcBorders>
          </w:tcPr>
          <w:p w14:paraId="2E61D19B" w14:textId="77777777" w:rsidR="00662940" w:rsidRDefault="00662940"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79B2E545" w14:textId="77777777" w:rsidR="00662940" w:rsidRDefault="00662940" w:rsidP="004130A7">
            <w:pPr>
              <w:spacing w:after="0" w:line="240" w:lineRule="auto"/>
              <w:rPr>
                <w:sz w:val="24"/>
                <w:szCs w:val="24"/>
              </w:rPr>
            </w:pPr>
            <w:r>
              <w:rPr>
                <w:sz w:val="24"/>
                <w:szCs w:val="24"/>
              </w:rPr>
              <w:t xml:space="preserve">                1 2 3</w:t>
            </w:r>
          </w:p>
        </w:tc>
      </w:tr>
      <w:tr w:rsidR="00662940" w14:paraId="3CBF5478" w14:textId="77777777" w:rsidTr="00662940">
        <w:tc>
          <w:tcPr>
            <w:tcW w:w="2569" w:type="dxa"/>
            <w:tcBorders>
              <w:top w:val="single" w:sz="4" w:space="0" w:color="auto"/>
              <w:left w:val="single" w:sz="4" w:space="0" w:color="auto"/>
              <w:bottom w:val="single" w:sz="4" w:space="0" w:color="auto"/>
              <w:right w:val="single" w:sz="4" w:space="0" w:color="auto"/>
            </w:tcBorders>
          </w:tcPr>
          <w:p w14:paraId="7F0525A7" w14:textId="77777777" w:rsidR="00662940" w:rsidRDefault="00662940"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0382673D" w14:textId="77777777" w:rsidR="00662940" w:rsidRDefault="00662940" w:rsidP="004130A7">
            <w:pPr>
              <w:spacing w:after="0" w:line="240" w:lineRule="auto"/>
              <w:rPr>
                <w:sz w:val="24"/>
                <w:szCs w:val="24"/>
              </w:rPr>
            </w:pPr>
            <w:r>
              <w:rPr>
                <w:sz w:val="24"/>
                <w:szCs w:val="24"/>
              </w:rPr>
              <w:t xml:space="preserve">  1              2 3</w:t>
            </w:r>
          </w:p>
        </w:tc>
      </w:tr>
      <w:tr w:rsidR="00662940" w14:paraId="43B18498" w14:textId="77777777" w:rsidTr="00662940">
        <w:tc>
          <w:tcPr>
            <w:tcW w:w="2569" w:type="dxa"/>
            <w:tcBorders>
              <w:top w:val="single" w:sz="4" w:space="0" w:color="auto"/>
              <w:left w:val="single" w:sz="4" w:space="0" w:color="auto"/>
              <w:bottom w:val="single" w:sz="4" w:space="0" w:color="auto"/>
              <w:right w:val="single" w:sz="4" w:space="0" w:color="auto"/>
            </w:tcBorders>
          </w:tcPr>
          <w:p w14:paraId="2845A7D5" w14:textId="77777777" w:rsidR="00662940" w:rsidRDefault="00662940"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1344710C" w14:textId="77777777" w:rsidR="00662940" w:rsidRDefault="00662940" w:rsidP="004130A7">
            <w:pPr>
              <w:spacing w:after="0" w:line="240" w:lineRule="auto"/>
              <w:rPr>
                <w:sz w:val="24"/>
                <w:szCs w:val="24"/>
              </w:rPr>
            </w:pPr>
            <w:r>
              <w:rPr>
                <w:sz w:val="24"/>
                <w:szCs w:val="24"/>
              </w:rPr>
              <w:t xml:space="preserve">                1 2 3</w:t>
            </w:r>
          </w:p>
        </w:tc>
      </w:tr>
      <w:tr w:rsidR="00662940" w14:paraId="1095D8F9" w14:textId="77777777" w:rsidTr="00662940">
        <w:tc>
          <w:tcPr>
            <w:tcW w:w="2569" w:type="dxa"/>
            <w:tcBorders>
              <w:top w:val="single" w:sz="4" w:space="0" w:color="auto"/>
              <w:left w:val="single" w:sz="4" w:space="0" w:color="auto"/>
              <w:bottom w:val="single" w:sz="4" w:space="0" w:color="auto"/>
              <w:right w:val="single" w:sz="4" w:space="0" w:color="auto"/>
            </w:tcBorders>
          </w:tcPr>
          <w:p w14:paraId="709E9EEC" w14:textId="77777777" w:rsidR="00662940" w:rsidRDefault="00662940"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1043B57B" w14:textId="77777777" w:rsidR="00662940" w:rsidRDefault="00662940" w:rsidP="004130A7">
            <w:pPr>
              <w:spacing w:after="0" w:line="240" w:lineRule="auto"/>
              <w:rPr>
                <w:sz w:val="24"/>
                <w:szCs w:val="24"/>
              </w:rPr>
            </w:pPr>
            <w:r>
              <w:rPr>
                <w:sz w:val="24"/>
                <w:szCs w:val="24"/>
              </w:rPr>
              <w:t xml:space="preserve">                   1             2 3</w:t>
            </w:r>
          </w:p>
        </w:tc>
      </w:tr>
      <w:tr w:rsidR="00662940" w14:paraId="4545D7FD" w14:textId="77777777" w:rsidTr="00662940">
        <w:tc>
          <w:tcPr>
            <w:tcW w:w="2569" w:type="dxa"/>
            <w:tcBorders>
              <w:top w:val="single" w:sz="4" w:space="0" w:color="auto"/>
              <w:left w:val="single" w:sz="4" w:space="0" w:color="auto"/>
              <w:bottom w:val="single" w:sz="4" w:space="0" w:color="auto"/>
              <w:right w:val="single" w:sz="4" w:space="0" w:color="auto"/>
            </w:tcBorders>
          </w:tcPr>
          <w:p w14:paraId="3767EBF0" w14:textId="77777777" w:rsidR="00662940" w:rsidRDefault="00662940"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28D317D4" w14:textId="77777777" w:rsidR="00662940" w:rsidRDefault="00662940" w:rsidP="004130A7">
            <w:pPr>
              <w:spacing w:after="0" w:line="240" w:lineRule="auto"/>
              <w:rPr>
                <w:sz w:val="24"/>
                <w:szCs w:val="24"/>
              </w:rPr>
            </w:pPr>
            <w:r>
              <w:rPr>
                <w:sz w:val="24"/>
                <w:szCs w:val="24"/>
              </w:rPr>
              <w:t xml:space="preserve">                                 1 2 3</w:t>
            </w:r>
          </w:p>
        </w:tc>
      </w:tr>
      <w:tr w:rsidR="00662940" w14:paraId="52E024B4" w14:textId="77777777" w:rsidTr="00662940">
        <w:tc>
          <w:tcPr>
            <w:tcW w:w="2569" w:type="dxa"/>
            <w:tcBorders>
              <w:top w:val="single" w:sz="4" w:space="0" w:color="auto"/>
              <w:left w:val="single" w:sz="4" w:space="0" w:color="auto"/>
              <w:bottom w:val="single" w:sz="4" w:space="0" w:color="auto"/>
              <w:right w:val="single" w:sz="4" w:space="0" w:color="auto"/>
            </w:tcBorders>
          </w:tcPr>
          <w:p w14:paraId="604E723E" w14:textId="77777777" w:rsidR="00662940" w:rsidRDefault="00662940"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3C81993A" w14:textId="77777777" w:rsidR="00662940" w:rsidRDefault="00662940" w:rsidP="004130A7">
            <w:pPr>
              <w:spacing w:after="0" w:line="240" w:lineRule="auto"/>
              <w:rPr>
                <w:sz w:val="24"/>
                <w:szCs w:val="24"/>
              </w:rPr>
            </w:pPr>
            <w:r>
              <w:rPr>
                <w:sz w:val="24"/>
                <w:szCs w:val="24"/>
              </w:rPr>
              <w:t xml:space="preserve">                  1 2             3</w:t>
            </w:r>
          </w:p>
        </w:tc>
      </w:tr>
      <w:tr w:rsidR="00662940" w14:paraId="67FDD268" w14:textId="77777777" w:rsidTr="00662940">
        <w:tc>
          <w:tcPr>
            <w:tcW w:w="2569" w:type="dxa"/>
            <w:tcBorders>
              <w:top w:val="single" w:sz="4" w:space="0" w:color="auto"/>
              <w:left w:val="single" w:sz="4" w:space="0" w:color="auto"/>
              <w:bottom w:val="single" w:sz="4" w:space="0" w:color="auto"/>
              <w:right w:val="single" w:sz="4" w:space="0" w:color="auto"/>
            </w:tcBorders>
          </w:tcPr>
          <w:p w14:paraId="4CCE18D1" w14:textId="77777777" w:rsidR="00662940" w:rsidRDefault="00662940"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199AF035" w14:textId="77777777" w:rsidR="00662940" w:rsidRDefault="00662940" w:rsidP="004130A7">
            <w:pPr>
              <w:spacing w:after="0" w:line="240" w:lineRule="auto"/>
              <w:rPr>
                <w:sz w:val="24"/>
                <w:szCs w:val="24"/>
              </w:rPr>
            </w:pPr>
            <w:r>
              <w:rPr>
                <w:sz w:val="24"/>
                <w:szCs w:val="24"/>
              </w:rPr>
              <w:t xml:space="preserve">1 2 3 </w:t>
            </w:r>
          </w:p>
        </w:tc>
      </w:tr>
      <w:tr w:rsidR="00662940" w14:paraId="568C23ED" w14:textId="77777777" w:rsidTr="00662940">
        <w:tc>
          <w:tcPr>
            <w:tcW w:w="2569" w:type="dxa"/>
            <w:tcBorders>
              <w:top w:val="single" w:sz="4" w:space="0" w:color="auto"/>
              <w:left w:val="single" w:sz="4" w:space="0" w:color="auto"/>
              <w:bottom w:val="single" w:sz="4" w:space="0" w:color="auto"/>
              <w:right w:val="single" w:sz="4" w:space="0" w:color="auto"/>
            </w:tcBorders>
          </w:tcPr>
          <w:p w14:paraId="662CD016" w14:textId="77777777" w:rsidR="00662940" w:rsidRDefault="00662940"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6037C4F7" w14:textId="77777777" w:rsidR="00662940" w:rsidRDefault="00662940" w:rsidP="004130A7">
            <w:pPr>
              <w:keepNext/>
              <w:spacing w:after="0" w:line="240" w:lineRule="auto"/>
              <w:rPr>
                <w:sz w:val="24"/>
                <w:szCs w:val="24"/>
              </w:rPr>
            </w:pPr>
            <w:r>
              <w:rPr>
                <w:sz w:val="24"/>
                <w:szCs w:val="24"/>
              </w:rPr>
              <w:t xml:space="preserve">                  1 2             3</w:t>
            </w:r>
          </w:p>
        </w:tc>
      </w:tr>
    </w:tbl>
    <w:p w14:paraId="26EE824D" w14:textId="185A5F52" w:rsidR="00272012" w:rsidRPr="003A7620" w:rsidRDefault="00272012" w:rsidP="00272012">
      <w:pPr>
        <w:pStyle w:val="Caption"/>
        <w:spacing w:after="120" w:line="360" w:lineRule="auto"/>
      </w:pPr>
      <w:bookmarkStart w:id="287" w:name="_Toc531023155"/>
      <w:bookmarkStart w:id="288" w:name="_Toc536438916"/>
      <w:bookmarkStart w:id="289" w:name="_Toc31702091"/>
      <w:r w:rsidRPr="003A7620">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22</w:t>
      </w:r>
      <w:r w:rsidR="00233012">
        <w:rPr>
          <w:noProof/>
        </w:rPr>
        <w:fldChar w:fldCharType="end"/>
      </w:r>
      <w:r w:rsidRPr="003A7620">
        <w:t xml:space="preserve">. Plotted typology. </w:t>
      </w:r>
      <w:r>
        <w:t>BoR7.1</w:t>
      </w:r>
      <w:bookmarkEnd w:id="287"/>
      <w:bookmarkEnd w:id="288"/>
      <w:bookmarkEnd w:id="289"/>
    </w:p>
    <w:p w14:paraId="27097940" w14:textId="69A4DDA6" w:rsidR="00272012" w:rsidRDefault="009528FE" w:rsidP="00272012">
      <w:pPr>
        <w:pStyle w:val="Heading4"/>
      </w:pPr>
      <w:r>
        <w:t>Body of Research 7.2: ‘New Paths to Mangrove Conservation’</w:t>
      </w:r>
    </w:p>
    <w:p w14:paraId="317D4559" w14:textId="429D971F"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w:t>
      </w:r>
      <w:r w:rsidRPr="00FC33ED">
        <w:rPr>
          <w:sz w:val="24"/>
          <w:szCs w:val="24"/>
        </w:rPr>
        <w:t>New Paths to Mangrove Conservation</w:t>
      </w:r>
      <w:r>
        <w:rPr>
          <w:sz w:val="24"/>
          <w:szCs w:val="24"/>
        </w:rPr>
        <w:t>’</w:t>
      </w:r>
    </w:p>
    <w:p w14:paraId="2DDA2A8B" w14:textId="32BB69FD" w:rsidR="00272012" w:rsidRPr="00D11CAF" w:rsidRDefault="00272012" w:rsidP="00272012">
      <w:pPr>
        <w:spacing w:after="120" w:line="360" w:lineRule="auto"/>
        <w:rPr>
          <w:sz w:val="24"/>
          <w:szCs w:val="24"/>
          <w:u w:val="single"/>
        </w:rPr>
      </w:pPr>
      <w:r w:rsidRPr="00FC33ED">
        <w:rPr>
          <w:sz w:val="24"/>
          <w:szCs w:val="24"/>
          <w:u w:val="single"/>
        </w:rPr>
        <w:t>Phase 1.</w:t>
      </w:r>
      <w:r>
        <w:rPr>
          <w:sz w:val="24"/>
          <w:szCs w:val="24"/>
          <w:u w:val="single"/>
        </w:rPr>
        <w:t xml:space="preserve"> Demonstrating the full value of mangroves</w:t>
      </w:r>
      <w:r>
        <w:rPr>
          <w:sz w:val="24"/>
          <w:szCs w:val="24"/>
          <w:u w:val="single"/>
        </w:rPr>
        <w:br/>
      </w:r>
      <w:r>
        <w:rPr>
          <w:sz w:val="24"/>
          <w:szCs w:val="24"/>
        </w:rPr>
        <w:t>Mangroves are known to be environmentally and economically valuable as carbon sinks, as a habitat for important fish species, and as a protective barrier for coastal communities against potentially damaging waves (i.e. tsunamis). However, in poor East African coastal communities, such as Gazi in Kenya, mangroves suffer high rates of destruction for other economic purposes such as aquaculture and timber extraction. In the 2000s, CEMaSS made important methodological advances to conduct research which better demonstrated the full value of mangrove preservation, as these can often be underestimated. For example, CEMaSS developed a technique for comparing the chemical information in samples of water with the chemical information in the cells of captured fish. By studying different ages and species of fish, they were able to show that mangroves provided the most important ‘nursery’ habitat for commercially-important juvenile fish, even for many fish species which do not predominantly inhabit mangroves as adults. CEMaSS therefore enabled an even stronger long-term case to be made for mangrove preservation.</w:t>
      </w:r>
    </w:p>
    <w:p w14:paraId="259EEDB7" w14:textId="5ADDCDB3" w:rsidR="00272012" w:rsidRDefault="00272012" w:rsidP="00272012">
      <w:pPr>
        <w:spacing w:after="120" w:line="360" w:lineRule="auto"/>
        <w:rPr>
          <w:sz w:val="24"/>
          <w:szCs w:val="24"/>
        </w:rPr>
      </w:pPr>
      <w:r w:rsidRPr="00FC33ED">
        <w:rPr>
          <w:sz w:val="24"/>
          <w:szCs w:val="24"/>
          <w:u w:val="single"/>
        </w:rPr>
        <w:t>Phase 2.</w:t>
      </w:r>
      <w:r>
        <w:rPr>
          <w:sz w:val="24"/>
          <w:szCs w:val="24"/>
          <w:u w:val="single"/>
        </w:rPr>
        <w:t xml:space="preserve"> Establishing scientific insights as essential to preservation and regeneration</w:t>
      </w:r>
      <w:r w:rsidRPr="00FC33ED">
        <w:rPr>
          <w:sz w:val="24"/>
          <w:szCs w:val="24"/>
          <w:u w:val="single"/>
        </w:rPr>
        <w:t xml:space="preserve"> </w:t>
      </w:r>
      <w:r>
        <w:rPr>
          <w:sz w:val="24"/>
          <w:szCs w:val="24"/>
          <w:u w:val="single"/>
        </w:rPr>
        <w:br/>
      </w:r>
      <w:r>
        <w:rPr>
          <w:sz w:val="24"/>
          <w:szCs w:val="24"/>
        </w:rPr>
        <w:t xml:space="preserve">CEMaSS then expanded their focus to the issue of how best to protect, manage and potentially regenerate mangrove environments. They conducted experiments on small areas of mangrove to discover the most effective species and densities of trees to optimise carbon capture and fish habitation. </w:t>
      </w:r>
    </w:p>
    <w:p w14:paraId="5D124970" w14:textId="77777777" w:rsidR="00272012" w:rsidRDefault="00272012" w:rsidP="00272012">
      <w:pPr>
        <w:spacing w:after="120" w:line="360" w:lineRule="auto"/>
        <w:rPr>
          <w:sz w:val="24"/>
          <w:szCs w:val="24"/>
        </w:rPr>
      </w:pPr>
      <w:r>
        <w:rPr>
          <w:sz w:val="24"/>
          <w:szCs w:val="24"/>
        </w:rPr>
        <w:t>Although this research advanced fundamental ecological knowledge, the most significant outcome was showing conservation managers that scientific experimentation could be a valuable management tool.</w:t>
      </w:r>
    </w:p>
    <w:p w14:paraId="2198443A" w14:textId="0A292E1D" w:rsidR="00272012" w:rsidRDefault="00272012" w:rsidP="00272012">
      <w:pPr>
        <w:spacing w:after="120" w:line="360" w:lineRule="auto"/>
        <w:rPr>
          <w:sz w:val="24"/>
          <w:szCs w:val="24"/>
        </w:rPr>
      </w:pPr>
      <w:r w:rsidRPr="00FC33ED">
        <w:rPr>
          <w:sz w:val="24"/>
          <w:szCs w:val="24"/>
          <w:u w:val="single"/>
        </w:rPr>
        <w:t>Phase 3.</w:t>
      </w:r>
      <w:r>
        <w:rPr>
          <w:sz w:val="24"/>
          <w:szCs w:val="24"/>
          <w:u w:val="single"/>
        </w:rPr>
        <w:t xml:space="preserve"> Ecosystem recovery through the sale of ecosystem services (‘carbon credits’)</w:t>
      </w:r>
      <w:r>
        <w:rPr>
          <w:sz w:val="24"/>
          <w:szCs w:val="24"/>
          <w:u w:val="single"/>
        </w:rPr>
        <w:br/>
      </w:r>
      <w:r>
        <w:rPr>
          <w:sz w:val="24"/>
          <w:szCs w:val="24"/>
        </w:rPr>
        <w:t xml:space="preserve">Hoping to advance not only knowledge but also conservation practice, CEMaSS aimed to demonstrate the feasibility of an innovative model of conservation and regeneration in which the local community would work to restore and conserve mangroves. The community would be paid for this work by the sale of ‘carbon credits’, whereby any company or individual around the globe can offset their own carbon footprints by funding the project’s work. </w:t>
      </w:r>
    </w:p>
    <w:p w14:paraId="697E262E" w14:textId="77777777" w:rsidR="00272012" w:rsidRPr="002062E9" w:rsidRDefault="00272012" w:rsidP="00272012">
      <w:pPr>
        <w:spacing w:after="120" w:line="360" w:lineRule="auto"/>
        <w:rPr>
          <w:sz w:val="24"/>
          <w:szCs w:val="24"/>
          <w:u w:val="single"/>
        </w:rPr>
      </w:pPr>
      <w:r>
        <w:rPr>
          <w:sz w:val="24"/>
          <w:szCs w:val="24"/>
        </w:rPr>
        <w:t xml:space="preserve">For this model to work and be seen as credible, further scientific research was needed in calculating the environmental value of the community work (i.e. how much carbon-offsetting is achieved by the planting of a given number of trees). However, such an ambition clearly required the backing not only the ecological scientists, but a range of other actors, including from within the community itself. Reflecting the wider, more impact-oriented and interventionist goals of this research then, co-grant holders included not only academics but also individuals from the Kenya Marine and Fisheries Research Institute (KMFRI), an official national scientific body which would manage the project on the ground, as well as private sector specialists in sustainability management analytics, who would help to produce analytical software to support KMFRI’s management of the project. </w:t>
      </w:r>
    </w:p>
    <w:p w14:paraId="47B6A326" w14:textId="4545919A" w:rsidR="00D06E0D" w:rsidRDefault="00272012" w:rsidP="00272012">
      <w:pPr>
        <w:spacing w:after="120" w:line="360" w:lineRule="auto"/>
        <w:rPr>
          <w:sz w:val="24"/>
          <w:szCs w:val="24"/>
        </w:rPr>
      </w:pPr>
      <w:r>
        <w:rPr>
          <w:sz w:val="24"/>
          <w:szCs w:val="24"/>
        </w:rPr>
        <w:t>A direct outcome of the research was the establishment of ‘Mikoko Pamoja’ (Swahili for ‘Mangroves Together’), which operationalises this project long-term and is now fully funded by carbon credit sales. Researchers, governments and conservationists are now working to export this highly successful model to other coastal African communities.</w:t>
      </w:r>
    </w:p>
    <w:tbl>
      <w:tblPr>
        <w:tblW w:w="7155" w:type="dxa"/>
        <w:tblLook w:val="04A0" w:firstRow="1" w:lastRow="0" w:firstColumn="1" w:lastColumn="0" w:noHBand="0" w:noVBand="1"/>
      </w:tblPr>
      <w:tblGrid>
        <w:gridCol w:w="2569"/>
        <w:gridCol w:w="4586"/>
      </w:tblGrid>
      <w:tr w:rsidR="00816098" w14:paraId="3E91CA07" w14:textId="77777777" w:rsidTr="00816098">
        <w:tc>
          <w:tcPr>
            <w:tcW w:w="2569" w:type="dxa"/>
            <w:tcBorders>
              <w:top w:val="single" w:sz="4" w:space="0" w:color="auto"/>
              <w:left w:val="single" w:sz="4" w:space="0" w:color="auto"/>
              <w:bottom w:val="single" w:sz="4" w:space="0" w:color="auto"/>
              <w:right w:val="single" w:sz="4" w:space="0" w:color="auto"/>
            </w:tcBorders>
          </w:tcPr>
          <w:p w14:paraId="0C761B3E" w14:textId="2A52014D" w:rsidR="00816098" w:rsidRPr="002B4060" w:rsidRDefault="00816098" w:rsidP="00816098">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119B2E1F" w14:textId="77777777" w:rsidR="00816098" w:rsidRPr="00B8594F" w:rsidRDefault="00816098" w:rsidP="00816098">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54FB0F96" w14:textId="09452585" w:rsidR="00816098" w:rsidRPr="00B8594F" w:rsidRDefault="00816098" w:rsidP="00816098">
            <w:pPr>
              <w:spacing w:after="0" w:line="240" w:lineRule="auto"/>
              <w:jc w:val="center"/>
              <w:rPr>
                <w:b/>
                <w:sz w:val="24"/>
                <w:szCs w:val="24"/>
              </w:rPr>
            </w:pPr>
            <w:r w:rsidRPr="00B8594F">
              <w:rPr>
                <w:b/>
                <w:sz w:val="24"/>
                <w:szCs w:val="24"/>
              </w:rPr>
              <w:t>1               2               3               4               5</w:t>
            </w:r>
          </w:p>
        </w:tc>
      </w:tr>
      <w:tr w:rsidR="00816098" w14:paraId="584C6752" w14:textId="77777777" w:rsidTr="00816098">
        <w:tc>
          <w:tcPr>
            <w:tcW w:w="2569" w:type="dxa"/>
            <w:tcBorders>
              <w:top w:val="single" w:sz="4" w:space="0" w:color="auto"/>
              <w:left w:val="single" w:sz="4" w:space="0" w:color="auto"/>
              <w:bottom w:val="single" w:sz="4" w:space="0" w:color="auto"/>
              <w:right w:val="single" w:sz="4" w:space="0" w:color="auto"/>
            </w:tcBorders>
          </w:tcPr>
          <w:p w14:paraId="79C5B3AC" w14:textId="77777777" w:rsidR="00816098" w:rsidRDefault="00816098"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308ACFA3" w14:textId="77777777" w:rsidR="00816098" w:rsidRDefault="00816098" w:rsidP="004130A7">
            <w:pPr>
              <w:spacing w:after="0" w:line="240" w:lineRule="auto"/>
              <w:rPr>
                <w:sz w:val="24"/>
                <w:szCs w:val="24"/>
              </w:rPr>
            </w:pPr>
            <w:r>
              <w:rPr>
                <w:sz w:val="24"/>
                <w:szCs w:val="24"/>
              </w:rPr>
              <w:t xml:space="preserve">                 1 2                               3 </w:t>
            </w:r>
          </w:p>
        </w:tc>
      </w:tr>
      <w:tr w:rsidR="00816098" w14:paraId="1B8D43E2" w14:textId="77777777" w:rsidTr="00816098">
        <w:tc>
          <w:tcPr>
            <w:tcW w:w="2569" w:type="dxa"/>
            <w:tcBorders>
              <w:top w:val="single" w:sz="4" w:space="0" w:color="auto"/>
              <w:left w:val="single" w:sz="4" w:space="0" w:color="auto"/>
              <w:bottom w:val="single" w:sz="4" w:space="0" w:color="auto"/>
              <w:right w:val="single" w:sz="4" w:space="0" w:color="auto"/>
            </w:tcBorders>
          </w:tcPr>
          <w:p w14:paraId="45AB4F33" w14:textId="77777777" w:rsidR="00816098" w:rsidRDefault="00816098"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580A3B2E" w14:textId="77777777" w:rsidR="00816098" w:rsidRDefault="00816098" w:rsidP="004130A7">
            <w:pPr>
              <w:spacing w:after="0" w:line="240" w:lineRule="auto"/>
              <w:rPr>
                <w:sz w:val="24"/>
                <w:szCs w:val="24"/>
              </w:rPr>
            </w:pPr>
            <w:r>
              <w:rPr>
                <w:sz w:val="24"/>
                <w:szCs w:val="24"/>
              </w:rPr>
              <w:t xml:space="preserve">                                    1               2               3</w:t>
            </w:r>
          </w:p>
        </w:tc>
      </w:tr>
      <w:tr w:rsidR="00816098" w14:paraId="5344EDC5" w14:textId="77777777" w:rsidTr="00816098">
        <w:tc>
          <w:tcPr>
            <w:tcW w:w="2569" w:type="dxa"/>
            <w:tcBorders>
              <w:top w:val="single" w:sz="4" w:space="0" w:color="auto"/>
              <w:left w:val="single" w:sz="4" w:space="0" w:color="auto"/>
              <w:bottom w:val="single" w:sz="4" w:space="0" w:color="auto"/>
              <w:right w:val="single" w:sz="4" w:space="0" w:color="auto"/>
            </w:tcBorders>
          </w:tcPr>
          <w:p w14:paraId="4D78ACFF" w14:textId="77777777" w:rsidR="00816098" w:rsidRDefault="00816098"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2991A3C8" w14:textId="77777777" w:rsidR="00816098" w:rsidRDefault="00816098" w:rsidP="004130A7">
            <w:pPr>
              <w:spacing w:after="0" w:line="240" w:lineRule="auto"/>
              <w:rPr>
                <w:sz w:val="24"/>
                <w:szCs w:val="24"/>
              </w:rPr>
            </w:pPr>
            <w:r>
              <w:rPr>
                <w:sz w:val="24"/>
                <w:szCs w:val="24"/>
              </w:rPr>
              <w:t xml:space="preserve">                 1 2                               3 </w:t>
            </w:r>
          </w:p>
        </w:tc>
      </w:tr>
      <w:tr w:rsidR="00816098" w14:paraId="256BE1DB" w14:textId="77777777" w:rsidTr="00816098">
        <w:tc>
          <w:tcPr>
            <w:tcW w:w="2569" w:type="dxa"/>
            <w:tcBorders>
              <w:top w:val="single" w:sz="4" w:space="0" w:color="auto"/>
              <w:left w:val="single" w:sz="4" w:space="0" w:color="auto"/>
              <w:bottom w:val="single" w:sz="4" w:space="0" w:color="auto"/>
              <w:right w:val="single" w:sz="4" w:space="0" w:color="auto"/>
            </w:tcBorders>
          </w:tcPr>
          <w:p w14:paraId="5E07B90B" w14:textId="77777777" w:rsidR="00816098" w:rsidRDefault="00816098"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6952B80E" w14:textId="77777777" w:rsidR="00816098" w:rsidRDefault="00816098" w:rsidP="004130A7">
            <w:pPr>
              <w:spacing w:after="0" w:line="240" w:lineRule="auto"/>
              <w:rPr>
                <w:sz w:val="24"/>
                <w:szCs w:val="24"/>
              </w:rPr>
            </w:pPr>
            <w:r>
              <w:rPr>
                <w:sz w:val="24"/>
                <w:szCs w:val="24"/>
              </w:rPr>
              <w:t xml:space="preserve">  1                                                2 3</w:t>
            </w:r>
          </w:p>
        </w:tc>
      </w:tr>
      <w:tr w:rsidR="00816098" w14:paraId="045BC41A" w14:textId="77777777" w:rsidTr="00816098">
        <w:tc>
          <w:tcPr>
            <w:tcW w:w="2569" w:type="dxa"/>
            <w:tcBorders>
              <w:top w:val="single" w:sz="4" w:space="0" w:color="auto"/>
              <w:left w:val="single" w:sz="4" w:space="0" w:color="auto"/>
              <w:bottom w:val="single" w:sz="4" w:space="0" w:color="auto"/>
              <w:right w:val="single" w:sz="4" w:space="0" w:color="auto"/>
            </w:tcBorders>
          </w:tcPr>
          <w:p w14:paraId="24456C80" w14:textId="77777777" w:rsidR="00816098" w:rsidRDefault="00816098"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16603847" w14:textId="77777777" w:rsidR="00816098" w:rsidRDefault="00816098" w:rsidP="004130A7">
            <w:pPr>
              <w:spacing w:after="0" w:line="240" w:lineRule="auto"/>
              <w:rPr>
                <w:sz w:val="24"/>
                <w:szCs w:val="24"/>
              </w:rPr>
            </w:pPr>
            <w:r>
              <w:rPr>
                <w:sz w:val="24"/>
                <w:szCs w:val="24"/>
              </w:rPr>
              <w:t xml:space="preserve">                                    1               2               3</w:t>
            </w:r>
          </w:p>
        </w:tc>
      </w:tr>
      <w:tr w:rsidR="00816098" w14:paraId="487D099C" w14:textId="77777777" w:rsidTr="00816098">
        <w:tc>
          <w:tcPr>
            <w:tcW w:w="2569" w:type="dxa"/>
            <w:tcBorders>
              <w:top w:val="single" w:sz="4" w:space="0" w:color="auto"/>
              <w:left w:val="single" w:sz="4" w:space="0" w:color="auto"/>
              <w:bottom w:val="single" w:sz="4" w:space="0" w:color="auto"/>
              <w:right w:val="single" w:sz="4" w:space="0" w:color="auto"/>
            </w:tcBorders>
          </w:tcPr>
          <w:p w14:paraId="502918A7" w14:textId="77777777" w:rsidR="00816098" w:rsidRDefault="00816098"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53A3A851" w14:textId="77777777" w:rsidR="00816098" w:rsidRDefault="00816098" w:rsidP="004130A7">
            <w:pPr>
              <w:spacing w:after="0" w:line="240" w:lineRule="auto"/>
              <w:rPr>
                <w:sz w:val="24"/>
                <w:szCs w:val="24"/>
              </w:rPr>
            </w:pPr>
            <w:r>
              <w:rPr>
                <w:sz w:val="24"/>
                <w:szCs w:val="24"/>
              </w:rPr>
              <w:t xml:space="preserve">                   1               2               3</w:t>
            </w:r>
          </w:p>
        </w:tc>
      </w:tr>
      <w:tr w:rsidR="00816098" w14:paraId="4677A27C" w14:textId="77777777" w:rsidTr="00816098">
        <w:tc>
          <w:tcPr>
            <w:tcW w:w="2569" w:type="dxa"/>
            <w:tcBorders>
              <w:top w:val="single" w:sz="4" w:space="0" w:color="auto"/>
              <w:left w:val="single" w:sz="4" w:space="0" w:color="auto"/>
              <w:bottom w:val="single" w:sz="4" w:space="0" w:color="auto"/>
              <w:right w:val="single" w:sz="4" w:space="0" w:color="auto"/>
            </w:tcBorders>
          </w:tcPr>
          <w:p w14:paraId="4A90E0EC" w14:textId="77777777" w:rsidR="00816098" w:rsidRDefault="00816098"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3311A1C4" w14:textId="77777777" w:rsidR="00816098" w:rsidRDefault="00816098" w:rsidP="004130A7">
            <w:pPr>
              <w:tabs>
                <w:tab w:val="left" w:pos="1227"/>
              </w:tabs>
              <w:spacing w:after="0" w:line="240" w:lineRule="auto"/>
              <w:rPr>
                <w:sz w:val="24"/>
                <w:szCs w:val="24"/>
              </w:rPr>
            </w:pPr>
            <w:r>
              <w:rPr>
                <w:sz w:val="24"/>
                <w:szCs w:val="24"/>
              </w:rPr>
              <w:t xml:space="preserve">                                    1               2               3</w:t>
            </w:r>
          </w:p>
        </w:tc>
      </w:tr>
      <w:tr w:rsidR="00816098" w14:paraId="5F32C75E" w14:textId="77777777" w:rsidTr="00816098">
        <w:tc>
          <w:tcPr>
            <w:tcW w:w="2569" w:type="dxa"/>
            <w:tcBorders>
              <w:top w:val="single" w:sz="4" w:space="0" w:color="auto"/>
              <w:left w:val="single" w:sz="4" w:space="0" w:color="auto"/>
              <w:bottom w:val="single" w:sz="4" w:space="0" w:color="auto"/>
              <w:right w:val="single" w:sz="4" w:space="0" w:color="auto"/>
            </w:tcBorders>
          </w:tcPr>
          <w:p w14:paraId="26A3A50D" w14:textId="77777777" w:rsidR="00816098" w:rsidRDefault="00816098"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6EFF9CE4" w14:textId="77777777" w:rsidR="00816098" w:rsidRDefault="00816098" w:rsidP="004130A7">
            <w:pPr>
              <w:spacing w:after="0" w:line="240" w:lineRule="auto"/>
              <w:rPr>
                <w:sz w:val="24"/>
                <w:szCs w:val="24"/>
              </w:rPr>
            </w:pPr>
            <w:r>
              <w:rPr>
                <w:sz w:val="24"/>
                <w:szCs w:val="24"/>
              </w:rPr>
              <w:t xml:space="preserve">                   1               2                                3</w:t>
            </w:r>
          </w:p>
        </w:tc>
      </w:tr>
      <w:tr w:rsidR="00816098" w14:paraId="0FA2E085" w14:textId="77777777" w:rsidTr="00816098">
        <w:tc>
          <w:tcPr>
            <w:tcW w:w="2569" w:type="dxa"/>
            <w:tcBorders>
              <w:top w:val="single" w:sz="4" w:space="0" w:color="auto"/>
              <w:left w:val="single" w:sz="4" w:space="0" w:color="auto"/>
              <w:bottom w:val="single" w:sz="4" w:space="0" w:color="auto"/>
              <w:right w:val="single" w:sz="4" w:space="0" w:color="auto"/>
            </w:tcBorders>
          </w:tcPr>
          <w:p w14:paraId="2D0196C0" w14:textId="77777777" w:rsidR="00816098" w:rsidRDefault="00816098"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31010829" w14:textId="77777777" w:rsidR="00816098" w:rsidRDefault="00816098" w:rsidP="004130A7">
            <w:pPr>
              <w:spacing w:after="0" w:line="240" w:lineRule="auto"/>
              <w:rPr>
                <w:sz w:val="24"/>
                <w:szCs w:val="24"/>
              </w:rPr>
            </w:pPr>
            <w:r>
              <w:rPr>
                <w:sz w:val="24"/>
                <w:szCs w:val="24"/>
              </w:rPr>
              <w:t xml:space="preserve">                   1                                2               3 </w:t>
            </w:r>
          </w:p>
        </w:tc>
      </w:tr>
      <w:tr w:rsidR="00816098" w14:paraId="1E883E60" w14:textId="77777777" w:rsidTr="00816098">
        <w:tc>
          <w:tcPr>
            <w:tcW w:w="2569" w:type="dxa"/>
            <w:tcBorders>
              <w:top w:val="single" w:sz="4" w:space="0" w:color="auto"/>
              <w:left w:val="single" w:sz="4" w:space="0" w:color="auto"/>
              <w:bottom w:val="single" w:sz="4" w:space="0" w:color="auto"/>
              <w:right w:val="single" w:sz="4" w:space="0" w:color="auto"/>
            </w:tcBorders>
          </w:tcPr>
          <w:p w14:paraId="72842D8E" w14:textId="77777777" w:rsidR="00816098" w:rsidRDefault="00816098"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53D49C97" w14:textId="77777777" w:rsidR="00816098" w:rsidRDefault="00816098" w:rsidP="004130A7">
            <w:pPr>
              <w:spacing w:after="0" w:line="240" w:lineRule="auto"/>
              <w:rPr>
                <w:sz w:val="24"/>
                <w:szCs w:val="24"/>
              </w:rPr>
            </w:pPr>
            <w:r>
              <w:rPr>
                <w:sz w:val="24"/>
                <w:szCs w:val="24"/>
              </w:rPr>
              <w:t xml:space="preserve">                   1               2               3</w:t>
            </w:r>
          </w:p>
        </w:tc>
      </w:tr>
      <w:tr w:rsidR="00816098" w14:paraId="62DA3C7D" w14:textId="77777777" w:rsidTr="00816098">
        <w:tc>
          <w:tcPr>
            <w:tcW w:w="2569" w:type="dxa"/>
            <w:tcBorders>
              <w:top w:val="single" w:sz="4" w:space="0" w:color="auto"/>
              <w:left w:val="single" w:sz="4" w:space="0" w:color="auto"/>
              <w:bottom w:val="single" w:sz="4" w:space="0" w:color="auto"/>
              <w:right w:val="single" w:sz="4" w:space="0" w:color="auto"/>
            </w:tcBorders>
          </w:tcPr>
          <w:p w14:paraId="4B050E15" w14:textId="77777777" w:rsidR="00816098" w:rsidRDefault="00816098"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1BFA0D3A" w14:textId="77777777" w:rsidR="00816098" w:rsidRDefault="00816098" w:rsidP="004130A7">
            <w:pPr>
              <w:spacing w:after="0" w:line="240" w:lineRule="auto"/>
              <w:rPr>
                <w:sz w:val="24"/>
                <w:szCs w:val="24"/>
              </w:rPr>
            </w:pPr>
            <w:r>
              <w:rPr>
                <w:sz w:val="24"/>
                <w:szCs w:val="24"/>
              </w:rPr>
              <w:t xml:space="preserve">                   1               2                                3</w:t>
            </w:r>
          </w:p>
        </w:tc>
      </w:tr>
      <w:tr w:rsidR="00816098" w14:paraId="5F453563" w14:textId="77777777" w:rsidTr="00816098">
        <w:tc>
          <w:tcPr>
            <w:tcW w:w="2569" w:type="dxa"/>
            <w:tcBorders>
              <w:top w:val="single" w:sz="4" w:space="0" w:color="auto"/>
              <w:left w:val="single" w:sz="4" w:space="0" w:color="auto"/>
              <w:bottom w:val="single" w:sz="4" w:space="0" w:color="auto"/>
              <w:right w:val="single" w:sz="4" w:space="0" w:color="auto"/>
            </w:tcBorders>
          </w:tcPr>
          <w:p w14:paraId="29F2F0A4" w14:textId="77777777" w:rsidR="00816098" w:rsidRDefault="00816098"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68069313" w14:textId="77777777" w:rsidR="00816098" w:rsidRDefault="00816098" w:rsidP="004130A7">
            <w:pPr>
              <w:spacing w:after="0" w:line="240" w:lineRule="auto"/>
              <w:rPr>
                <w:sz w:val="24"/>
                <w:szCs w:val="24"/>
              </w:rPr>
            </w:pPr>
            <w:r>
              <w:rPr>
                <w:sz w:val="24"/>
                <w:szCs w:val="24"/>
              </w:rPr>
              <w:t xml:space="preserve">                   1                                2               3</w:t>
            </w:r>
          </w:p>
        </w:tc>
      </w:tr>
      <w:tr w:rsidR="00816098" w14:paraId="29B5F3B8" w14:textId="77777777" w:rsidTr="00816098">
        <w:tc>
          <w:tcPr>
            <w:tcW w:w="2569" w:type="dxa"/>
            <w:tcBorders>
              <w:top w:val="single" w:sz="4" w:space="0" w:color="auto"/>
              <w:left w:val="single" w:sz="4" w:space="0" w:color="auto"/>
              <w:bottom w:val="single" w:sz="4" w:space="0" w:color="auto"/>
              <w:right w:val="single" w:sz="4" w:space="0" w:color="auto"/>
            </w:tcBorders>
          </w:tcPr>
          <w:p w14:paraId="0557AAB6" w14:textId="77777777" w:rsidR="00816098" w:rsidRDefault="00816098"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0F3CC749" w14:textId="77777777" w:rsidR="00816098" w:rsidRDefault="00816098" w:rsidP="004130A7">
            <w:pPr>
              <w:spacing w:after="0" w:line="240" w:lineRule="auto"/>
              <w:rPr>
                <w:sz w:val="24"/>
                <w:szCs w:val="24"/>
              </w:rPr>
            </w:pPr>
            <w:r>
              <w:rPr>
                <w:sz w:val="24"/>
                <w:szCs w:val="24"/>
              </w:rPr>
              <w:t xml:space="preserve">                   1                                2               3</w:t>
            </w:r>
          </w:p>
        </w:tc>
      </w:tr>
      <w:tr w:rsidR="00816098" w14:paraId="49FA0621" w14:textId="77777777" w:rsidTr="00816098">
        <w:tc>
          <w:tcPr>
            <w:tcW w:w="2569" w:type="dxa"/>
            <w:tcBorders>
              <w:top w:val="single" w:sz="4" w:space="0" w:color="auto"/>
              <w:left w:val="single" w:sz="4" w:space="0" w:color="auto"/>
              <w:bottom w:val="single" w:sz="4" w:space="0" w:color="auto"/>
              <w:right w:val="single" w:sz="4" w:space="0" w:color="auto"/>
            </w:tcBorders>
          </w:tcPr>
          <w:p w14:paraId="55B48533" w14:textId="77777777" w:rsidR="00816098" w:rsidRDefault="00816098"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0966DB5C" w14:textId="77777777" w:rsidR="00816098" w:rsidRDefault="00816098" w:rsidP="004130A7">
            <w:pPr>
              <w:spacing w:after="0" w:line="240" w:lineRule="auto"/>
              <w:rPr>
                <w:sz w:val="24"/>
                <w:szCs w:val="24"/>
              </w:rPr>
            </w:pPr>
            <w:r>
              <w:rPr>
                <w:sz w:val="24"/>
                <w:szCs w:val="24"/>
              </w:rPr>
              <w:t xml:space="preserve">  1                                                 2               3</w:t>
            </w:r>
          </w:p>
        </w:tc>
      </w:tr>
      <w:tr w:rsidR="00816098" w14:paraId="21A0C810" w14:textId="77777777" w:rsidTr="00816098">
        <w:tc>
          <w:tcPr>
            <w:tcW w:w="2569" w:type="dxa"/>
            <w:tcBorders>
              <w:top w:val="single" w:sz="4" w:space="0" w:color="auto"/>
              <w:left w:val="single" w:sz="4" w:space="0" w:color="auto"/>
              <w:bottom w:val="single" w:sz="4" w:space="0" w:color="auto"/>
              <w:right w:val="single" w:sz="4" w:space="0" w:color="auto"/>
            </w:tcBorders>
          </w:tcPr>
          <w:p w14:paraId="395CD8E1" w14:textId="77777777" w:rsidR="00816098" w:rsidRDefault="00816098"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39F9077B" w14:textId="77777777" w:rsidR="00816098" w:rsidRDefault="00816098" w:rsidP="004130A7">
            <w:pPr>
              <w:keepNext/>
              <w:spacing w:after="0" w:line="240" w:lineRule="auto"/>
              <w:rPr>
                <w:sz w:val="24"/>
                <w:szCs w:val="24"/>
              </w:rPr>
            </w:pPr>
            <w:r>
              <w:rPr>
                <w:sz w:val="24"/>
                <w:szCs w:val="24"/>
              </w:rPr>
              <w:t xml:space="preserve">                   1                2              3</w:t>
            </w:r>
          </w:p>
        </w:tc>
      </w:tr>
    </w:tbl>
    <w:p w14:paraId="175B31A5" w14:textId="6E87FC8A" w:rsidR="00272012" w:rsidRPr="00E83440" w:rsidRDefault="00272012" w:rsidP="00272012">
      <w:pPr>
        <w:pStyle w:val="Caption"/>
        <w:spacing w:after="120" w:line="360" w:lineRule="auto"/>
        <w:rPr>
          <w:sz w:val="24"/>
          <w:szCs w:val="24"/>
        </w:rPr>
      </w:pPr>
      <w:bookmarkStart w:id="290" w:name="_Toc531023156"/>
      <w:bookmarkStart w:id="291" w:name="_Toc536438917"/>
      <w:bookmarkStart w:id="292" w:name="_Toc31702092"/>
      <w:r w:rsidRPr="00E83440">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23</w:t>
      </w:r>
      <w:r w:rsidR="00233012">
        <w:rPr>
          <w:noProof/>
        </w:rPr>
        <w:fldChar w:fldCharType="end"/>
      </w:r>
      <w:r w:rsidRPr="00E83440">
        <w:t>. Plotted typology.</w:t>
      </w:r>
      <w:r>
        <w:t xml:space="preserve"> BoR</w:t>
      </w:r>
      <w:r w:rsidR="00811361">
        <w:t>7</w:t>
      </w:r>
      <w:r>
        <w:t>.2</w:t>
      </w:r>
      <w:bookmarkEnd w:id="290"/>
      <w:bookmarkEnd w:id="291"/>
      <w:bookmarkEnd w:id="292"/>
    </w:p>
    <w:p w14:paraId="6132D84E" w14:textId="77777777" w:rsidR="009206E2" w:rsidRDefault="009206E2">
      <w:pPr>
        <w:rPr>
          <w:rFonts w:asciiTheme="majorHAnsi" w:eastAsiaTheme="majorEastAsia" w:hAnsiTheme="majorHAnsi" w:cstheme="majorBidi"/>
          <w:caps/>
          <w:color w:val="1F3763" w:themeColor="accent1" w:themeShade="7F"/>
          <w:sz w:val="24"/>
          <w:szCs w:val="24"/>
        </w:rPr>
      </w:pPr>
      <w:bookmarkStart w:id="293" w:name="_Toc531007174"/>
      <w:bookmarkStart w:id="294" w:name="_Toc536718000"/>
      <w:r>
        <w:br w:type="page"/>
      </w:r>
    </w:p>
    <w:p w14:paraId="208C41C3" w14:textId="36F27419" w:rsidR="00272012" w:rsidRDefault="0093259B" w:rsidP="00272012">
      <w:pPr>
        <w:pStyle w:val="Heading3"/>
      </w:pPr>
      <w:bookmarkStart w:id="295" w:name="_Toc31702023"/>
      <w:r>
        <w:t xml:space="preserve">BoRs sampled from </w:t>
      </w:r>
      <w:r w:rsidR="00272012">
        <w:t>UoA 8</w:t>
      </w:r>
      <w:bookmarkEnd w:id="293"/>
      <w:bookmarkEnd w:id="294"/>
      <w:bookmarkEnd w:id="295"/>
    </w:p>
    <w:p w14:paraId="3FC39FDF" w14:textId="77777777" w:rsidR="00272012" w:rsidRDefault="00272012" w:rsidP="00272012">
      <w:pPr>
        <w:spacing w:after="120" w:line="360" w:lineRule="auto"/>
      </w:pPr>
      <w:r>
        <w:rPr>
          <w:sz w:val="24"/>
          <w:szCs w:val="24"/>
        </w:rPr>
        <w:t xml:space="preserve">Queen’s University Belfast (QUB) ranks first in the UK on two indicators of successful transfer and commercialisation of knowledge: total revenue generated by intellectual property; and number of Knowledge Transfer Partnerships (KTPs) (government-sponsored industry partnerships delivered by Innovate UK). In this institutional culture, it is not surprising that there is significant industry engagement in the Impact Case Studies discussed below, based on research from the School of Chemistry and Chemical Engineering. The partnerships underpinning the Case Studies can be understood as typical of the School’s research and impact model, in which individual experts in chemical engineering are expected to identify and secure funding for the development of solutions to problems, particularly those faced by large industry. </w:t>
      </w:r>
    </w:p>
    <w:p w14:paraId="4ED8F32C" w14:textId="06C4AA2E" w:rsidR="00272012" w:rsidRDefault="009528FE" w:rsidP="00272012">
      <w:pPr>
        <w:pStyle w:val="Heading4"/>
      </w:pPr>
      <w:r>
        <w:t>Body of Research 8.1: ‘Biocatalysts for Industrial and Medical Applications’</w:t>
      </w:r>
    </w:p>
    <w:p w14:paraId="73F5AB8F" w14:textId="6B270742"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‘Biocatalysts for Industrial and Medical Applications’</w:t>
      </w:r>
    </w:p>
    <w:p w14:paraId="32C37F37" w14:textId="534E6750" w:rsidR="00272012" w:rsidRPr="008E27BB" w:rsidRDefault="00272012" w:rsidP="00272012">
      <w:pPr>
        <w:spacing w:after="120" w:line="360" w:lineRule="auto"/>
        <w:rPr>
          <w:sz w:val="24"/>
          <w:szCs w:val="24"/>
          <w:u w:val="single"/>
        </w:rPr>
      </w:pPr>
      <w:r w:rsidRPr="00FC33ED">
        <w:rPr>
          <w:sz w:val="24"/>
          <w:szCs w:val="24"/>
          <w:u w:val="single"/>
        </w:rPr>
        <w:t>Phase 1.</w:t>
      </w:r>
      <w:r>
        <w:rPr>
          <w:sz w:val="24"/>
          <w:szCs w:val="24"/>
          <w:u w:val="single"/>
        </w:rPr>
        <w:t xml:space="preserve"> Technical advances in biochemistry for broad industrial applications</w:t>
      </w:r>
      <w:r>
        <w:rPr>
          <w:sz w:val="24"/>
          <w:szCs w:val="24"/>
          <w:u w:val="single"/>
        </w:rPr>
        <w:br/>
      </w:r>
      <w:r>
        <w:rPr>
          <w:sz w:val="24"/>
          <w:szCs w:val="24"/>
        </w:rPr>
        <w:t xml:space="preserve">The production of new medicines often relies on so-called ‘intermediary’ bioproducts which, themselves, are not therapeutic, but which enable new medicinal biochemical syntheses. These intermediary bioproducts are in turn produced through a process of ‘biocatalysis’ (the transformation of organic compounds using enzymes). In the 1990s, research led by the QUB’s Centre for Theory and Application of Catalysis (CenTACat) in collaboration with industrial scientists developed new techniques for manipulating these biocatalytic processes. The goal was not the development of any specific new medicine, but rather of new techniques and a new class of bioproduct with a broad range of potential applications to industrial drug development. </w:t>
      </w:r>
    </w:p>
    <w:p w14:paraId="10F43AF9" w14:textId="77777777" w:rsidR="00272012" w:rsidRPr="002E6231" w:rsidRDefault="00272012" w:rsidP="00272012">
      <w:pPr>
        <w:spacing w:after="120" w:line="360" w:lineRule="auto"/>
        <w:rPr>
          <w:sz w:val="24"/>
          <w:szCs w:val="24"/>
        </w:rPr>
      </w:pPr>
      <w:r>
        <w:rPr>
          <w:sz w:val="24"/>
          <w:szCs w:val="24"/>
        </w:rPr>
        <w:t xml:space="preserve">Nearly a decade after this original research, CenTACat staff were employed by a Canadian pharmaceutical company for an amount of one of their novel bioproducts to support development of a new drug. Such was the effectiveness of this bioproduct, and the new medicine that it helped produce, that the result was a licensing deal worth potentially $600 million for the company. </w:t>
      </w:r>
    </w:p>
    <w:p w14:paraId="04871BB5" w14:textId="01DE371E" w:rsidR="00272012" w:rsidRDefault="00272012" w:rsidP="00272012">
      <w:pPr>
        <w:spacing w:after="120" w:line="360" w:lineRule="auto"/>
        <w:rPr>
          <w:sz w:val="24"/>
          <w:szCs w:val="24"/>
          <w:u w:val="single"/>
        </w:rPr>
      </w:pPr>
      <w:r w:rsidRPr="00FC33ED">
        <w:rPr>
          <w:sz w:val="24"/>
          <w:szCs w:val="24"/>
          <w:u w:val="single"/>
        </w:rPr>
        <w:t xml:space="preserve">Phase </w:t>
      </w:r>
      <w:r>
        <w:rPr>
          <w:sz w:val="24"/>
          <w:szCs w:val="24"/>
          <w:u w:val="single"/>
        </w:rPr>
        <w:t>2</w:t>
      </w:r>
      <w:r w:rsidRPr="00FC33ED">
        <w:rPr>
          <w:sz w:val="24"/>
          <w:szCs w:val="24"/>
          <w:u w:val="single"/>
        </w:rPr>
        <w:t>.</w:t>
      </w:r>
      <w:r>
        <w:rPr>
          <w:sz w:val="24"/>
          <w:szCs w:val="24"/>
          <w:u w:val="single"/>
        </w:rPr>
        <w:t xml:space="preserve"> Developing bioproducts with more targeted applications</w:t>
      </w:r>
      <w:r>
        <w:rPr>
          <w:sz w:val="24"/>
          <w:szCs w:val="24"/>
          <w:u w:val="single"/>
        </w:rPr>
        <w:br/>
      </w:r>
      <w:r w:rsidRPr="00BE37F6">
        <w:rPr>
          <w:sz w:val="24"/>
          <w:szCs w:val="24"/>
        </w:rPr>
        <w:t>Since 2000</w:t>
      </w:r>
      <w:r>
        <w:rPr>
          <w:sz w:val="24"/>
          <w:szCs w:val="24"/>
        </w:rPr>
        <w:t>,</w:t>
      </w:r>
      <w:r w:rsidRPr="00BE37F6">
        <w:rPr>
          <w:sz w:val="24"/>
          <w:szCs w:val="24"/>
        </w:rPr>
        <w:t xml:space="preserve"> </w:t>
      </w:r>
      <w:r>
        <w:rPr>
          <w:sz w:val="24"/>
          <w:szCs w:val="24"/>
        </w:rPr>
        <w:t xml:space="preserve">CenTACat have worked on bioproducts </w:t>
      </w:r>
      <w:r w:rsidRPr="00BE37F6">
        <w:rPr>
          <w:sz w:val="24"/>
          <w:szCs w:val="24"/>
        </w:rPr>
        <w:t>with</w:t>
      </w:r>
      <w:r>
        <w:rPr>
          <w:sz w:val="24"/>
          <w:szCs w:val="24"/>
        </w:rPr>
        <w:t xml:space="preserve"> more specific applications, such as</w:t>
      </w:r>
      <w:r w:rsidRPr="00BE37F6">
        <w:rPr>
          <w:sz w:val="24"/>
          <w:szCs w:val="24"/>
        </w:rPr>
        <w:t xml:space="preserve"> </w:t>
      </w:r>
      <w:r>
        <w:rPr>
          <w:sz w:val="24"/>
          <w:szCs w:val="24"/>
        </w:rPr>
        <w:t xml:space="preserve">bioproducts with </w:t>
      </w:r>
      <w:r w:rsidRPr="00BE37F6">
        <w:rPr>
          <w:sz w:val="24"/>
          <w:szCs w:val="24"/>
        </w:rPr>
        <w:t xml:space="preserve">known cancer treatment </w:t>
      </w:r>
      <w:r>
        <w:rPr>
          <w:sz w:val="24"/>
          <w:szCs w:val="24"/>
        </w:rPr>
        <w:t>application</w:t>
      </w:r>
      <w:r w:rsidRPr="00BE37F6">
        <w:rPr>
          <w:sz w:val="24"/>
          <w:szCs w:val="24"/>
        </w:rPr>
        <w:t>s. Th</w:t>
      </w:r>
      <w:r>
        <w:rPr>
          <w:sz w:val="24"/>
          <w:szCs w:val="24"/>
        </w:rPr>
        <w:t>is is reflected in</w:t>
      </w:r>
      <w:r w:rsidRPr="00BE37F6">
        <w:rPr>
          <w:sz w:val="24"/>
          <w:szCs w:val="24"/>
        </w:rPr>
        <w:t xml:space="preserve"> sources of funding and collaboration for this research</w:t>
      </w:r>
      <w:r>
        <w:rPr>
          <w:sz w:val="24"/>
          <w:szCs w:val="24"/>
        </w:rPr>
        <w:t>, which include a</w:t>
      </w:r>
      <w:r w:rsidRPr="00BE37F6">
        <w:rPr>
          <w:sz w:val="24"/>
          <w:szCs w:val="24"/>
        </w:rPr>
        <w:t xml:space="preserve"> range of state and other </w:t>
      </w:r>
      <w:r>
        <w:rPr>
          <w:sz w:val="24"/>
          <w:szCs w:val="24"/>
        </w:rPr>
        <w:t>non-profit actors as well as industry (e.g.</w:t>
      </w:r>
      <w:r w:rsidRPr="00BE37F6">
        <w:rPr>
          <w:sz w:val="24"/>
          <w:szCs w:val="24"/>
        </w:rPr>
        <w:t xml:space="preserve"> the US Public Health Service</w:t>
      </w:r>
      <w:r>
        <w:rPr>
          <w:sz w:val="24"/>
          <w:szCs w:val="24"/>
        </w:rPr>
        <w:t xml:space="preserve"> and various departmental and non-departmental government bodies of Northern Ireland). </w:t>
      </w:r>
    </w:p>
    <w:p w14:paraId="4E3E998A" w14:textId="44F51F36" w:rsidR="00272012" w:rsidRPr="00EA672C" w:rsidRDefault="00272012" w:rsidP="00272012">
      <w:pPr>
        <w:spacing w:after="120" w:line="360" w:lineRule="auto"/>
        <w:rPr>
          <w:sz w:val="24"/>
          <w:szCs w:val="24"/>
          <w:u w:val="single"/>
        </w:rPr>
      </w:pPr>
      <w:r w:rsidRPr="00FC33ED">
        <w:rPr>
          <w:sz w:val="24"/>
          <w:szCs w:val="24"/>
          <w:u w:val="single"/>
        </w:rPr>
        <w:t xml:space="preserve">Phase </w:t>
      </w:r>
      <w:r>
        <w:rPr>
          <w:sz w:val="24"/>
          <w:szCs w:val="24"/>
          <w:u w:val="single"/>
        </w:rPr>
        <w:t>3</w:t>
      </w:r>
      <w:r w:rsidRPr="00FC33ED">
        <w:rPr>
          <w:sz w:val="24"/>
          <w:szCs w:val="24"/>
          <w:u w:val="single"/>
        </w:rPr>
        <w:t>.</w:t>
      </w:r>
      <w:r>
        <w:rPr>
          <w:sz w:val="24"/>
          <w:szCs w:val="24"/>
          <w:u w:val="single"/>
        </w:rPr>
        <w:t xml:space="preserve"> A symbiotic relationship between academic and industry research groups</w:t>
      </w:r>
      <w:r>
        <w:rPr>
          <w:sz w:val="24"/>
          <w:szCs w:val="24"/>
          <w:u w:val="single"/>
        </w:rPr>
        <w:br/>
      </w:r>
      <w:r>
        <w:rPr>
          <w:sz w:val="24"/>
          <w:szCs w:val="24"/>
        </w:rPr>
        <w:t xml:space="preserve">Much of this more recent research has been collaborative with Northern Ireland-based pharmaceutical and biotechnology company, Almac Sciences. The closeness of this particular relationship is based on and sustained by the frequent transfer of knowledge from CenTACat to Almac Sciences. This knowledge exchange takes two main forms: (i) collaborative projects and co-authored papers, and (ii) Almac Science’s employment of CenTACat PhD graduates (which numbered fifteen at the time of the School’s REF2014 submission, making up half the workforce of Almac’s Biocatalysis Group). This close relationship has underpinned significant research and commercial advances in the production of new marketable drugs and is set to grow yet stronger following </w:t>
      </w:r>
      <w:r w:rsidRPr="00BE37F6">
        <w:rPr>
          <w:sz w:val="24"/>
          <w:szCs w:val="24"/>
        </w:rPr>
        <w:t>a $7 million investment in a</w:t>
      </w:r>
      <w:r>
        <w:rPr>
          <w:sz w:val="24"/>
          <w:szCs w:val="24"/>
        </w:rPr>
        <w:t xml:space="preserve"> formal</w:t>
      </w:r>
      <w:r w:rsidRPr="00BE37F6">
        <w:rPr>
          <w:sz w:val="24"/>
          <w:szCs w:val="24"/>
        </w:rPr>
        <w:t xml:space="preserve"> QUB-Almac Sciences </w:t>
      </w:r>
      <w:r>
        <w:rPr>
          <w:sz w:val="24"/>
          <w:szCs w:val="24"/>
        </w:rPr>
        <w:t>B</w:t>
      </w:r>
      <w:r w:rsidRPr="00BE37F6">
        <w:rPr>
          <w:sz w:val="24"/>
          <w:szCs w:val="24"/>
        </w:rPr>
        <w:t>iocatalysis</w:t>
      </w:r>
      <w:r>
        <w:rPr>
          <w:sz w:val="24"/>
          <w:szCs w:val="24"/>
        </w:rPr>
        <w:t xml:space="preserve"> P</w:t>
      </w:r>
      <w:r w:rsidRPr="00BE37F6">
        <w:rPr>
          <w:sz w:val="24"/>
          <w:szCs w:val="24"/>
        </w:rPr>
        <w:t xml:space="preserve">artnership, announced in 2015, </w:t>
      </w:r>
      <w:r>
        <w:rPr>
          <w:sz w:val="24"/>
          <w:szCs w:val="24"/>
        </w:rPr>
        <w:t xml:space="preserve">and partly funded by the Northern Ireland Government and the European Union. </w:t>
      </w:r>
    </w:p>
    <w:tbl>
      <w:tblPr>
        <w:tblW w:w="7155" w:type="dxa"/>
        <w:tblLook w:val="04A0" w:firstRow="1" w:lastRow="0" w:firstColumn="1" w:lastColumn="0" w:noHBand="0" w:noVBand="1"/>
      </w:tblPr>
      <w:tblGrid>
        <w:gridCol w:w="2569"/>
        <w:gridCol w:w="4586"/>
      </w:tblGrid>
      <w:tr w:rsidR="001E5DD4" w14:paraId="3D3F287B" w14:textId="77777777" w:rsidTr="001E5DD4">
        <w:tc>
          <w:tcPr>
            <w:tcW w:w="2569" w:type="dxa"/>
            <w:tcBorders>
              <w:top w:val="single" w:sz="4" w:space="0" w:color="auto"/>
              <w:left w:val="single" w:sz="4" w:space="0" w:color="auto"/>
              <w:bottom w:val="single" w:sz="4" w:space="0" w:color="auto"/>
              <w:right w:val="single" w:sz="4" w:space="0" w:color="auto"/>
            </w:tcBorders>
          </w:tcPr>
          <w:p w14:paraId="3BE480E2" w14:textId="621CCFFD" w:rsidR="001E5DD4" w:rsidRPr="002B4060" w:rsidRDefault="001E5DD4" w:rsidP="001E5DD4">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48C95E33" w14:textId="77777777" w:rsidR="001E5DD4" w:rsidRPr="00B8594F" w:rsidRDefault="001E5DD4" w:rsidP="001E5DD4">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20BAE711" w14:textId="702FA8EF" w:rsidR="001E5DD4" w:rsidRPr="00B8594F" w:rsidRDefault="001E5DD4" w:rsidP="001E5DD4">
            <w:pPr>
              <w:spacing w:after="0" w:line="240" w:lineRule="auto"/>
              <w:jc w:val="center"/>
              <w:rPr>
                <w:b/>
                <w:sz w:val="24"/>
                <w:szCs w:val="24"/>
              </w:rPr>
            </w:pPr>
            <w:r w:rsidRPr="00B8594F">
              <w:rPr>
                <w:b/>
                <w:sz w:val="24"/>
                <w:szCs w:val="24"/>
              </w:rPr>
              <w:t>1               2               3               4               5</w:t>
            </w:r>
          </w:p>
        </w:tc>
      </w:tr>
      <w:tr w:rsidR="001E5DD4" w14:paraId="1B36EC57" w14:textId="77777777" w:rsidTr="001E5DD4">
        <w:tc>
          <w:tcPr>
            <w:tcW w:w="2569" w:type="dxa"/>
            <w:tcBorders>
              <w:top w:val="single" w:sz="4" w:space="0" w:color="auto"/>
              <w:left w:val="single" w:sz="4" w:space="0" w:color="auto"/>
              <w:bottom w:val="single" w:sz="4" w:space="0" w:color="auto"/>
              <w:right w:val="single" w:sz="4" w:space="0" w:color="auto"/>
            </w:tcBorders>
          </w:tcPr>
          <w:p w14:paraId="2689562B" w14:textId="77777777" w:rsidR="001E5DD4" w:rsidRDefault="001E5DD4"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7DBB72FA" w14:textId="77777777" w:rsidR="001E5DD4" w:rsidRDefault="001E5DD4" w:rsidP="004130A7">
            <w:pPr>
              <w:spacing w:after="0" w:line="240" w:lineRule="auto"/>
              <w:rPr>
                <w:sz w:val="24"/>
                <w:szCs w:val="24"/>
              </w:rPr>
            </w:pPr>
            <w:r>
              <w:rPr>
                <w:sz w:val="24"/>
                <w:szCs w:val="24"/>
              </w:rPr>
              <w:t>1 2              3</w:t>
            </w:r>
          </w:p>
        </w:tc>
      </w:tr>
      <w:tr w:rsidR="001E5DD4" w14:paraId="0FE317B9" w14:textId="77777777" w:rsidTr="001E5DD4">
        <w:tc>
          <w:tcPr>
            <w:tcW w:w="2569" w:type="dxa"/>
            <w:tcBorders>
              <w:top w:val="single" w:sz="4" w:space="0" w:color="auto"/>
              <w:left w:val="single" w:sz="4" w:space="0" w:color="auto"/>
              <w:bottom w:val="single" w:sz="4" w:space="0" w:color="auto"/>
              <w:right w:val="single" w:sz="4" w:space="0" w:color="auto"/>
            </w:tcBorders>
          </w:tcPr>
          <w:p w14:paraId="4514DDD1" w14:textId="77777777" w:rsidR="001E5DD4" w:rsidRDefault="001E5DD4"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4C8E731E" w14:textId="77777777" w:rsidR="001E5DD4" w:rsidRDefault="001E5DD4" w:rsidP="004130A7">
            <w:pPr>
              <w:spacing w:after="0" w:line="240" w:lineRule="auto"/>
              <w:rPr>
                <w:sz w:val="24"/>
                <w:szCs w:val="24"/>
              </w:rPr>
            </w:pPr>
            <w:r>
              <w:rPr>
                <w:sz w:val="24"/>
                <w:szCs w:val="24"/>
              </w:rPr>
              <w:t xml:space="preserve">                   1               2               3</w:t>
            </w:r>
          </w:p>
        </w:tc>
      </w:tr>
      <w:tr w:rsidR="001E5DD4" w14:paraId="436C3E84" w14:textId="77777777" w:rsidTr="001E5DD4">
        <w:tc>
          <w:tcPr>
            <w:tcW w:w="2569" w:type="dxa"/>
            <w:tcBorders>
              <w:top w:val="single" w:sz="4" w:space="0" w:color="auto"/>
              <w:left w:val="single" w:sz="4" w:space="0" w:color="auto"/>
              <w:bottom w:val="single" w:sz="4" w:space="0" w:color="auto"/>
              <w:right w:val="single" w:sz="4" w:space="0" w:color="auto"/>
            </w:tcBorders>
          </w:tcPr>
          <w:p w14:paraId="452BBEF8" w14:textId="77777777" w:rsidR="001E5DD4" w:rsidRDefault="001E5DD4"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3A49FC99" w14:textId="77777777" w:rsidR="001E5DD4" w:rsidRDefault="001E5DD4" w:rsidP="004130A7">
            <w:pPr>
              <w:spacing w:after="0" w:line="240" w:lineRule="auto"/>
              <w:rPr>
                <w:sz w:val="24"/>
                <w:szCs w:val="24"/>
              </w:rPr>
            </w:pPr>
            <w:r>
              <w:rPr>
                <w:sz w:val="24"/>
                <w:szCs w:val="24"/>
              </w:rPr>
              <w:t xml:space="preserve">  1              2 3</w:t>
            </w:r>
          </w:p>
        </w:tc>
      </w:tr>
      <w:tr w:rsidR="001E5DD4" w14:paraId="4B8A25EB" w14:textId="77777777" w:rsidTr="001E5DD4">
        <w:tc>
          <w:tcPr>
            <w:tcW w:w="2569" w:type="dxa"/>
            <w:tcBorders>
              <w:top w:val="single" w:sz="4" w:space="0" w:color="auto"/>
              <w:left w:val="single" w:sz="4" w:space="0" w:color="auto"/>
              <w:bottom w:val="single" w:sz="4" w:space="0" w:color="auto"/>
              <w:right w:val="single" w:sz="4" w:space="0" w:color="auto"/>
            </w:tcBorders>
          </w:tcPr>
          <w:p w14:paraId="6A4F612C" w14:textId="77777777" w:rsidR="001E5DD4" w:rsidRDefault="001E5DD4"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024FD424" w14:textId="77777777" w:rsidR="001E5DD4" w:rsidRDefault="001E5DD4" w:rsidP="004130A7">
            <w:pPr>
              <w:spacing w:after="0" w:line="240" w:lineRule="auto"/>
              <w:rPr>
                <w:sz w:val="24"/>
                <w:szCs w:val="24"/>
              </w:rPr>
            </w:pPr>
            <w:r>
              <w:rPr>
                <w:sz w:val="24"/>
                <w:szCs w:val="24"/>
              </w:rPr>
              <w:t xml:space="preserve">                  1 2             3</w:t>
            </w:r>
          </w:p>
        </w:tc>
      </w:tr>
      <w:tr w:rsidR="001E5DD4" w14:paraId="014CE631" w14:textId="77777777" w:rsidTr="001E5DD4">
        <w:tc>
          <w:tcPr>
            <w:tcW w:w="2569" w:type="dxa"/>
            <w:tcBorders>
              <w:top w:val="single" w:sz="4" w:space="0" w:color="auto"/>
              <w:left w:val="single" w:sz="4" w:space="0" w:color="auto"/>
              <w:bottom w:val="single" w:sz="4" w:space="0" w:color="auto"/>
              <w:right w:val="single" w:sz="4" w:space="0" w:color="auto"/>
            </w:tcBorders>
          </w:tcPr>
          <w:p w14:paraId="08AD99B5" w14:textId="77777777" w:rsidR="001E5DD4" w:rsidRDefault="001E5DD4"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06EE5C05" w14:textId="77777777" w:rsidR="001E5DD4" w:rsidRDefault="001E5DD4" w:rsidP="004130A7">
            <w:pPr>
              <w:spacing w:after="0" w:line="240" w:lineRule="auto"/>
              <w:rPr>
                <w:sz w:val="24"/>
                <w:szCs w:val="24"/>
              </w:rPr>
            </w:pPr>
            <w:r>
              <w:rPr>
                <w:sz w:val="24"/>
                <w:szCs w:val="24"/>
              </w:rPr>
              <w:t xml:space="preserve">  1               2                                                 3</w:t>
            </w:r>
          </w:p>
        </w:tc>
      </w:tr>
      <w:tr w:rsidR="001E5DD4" w14:paraId="1858B9D5" w14:textId="77777777" w:rsidTr="001E5DD4">
        <w:tc>
          <w:tcPr>
            <w:tcW w:w="2569" w:type="dxa"/>
            <w:tcBorders>
              <w:top w:val="single" w:sz="4" w:space="0" w:color="auto"/>
              <w:left w:val="single" w:sz="4" w:space="0" w:color="auto"/>
              <w:bottom w:val="single" w:sz="4" w:space="0" w:color="auto"/>
              <w:right w:val="single" w:sz="4" w:space="0" w:color="auto"/>
            </w:tcBorders>
          </w:tcPr>
          <w:p w14:paraId="4D4D4BB4" w14:textId="77777777" w:rsidR="001E5DD4" w:rsidRDefault="001E5DD4"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295E0E56" w14:textId="77777777" w:rsidR="001E5DD4" w:rsidRDefault="001E5DD4" w:rsidP="004130A7">
            <w:pPr>
              <w:spacing w:after="0" w:line="240" w:lineRule="auto"/>
              <w:rPr>
                <w:sz w:val="24"/>
                <w:szCs w:val="24"/>
              </w:rPr>
            </w:pPr>
            <w:r>
              <w:rPr>
                <w:sz w:val="24"/>
                <w:szCs w:val="24"/>
              </w:rPr>
              <w:t xml:space="preserve"> 1 2             3</w:t>
            </w:r>
          </w:p>
        </w:tc>
      </w:tr>
      <w:tr w:rsidR="001E5DD4" w14:paraId="692A927D" w14:textId="77777777" w:rsidTr="001E5DD4">
        <w:tc>
          <w:tcPr>
            <w:tcW w:w="2569" w:type="dxa"/>
            <w:tcBorders>
              <w:top w:val="single" w:sz="4" w:space="0" w:color="auto"/>
              <w:left w:val="single" w:sz="4" w:space="0" w:color="auto"/>
              <w:bottom w:val="single" w:sz="4" w:space="0" w:color="auto"/>
              <w:right w:val="single" w:sz="4" w:space="0" w:color="auto"/>
            </w:tcBorders>
          </w:tcPr>
          <w:p w14:paraId="42626435" w14:textId="77777777" w:rsidR="001E5DD4" w:rsidRDefault="001E5DD4"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53AB2EAD" w14:textId="77777777" w:rsidR="001E5DD4" w:rsidRDefault="001E5DD4" w:rsidP="004130A7">
            <w:pPr>
              <w:tabs>
                <w:tab w:val="left" w:pos="1227"/>
              </w:tabs>
              <w:spacing w:after="0" w:line="240" w:lineRule="auto"/>
              <w:rPr>
                <w:sz w:val="24"/>
                <w:szCs w:val="24"/>
              </w:rPr>
            </w:pPr>
            <w:r>
              <w:rPr>
                <w:sz w:val="24"/>
                <w:szCs w:val="24"/>
              </w:rPr>
              <w:t xml:space="preserve">                  1 2             3</w:t>
            </w:r>
          </w:p>
        </w:tc>
      </w:tr>
      <w:tr w:rsidR="001E5DD4" w14:paraId="0B03BAC4" w14:textId="77777777" w:rsidTr="001E5DD4">
        <w:tc>
          <w:tcPr>
            <w:tcW w:w="2569" w:type="dxa"/>
            <w:tcBorders>
              <w:top w:val="single" w:sz="4" w:space="0" w:color="auto"/>
              <w:left w:val="single" w:sz="4" w:space="0" w:color="auto"/>
              <w:bottom w:val="single" w:sz="4" w:space="0" w:color="auto"/>
              <w:right w:val="single" w:sz="4" w:space="0" w:color="auto"/>
            </w:tcBorders>
          </w:tcPr>
          <w:p w14:paraId="1798C13F" w14:textId="77777777" w:rsidR="001E5DD4" w:rsidRDefault="001E5DD4"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5A3A560B" w14:textId="77777777" w:rsidR="001E5DD4" w:rsidRDefault="001E5DD4" w:rsidP="004130A7">
            <w:pPr>
              <w:spacing w:after="0" w:line="240" w:lineRule="auto"/>
              <w:rPr>
                <w:sz w:val="24"/>
                <w:szCs w:val="24"/>
              </w:rPr>
            </w:pPr>
            <w:r>
              <w:rPr>
                <w:sz w:val="24"/>
                <w:szCs w:val="24"/>
              </w:rPr>
              <w:t xml:space="preserve">                 1 2 3</w:t>
            </w:r>
          </w:p>
        </w:tc>
      </w:tr>
      <w:tr w:rsidR="001E5DD4" w14:paraId="45C0E648" w14:textId="77777777" w:rsidTr="001E5DD4">
        <w:tc>
          <w:tcPr>
            <w:tcW w:w="2569" w:type="dxa"/>
            <w:tcBorders>
              <w:top w:val="single" w:sz="4" w:space="0" w:color="auto"/>
              <w:left w:val="single" w:sz="4" w:space="0" w:color="auto"/>
              <w:bottom w:val="single" w:sz="4" w:space="0" w:color="auto"/>
              <w:right w:val="single" w:sz="4" w:space="0" w:color="auto"/>
            </w:tcBorders>
          </w:tcPr>
          <w:p w14:paraId="664EA261" w14:textId="77777777" w:rsidR="001E5DD4" w:rsidRDefault="001E5DD4"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71B84877" w14:textId="77777777" w:rsidR="001E5DD4" w:rsidRDefault="001E5DD4" w:rsidP="004130A7">
            <w:pPr>
              <w:spacing w:after="0" w:line="240" w:lineRule="auto"/>
              <w:rPr>
                <w:sz w:val="24"/>
                <w:szCs w:val="24"/>
              </w:rPr>
            </w:pPr>
            <w:r>
              <w:rPr>
                <w:sz w:val="24"/>
                <w:szCs w:val="24"/>
              </w:rPr>
              <w:t xml:space="preserve">                   1               2               3</w:t>
            </w:r>
          </w:p>
        </w:tc>
      </w:tr>
      <w:tr w:rsidR="001E5DD4" w14:paraId="0CAF8AB5" w14:textId="77777777" w:rsidTr="001E5DD4">
        <w:tc>
          <w:tcPr>
            <w:tcW w:w="2569" w:type="dxa"/>
            <w:tcBorders>
              <w:top w:val="single" w:sz="4" w:space="0" w:color="auto"/>
              <w:left w:val="single" w:sz="4" w:space="0" w:color="auto"/>
              <w:bottom w:val="single" w:sz="4" w:space="0" w:color="auto"/>
              <w:right w:val="single" w:sz="4" w:space="0" w:color="auto"/>
            </w:tcBorders>
          </w:tcPr>
          <w:p w14:paraId="3B4F6B8E" w14:textId="77777777" w:rsidR="001E5DD4" w:rsidRDefault="001E5DD4"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70DDEBE4" w14:textId="77777777" w:rsidR="001E5DD4" w:rsidRDefault="001E5DD4" w:rsidP="004130A7">
            <w:pPr>
              <w:spacing w:after="0" w:line="240" w:lineRule="auto"/>
              <w:rPr>
                <w:sz w:val="24"/>
                <w:szCs w:val="24"/>
              </w:rPr>
            </w:pPr>
            <w:r>
              <w:rPr>
                <w:sz w:val="24"/>
                <w:szCs w:val="24"/>
              </w:rPr>
              <w:t xml:space="preserve">                   1               2               3</w:t>
            </w:r>
          </w:p>
        </w:tc>
      </w:tr>
      <w:tr w:rsidR="001E5DD4" w14:paraId="5CD4C98C" w14:textId="77777777" w:rsidTr="001E5DD4">
        <w:tc>
          <w:tcPr>
            <w:tcW w:w="2569" w:type="dxa"/>
            <w:tcBorders>
              <w:top w:val="single" w:sz="4" w:space="0" w:color="auto"/>
              <w:left w:val="single" w:sz="4" w:space="0" w:color="auto"/>
              <w:bottom w:val="single" w:sz="4" w:space="0" w:color="auto"/>
              <w:right w:val="single" w:sz="4" w:space="0" w:color="auto"/>
            </w:tcBorders>
          </w:tcPr>
          <w:p w14:paraId="69018E2B" w14:textId="77777777" w:rsidR="001E5DD4" w:rsidRDefault="001E5DD4"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7BB7FF94" w14:textId="77777777" w:rsidR="001E5DD4" w:rsidRDefault="001E5DD4" w:rsidP="004130A7">
            <w:pPr>
              <w:spacing w:after="0" w:line="240" w:lineRule="auto"/>
              <w:rPr>
                <w:sz w:val="24"/>
                <w:szCs w:val="24"/>
              </w:rPr>
            </w:pPr>
            <w:r>
              <w:rPr>
                <w:sz w:val="24"/>
                <w:szCs w:val="24"/>
              </w:rPr>
              <w:t xml:space="preserve">                                  1 2              3</w:t>
            </w:r>
          </w:p>
        </w:tc>
      </w:tr>
      <w:tr w:rsidR="001E5DD4" w14:paraId="54F367B6" w14:textId="77777777" w:rsidTr="001E5DD4">
        <w:tc>
          <w:tcPr>
            <w:tcW w:w="2569" w:type="dxa"/>
            <w:tcBorders>
              <w:top w:val="single" w:sz="4" w:space="0" w:color="auto"/>
              <w:left w:val="single" w:sz="4" w:space="0" w:color="auto"/>
              <w:bottom w:val="single" w:sz="4" w:space="0" w:color="auto"/>
              <w:right w:val="single" w:sz="4" w:space="0" w:color="auto"/>
            </w:tcBorders>
          </w:tcPr>
          <w:p w14:paraId="7300C46A" w14:textId="77777777" w:rsidR="001E5DD4" w:rsidRDefault="001E5DD4"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7F7C0C5E" w14:textId="77777777" w:rsidR="001E5DD4" w:rsidRDefault="001E5DD4" w:rsidP="004130A7">
            <w:pPr>
              <w:spacing w:after="0" w:line="240" w:lineRule="auto"/>
              <w:rPr>
                <w:sz w:val="24"/>
                <w:szCs w:val="24"/>
              </w:rPr>
            </w:pPr>
            <w:r>
              <w:rPr>
                <w:sz w:val="24"/>
                <w:szCs w:val="24"/>
              </w:rPr>
              <w:t xml:space="preserve">                                  1 2              3</w:t>
            </w:r>
          </w:p>
        </w:tc>
      </w:tr>
      <w:tr w:rsidR="001E5DD4" w14:paraId="2C6BB9FB" w14:textId="77777777" w:rsidTr="001E5DD4">
        <w:tc>
          <w:tcPr>
            <w:tcW w:w="2569" w:type="dxa"/>
            <w:tcBorders>
              <w:top w:val="single" w:sz="4" w:space="0" w:color="auto"/>
              <w:left w:val="single" w:sz="4" w:space="0" w:color="auto"/>
              <w:bottom w:val="single" w:sz="4" w:space="0" w:color="auto"/>
              <w:right w:val="single" w:sz="4" w:space="0" w:color="auto"/>
            </w:tcBorders>
          </w:tcPr>
          <w:p w14:paraId="2C7FEAF0" w14:textId="77777777" w:rsidR="001E5DD4" w:rsidRDefault="001E5DD4"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4264B475" w14:textId="77777777" w:rsidR="001E5DD4" w:rsidRDefault="001E5DD4" w:rsidP="004130A7">
            <w:pPr>
              <w:spacing w:after="0" w:line="240" w:lineRule="auto"/>
              <w:rPr>
                <w:sz w:val="24"/>
                <w:szCs w:val="24"/>
              </w:rPr>
            </w:pPr>
            <w:r>
              <w:rPr>
                <w:sz w:val="24"/>
                <w:szCs w:val="24"/>
              </w:rPr>
              <w:t xml:space="preserve">                  1 2             3</w:t>
            </w:r>
          </w:p>
        </w:tc>
      </w:tr>
      <w:tr w:rsidR="001E5DD4" w14:paraId="3273D4A9" w14:textId="77777777" w:rsidTr="001E5DD4">
        <w:tc>
          <w:tcPr>
            <w:tcW w:w="2569" w:type="dxa"/>
            <w:tcBorders>
              <w:top w:val="single" w:sz="4" w:space="0" w:color="auto"/>
              <w:left w:val="single" w:sz="4" w:space="0" w:color="auto"/>
              <w:bottom w:val="single" w:sz="4" w:space="0" w:color="auto"/>
              <w:right w:val="single" w:sz="4" w:space="0" w:color="auto"/>
            </w:tcBorders>
          </w:tcPr>
          <w:p w14:paraId="68280002" w14:textId="77777777" w:rsidR="001E5DD4" w:rsidRDefault="001E5DD4"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619529DC" w14:textId="77777777" w:rsidR="001E5DD4" w:rsidRDefault="001E5DD4" w:rsidP="004130A7">
            <w:pPr>
              <w:spacing w:after="0" w:line="240" w:lineRule="auto"/>
              <w:rPr>
                <w:sz w:val="24"/>
                <w:szCs w:val="24"/>
              </w:rPr>
            </w:pPr>
            <w:r>
              <w:rPr>
                <w:sz w:val="24"/>
                <w:szCs w:val="24"/>
              </w:rPr>
              <w:t>1 2 3</w:t>
            </w:r>
          </w:p>
        </w:tc>
      </w:tr>
      <w:tr w:rsidR="001E5DD4" w14:paraId="35E4A534" w14:textId="77777777" w:rsidTr="001E5DD4">
        <w:tc>
          <w:tcPr>
            <w:tcW w:w="2569" w:type="dxa"/>
            <w:tcBorders>
              <w:top w:val="single" w:sz="4" w:space="0" w:color="auto"/>
              <w:left w:val="single" w:sz="4" w:space="0" w:color="auto"/>
              <w:bottom w:val="single" w:sz="4" w:space="0" w:color="auto"/>
              <w:right w:val="single" w:sz="4" w:space="0" w:color="auto"/>
            </w:tcBorders>
          </w:tcPr>
          <w:p w14:paraId="6AD90D5A" w14:textId="77777777" w:rsidR="001E5DD4" w:rsidRDefault="001E5DD4"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23E22651" w14:textId="77777777" w:rsidR="001E5DD4" w:rsidRDefault="001E5DD4" w:rsidP="004130A7">
            <w:pPr>
              <w:keepNext/>
              <w:spacing w:after="0" w:line="240" w:lineRule="auto"/>
              <w:rPr>
                <w:sz w:val="24"/>
                <w:szCs w:val="24"/>
              </w:rPr>
            </w:pPr>
            <w:r>
              <w:rPr>
                <w:sz w:val="24"/>
                <w:szCs w:val="24"/>
              </w:rPr>
              <w:t xml:space="preserve">                  1 2             3</w:t>
            </w:r>
          </w:p>
        </w:tc>
      </w:tr>
    </w:tbl>
    <w:p w14:paraId="713B3DC3" w14:textId="7ADC91EE" w:rsidR="00272012" w:rsidRPr="00FA109E" w:rsidRDefault="00272012" w:rsidP="00272012">
      <w:pPr>
        <w:pStyle w:val="Caption"/>
        <w:spacing w:after="120" w:line="360" w:lineRule="auto"/>
      </w:pPr>
      <w:bookmarkStart w:id="296" w:name="_Toc531023157"/>
      <w:bookmarkStart w:id="297" w:name="_Toc536438918"/>
      <w:bookmarkStart w:id="298" w:name="_Toc31702093"/>
      <w:r w:rsidRPr="00FA109E">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24</w:t>
      </w:r>
      <w:r w:rsidR="00233012">
        <w:rPr>
          <w:noProof/>
        </w:rPr>
        <w:fldChar w:fldCharType="end"/>
      </w:r>
      <w:r w:rsidRPr="00FA109E">
        <w:t xml:space="preserve">. Plotted typology. </w:t>
      </w:r>
      <w:r>
        <w:t>BoR8.1</w:t>
      </w:r>
      <w:bookmarkEnd w:id="296"/>
      <w:bookmarkEnd w:id="297"/>
      <w:bookmarkEnd w:id="298"/>
    </w:p>
    <w:p w14:paraId="08BD4E7D" w14:textId="1A3BB6F8" w:rsidR="00272012" w:rsidRDefault="009528FE" w:rsidP="00272012">
      <w:pPr>
        <w:pStyle w:val="Heading4"/>
      </w:pPr>
      <w:r>
        <w:t>Body of Research 8.2: ‘Mercury Capture Technology for the Global Petroleum Industry’</w:t>
      </w:r>
    </w:p>
    <w:p w14:paraId="6178D392" w14:textId="597F40C9"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‘Mercury Capture Technology for the Global Petroleum Industry’</w:t>
      </w:r>
    </w:p>
    <w:p w14:paraId="735970C9" w14:textId="01E5333E" w:rsidR="00272012" w:rsidRDefault="00272012" w:rsidP="00272012">
      <w:pPr>
        <w:spacing w:after="120" w:line="360" w:lineRule="auto"/>
        <w:rPr>
          <w:sz w:val="24"/>
          <w:szCs w:val="24"/>
        </w:rPr>
      </w:pPr>
      <w:r w:rsidRPr="00FC33ED">
        <w:rPr>
          <w:sz w:val="24"/>
          <w:szCs w:val="24"/>
          <w:u w:val="single"/>
        </w:rPr>
        <w:t>Phase 1.</w:t>
      </w:r>
      <w:r>
        <w:rPr>
          <w:sz w:val="24"/>
          <w:szCs w:val="24"/>
          <w:u w:val="single"/>
        </w:rPr>
        <w:t xml:space="preserve"> Demonstrating environmental benefits of ionic liquids as ‘green’ industrial solvents</w:t>
      </w:r>
      <w:r>
        <w:rPr>
          <w:sz w:val="24"/>
          <w:szCs w:val="24"/>
          <w:u w:val="single"/>
        </w:rPr>
        <w:br/>
      </w:r>
      <w:r>
        <w:rPr>
          <w:sz w:val="24"/>
          <w:szCs w:val="24"/>
        </w:rPr>
        <w:t xml:space="preserve">Throughout the 1990s, QUB researchers led the case for using ionic liquids (ILs) as environmentally superior ‘green solvents’ in a wide range of industrial contexts. Initially, it was only amongst industrial actors that the researchers found interest and research funding support. Eventually, however, able to obtain funding from research councils and other sources, QUB scientists made fundamental contributions to understanding and demonstrating the solvent properties of a range of different ionic liquids, with the primary objective of building up a database of materials and the range of potential applications. </w:t>
      </w:r>
    </w:p>
    <w:p w14:paraId="4948CCAD" w14:textId="77777777" w:rsidR="00272012" w:rsidRDefault="00272012" w:rsidP="00272012">
      <w:pPr>
        <w:spacing w:after="120" w:line="360" w:lineRule="auto"/>
        <w:rPr>
          <w:sz w:val="24"/>
          <w:szCs w:val="24"/>
        </w:rPr>
      </w:pPr>
      <w:r>
        <w:rPr>
          <w:sz w:val="24"/>
          <w:szCs w:val="24"/>
        </w:rPr>
        <w:t xml:space="preserve">Successful demonstration of the potential of ionic liquids led to the establishment in 1999 of the Queen’s University Ionic Liquids Laboratory (QUILL), run as an industry-academic consortium whereby projects are decided either based on the collective interests of its fee-paying industry members or on a one-to-one basis with an individual industrial sponsor. The creation of QUILL signalled the recognition of the high potential of ionic liquids. Nonetheless, some early QUILL outputs still had the aim of making the case for ‘green solvents’, for example one paper wrote of the continuing need “to facilitate general acceptance and to promote the use of ILs” </w:t>
      </w:r>
      <w:r w:rsidR="00233012" w:rsidRPr="00BE37F6">
        <w:rPr>
          <w:sz w:val="24"/>
          <w:szCs w:val="24"/>
        </w:rPr>
        <w:fldChar w:fldCharType="begin"/>
      </w:r>
      <w:r w:rsidRPr="00BE37F6">
        <w:rPr>
          <w:sz w:val="24"/>
          <w:szCs w:val="24"/>
        </w:rPr>
        <w:instrText xml:space="preserve"> ADDIN EN.CITE &lt;EndNote&gt;&lt;Cite&gt;&lt;Author&gt;Holbrey&lt;/Author&gt;&lt;Year&gt;2002&lt;/Year&gt;&lt;IDText&gt;Efficient, halide free synthesis of new, low cost ionic liquids: 1,3- dialkylimidazolium salts containing methyl- and ethyl- sulfate anions&lt;/IDText&gt;&lt;Pages&gt;407&lt;/Pages&gt;&lt;DisplayText&gt;(Holbrey et al., 2002, p. 407)&lt;/DisplayText&gt;&lt;record&gt;&lt;keywords&gt;&lt;keyword&gt;Salts&lt;/keyword&gt;&lt;keyword&gt;Anions&lt;/keyword&gt;&lt;keyword&gt;1010&lt;/keyword&gt;&lt;/keywords&gt;&lt;isbn&gt;1463-9262&lt;/isbn&gt;&lt;titles&gt;&lt;title&gt;Efficient, halide free synthesis of new, low cost ionic liquids: 1,3- dialkylimidazolium salts containing methyl- and ethyl- sulfate anions&lt;/title&gt;&lt;secondary-title&gt;Green Chemistry&lt;/secondary-title&gt;&lt;/titles&gt;&lt;pages&gt;407-413&lt;/pages&gt;&lt;number&gt;5&lt;/number&gt;&lt;contributors&gt;&lt;authors&gt;&lt;author&gt;Holbrey, John D.&lt;/author&gt;&lt;author&gt;Reichert, W. Matthew&lt;/author&gt;&lt;author&gt;Swatloski, Richard P.&lt;/author&gt;&lt;author&gt;Broker, Grant A.&lt;/author&gt;&lt;author&gt;Pitner, William R.&lt;/author&gt;&lt;author&gt;Seddon, Kenneth R.&lt;/author&gt;&lt;author&gt;Rogers, Robin D.&lt;/author&gt;&lt;/authors&gt;&lt;/contributors&gt;&lt;added-date format="utc"&gt;1495036660&lt;/added-date&gt;&lt;ref-type name="Journal Article"&gt;17&lt;/ref-type&gt;&lt;dates&gt;&lt;year&gt;2002&lt;/year&gt;&lt;/dates&gt;&lt;rec-number&gt;6995&lt;/rec-number&gt;&lt;last-updated-date format="utc"&gt;1495046087&lt;/last-updated-date&gt;&lt;electronic-resource-num&gt;10.1039/b204469b&lt;/electronic-resource-num&gt;&lt;volume&gt;4&lt;/volume&gt;&lt;/record&gt;&lt;/Cite&gt;&lt;/EndNote&gt;</w:instrText>
      </w:r>
      <w:r w:rsidR="00233012" w:rsidRPr="00BE37F6">
        <w:rPr>
          <w:sz w:val="24"/>
          <w:szCs w:val="24"/>
        </w:rPr>
        <w:fldChar w:fldCharType="separate"/>
      </w:r>
      <w:r w:rsidRPr="00BE37F6">
        <w:rPr>
          <w:noProof/>
          <w:sz w:val="24"/>
          <w:szCs w:val="24"/>
        </w:rPr>
        <w:t>(Holbrey et al., 2002, p. 407)</w:t>
      </w:r>
      <w:r w:rsidR="00233012" w:rsidRPr="00BE37F6">
        <w:rPr>
          <w:sz w:val="24"/>
          <w:szCs w:val="24"/>
        </w:rPr>
        <w:fldChar w:fldCharType="end"/>
      </w:r>
      <w:r>
        <w:rPr>
          <w:sz w:val="24"/>
          <w:szCs w:val="24"/>
        </w:rPr>
        <w:t>, explaining that “</w:t>
      </w:r>
      <w:r w:rsidRPr="00BE37F6">
        <w:rPr>
          <w:sz w:val="24"/>
          <w:szCs w:val="24"/>
        </w:rPr>
        <w:t>despite the significant developments that have been made in both understanding the properties, and exploring the utility of</w:t>
      </w:r>
      <w:r>
        <w:rPr>
          <w:sz w:val="24"/>
          <w:szCs w:val="24"/>
        </w:rPr>
        <w:t xml:space="preserve"> ILs</w:t>
      </w:r>
      <w:r w:rsidRPr="00BE37F6">
        <w:rPr>
          <w:sz w:val="24"/>
          <w:szCs w:val="24"/>
        </w:rPr>
        <w:t>, they are still generally considered esoteric materials</w:t>
      </w:r>
      <w:r>
        <w:rPr>
          <w:sz w:val="24"/>
          <w:szCs w:val="24"/>
        </w:rPr>
        <w:t xml:space="preserve"> </w:t>
      </w:r>
      <w:r w:rsidRPr="00BE37F6">
        <w:rPr>
          <w:sz w:val="24"/>
          <w:szCs w:val="24"/>
        </w:rPr>
        <w:t xml:space="preserve">” </w:t>
      </w:r>
      <w:r w:rsidR="00233012" w:rsidRPr="00BE37F6">
        <w:rPr>
          <w:sz w:val="24"/>
          <w:szCs w:val="24"/>
        </w:rPr>
        <w:fldChar w:fldCharType="begin"/>
      </w:r>
      <w:r w:rsidRPr="00BE37F6">
        <w:rPr>
          <w:sz w:val="24"/>
          <w:szCs w:val="24"/>
        </w:rPr>
        <w:instrText xml:space="preserve"> ADDIN EN.CITE &lt;EndNote&gt;&lt;Cite&gt;&lt;Author&gt;Holbrey&lt;/Author&gt;&lt;Year&gt;2002&lt;/Year&gt;&lt;IDText&gt;Efficient, halide free synthesis of new, low cost ionic liquids: 1,3- dialkylimidazolium salts containing methyl- and ethyl- sulfate anions&lt;/IDText&gt;&lt;Pages&gt;407&lt;/Pages&gt;&lt;DisplayText&gt;(Holbrey et al., 2002, p. 407)&lt;/DisplayText&gt;&lt;record&gt;&lt;keywords&gt;&lt;keyword&gt;Salts&lt;/keyword&gt;&lt;keyword&gt;Anions&lt;/keyword&gt;&lt;keyword&gt;1010&lt;/keyword&gt;&lt;/keywords&gt;&lt;isbn&gt;1463-9262&lt;/isbn&gt;&lt;titles&gt;&lt;title&gt;Efficient, halide free synthesis of new, low cost ionic liquids: 1,3- dialkylimidazolium salts containing methyl- and ethyl- sulfate anions&lt;/title&gt;&lt;secondary-title&gt;Green Chemistry&lt;/secondary-title&gt;&lt;/titles&gt;&lt;pages&gt;407-413&lt;/pages&gt;&lt;number&gt;5&lt;/number&gt;&lt;contributors&gt;&lt;authors&gt;&lt;author&gt;Holbrey, John D.&lt;/author&gt;&lt;author&gt;Reichert, W. Matthew&lt;/author&gt;&lt;author&gt;Swatloski, Richard P.&lt;/author&gt;&lt;author&gt;Broker, Grant A.&lt;/author&gt;&lt;author&gt;Pitner, William R.&lt;/author&gt;&lt;author&gt;Seddon, Kenneth R.&lt;/author&gt;&lt;author&gt;Rogers, Robin D.&lt;/author&gt;&lt;/authors&gt;&lt;/contributors&gt;&lt;added-date format="utc"&gt;1495036660&lt;/added-date&gt;&lt;ref-type name="Journal Article"&gt;17&lt;/ref-type&gt;&lt;dates&gt;&lt;year&gt;2002&lt;/year&gt;&lt;/dates&gt;&lt;rec-number&gt;6995&lt;/rec-number&gt;&lt;last-updated-date format="utc"&gt;1495046087&lt;/last-updated-date&gt;&lt;electronic-resource-num&gt;10.1039/b204469b&lt;/electronic-resource-num&gt;&lt;volume&gt;4&lt;/volume&gt;&lt;/record&gt;&lt;/Cite&gt;&lt;/EndNote&gt;</w:instrText>
      </w:r>
      <w:r w:rsidR="00233012" w:rsidRPr="00BE37F6">
        <w:rPr>
          <w:sz w:val="24"/>
          <w:szCs w:val="24"/>
        </w:rPr>
        <w:fldChar w:fldCharType="separate"/>
      </w:r>
      <w:r w:rsidRPr="00BE37F6">
        <w:rPr>
          <w:noProof/>
          <w:sz w:val="24"/>
          <w:szCs w:val="24"/>
        </w:rPr>
        <w:t>(Holbrey et al., 2002, p. 407)</w:t>
      </w:r>
      <w:r w:rsidR="00233012" w:rsidRPr="00BE37F6">
        <w:rPr>
          <w:sz w:val="24"/>
          <w:szCs w:val="24"/>
        </w:rPr>
        <w:fldChar w:fldCharType="end"/>
      </w:r>
      <w:r w:rsidRPr="00BE37F6">
        <w:rPr>
          <w:sz w:val="24"/>
          <w:szCs w:val="24"/>
        </w:rPr>
        <w:t xml:space="preserve">. </w:t>
      </w:r>
    </w:p>
    <w:p w14:paraId="08E0D3DB" w14:textId="50EB8B4B" w:rsidR="00272012" w:rsidRDefault="00272012" w:rsidP="00272012">
      <w:pPr>
        <w:spacing w:after="120" w:line="360" w:lineRule="auto"/>
        <w:rPr>
          <w:sz w:val="24"/>
          <w:szCs w:val="24"/>
        </w:rPr>
      </w:pPr>
      <w:r w:rsidRPr="00FC33ED">
        <w:rPr>
          <w:sz w:val="24"/>
          <w:szCs w:val="24"/>
          <w:u w:val="single"/>
        </w:rPr>
        <w:t>Phase 2.</w:t>
      </w:r>
      <w:r>
        <w:rPr>
          <w:sz w:val="24"/>
          <w:szCs w:val="24"/>
          <w:u w:val="single"/>
        </w:rPr>
        <w:t xml:space="preserve"> Deepening fundamental knowledge for applied purposes</w:t>
      </w:r>
      <w:r>
        <w:rPr>
          <w:sz w:val="24"/>
          <w:szCs w:val="24"/>
          <w:u w:val="single"/>
        </w:rPr>
        <w:br/>
      </w:r>
      <w:r>
        <w:rPr>
          <w:sz w:val="24"/>
          <w:szCs w:val="24"/>
        </w:rPr>
        <w:t xml:space="preserve">Despite the apparent ongoing need to persuade of ionic liquids’ value at the beginning of the decade, QUILL’s main aim throughout the 2000s was to advance </w:t>
      </w:r>
      <w:r w:rsidRPr="00C157A5">
        <w:rPr>
          <w:sz w:val="24"/>
          <w:szCs w:val="24"/>
        </w:rPr>
        <w:t>fundamental understanding of ionic liquid structure</w:t>
      </w:r>
      <w:r>
        <w:rPr>
          <w:sz w:val="24"/>
          <w:szCs w:val="24"/>
        </w:rPr>
        <w:t xml:space="preserve"> and behaviour in various </w:t>
      </w:r>
      <w:r w:rsidRPr="00C157A5">
        <w:rPr>
          <w:sz w:val="24"/>
          <w:szCs w:val="24"/>
        </w:rPr>
        <w:t>complex environments</w:t>
      </w:r>
      <w:r>
        <w:rPr>
          <w:sz w:val="24"/>
          <w:szCs w:val="24"/>
        </w:rPr>
        <w:t xml:space="preserve">. The ultimate goal of this fundamental knowledge, however, was the refinement of applied predictive models about the behaviour and effectiveness of ionic liquids in various industrial contexts. </w:t>
      </w:r>
    </w:p>
    <w:p w14:paraId="342C2538" w14:textId="38E4AEF2" w:rsidR="00272012" w:rsidRDefault="00272012" w:rsidP="00272012">
      <w:pPr>
        <w:spacing w:after="120" w:line="360" w:lineRule="auto"/>
        <w:rPr>
          <w:rFonts w:eastAsiaTheme="minorEastAsia"/>
          <w:sz w:val="24"/>
          <w:szCs w:val="24"/>
        </w:rPr>
      </w:pPr>
      <w:r w:rsidRPr="00FC33ED">
        <w:rPr>
          <w:sz w:val="24"/>
          <w:szCs w:val="24"/>
          <w:u w:val="single"/>
        </w:rPr>
        <w:t>Phase 3.</w:t>
      </w:r>
      <w:r>
        <w:rPr>
          <w:sz w:val="24"/>
          <w:szCs w:val="24"/>
          <w:u w:val="single"/>
        </w:rPr>
        <w:t xml:space="preserve"> University-industry collaboration to realise ionic liquid’s potential in practice</w:t>
      </w:r>
      <w:r>
        <w:rPr>
          <w:sz w:val="24"/>
          <w:szCs w:val="24"/>
          <w:u w:val="single"/>
        </w:rPr>
        <w:br/>
      </w:r>
      <w:r w:rsidRPr="00C157A5">
        <w:rPr>
          <w:sz w:val="24"/>
          <w:szCs w:val="24"/>
        </w:rPr>
        <w:t xml:space="preserve">This use-inspired basic research </w:t>
      </w:r>
      <w:r>
        <w:rPr>
          <w:sz w:val="24"/>
          <w:szCs w:val="24"/>
        </w:rPr>
        <w:t xml:space="preserve">provided the knowledge necessary for </w:t>
      </w:r>
      <w:r w:rsidRPr="00C157A5">
        <w:rPr>
          <w:sz w:val="24"/>
          <w:szCs w:val="24"/>
        </w:rPr>
        <w:t>more</w:t>
      </w:r>
      <w:r>
        <w:rPr>
          <w:sz w:val="24"/>
          <w:szCs w:val="24"/>
        </w:rPr>
        <w:t xml:space="preserve"> effective applied research aiming</w:t>
      </w:r>
      <w:r w:rsidRPr="00C157A5">
        <w:rPr>
          <w:sz w:val="24"/>
          <w:szCs w:val="24"/>
        </w:rPr>
        <w:t xml:space="preserve"> to determine the </w:t>
      </w:r>
      <w:r>
        <w:rPr>
          <w:sz w:val="24"/>
          <w:szCs w:val="24"/>
        </w:rPr>
        <w:t>most appropriate</w:t>
      </w:r>
      <w:r w:rsidRPr="00C157A5">
        <w:rPr>
          <w:sz w:val="24"/>
          <w:szCs w:val="24"/>
        </w:rPr>
        <w:t xml:space="preserve"> ionic liquid</w:t>
      </w:r>
      <w:r>
        <w:rPr>
          <w:sz w:val="24"/>
          <w:szCs w:val="24"/>
        </w:rPr>
        <w:t xml:space="preserve"> for given </w:t>
      </w:r>
      <w:r w:rsidRPr="00C157A5">
        <w:rPr>
          <w:sz w:val="24"/>
          <w:szCs w:val="24"/>
        </w:rPr>
        <w:t>contexts</w:t>
      </w:r>
      <w:r>
        <w:rPr>
          <w:sz w:val="24"/>
          <w:szCs w:val="24"/>
        </w:rPr>
        <w:t>, f</w:t>
      </w:r>
      <w:r w:rsidRPr="00427281">
        <w:rPr>
          <w:sz w:val="24"/>
          <w:szCs w:val="24"/>
        </w:rPr>
        <w:t xml:space="preserve">or example, the </w:t>
      </w:r>
      <w:r>
        <w:rPr>
          <w:sz w:val="24"/>
          <w:szCs w:val="24"/>
        </w:rPr>
        <w:t xml:space="preserve">removal of sulphur from </w:t>
      </w:r>
      <w:r w:rsidRPr="00427281">
        <w:rPr>
          <w:sz w:val="24"/>
          <w:szCs w:val="24"/>
        </w:rPr>
        <w:t>diesel fuel</w:t>
      </w:r>
      <w:r>
        <w:rPr>
          <w:sz w:val="24"/>
          <w:szCs w:val="24"/>
        </w:rPr>
        <w:t xml:space="preserve">, or the removal of mercury from natural gas supplies. Based on the latter example, </w:t>
      </w:r>
      <w:r w:rsidRPr="00C157A5">
        <w:rPr>
          <w:sz w:val="24"/>
          <w:szCs w:val="24"/>
        </w:rPr>
        <w:t>QUILL attracted a £5.25 million investment from</w:t>
      </w:r>
      <w:r>
        <w:rPr>
          <w:sz w:val="24"/>
          <w:szCs w:val="24"/>
        </w:rPr>
        <w:t xml:space="preserve"> Malaysian oil and gas company, Petroliam Nasional Berhad (</w:t>
      </w:r>
      <w:r w:rsidRPr="00C157A5">
        <w:rPr>
          <w:sz w:val="24"/>
          <w:szCs w:val="24"/>
        </w:rPr>
        <w:t>Petronas</w:t>
      </w:r>
      <w:r>
        <w:rPr>
          <w:sz w:val="24"/>
          <w:szCs w:val="24"/>
        </w:rPr>
        <w:t xml:space="preserve">) in 2008. In collaboration with Petronas, </w:t>
      </w:r>
      <w:r w:rsidRPr="00C157A5">
        <w:rPr>
          <w:sz w:val="24"/>
          <w:szCs w:val="24"/>
        </w:rPr>
        <w:t>QUILL</w:t>
      </w:r>
      <w:r>
        <w:rPr>
          <w:sz w:val="24"/>
          <w:szCs w:val="24"/>
        </w:rPr>
        <w:t xml:space="preserve"> co-developed and</w:t>
      </w:r>
      <w:r w:rsidRPr="00C157A5">
        <w:rPr>
          <w:sz w:val="24"/>
          <w:szCs w:val="24"/>
        </w:rPr>
        <w:t xml:space="preserve"> </w:t>
      </w:r>
      <w:r>
        <w:rPr>
          <w:sz w:val="24"/>
          <w:szCs w:val="24"/>
        </w:rPr>
        <w:t>co-</w:t>
      </w:r>
      <w:r w:rsidRPr="00C157A5">
        <w:rPr>
          <w:sz w:val="24"/>
          <w:szCs w:val="24"/>
        </w:rPr>
        <w:t xml:space="preserve">patented </w:t>
      </w:r>
      <w:r>
        <w:rPr>
          <w:sz w:val="24"/>
          <w:szCs w:val="24"/>
        </w:rPr>
        <w:t xml:space="preserve">a technology for the industrial removal of mercury, a toxic and corrosive contaminant naturally present in hydrocarbon supplies. This technology </w:t>
      </w:r>
      <w:r w:rsidRPr="002B2D28">
        <w:rPr>
          <w:sz w:val="24"/>
          <w:szCs w:val="24"/>
        </w:rPr>
        <w:t xml:space="preserve">has since received a record-breaking number of awards from the Institute of Chemical Engineering as well as the </w:t>
      </w:r>
      <w:r w:rsidRPr="002B2D28">
        <w:rPr>
          <w:rFonts w:eastAsiaTheme="minorEastAsia"/>
          <w:sz w:val="24"/>
          <w:szCs w:val="24"/>
        </w:rPr>
        <w:t xml:space="preserve">Royal Society of Chemistry’s ‘Teamwork in Innovation Award’ and has been described by the British Museum as the most important British innovation of the </w:t>
      </w:r>
      <w:r>
        <w:rPr>
          <w:rFonts w:eastAsiaTheme="minorEastAsia"/>
          <w:sz w:val="24"/>
          <w:szCs w:val="24"/>
        </w:rPr>
        <w:t>twenty-first</w:t>
      </w:r>
      <w:r w:rsidRPr="002B2D28">
        <w:rPr>
          <w:rFonts w:eastAsiaTheme="minorEastAsia"/>
          <w:sz w:val="24"/>
          <w:szCs w:val="24"/>
        </w:rPr>
        <w:t xml:space="preserve"> century</w:t>
      </w:r>
      <w:r>
        <w:rPr>
          <w:rFonts w:eastAsiaTheme="minorEastAsia"/>
          <w:sz w:val="24"/>
          <w:szCs w:val="24"/>
        </w:rPr>
        <w:t xml:space="preserve">. </w:t>
      </w:r>
    </w:p>
    <w:p w14:paraId="381849CA" w14:textId="16D395FD" w:rsidR="00162453" w:rsidRDefault="00162453" w:rsidP="00272012">
      <w:pPr>
        <w:spacing w:after="120" w:line="360" w:lineRule="auto"/>
        <w:rPr>
          <w:sz w:val="24"/>
          <w:szCs w:val="24"/>
          <w:u w:val="single"/>
        </w:rPr>
      </w:pPr>
    </w:p>
    <w:p w14:paraId="4E2DC8F3" w14:textId="4D82FB67" w:rsidR="00162453" w:rsidRDefault="00162453" w:rsidP="00272012">
      <w:pPr>
        <w:spacing w:after="120" w:line="360" w:lineRule="auto"/>
        <w:rPr>
          <w:sz w:val="24"/>
          <w:szCs w:val="24"/>
          <w:u w:val="single"/>
        </w:rPr>
      </w:pPr>
    </w:p>
    <w:p w14:paraId="34F37230" w14:textId="7A70781F" w:rsidR="00162453" w:rsidRDefault="00162453" w:rsidP="00272012">
      <w:pPr>
        <w:spacing w:after="120" w:line="360" w:lineRule="auto"/>
        <w:rPr>
          <w:sz w:val="24"/>
          <w:szCs w:val="24"/>
          <w:u w:val="single"/>
        </w:rPr>
      </w:pPr>
    </w:p>
    <w:p w14:paraId="47BD318D" w14:textId="4022C477" w:rsidR="00162453" w:rsidRDefault="00162453" w:rsidP="00272012">
      <w:pPr>
        <w:spacing w:after="120" w:line="360" w:lineRule="auto"/>
        <w:rPr>
          <w:sz w:val="24"/>
          <w:szCs w:val="24"/>
          <w:u w:val="single"/>
        </w:rPr>
      </w:pPr>
    </w:p>
    <w:p w14:paraId="10D7E5B2" w14:textId="77777777" w:rsidR="00162453" w:rsidRDefault="00162453" w:rsidP="00272012">
      <w:pPr>
        <w:spacing w:after="120" w:line="360" w:lineRule="auto"/>
        <w:rPr>
          <w:sz w:val="24"/>
          <w:szCs w:val="24"/>
          <w:u w:val="single"/>
        </w:rPr>
      </w:pPr>
    </w:p>
    <w:tbl>
      <w:tblPr>
        <w:tblW w:w="7155" w:type="dxa"/>
        <w:tblLook w:val="04A0" w:firstRow="1" w:lastRow="0" w:firstColumn="1" w:lastColumn="0" w:noHBand="0" w:noVBand="1"/>
      </w:tblPr>
      <w:tblGrid>
        <w:gridCol w:w="2569"/>
        <w:gridCol w:w="4586"/>
      </w:tblGrid>
      <w:tr w:rsidR="001E5DD4" w14:paraId="155B8CDA" w14:textId="77777777" w:rsidTr="001E5DD4">
        <w:tc>
          <w:tcPr>
            <w:tcW w:w="2569" w:type="dxa"/>
            <w:tcBorders>
              <w:top w:val="single" w:sz="4" w:space="0" w:color="auto"/>
              <w:left w:val="single" w:sz="4" w:space="0" w:color="auto"/>
              <w:bottom w:val="single" w:sz="4" w:space="0" w:color="auto"/>
              <w:right w:val="single" w:sz="4" w:space="0" w:color="auto"/>
            </w:tcBorders>
          </w:tcPr>
          <w:p w14:paraId="3DB520E4" w14:textId="29521B35" w:rsidR="001E5DD4" w:rsidRPr="002B4060" w:rsidRDefault="001E5DD4" w:rsidP="001E5DD4">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3C237C85" w14:textId="77777777" w:rsidR="001E5DD4" w:rsidRPr="00B8594F" w:rsidRDefault="001E5DD4" w:rsidP="001E5DD4">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008F5279" w14:textId="386CD7D4" w:rsidR="001E5DD4" w:rsidRPr="00B8594F" w:rsidRDefault="001E5DD4" w:rsidP="001E5DD4">
            <w:pPr>
              <w:spacing w:after="0" w:line="240" w:lineRule="auto"/>
              <w:jc w:val="center"/>
              <w:rPr>
                <w:b/>
                <w:sz w:val="24"/>
                <w:szCs w:val="24"/>
              </w:rPr>
            </w:pPr>
            <w:r w:rsidRPr="00B8594F">
              <w:rPr>
                <w:b/>
                <w:sz w:val="24"/>
                <w:szCs w:val="24"/>
              </w:rPr>
              <w:t>1               2               3               4               5</w:t>
            </w:r>
          </w:p>
        </w:tc>
      </w:tr>
      <w:tr w:rsidR="001E5DD4" w14:paraId="2E134BD5" w14:textId="77777777" w:rsidTr="001E5DD4">
        <w:tc>
          <w:tcPr>
            <w:tcW w:w="2569" w:type="dxa"/>
            <w:tcBorders>
              <w:top w:val="single" w:sz="4" w:space="0" w:color="auto"/>
              <w:left w:val="single" w:sz="4" w:space="0" w:color="auto"/>
              <w:bottom w:val="single" w:sz="4" w:space="0" w:color="auto"/>
              <w:right w:val="single" w:sz="4" w:space="0" w:color="auto"/>
            </w:tcBorders>
          </w:tcPr>
          <w:p w14:paraId="0A1424A6" w14:textId="77777777" w:rsidR="001E5DD4" w:rsidRDefault="001E5DD4"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41CE9ABE" w14:textId="77777777" w:rsidR="001E5DD4" w:rsidRDefault="001E5DD4" w:rsidP="004130A7">
            <w:pPr>
              <w:spacing w:after="0" w:line="240" w:lineRule="auto"/>
              <w:rPr>
                <w:sz w:val="24"/>
                <w:szCs w:val="24"/>
              </w:rPr>
            </w:pPr>
            <w:r>
              <w:rPr>
                <w:sz w:val="24"/>
                <w:szCs w:val="24"/>
              </w:rPr>
              <w:t>1 2                              3</w:t>
            </w:r>
          </w:p>
        </w:tc>
      </w:tr>
      <w:tr w:rsidR="001E5DD4" w14:paraId="2952AF84" w14:textId="77777777" w:rsidTr="001E5DD4">
        <w:tc>
          <w:tcPr>
            <w:tcW w:w="2569" w:type="dxa"/>
            <w:tcBorders>
              <w:top w:val="single" w:sz="4" w:space="0" w:color="auto"/>
              <w:left w:val="single" w:sz="4" w:space="0" w:color="auto"/>
              <w:bottom w:val="single" w:sz="4" w:space="0" w:color="auto"/>
              <w:right w:val="single" w:sz="4" w:space="0" w:color="auto"/>
            </w:tcBorders>
          </w:tcPr>
          <w:p w14:paraId="7E443F39" w14:textId="77777777" w:rsidR="001E5DD4" w:rsidRDefault="001E5DD4"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1B3A5EC7" w14:textId="77777777" w:rsidR="001E5DD4" w:rsidRDefault="001E5DD4" w:rsidP="004130A7">
            <w:pPr>
              <w:spacing w:after="0" w:line="240" w:lineRule="auto"/>
              <w:rPr>
                <w:sz w:val="24"/>
                <w:szCs w:val="24"/>
              </w:rPr>
            </w:pPr>
            <w:r>
              <w:rPr>
                <w:sz w:val="24"/>
                <w:szCs w:val="24"/>
              </w:rPr>
              <w:t xml:space="preserve">                                   2                1               3</w:t>
            </w:r>
          </w:p>
        </w:tc>
      </w:tr>
      <w:tr w:rsidR="001E5DD4" w14:paraId="3E78DDFB" w14:textId="77777777" w:rsidTr="001E5DD4">
        <w:tc>
          <w:tcPr>
            <w:tcW w:w="2569" w:type="dxa"/>
            <w:tcBorders>
              <w:top w:val="single" w:sz="4" w:space="0" w:color="auto"/>
              <w:left w:val="single" w:sz="4" w:space="0" w:color="auto"/>
              <w:bottom w:val="single" w:sz="4" w:space="0" w:color="auto"/>
              <w:right w:val="single" w:sz="4" w:space="0" w:color="auto"/>
            </w:tcBorders>
          </w:tcPr>
          <w:p w14:paraId="5B498A15" w14:textId="77777777" w:rsidR="001E5DD4" w:rsidRDefault="001E5DD4"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2F432896" w14:textId="77777777" w:rsidR="001E5DD4" w:rsidRDefault="001E5DD4" w:rsidP="004130A7">
            <w:pPr>
              <w:spacing w:after="0" w:line="240" w:lineRule="auto"/>
              <w:rPr>
                <w:sz w:val="24"/>
                <w:szCs w:val="24"/>
              </w:rPr>
            </w:pPr>
            <w:r>
              <w:rPr>
                <w:sz w:val="24"/>
                <w:szCs w:val="24"/>
              </w:rPr>
              <w:t>1 2              3</w:t>
            </w:r>
          </w:p>
        </w:tc>
      </w:tr>
      <w:tr w:rsidR="001E5DD4" w14:paraId="0098E537" w14:textId="77777777" w:rsidTr="001E5DD4">
        <w:tc>
          <w:tcPr>
            <w:tcW w:w="2569" w:type="dxa"/>
            <w:tcBorders>
              <w:top w:val="single" w:sz="4" w:space="0" w:color="auto"/>
              <w:left w:val="single" w:sz="4" w:space="0" w:color="auto"/>
              <w:bottom w:val="single" w:sz="4" w:space="0" w:color="auto"/>
              <w:right w:val="single" w:sz="4" w:space="0" w:color="auto"/>
            </w:tcBorders>
          </w:tcPr>
          <w:p w14:paraId="23DC6635" w14:textId="77777777" w:rsidR="001E5DD4" w:rsidRDefault="001E5DD4"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5949D5B8" w14:textId="77777777" w:rsidR="001E5DD4" w:rsidRDefault="001E5DD4" w:rsidP="004130A7">
            <w:pPr>
              <w:spacing w:after="0" w:line="240" w:lineRule="auto"/>
              <w:rPr>
                <w:sz w:val="24"/>
                <w:szCs w:val="24"/>
              </w:rPr>
            </w:pPr>
            <w:r>
              <w:rPr>
                <w:sz w:val="24"/>
                <w:szCs w:val="24"/>
              </w:rPr>
              <w:t xml:space="preserve">                                   2                1               3</w:t>
            </w:r>
          </w:p>
        </w:tc>
      </w:tr>
      <w:tr w:rsidR="001E5DD4" w14:paraId="3036DB9D" w14:textId="77777777" w:rsidTr="001E5DD4">
        <w:tc>
          <w:tcPr>
            <w:tcW w:w="2569" w:type="dxa"/>
            <w:tcBorders>
              <w:top w:val="single" w:sz="4" w:space="0" w:color="auto"/>
              <w:left w:val="single" w:sz="4" w:space="0" w:color="auto"/>
              <w:bottom w:val="single" w:sz="4" w:space="0" w:color="auto"/>
              <w:right w:val="single" w:sz="4" w:space="0" w:color="auto"/>
            </w:tcBorders>
          </w:tcPr>
          <w:p w14:paraId="40971FF2" w14:textId="77777777" w:rsidR="001E5DD4" w:rsidRDefault="001E5DD4"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00B16330" w14:textId="77777777" w:rsidR="001E5DD4" w:rsidRDefault="001E5DD4" w:rsidP="004130A7">
            <w:pPr>
              <w:spacing w:after="0" w:line="240" w:lineRule="auto"/>
              <w:rPr>
                <w:sz w:val="24"/>
                <w:szCs w:val="24"/>
              </w:rPr>
            </w:pPr>
            <w:r>
              <w:rPr>
                <w:sz w:val="24"/>
                <w:szCs w:val="24"/>
              </w:rPr>
              <w:t xml:space="preserve">                                   1                2               3 </w:t>
            </w:r>
          </w:p>
        </w:tc>
      </w:tr>
      <w:tr w:rsidR="001E5DD4" w14:paraId="768F8F69" w14:textId="77777777" w:rsidTr="001E5DD4">
        <w:tc>
          <w:tcPr>
            <w:tcW w:w="2569" w:type="dxa"/>
            <w:tcBorders>
              <w:top w:val="single" w:sz="4" w:space="0" w:color="auto"/>
              <w:left w:val="single" w:sz="4" w:space="0" w:color="auto"/>
              <w:bottom w:val="single" w:sz="4" w:space="0" w:color="auto"/>
              <w:right w:val="single" w:sz="4" w:space="0" w:color="auto"/>
            </w:tcBorders>
          </w:tcPr>
          <w:p w14:paraId="1DBF5D8B" w14:textId="77777777" w:rsidR="001E5DD4" w:rsidRDefault="001E5DD4"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5174528B" w14:textId="77777777" w:rsidR="001E5DD4" w:rsidRDefault="001E5DD4" w:rsidP="004130A7">
            <w:pPr>
              <w:spacing w:after="0" w:line="240" w:lineRule="auto"/>
              <w:rPr>
                <w:sz w:val="24"/>
                <w:szCs w:val="24"/>
              </w:rPr>
            </w:pPr>
            <w:r>
              <w:rPr>
                <w:sz w:val="24"/>
                <w:szCs w:val="24"/>
              </w:rPr>
              <w:t xml:space="preserve">                1 2 3</w:t>
            </w:r>
          </w:p>
        </w:tc>
      </w:tr>
      <w:tr w:rsidR="001E5DD4" w14:paraId="40B2F849" w14:textId="77777777" w:rsidTr="001E5DD4">
        <w:tc>
          <w:tcPr>
            <w:tcW w:w="2569" w:type="dxa"/>
            <w:tcBorders>
              <w:top w:val="single" w:sz="4" w:space="0" w:color="auto"/>
              <w:left w:val="single" w:sz="4" w:space="0" w:color="auto"/>
              <w:bottom w:val="single" w:sz="4" w:space="0" w:color="auto"/>
              <w:right w:val="single" w:sz="4" w:space="0" w:color="auto"/>
            </w:tcBorders>
          </w:tcPr>
          <w:p w14:paraId="7B32ECDE" w14:textId="77777777" w:rsidR="001E5DD4" w:rsidRDefault="001E5DD4"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6BB6038C" w14:textId="77777777" w:rsidR="001E5DD4" w:rsidRDefault="001E5DD4" w:rsidP="004130A7">
            <w:pPr>
              <w:tabs>
                <w:tab w:val="left" w:pos="1227"/>
                <w:tab w:val="center" w:pos="2185"/>
                <w:tab w:val="left" w:pos="2595"/>
              </w:tabs>
              <w:spacing w:after="0" w:line="240" w:lineRule="auto"/>
              <w:rPr>
                <w:sz w:val="24"/>
                <w:szCs w:val="24"/>
              </w:rPr>
            </w:pPr>
            <w:r>
              <w:rPr>
                <w:sz w:val="24"/>
                <w:szCs w:val="24"/>
              </w:rPr>
              <w:t xml:space="preserve">                                   1                2               3 </w:t>
            </w:r>
          </w:p>
        </w:tc>
      </w:tr>
      <w:tr w:rsidR="001E5DD4" w14:paraId="63F5671A" w14:textId="77777777" w:rsidTr="001E5DD4">
        <w:tc>
          <w:tcPr>
            <w:tcW w:w="2569" w:type="dxa"/>
            <w:tcBorders>
              <w:top w:val="single" w:sz="4" w:space="0" w:color="auto"/>
              <w:left w:val="single" w:sz="4" w:space="0" w:color="auto"/>
              <w:bottom w:val="single" w:sz="4" w:space="0" w:color="auto"/>
              <w:right w:val="single" w:sz="4" w:space="0" w:color="auto"/>
            </w:tcBorders>
          </w:tcPr>
          <w:p w14:paraId="721820EB" w14:textId="77777777" w:rsidR="001E5DD4" w:rsidRDefault="001E5DD4"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22B3BA0E" w14:textId="77777777" w:rsidR="001E5DD4" w:rsidRDefault="001E5DD4" w:rsidP="004130A7">
            <w:pPr>
              <w:spacing w:after="0" w:line="240" w:lineRule="auto"/>
              <w:rPr>
                <w:sz w:val="24"/>
                <w:szCs w:val="24"/>
              </w:rPr>
            </w:pPr>
            <w:r>
              <w:rPr>
                <w:sz w:val="24"/>
                <w:szCs w:val="24"/>
              </w:rPr>
              <w:t xml:space="preserve">                                1 2 3</w:t>
            </w:r>
          </w:p>
        </w:tc>
      </w:tr>
      <w:tr w:rsidR="001E5DD4" w14:paraId="02525A7B" w14:textId="77777777" w:rsidTr="001E5DD4">
        <w:tc>
          <w:tcPr>
            <w:tcW w:w="2569" w:type="dxa"/>
            <w:tcBorders>
              <w:top w:val="single" w:sz="4" w:space="0" w:color="auto"/>
              <w:left w:val="single" w:sz="4" w:space="0" w:color="auto"/>
              <w:bottom w:val="single" w:sz="4" w:space="0" w:color="auto"/>
              <w:right w:val="single" w:sz="4" w:space="0" w:color="auto"/>
            </w:tcBorders>
          </w:tcPr>
          <w:p w14:paraId="71174378" w14:textId="77777777" w:rsidR="001E5DD4" w:rsidRDefault="001E5DD4"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24844B88" w14:textId="77777777" w:rsidR="001E5DD4" w:rsidRDefault="001E5DD4" w:rsidP="004130A7">
            <w:pPr>
              <w:spacing w:after="0" w:line="240" w:lineRule="auto"/>
              <w:rPr>
                <w:sz w:val="24"/>
                <w:szCs w:val="24"/>
              </w:rPr>
            </w:pPr>
            <w:r>
              <w:rPr>
                <w:sz w:val="24"/>
                <w:szCs w:val="24"/>
              </w:rPr>
              <w:t xml:space="preserve">               1 2 3</w:t>
            </w:r>
          </w:p>
        </w:tc>
      </w:tr>
      <w:tr w:rsidR="001E5DD4" w14:paraId="0D4738FA" w14:textId="77777777" w:rsidTr="001E5DD4">
        <w:tc>
          <w:tcPr>
            <w:tcW w:w="2569" w:type="dxa"/>
            <w:tcBorders>
              <w:top w:val="single" w:sz="4" w:space="0" w:color="auto"/>
              <w:left w:val="single" w:sz="4" w:space="0" w:color="auto"/>
              <w:bottom w:val="single" w:sz="4" w:space="0" w:color="auto"/>
              <w:right w:val="single" w:sz="4" w:space="0" w:color="auto"/>
            </w:tcBorders>
          </w:tcPr>
          <w:p w14:paraId="5838A9B3" w14:textId="77777777" w:rsidR="001E5DD4" w:rsidRDefault="001E5DD4"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10D317DD" w14:textId="77777777" w:rsidR="001E5DD4" w:rsidRDefault="001E5DD4" w:rsidP="004130A7">
            <w:pPr>
              <w:spacing w:after="0" w:line="240" w:lineRule="auto"/>
              <w:rPr>
                <w:sz w:val="24"/>
                <w:szCs w:val="24"/>
              </w:rPr>
            </w:pPr>
            <w:r>
              <w:rPr>
                <w:sz w:val="24"/>
                <w:szCs w:val="24"/>
              </w:rPr>
              <w:t xml:space="preserve">                                                  1 2 3</w:t>
            </w:r>
          </w:p>
        </w:tc>
      </w:tr>
      <w:tr w:rsidR="001E5DD4" w14:paraId="14BB7E6F" w14:textId="77777777" w:rsidTr="001E5DD4">
        <w:tc>
          <w:tcPr>
            <w:tcW w:w="2569" w:type="dxa"/>
            <w:tcBorders>
              <w:top w:val="single" w:sz="4" w:space="0" w:color="auto"/>
              <w:left w:val="single" w:sz="4" w:space="0" w:color="auto"/>
              <w:bottom w:val="single" w:sz="4" w:space="0" w:color="auto"/>
              <w:right w:val="single" w:sz="4" w:space="0" w:color="auto"/>
            </w:tcBorders>
          </w:tcPr>
          <w:p w14:paraId="3A151528" w14:textId="77777777" w:rsidR="001E5DD4" w:rsidRDefault="001E5DD4"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55D98476" w14:textId="77777777" w:rsidR="001E5DD4" w:rsidRDefault="001E5DD4" w:rsidP="004130A7">
            <w:pPr>
              <w:spacing w:after="0" w:line="240" w:lineRule="auto"/>
              <w:rPr>
                <w:sz w:val="24"/>
                <w:szCs w:val="24"/>
              </w:rPr>
            </w:pPr>
            <w:r>
              <w:rPr>
                <w:sz w:val="24"/>
                <w:szCs w:val="24"/>
              </w:rPr>
              <w:t xml:space="preserve">                 1 2                               3                   </w:t>
            </w:r>
          </w:p>
        </w:tc>
      </w:tr>
      <w:tr w:rsidR="001E5DD4" w14:paraId="7E254AF3" w14:textId="77777777" w:rsidTr="001E5DD4">
        <w:tc>
          <w:tcPr>
            <w:tcW w:w="2569" w:type="dxa"/>
            <w:tcBorders>
              <w:top w:val="single" w:sz="4" w:space="0" w:color="auto"/>
              <w:left w:val="single" w:sz="4" w:space="0" w:color="auto"/>
              <w:bottom w:val="single" w:sz="4" w:space="0" w:color="auto"/>
              <w:right w:val="single" w:sz="4" w:space="0" w:color="auto"/>
            </w:tcBorders>
          </w:tcPr>
          <w:p w14:paraId="04799B7A" w14:textId="77777777" w:rsidR="001E5DD4" w:rsidRDefault="001E5DD4"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484E47CC" w14:textId="77777777" w:rsidR="001E5DD4" w:rsidRDefault="001E5DD4" w:rsidP="004130A7">
            <w:pPr>
              <w:spacing w:after="0" w:line="240" w:lineRule="auto"/>
              <w:rPr>
                <w:sz w:val="24"/>
                <w:szCs w:val="24"/>
              </w:rPr>
            </w:pPr>
            <w:r>
              <w:rPr>
                <w:sz w:val="24"/>
                <w:szCs w:val="24"/>
              </w:rPr>
              <w:t xml:space="preserve">                   1               2               3</w:t>
            </w:r>
          </w:p>
        </w:tc>
      </w:tr>
      <w:tr w:rsidR="001E5DD4" w14:paraId="0DBBD95F" w14:textId="77777777" w:rsidTr="001E5DD4">
        <w:tc>
          <w:tcPr>
            <w:tcW w:w="2569" w:type="dxa"/>
            <w:tcBorders>
              <w:top w:val="single" w:sz="4" w:space="0" w:color="auto"/>
              <w:left w:val="single" w:sz="4" w:space="0" w:color="auto"/>
              <w:bottom w:val="single" w:sz="4" w:space="0" w:color="auto"/>
              <w:right w:val="single" w:sz="4" w:space="0" w:color="auto"/>
            </w:tcBorders>
          </w:tcPr>
          <w:p w14:paraId="1C5B898D" w14:textId="77777777" w:rsidR="001E5DD4" w:rsidRDefault="001E5DD4"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7EB8AC6D" w14:textId="77777777" w:rsidR="001E5DD4" w:rsidRDefault="001E5DD4" w:rsidP="004130A7">
            <w:pPr>
              <w:spacing w:after="0" w:line="240" w:lineRule="auto"/>
              <w:rPr>
                <w:sz w:val="24"/>
                <w:szCs w:val="24"/>
              </w:rPr>
            </w:pPr>
            <w:r>
              <w:rPr>
                <w:sz w:val="24"/>
                <w:szCs w:val="24"/>
              </w:rPr>
              <w:t xml:space="preserve">                1 2 3</w:t>
            </w:r>
          </w:p>
        </w:tc>
      </w:tr>
      <w:tr w:rsidR="001E5DD4" w14:paraId="5DAECA12" w14:textId="77777777" w:rsidTr="001E5DD4">
        <w:tc>
          <w:tcPr>
            <w:tcW w:w="2569" w:type="dxa"/>
            <w:tcBorders>
              <w:top w:val="single" w:sz="4" w:space="0" w:color="auto"/>
              <w:left w:val="single" w:sz="4" w:space="0" w:color="auto"/>
              <w:bottom w:val="single" w:sz="4" w:space="0" w:color="auto"/>
              <w:right w:val="single" w:sz="4" w:space="0" w:color="auto"/>
            </w:tcBorders>
          </w:tcPr>
          <w:p w14:paraId="52EB66C9" w14:textId="77777777" w:rsidR="001E5DD4" w:rsidRDefault="001E5DD4"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2BD3213C" w14:textId="77777777" w:rsidR="001E5DD4" w:rsidRDefault="001E5DD4" w:rsidP="004130A7">
            <w:pPr>
              <w:spacing w:after="0" w:line="240" w:lineRule="auto"/>
              <w:rPr>
                <w:sz w:val="24"/>
                <w:szCs w:val="24"/>
              </w:rPr>
            </w:pPr>
            <w:r>
              <w:rPr>
                <w:sz w:val="24"/>
                <w:szCs w:val="24"/>
              </w:rPr>
              <w:t>1 2              3</w:t>
            </w:r>
          </w:p>
        </w:tc>
      </w:tr>
      <w:tr w:rsidR="001E5DD4" w14:paraId="7AE6DDBE" w14:textId="77777777" w:rsidTr="001E5DD4">
        <w:tc>
          <w:tcPr>
            <w:tcW w:w="2569" w:type="dxa"/>
            <w:tcBorders>
              <w:top w:val="single" w:sz="4" w:space="0" w:color="auto"/>
              <w:left w:val="single" w:sz="4" w:space="0" w:color="auto"/>
              <w:bottom w:val="single" w:sz="4" w:space="0" w:color="auto"/>
              <w:right w:val="single" w:sz="4" w:space="0" w:color="auto"/>
            </w:tcBorders>
          </w:tcPr>
          <w:p w14:paraId="0EEA8546" w14:textId="77777777" w:rsidR="001E5DD4" w:rsidRDefault="001E5DD4"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56078E31" w14:textId="77777777" w:rsidR="001E5DD4" w:rsidRDefault="001E5DD4" w:rsidP="004130A7">
            <w:pPr>
              <w:keepNext/>
              <w:spacing w:after="0" w:line="240" w:lineRule="auto"/>
              <w:rPr>
                <w:sz w:val="24"/>
                <w:szCs w:val="24"/>
              </w:rPr>
            </w:pPr>
            <w:r>
              <w:rPr>
                <w:sz w:val="24"/>
                <w:szCs w:val="24"/>
              </w:rPr>
              <w:t xml:space="preserve">                 1 2              3</w:t>
            </w:r>
          </w:p>
        </w:tc>
      </w:tr>
    </w:tbl>
    <w:p w14:paraId="092EDF56" w14:textId="19AD6B47" w:rsidR="00272012" w:rsidRDefault="00272012" w:rsidP="00272012">
      <w:pPr>
        <w:pStyle w:val="Caption"/>
        <w:spacing w:after="120" w:line="360" w:lineRule="auto"/>
      </w:pPr>
      <w:bookmarkStart w:id="299" w:name="_Toc531023158"/>
      <w:bookmarkStart w:id="300" w:name="_Toc536438919"/>
      <w:bookmarkStart w:id="301" w:name="_Toc31702094"/>
      <w:r w:rsidRPr="00FA109E">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25</w:t>
      </w:r>
      <w:r w:rsidR="00233012">
        <w:rPr>
          <w:noProof/>
        </w:rPr>
        <w:fldChar w:fldCharType="end"/>
      </w:r>
      <w:r w:rsidRPr="00FA109E">
        <w:t xml:space="preserve">. Plotted typology. </w:t>
      </w:r>
      <w:r>
        <w:t>BoR8.2</w:t>
      </w:r>
      <w:bookmarkEnd w:id="299"/>
      <w:bookmarkEnd w:id="300"/>
      <w:bookmarkEnd w:id="301"/>
    </w:p>
    <w:p w14:paraId="663AA16F" w14:textId="2B0BB151" w:rsidR="00272012" w:rsidRDefault="009528FE" w:rsidP="00272012">
      <w:pPr>
        <w:pStyle w:val="Heading4"/>
      </w:pPr>
      <w:r>
        <w:t>Body of Research 8.3: ‘Practical Raman Chemical Analysis for Forensic Applications’</w:t>
      </w:r>
    </w:p>
    <w:p w14:paraId="72500C31" w14:textId="475C4F9B"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‘Practical Raman Chemical Analysis for Forensic Applications’</w:t>
      </w:r>
    </w:p>
    <w:p w14:paraId="03F0B116" w14:textId="3B66D815" w:rsidR="00272012" w:rsidRDefault="00272012" w:rsidP="00272012">
      <w:pPr>
        <w:spacing w:after="120" w:line="360" w:lineRule="auto"/>
        <w:rPr>
          <w:sz w:val="24"/>
          <w:szCs w:val="24"/>
        </w:rPr>
      </w:pPr>
      <w:r w:rsidRPr="00FC33ED">
        <w:rPr>
          <w:sz w:val="24"/>
          <w:szCs w:val="24"/>
          <w:u w:val="single"/>
        </w:rPr>
        <w:t>Phase 1.</w:t>
      </w:r>
      <w:r>
        <w:rPr>
          <w:sz w:val="24"/>
          <w:szCs w:val="24"/>
          <w:u w:val="single"/>
        </w:rPr>
        <w:t xml:space="preserve"> Demonstrating the application of ‘spectroscopy’ to the Forensic Science Agency</w:t>
      </w:r>
      <w:r>
        <w:rPr>
          <w:sz w:val="24"/>
          <w:szCs w:val="24"/>
          <w:u w:val="single"/>
        </w:rPr>
        <w:br/>
      </w:r>
      <w:r>
        <w:rPr>
          <w:sz w:val="24"/>
          <w:szCs w:val="24"/>
        </w:rPr>
        <w:t xml:space="preserve">Spectroscopy refers to the application of controlled radiation, as in X-rays for example. In the late 1990s, researchers at the School’s Innovative Molecular Materials Research Centre (IMMRC) recognised the potential of spectroscopy as a method for the analysis of forensic materials, thanks to its ability to provide detailed material information whilst also being non-destructive. In collaboration with the Forensic Science Agency in Northern Ireland (FSNI), including via the sponsorship of PhD students, IMMRC demonstrated the feasibility of such analysis, in the first instance applied to the analysis of illicit drugs (primarily ecstasy). </w:t>
      </w:r>
    </w:p>
    <w:p w14:paraId="43C64114" w14:textId="77777777" w:rsidR="00272012" w:rsidRDefault="00272012" w:rsidP="00272012">
      <w:pPr>
        <w:spacing w:after="120" w:line="360" w:lineRule="auto"/>
        <w:rPr>
          <w:sz w:val="24"/>
          <w:szCs w:val="24"/>
        </w:rPr>
      </w:pPr>
      <w:r>
        <w:rPr>
          <w:sz w:val="24"/>
          <w:szCs w:val="24"/>
        </w:rPr>
        <w:t xml:space="preserve">The technique was later applied to other materials such as paint, often crucial in forensic analysis of serious crime cases, but normally a difficult and costly task.  </w:t>
      </w:r>
    </w:p>
    <w:p w14:paraId="27BB7CED" w14:textId="737C713F" w:rsidR="00272012" w:rsidRDefault="00272012" w:rsidP="00272012">
      <w:pPr>
        <w:spacing w:after="120" w:line="360" w:lineRule="auto"/>
        <w:rPr>
          <w:sz w:val="24"/>
          <w:szCs w:val="24"/>
        </w:rPr>
      </w:pPr>
      <w:r>
        <w:rPr>
          <w:rFonts w:cs="Arial"/>
          <w:sz w:val="24"/>
          <w:szCs w:val="24"/>
          <w:u w:val="single"/>
        </w:rPr>
        <w:t>Phase 2.</w:t>
      </w:r>
      <w:r w:rsidRPr="00805B6F">
        <w:rPr>
          <w:sz w:val="24"/>
          <w:szCs w:val="24"/>
          <w:u w:val="single"/>
        </w:rPr>
        <w:t xml:space="preserve"> </w:t>
      </w:r>
      <w:r>
        <w:rPr>
          <w:sz w:val="24"/>
          <w:szCs w:val="24"/>
          <w:u w:val="single"/>
        </w:rPr>
        <w:t>Developing the practicability of routine forensic spectroscopy</w:t>
      </w:r>
      <w:r>
        <w:rPr>
          <w:rFonts w:cs="Arial"/>
          <w:sz w:val="24"/>
          <w:szCs w:val="24"/>
          <w:u w:val="single"/>
        </w:rPr>
        <w:br/>
      </w:r>
      <w:r>
        <w:rPr>
          <w:sz w:val="24"/>
          <w:szCs w:val="24"/>
        </w:rPr>
        <w:t xml:space="preserve">Far from the above being the conclusion of knowledge transfer, however, it marked the start of a long-term partnership in which IMMRC were committed to ensuring FSNI were able to maximise the effectiveness of spectroscopy, while in turn, IMMRC were given access to scientifically and technologically challenging research problems. </w:t>
      </w:r>
    </w:p>
    <w:p w14:paraId="5EB44FB6" w14:textId="77777777" w:rsidR="00272012" w:rsidRDefault="00272012" w:rsidP="00272012">
      <w:pPr>
        <w:spacing w:after="120" w:line="360" w:lineRule="auto"/>
        <w:rPr>
          <w:sz w:val="24"/>
          <w:szCs w:val="24"/>
        </w:rPr>
      </w:pPr>
      <w:r>
        <w:rPr>
          <w:sz w:val="24"/>
          <w:szCs w:val="24"/>
        </w:rPr>
        <w:t xml:space="preserve">This included, for example, developing spectroscopic capabilities to not only identify substances in illicit drugs, but to distinguish between different batches of large samples of drugs with sufficient specificity so as to enable their identification with specific sources (i.e. manufacturers and distributors) – a crucial step in forensic intelligence and, ultimately, prosecution. From 2004, FSNI implemented IMMRC’s spectroscopic techniques in their regular operational analysis of all ecstasy, and from 2008, of all white powders. </w:t>
      </w:r>
    </w:p>
    <w:p w14:paraId="4662DB20" w14:textId="77777777" w:rsidR="00272012" w:rsidRPr="005E1D32" w:rsidRDefault="00272012" w:rsidP="00272012">
      <w:pPr>
        <w:spacing w:after="120" w:line="360" w:lineRule="auto"/>
        <w:rPr>
          <w:rFonts w:cs="Arial"/>
          <w:sz w:val="24"/>
          <w:szCs w:val="24"/>
        </w:rPr>
      </w:pPr>
      <w:r>
        <w:rPr>
          <w:sz w:val="24"/>
          <w:szCs w:val="24"/>
        </w:rPr>
        <w:t xml:space="preserve">As with Phase 1, the analysis of paint followed a similar trajectory, with analysis becoming sufficiently proven and technically mastered by 2010 to be incorporated into routine analysis of all FSNI paint casework. </w:t>
      </w:r>
    </w:p>
    <w:p w14:paraId="597D2494" w14:textId="08117301" w:rsidR="00272012" w:rsidRPr="00E9497B" w:rsidRDefault="00272012" w:rsidP="00272012">
      <w:pPr>
        <w:spacing w:after="120" w:line="360" w:lineRule="auto"/>
        <w:rPr>
          <w:sz w:val="24"/>
          <w:szCs w:val="24"/>
        </w:rPr>
      </w:pPr>
      <w:r w:rsidRPr="00FC33ED">
        <w:rPr>
          <w:sz w:val="24"/>
          <w:szCs w:val="24"/>
          <w:u w:val="single"/>
        </w:rPr>
        <w:t>Phase 3.</w:t>
      </w:r>
      <w:r>
        <w:rPr>
          <w:sz w:val="24"/>
          <w:szCs w:val="24"/>
          <w:u w:val="single"/>
        </w:rPr>
        <w:t xml:space="preserve"> Ongoing expert support for new kinds of forensic challenges</w:t>
      </w:r>
      <w:r>
        <w:rPr>
          <w:sz w:val="24"/>
          <w:szCs w:val="24"/>
          <w:u w:val="single"/>
        </w:rPr>
        <w:br/>
      </w:r>
      <w:r>
        <w:rPr>
          <w:rFonts w:cs="Arial"/>
          <w:sz w:val="24"/>
          <w:szCs w:val="24"/>
        </w:rPr>
        <w:t>Several years later, the government and FSNI faced a significant new legislative and intelligence challenge in the form of ‘cathinones’, a broad family of drugs popularly known as ‘l</w:t>
      </w:r>
      <w:r w:rsidRPr="00D60ECF">
        <w:rPr>
          <w:rFonts w:eastAsiaTheme="minorEastAsia"/>
          <w:sz w:val="24"/>
          <w:szCs w:val="24"/>
        </w:rPr>
        <w:t>egal highs’</w:t>
      </w:r>
      <w:r>
        <w:rPr>
          <w:rFonts w:eastAsiaTheme="minorEastAsia"/>
          <w:sz w:val="24"/>
          <w:szCs w:val="24"/>
        </w:rPr>
        <w:t>. These drugs flooded the market in 2009 and were not illegalised until 2010.</w:t>
      </w:r>
      <w:r>
        <w:rPr>
          <w:rFonts w:cs="Arial"/>
          <w:sz w:val="24"/>
          <w:szCs w:val="24"/>
        </w:rPr>
        <w:t xml:space="preserve"> Such was</w:t>
      </w:r>
      <w:r w:rsidRPr="00E448C1">
        <w:rPr>
          <w:rFonts w:cs="Arial"/>
          <w:sz w:val="24"/>
          <w:szCs w:val="24"/>
        </w:rPr>
        <w:t xml:space="preserve"> the novelty, diversity, and pace of change </w:t>
      </w:r>
      <w:r>
        <w:rPr>
          <w:rFonts w:cs="Arial"/>
          <w:sz w:val="24"/>
          <w:szCs w:val="24"/>
        </w:rPr>
        <w:t>in</w:t>
      </w:r>
      <w:r w:rsidRPr="00E448C1">
        <w:rPr>
          <w:rFonts w:cs="Arial"/>
          <w:sz w:val="24"/>
          <w:szCs w:val="24"/>
        </w:rPr>
        <w:t xml:space="preserve"> the chemical make-up of these ‘legal highs’,</w:t>
      </w:r>
      <w:r>
        <w:rPr>
          <w:rFonts w:cs="Arial"/>
          <w:sz w:val="24"/>
          <w:szCs w:val="24"/>
        </w:rPr>
        <w:t xml:space="preserve"> that</w:t>
      </w:r>
      <w:r w:rsidRPr="00E448C1">
        <w:rPr>
          <w:rFonts w:cs="Arial"/>
          <w:sz w:val="24"/>
          <w:szCs w:val="24"/>
        </w:rPr>
        <w:t xml:space="preserve"> </w:t>
      </w:r>
      <w:r>
        <w:rPr>
          <w:rFonts w:cs="Arial"/>
          <w:sz w:val="24"/>
          <w:szCs w:val="24"/>
        </w:rPr>
        <w:t xml:space="preserve">FSNI’s immediate aim was merely to categorise these novel drugs into differently-composed compounds, and then to test the ability of spectroscopic techniques to distinguish between these chemically similar compounds. FSNI renewed their collaboration with IMMRC experts, whose analysis showed that spectroscopy was indeed capable of meeting these needs, thereby significantly advancing the prosecution and intelligence capabilities of the authorities. </w:t>
      </w:r>
      <w:r w:rsidRPr="00E448C1">
        <w:rPr>
          <w:rFonts w:cs="Arial"/>
          <w:sz w:val="24"/>
          <w:szCs w:val="24"/>
        </w:rPr>
        <w:t xml:space="preserve"> </w:t>
      </w:r>
    </w:p>
    <w:tbl>
      <w:tblPr>
        <w:tblW w:w="7155" w:type="dxa"/>
        <w:tblLook w:val="04A0" w:firstRow="1" w:lastRow="0" w:firstColumn="1" w:lastColumn="0" w:noHBand="0" w:noVBand="1"/>
      </w:tblPr>
      <w:tblGrid>
        <w:gridCol w:w="2569"/>
        <w:gridCol w:w="4586"/>
      </w:tblGrid>
      <w:tr w:rsidR="001E5DD4" w14:paraId="13FF8316" w14:textId="77777777" w:rsidTr="001E5DD4">
        <w:tc>
          <w:tcPr>
            <w:tcW w:w="2569" w:type="dxa"/>
            <w:tcBorders>
              <w:top w:val="single" w:sz="4" w:space="0" w:color="auto"/>
              <w:left w:val="single" w:sz="4" w:space="0" w:color="auto"/>
              <w:bottom w:val="single" w:sz="4" w:space="0" w:color="auto"/>
              <w:right w:val="single" w:sz="4" w:space="0" w:color="auto"/>
            </w:tcBorders>
          </w:tcPr>
          <w:p w14:paraId="2E57E87D" w14:textId="5F3C508B" w:rsidR="001E5DD4" w:rsidRPr="002B4060" w:rsidRDefault="001E5DD4" w:rsidP="001E5DD4">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76663A73" w14:textId="77777777" w:rsidR="001E5DD4" w:rsidRPr="00B8594F" w:rsidRDefault="001E5DD4" w:rsidP="001E5DD4">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04D5AAA1" w14:textId="4ADD4EF4" w:rsidR="001E5DD4" w:rsidRPr="00B8594F" w:rsidRDefault="001E5DD4" w:rsidP="001E5DD4">
            <w:pPr>
              <w:spacing w:after="0" w:line="240" w:lineRule="auto"/>
              <w:jc w:val="center"/>
              <w:rPr>
                <w:b/>
                <w:sz w:val="24"/>
                <w:szCs w:val="24"/>
              </w:rPr>
            </w:pPr>
            <w:r w:rsidRPr="00B8594F">
              <w:rPr>
                <w:b/>
                <w:sz w:val="24"/>
                <w:szCs w:val="24"/>
              </w:rPr>
              <w:t>1               2               3               4               5</w:t>
            </w:r>
          </w:p>
        </w:tc>
      </w:tr>
      <w:tr w:rsidR="001E5DD4" w14:paraId="25601D5D" w14:textId="77777777" w:rsidTr="001E5DD4">
        <w:tc>
          <w:tcPr>
            <w:tcW w:w="2569" w:type="dxa"/>
            <w:tcBorders>
              <w:top w:val="single" w:sz="4" w:space="0" w:color="auto"/>
              <w:left w:val="single" w:sz="4" w:space="0" w:color="auto"/>
              <w:bottom w:val="single" w:sz="4" w:space="0" w:color="auto"/>
              <w:right w:val="single" w:sz="4" w:space="0" w:color="auto"/>
            </w:tcBorders>
          </w:tcPr>
          <w:p w14:paraId="64316A5C" w14:textId="77777777" w:rsidR="001E5DD4" w:rsidRDefault="001E5DD4"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56CA2E53" w14:textId="77777777" w:rsidR="001E5DD4" w:rsidRDefault="001E5DD4" w:rsidP="004130A7">
            <w:pPr>
              <w:spacing w:after="0" w:line="240" w:lineRule="auto"/>
              <w:rPr>
                <w:sz w:val="24"/>
                <w:szCs w:val="24"/>
              </w:rPr>
            </w:pPr>
            <w:r>
              <w:rPr>
                <w:sz w:val="24"/>
                <w:szCs w:val="24"/>
              </w:rPr>
              <w:t xml:space="preserve">               1 2 3</w:t>
            </w:r>
          </w:p>
        </w:tc>
      </w:tr>
      <w:tr w:rsidR="001E5DD4" w14:paraId="38C02795" w14:textId="77777777" w:rsidTr="001E5DD4">
        <w:tc>
          <w:tcPr>
            <w:tcW w:w="2569" w:type="dxa"/>
            <w:tcBorders>
              <w:top w:val="single" w:sz="4" w:space="0" w:color="auto"/>
              <w:left w:val="single" w:sz="4" w:space="0" w:color="auto"/>
              <w:bottom w:val="single" w:sz="4" w:space="0" w:color="auto"/>
              <w:right w:val="single" w:sz="4" w:space="0" w:color="auto"/>
            </w:tcBorders>
          </w:tcPr>
          <w:p w14:paraId="5E873671" w14:textId="77777777" w:rsidR="001E5DD4" w:rsidRDefault="001E5DD4"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04407B20" w14:textId="77777777" w:rsidR="001E5DD4" w:rsidRDefault="001E5DD4" w:rsidP="004130A7">
            <w:pPr>
              <w:spacing w:after="0" w:line="240" w:lineRule="auto"/>
              <w:rPr>
                <w:sz w:val="24"/>
                <w:szCs w:val="24"/>
              </w:rPr>
            </w:pPr>
            <w:r>
              <w:rPr>
                <w:sz w:val="24"/>
                <w:szCs w:val="24"/>
              </w:rPr>
              <w:t xml:space="preserve">                                                    1 2             3</w:t>
            </w:r>
          </w:p>
        </w:tc>
      </w:tr>
      <w:tr w:rsidR="001E5DD4" w14:paraId="475D36D2" w14:textId="77777777" w:rsidTr="001E5DD4">
        <w:tc>
          <w:tcPr>
            <w:tcW w:w="2569" w:type="dxa"/>
            <w:tcBorders>
              <w:top w:val="single" w:sz="4" w:space="0" w:color="auto"/>
              <w:left w:val="single" w:sz="4" w:space="0" w:color="auto"/>
              <w:bottom w:val="single" w:sz="4" w:space="0" w:color="auto"/>
              <w:right w:val="single" w:sz="4" w:space="0" w:color="auto"/>
            </w:tcBorders>
          </w:tcPr>
          <w:p w14:paraId="3439F4CD" w14:textId="77777777" w:rsidR="001E5DD4" w:rsidRDefault="001E5DD4"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2E713078" w14:textId="77777777" w:rsidR="001E5DD4" w:rsidRDefault="001E5DD4" w:rsidP="004130A7">
            <w:pPr>
              <w:spacing w:after="0" w:line="240" w:lineRule="auto"/>
              <w:rPr>
                <w:sz w:val="24"/>
                <w:szCs w:val="24"/>
              </w:rPr>
            </w:pPr>
            <w:r>
              <w:rPr>
                <w:sz w:val="24"/>
                <w:szCs w:val="24"/>
              </w:rPr>
              <w:t xml:space="preserve">  1             2 3 </w:t>
            </w:r>
          </w:p>
        </w:tc>
      </w:tr>
      <w:tr w:rsidR="001E5DD4" w14:paraId="2B459A5E" w14:textId="77777777" w:rsidTr="001E5DD4">
        <w:tc>
          <w:tcPr>
            <w:tcW w:w="2569" w:type="dxa"/>
            <w:tcBorders>
              <w:top w:val="single" w:sz="4" w:space="0" w:color="auto"/>
              <w:left w:val="single" w:sz="4" w:space="0" w:color="auto"/>
              <w:bottom w:val="single" w:sz="4" w:space="0" w:color="auto"/>
              <w:right w:val="single" w:sz="4" w:space="0" w:color="auto"/>
            </w:tcBorders>
          </w:tcPr>
          <w:p w14:paraId="33815B59" w14:textId="77777777" w:rsidR="001E5DD4" w:rsidRDefault="001E5DD4"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049A373C" w14:textId="77777777" w:rsidR="001E5DD4" w:rsidRDefault="001E5DD4" w:rsidP="004130A7">
            <w:pPr>
              <w:spacing w:after="0" w:line="240" w:lineRule="auto"/>
              <w:rPr>
                <w:sz w:val="24"/>
                <w:szCs w:val="24"/>
              </w:rPr>
            </w:pPr>
            <w:r>
              <w:rPr>
                <w:sz w:val="24"/>
                <w:szCs w:val="24"/>
              </w:rPr>
              <w:t xml:space="preserve">                  1               2 3</w:t>
            </w:r>
          </w:p>
        </w:tc>
      </w:tr>
      <w:tr w:rsidR="001E5DD4" w14:paraId="081D0CA9" w14:textId="77777777" w:rsidTr="001E5DD4">
        <w:tc>
          <w:tcPr>
            <w:tcW w:w="2569" w:type="dxa"/>
            <w:tcBorders>
              <w:top w:val="single" w:sz="4" w:space="0" w:color="auto"/>
              <w:left w:val="single" w:sz="4" w:space="0" w:color="auto"/>
              <w:bottom w:val="single" w:sz="4" w:space="0" w:color="auto"/>
              <w:right w:val="single" w:sz="4" w:space="0" w:color="auto"/>
            </w:tcBorders>
          </w:tcPr>
          <w:p w14:paraId="3235A1F8" w14:textId="77777777" w:rsidR="001E5DD4" w:rsidRDefault="001E5DD4"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4E936881" w14:textId="77777777" w:rsidR="001E5DD4" w:rsidRDefault="001E5DD4" w:rsidP="004130A7">
            <w:pPr>
              <w:spacing w:after="0" w:line="240" w:lineRule="auto"/>
              <w:rPr>
                <w:sz w:val="24"/>
                <w:szCs w:val="24"/>
              </w:rPr>
            </w:pPr>
            <w:r>
              <w:rPr>
                <w:sz w:val="24"/>
                <w:szCs w:val="24"/>
              </w:rPr>
              <w:t xml:space="preserve">                                                    1 2             3</w:t>
            </w:r>
          </w:p>
        </w:tc>
      </w:tr>
      <w:tr w:rsidR="001E5DD4" w14:paraId="0DD2A2C5" w14:textId="77777777" w:rsidTr="001E5DD4">
        <w:tc>
          <w:tcPr>
            <w:tcW w:w="2569" w:type="dxa"/>
            <w:tcBorders>
              <w:top w:val="single" w:sz="4" w:space="0" w:color="auto"/>
              <w:left w:val="single" w:sz="4" w:space="0" w:color="auto"/>
              <w:bottom w:val="single" w:sz="4" w:space="0" w:color="auto"/>
              <w:right w:val="single" w:sz="4" w:space="0" w:color="auto"/>
            </w:tcBorders>
          </w:tcPr>
          <w:p w14:paraId="6198562A" w14:textId="77777777" w:rsidR="001E5DD4" w:rsidRDefault="001E5DD4"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2C2E7887" w14:textId="77777777" w:rsidR="001E5DD4" w:rsidRDefault="001E5DD4" w:rsidP="004130A7">
            <w:pPr>
              <w:spacing w:after="0" w:line="240" w:lineRule="auto"/>
              <w:rPr>
                <w:sz w:val="24"/>
                <w:szCs w:val="24"/>
              </w:rPr>
            </w:pPr>
            <w:r>
              <w:rPr>
                <w:sz w:val="24"/>
                <w:szCs w:val="24"/>
              </w:rPr>
              <w:t xml:space="preserve">                 1 3               2 </w:t>
            </w:r>
          </w:p>
        </w:tc>
      </w:tr>
      <w:tr w:rsidR="001E5DD4" w14:paraId="6B50CE77" w14:textId="77777777" w:rsidTr="001E5DD4">
        <w:tc>
          <w:tcPr>
            <w:tcW w:w="2569" w:type="dxa"/>
            <w:tcBorders>
              <w:top w:val="single" w:sz="4" w:space="0" w:color="auto"/>
              <w:left w:val="single" w:sz="4" w:space="0" w:color="auto"/>
              <w:bottom w:val="single" w:sz="4" w:space="0" w:color="auto"/>
              <w:right w:val="single" w:sz="4" w:space="0" w:color="auto"/>
            </w:tcBorders>
          </w:tcPr>
          <w:p w14:paraId="795D4D14" w14:textId="77777777" w:rsidR="001E5DD4" w:rsidRDefault="001E5DD4"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0B62E0A5" w14:textId="77777777" w:rsidR="001E5DD4" w:rsidRDefault="001E5DD4" w:rsidP="004130A7">
            <w:pPr>
              <w:tabs>
                <w:tab w:val="left" w:pos="1227"/>
                <w:tab w:val="center" w:pos="2185"/>
                <w:tab w:val="left" w:pos="2595"/>
              </w:tabs>
              <w:spacing w:after="0" w:line="240" w:lineRule="auto"/>
              <w:rPr>
                <w:sz w:val="24"/>
                <w:szCs w:val="24"/>
              </w:rPr>
            </w:pPr>
            <w:r>
              <w:rPr>
                <w:sz w:val="24"/>
                <w:szCs w:val="24"/>
              </w:rPr>
              <w:t xml:space="preserve">                                     1             2 3</w:t>
            </w:r>
          </w:p>
        </w:tc>
      </w:tr>
      <w:tr w:rsidR="001E5DD4" w14:paraId="079DD739" w14:textId="77777777" w:rsidTr="001E5DD4">
        <w:tc>
          <w:tcPr>
            <w:tcW w:w="2569" w:type="dxa"/>
            <w:tcBorders>
              <w:top w:val="single" w:sz="4" w:space="0" w:color="auto"/>
              <w:left w:val="single" w:sz="4" w:space="0" w:color="auto"/>
              <w:bottom w:val="single" w:sz="4" w:space="0" w:color="auto"/>
              <w:right w:val="single" w:sz="4" w:space="0" w:color="auto"/>
            </w:tcBorders>
          </w:tcPr>
          <w:p w14:paraId="219C9F5B" w14:textId="77777777" w:rsidR="001E5DD4" w:rsidRDefault="001E5DD4"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109A3988" w14:textId="77777777" w:rsidR="001E5DD4" w:rsidRDefault="001E5DD4" w:rsidP="004130A7">
            <w:pPr>
              <w:spacing w:after="0" w:line="240" w:lineRule="auto"/>
              <w:rPr>
                <w:sz w:val="24"/>
                <w:szCs w:val="24"/>
              </w:rPr>
            </w:pPr>
            <w:r>
              <w:rPr>
                <w:sz w:val="24"/>
                <w:szCs w:val="24"/>
              </w:rPr>
              <w:t xml:space="preserve">               1 2 3</w:t>
            </w:r>
          </w:p>
        </w:tc>
      </w:tr>
      <w:tr w:rsidR="001E5DD4" w14:paraId="4D75CDE3" w14:textId="77777777" w:rsidTr="001E5DD4">
        <w:tc>
          <w:tcPr>
            <w:tcW w:w="2569" w:type="dxa"/>
            <w:tcBorders>
              <w:top w:val="single" w:sz="4" w:space="0" w:color="auto"/>
              <w:left w:val="single" w:sz="4" w:space="0" w:color="auto"/>
              <w:bottom w:val="single" w:sz="4" w:space="0" w:color="auto"/>
              <w:right w:val="single" w:sz="4" w:space="0" w:color="auto"/>
            </w:tcBorders>
          </w:tcPr>
          <w:p w14:paraId="055789DC" w14:textId="77777777" w:rsidR="001E5DD4" w:rsidRDefault="001E5DD4"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0A50811C" w14:textId="77777777" w:rsidR="001E5DD4" w:rsidRDefault="001E5DD4" w:rsidP="004130A7">
            <w:pPr>
              <w:spacing w:after="0" w:line="240" w:lineRule="auto"/>
              <w:rPr>
                <w:sz w:val="24"/>
                <w:szCs w:val="24"/>
              </w:rPr>
            </w:pPr>
            <w:r>
              <w:rPr>
                <w:sz w:val="24"/>
                <w:szCs w:val="24"/>
              </w:rPr>
              <w:t xml:space="preserve">                 1 3               2</w:t>
            </w:r>
          </w:p>
        </w:tc>
      </w:tr>
      <w:tr w:rsidR="001E5DD4" w14:paraId="58C73392" w14:textId="77777777" w:rsidTr="001E5DD4">
        <w:tc>
          <w:tcPr>
            <w:tcW w:w="2569" w:type="dxa"/>
            <w:tcBorders>
              <w:top w:val="single" w:sz="4" w:space="0" w:color="auto"/>
              <w:left w:val="single" w:sz="4" w:space="0" w:color="auto"/>
              <w:bottom w:val="single" w:sz="4" w:space="0" w:color="auto"/>
              <w:right w:val="single" w:sz="4" w:space="0" w:color="auto"/>
            </w:tcBorders>
          </w:tcPr>
          <w:p w14:paraId="2D1AFAD0" w14:textId="77777777" w:rsidR="001E5DD4" w:rsidRDefault="001E5DD4"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7F14B741" w14:textId="77777777" w:rsidR="001E5DD4" w:rsidRDefault="001E5DD4" w:rsidP="004130A7">
            <w:pPr>
              <w:spacing w:after="0" w:line="240" w:lineRule="auto"/>
              <w:rPr>
                <w:sz w:val="24"/>
                <w:szCs w:val="24"/>
              </w:rPr>
            </w:pPr>
            <w:r>
              <w:rPr>
                <w:sz w:val="24"/>
                <w:szCs w:val="24"/>
              </w:rPr>
              <w:t xml:space="preserve">                                    1 2             3</w:t>
            </w:r>
          </w:p>
        </w:tc>
      </w:tr>
      <w:tr w:rsidR="001E5DD4" w14:paraId="10C734C7" w14:textId="77777777" w:rsidTr="001E5DD4">
        <w:tc>
          <w:tcPr>
            <w:tcW w:w="2569" w:type="dxa"/>
            <w:tcBorders>
              <w:top w:val="single" w:sz="4" w:space="0" w:color="auto"/>
              <w:left w:val="single" w:sz="4" w:space="0" w:color="auto"/>
              <w:bottom w:val="single" w:sz="4" w:space="0" w:color="auto"/>
              <w:right w:val="single" w:sz="4" w:space="0" w:color="auto"/>
            </w:tcBorders>
          </w:tcPr>
          <w:p w14:paraId="70E3617E" w14:textId="77777777" w:rsidR="001E5DD4" w:rsidRDefault="001E5DD4"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5E201B61" w14:textId="77777777" w:rsidR="001E5DD4" w:rsidRDefault="001E5DD4" w:rsidP="004130A7">
            <w:pPr>
              <w:spacing w:after="0" w:line="240" w:lineRule="auto"/>
              <w:rPr>
                <w:sz w:val="24"/>
                <w:szCs w:val="24"/>
              </w:rPr>
            </w:pPr>
            <w:r>
              <w:rPr>
                <w:sz w:val="24"/>
                <w:szCs w:val="24"/>
              </w:rPr>
              <w:t xml:space="preserve">                   1                                2 3</w:t>
            </w:r>
          </w:p>
        </w:tc>
      </w:tr>
      <w:tr w:rsidR="001E5DD4" w14:paraId="13388650" w14:textId="77777777" w:rsidTr="001E5DD4">
        <w:tc>
          <w:tcPr>
            <w:tcW w:w="2569" w:type="dxa"/>
            <w:tcBorders>
              <w:top w:val="single" w:sz="4" w:space="0" w:color="auto"/>
              <w:left w:val="single" w:sz="4" w:space="0" w:color="auto"/>
              <w:bottom w:val="single" w:sz="4" w:space="0" w:color="auto"/>
              <w:right w:val="single" w:sz="4" w:space="0" w:color="auto"/>
            </w:tcBorders>
          </w:tcPr>
          <w:p w14:paraId="550686A4" w14:textId="77777777" w:rsidR="001E5DD4" w:rsidRDefault="001E5DD4"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76681D4A" w14:textId="77777777" w:rsidR="001E5DD4" w:rsidRDefault="001E5DD4" w:rsidP="004130A7">
            <w:pPr>
              <w:spacing w:after="0" w:line="240" w:lineRule="auto"/>
              <w:rPr>
                <w:sz w:val="24"/>
                <w:szCs w:val="24"/>
              </w:rPr>
            </w:pPr>
            <w:r>
              <w:rPr>
                <w:sz w:val="24"/>
                <w:szCs w:val="24"/>
              </w:rPr>
              <w:t xml:space="preserve">                                      1             2 3</w:t>
            </w:r>
          </w:p>
        </w:tc>
      </w:tr>
      <w:tr w:rsidR="001E5DD4" w14:paraId="52E883BE" w14:textId="77777777" w:rsidTr="001E5DD4">
        <w:tc>
          <w:tcPr>
            <w:tcW w:w="2569" w:type="dxa"/>
            <w:tcBorders>
              <w:top w:val="single" w:sz="4" w:space="0" w:color="auto"/>
              <w:left w:val="single" w:sz="4" w:space="0" w:color="auto"/>
              <w:bottom w:val="single" w:sz="4" w:space="0" w:color="auto"/>
              <w:right w:val="single" w:sz="4" w:space="0" w:color="auto"/>
            </w:tcBorders>
          </w:tcPr>
          <w:p w14:paraId="6B4911A1" w14:textId="77777777" w:rsidR="001E5DD4" w:rsidRDefault="001E5DD4"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6D363051" w14:textId="77777777" w:rsidR="001E5DD4" w:rsidRDefault="001E5DD4" w:rsidP="004130A7">
            <w:pPr>
              <w:spacing w:after="0" w:line="240" w:lineRule="auto"/>
              <w:rPr>
                <w:sz w:val="24"/>
                <w:szCs w:val="24"/>
              </w:rPr>
            </w:pPr>
            <w:r>
              <w:rPr>
                <w:sz w:val="24"/>
                <w:szCs w:val="24"/>
              </w:rPr>
              <w:t xml:space="preserve">                   1               2 3</w:t>
            </w:r>
          </w:p>
        </w:tc>
      </w:tr>
      <w:tr w:rsidR="001E5DD4" w14:paraId="4654921D" w14:textId="77777777" w:rsidTr="001E5DD4">
        <w:tc>
          <w:tcPr>
            <w:tcW w:w="2569" w:type="dxa"/>
            <w:tcBorders>
              <w:top w:val="single" w:sz="4" w:space="0" w:color="auto"/>
              <w:left w:val="single" w:sz="4" w:space="0" w:color="auto"/>
              <w:bottom w:val="single" w:sz="4" w:space="0" w:color="auto"/>
              <w:right w:val="single" w:sz="4" w:space="0" w:color="auto"/>
            </w:tcBorders>
          </w:tcPr>
          <w:p w14:paraId="1B408256" w14:textId="77777777" w:rsidR="001E5DD4" w:rsidRDefault="001E5DD4"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14D4E4A7" w14:textId="77777777" w:rsidR="001E5DD4" w:rsidRDefault="001E5DD4" w:rsidP="004130A7">
            <w:pPr>
              <w:spacing w:after="0" w:line="240" w:lineRule="auto"/>
              <w:rPr>
                <w:sz w:val="24"/>
                <w:szCs w:val="24"/>
              </w:rPr>
            </w:pPr>
            <w:r>
              <w:rPr>
                <w:sz w:val="24"/>
                <w:szCs w:val="24"/>
              </w:rPr>
              <w:t>1 2 3</w:t>
            </w:r>
          </w:p>
        </w:tc>
      </w:tr>
      <w:tr w:rsidR="001E5DD4" w14:paraId="3EF9D476" w14:textId="77777777" w:rsidTr="001E5DD4">
        <w:tc>
          <w:tcPr>
            <w:tcW w:w="2569" w:type="dxa"/>
            <w:tcBorders>
              <w:top w:val="single" w:sz="4" w:space="0" w:color="auto"/>
              <w:left w:val="single" w:sz="4" w:space="0" w:color="auto"/>
              <w:bottom w:val="single" w:sz="4" w:space="0" w:color="auto"/>
              <w:right w:val="single" w:sz="4" w:space="0" w:color="auto"/>
            </w:tcBorders>
          </w:tcPr>
          <w:p w14:paraId="16586522" w14:textId="77777777" w:rsidR="001E5DD4" w:rsidRDefault="001E5DD4"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582C8511" w14:textId="77777777" w:rsidR="001E5DD4" w:rsidRDefault="001E5DD4" w:rsidP="004130A7">
            <w:pPr>
              <w:keepNext/>
              <w:spacing w:after="0" w:line="240" w:lineRule="auto"/>
              <w:rPr>
                <w:sz w:val="24"/>
                <w:szCs w:val="24"/>
              </w:rPr>
            </w:pPr>
            <w:r>
              <w:rPr>
                <w:sz w:val="24"/>
                <w:szCs w:val="24"/>
              </w:rPr>
              <w:t xml:space="preserve">               1 2 3</w:t>
            </w:r>
          </w:p>
        </w:tc>
      </w:tr>
    </w:tbl>
    <w:p w14:paraId="723FF4FA" w14:textId="1E037DA5" w:rsidR="00272012" w:rsidRPr="00302B78" w:rsidRDefault="00272012" w:rsidP="00272012">
      <w:pPr>
        <w:pStyle w:val="Caption"/>
        <w:spacing w:after="120" w:line="360" w:lineRule="auto"/>
        <w:rPr>
          <w:sz w:val="24"/>
          <w:szCs w:val="24"/>
        </w:rPr>
      </w:pPr>
      <w:bookmarkStart w:id="302" w:name="_Ref9012730"/>
      <w:bookmarkStart w:id="303" w:name="_Toc531023159"/>
      <w:bookmarkStart w:id="304" w:name="_Toc536438920"/>
      <w:bookmarkStart w:id="305" w:name="_Toc31702095"/>
      <w:r w:rsidRPr="00302B78">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26</w:t>
      </w:r>
      <w:r w:rsidR="00233012">
        <w:rPr>
          <w:noProof/>
        </w:rPr>
        <w:fldChar w:fldCharType="end"/>
      </w:r>
      <w:bookmarkEnd w:id="302"/>
      <w:r w:rsidRPr="00302B78">
        <w:t xml:space="preserve">. Plotted typology. </w:t>
      </w:r>
      <w:r>
        <w:t>BoR8.3</w:t>
      </w:r>
      <w:bookmarkEnd w:id="303"/>
      <w:bookmarkEnd w:id="304"/>
      <w:bookmarkEnd w:id="305"/>
    </w:p>
    <w:p w14:paraId="418AF85F" w14:textId="77777777" w:rsidR="00AE46D2" w:rsidRDefault="00AE46D2">
      <w:pPr>
        <w:rPr>
          <w:rFonts w:asciiTheme="majorHAnsi" w:eastAsiaTheme="majorEastAsia" w:hAnsiTheme="majorHAnsi" w:cstheme="majorBidi"/>
          <w:caps/>
          <w:color w:val="1F3763" w:themeColor="accent1" w:themeShade="7F"/>
          <w:sz w:val="24"/>
          <w:szCs w:val="24"/>
        </w:rPr>
      </w:pPr>
      <w:bookmarkStart w:id="306" w:name="_Toc531007175"/>
      <w:bookmarkStart w:id="307" w:name="_Toc536718001"/>
      <w:r>
        <w:br w:type="page"/>
      </w:r>
    </w:p>
    <w:p w14:paraId="1AA609F1" w14:textId="732109B9" w:rsidR="00272012" w:rsidRDefault="0093259B" w:rsidP="00272012">
      <w:pPr>
        <w:pStyle w:val="Heading3"/>
      </w:pPr>
      <w:bookmarkStart w:id="308" w:name="_Toc31702024"/>
      <w:r>
        <w:t xml:space="preserve">BoRs sampled from </w:t>
      </w:r>
      <w:r w:rsidR="00272012">
        <w:t xml:space="preserve">UoA </w:t>
      </w:r>
      <w:bookmarkEnd w:id="306"/>
      <w:bookmarkEnd w:id="307"/>
      <w:r>
        <w:t>9</w:t>
      </w:r>
      <w:bookmarkEnd w:id="308"/>
    </w:p>
    <w:p w14:paraId="6ED82469" w14:textId="77777777" w:rsidR="00272012" w:rsidRDefault="00272012" w:rsidP="00272012">
      <w:pPr>
        <w:spacing w:after="120" w:line="360" w:lineRule="auto"/>
        <w:rPr>
          <w:sz w:val="24"/>
          <w:szCs w:val="24"/>
        </w:rPr>
      </w:pPr>
      <w:r>
        <w:rPr>
          <w:sz w:val="24"/>
          <w:szCs w:val="24"/>
        </w:rPr>
        <w:t xml:space="preserve">Research submitted by the University of Cardiff (henceforth Cardiff) to UoA 9 is based at the School of Physics and Astronomy. Two different, but closely-related research groups are responsible for the research. These are the Astronomy Research Group (ARG) and the Astronomy Instrumentation Group (AIG). ARG specialises in research relating to the formation of stars and galaxies, while AIG specialises in technological and engineering for the production of instruments designed for space travel. Generally, AIG underpins Phases 1 &amp; 2 below, while ARG research underpins Phase 3. However, it is important to bear in mind that there is significant communication, knowledge exchange and interdependence between the two groups. </w:t>
      </w:r>
    </w:p>
    <w:p w14:paraId="74F9C362" w14:textId="77777777" w:rsidR="00272012" w:rsidRPr="003D445E" w:rsidRDefault="00272012" w:rsidP="00272012">
      <w:pPr>
        <w:spacing w:after="120" w:line="360" w:lineRule="auto"/>
        <w:rPr>
          <w:sz w:val="24"/>
          <w:szCs w:val="24"/>
        </w:rPr>
      </w:pPr>
      <w:r>
        <w:rPr>
          <w:sz w:val="24"/>
          <w:szCs w:val="24"/>
        </w:rPr>
        <w:t xml:space="preserve">What is clear is that within both these two groups, and indeed the School more generally, there exist strong pathways to various kinds of impact and several individuals with a strong personal commitment to traversing these pathways. This includes, for example, commitments to applying technologies in other beneficial contexts (e.g. environmental or health contexts), and to public outreach and disseminating astronomical findings to the general public and young people. As will be seen, these goals are not simply add-ons, but are considered worthy of significant time and planning, and are well-integrated into the work and culture of the School at several points, including through academic experts with dedicated outreach roles, and through a spin-out company dedicated to translating the School’s research into valuable technologies in a range of contexts. </w:t>
      </w:r>
    </w:p>
    <w:p w14:paraId="2CC96E87" w14:textId="2F9A1CA9" w:rsidR="00272012" w:rsidRDefault="009528FE" w:rsidP="00272012">
      <w:pPr>
        <w:pStyle w:val="Heading4"/>
      </w:pPr>
      <w:r>
        <w:t>Body of Research 9: ‘Astronomical Research and Instrumentation’</w:t>
      </w:r>
    </w:p>
    <w:p w14:paraId="46A2087C" w14:textId="7D9FAD61" w:rsidR="00272012" w:rsidRDefault="00272012" w:rsidP="00272012">
      <w:pPr>
        <w:spacing w:after="120" w:line="360" w:lineRule="auto"/>
        <w:rPr>
          <w:sz w:val="24"/>
          <w:szCs w:val="24"/>
        </w:rPr>
      </w:pPr>
      <w:r w:rsidRPr="00FC33ED">
        <w:rPr>
          <w:sz w:val="24"/>
          <w:szCs w:val="24"/>
        </w:rPr>
        <w:t>Title</w:t>
      </w:r>
      <w:r w:rsidR="009528FE">
        <w:rPr>
          <w:sz w:val="24"/>
          <w:szCs w:val="24"/>
        </w:rPr>
        <w:t>s of relevant REF Impact Case Studies</w:t>
      </w:r>
      <w:r>
        <w:rPr>
          <w:sz w:val="24"/>
          <w:szCs w:val="24"/>
        </w:rPr>
        <w:t>:</w:t>
      </w:r>
      <w:r>
        <w:rPr>
          <w:sz w:val="24"/>
          <w:szCs w:val="24"/>
        </w:rPr>
        <w:br/>
        <w:t>‘Terahertz (THz) detection from the distant universe to the international market’</w:t>
      </w:r>
    </w:p>
    <w:p w14:paraId="512C55E9" w14:textId="45BB3409" w:rsidR="00272012" w:rsidRDefault="00272012" w:rsidP="00272012">
      <w:pPr>
        <w:spacing w:after="120" w:line="360" w:lineRule="auto"/>
        <w:rPr>
          <w:sz w:val="24"/>
          <w:szCs w:val="24"/>
        </w:rPr>
      </w:pPr>
      <w:r>
        <w:rPr>
          <w:sz w:val="24"/>
          <w:szCs w:val="24"/>
        </w:rPr>
        <w:t xml:space="preserve">‘The </w:t>
      </w:r>
      <w:r>
        <w:rPr>
          <w:i/>
          <w:sz w:val="24"/>
          <w:szCs w:val="24"/>
        </w:rPr>
        <w:t xml:space="preserve">Herschel </w:t>
      </w:r>
      <w:r>
        <w:rPr>
          <w:sz w:val="24"/>
          <w:szCs w:val="24"/>
        </w:rPr>
        <w:t>Space Observatory: scientific and technical outreach’</w:t>
      </w:r>
    </w:p>
    <w:p w14:paraId="7693FB86" w14:textId="39C8238C" w:rsidR="00272012" w:rsidRDefault="00272012" w:rsidP="00272012">
      <w:pPr>
        <w:spacing w:after="120" w:line="360" w:lineRule="auto"/>
        <w:rPr>
          <w:sz w:val="24"/>
          <w:szCs w:val="24"/>
        </w:rPr>
      </w:pPr>
      <w:r w:rsidRPr="00FC33ED">
        <w:rPr>
          <w:sz w:val="24"/>
          <w:szCs w:val="24"/>
          <w:u w:val="single"/>
        </w:rPr>
        <w:t xml:space="preserve">Phase 1. </w:t>
      </w:r>
      <w:r>
        <w:rPr>
          <w:sz w:val="24"/>
          <w:szCs w:val="24"/>
          <w:u w:val="single"/>
        </w:rPr>
        <w:t>Instrument development for astronomical and other applications</w:t>
      </w:r>
      <w:r>
        <w:rPr>
          <w:sz w:val="24"/>
          <w:szCs w:val="24"/>
          <w:u w:val="single"/>
        </w:rPr>
        <w:br/>
      </w:r>
      <w:r>
        <w:rPr>
          <w:sz w:val="24"/>
          <w:szCs w:val="24"/>
        </w:rPr>
        <w:t xml:space="preserve">The AIG focuses on developing technologies and instruments which meet the demands and drive the advancement of cutting edge astronomy. AIG’s researchers maintain a close and mutually-beneficial relationship with the ARG, which focuses on fundamental astronomical science. Within this relationship, AIG are kept up to date about the scientific demands of astronomy, while ARG are kept up to date about technological advances and the new scientific possibilities which they provide.  </w:t>
      </w:r>
    </w:p>
    <w:p w14:paraId="26253366" w14:textId="77777777" w:rsidR="00272012" w:rsidRDefault="00272012" w:rsidP="00272012">
      <w:pPr>
        <w:spacing w:after="120" w:line="360" w:lineRule="auto"/>
        <w:rPr>
          <w:sz w:val="24"/>
          <w:szCs w:val="24"/>
        </w:rPr>
      </w:pPr>
      <w:r>
        <w:rPr>
          <w:sz w:val="24"/>
          <w:szCs w:val="24"/>
        </w:rPr>
        <w:t xml:space="preserve">As well as maintaining close links with ARG, another major collaborator is AIG’s spin-out company, QMCI, founded in 1971 and co-located with AIG in the School of Physics and Astronomy building. AIG work closely with QMCI both in the fulfilment of specific projects, such as the European Space Agency (ESA) projects discussed in Phase 2, as well as for the general advancement of scientific and astronomical instrumentation. QMCI staff sometimes co-author academic papers with AIG, but their main role is to provide a mechanism for the translation of AIG technologies to new areas of application by bringing them to, and in some cases adapting them for, the global market. For example, technologies originating in AIG have been sold for use in biomedical imaging, fusion power (nuclear fusion for renewable energy), and atmospheric sensing for use in environmental and meteorological research. </w:t>
      </w:r>
    </w:p>
    <w:p w14:paraId="7C31A34C" w14:textId="77777777" w:rsidR="00272012" w:rsidRDefault="00272012" w:rsidP="00272012">
      <w:pPr>
        <w:spacing w:after="120" w:line="360" w:lineRule="auto"/>
        <w:rPr>
          <w:sz w:val="24"/>
          <w:szCs w:val="24"/>
        </w:rPr>
      </w:pPr>
      <w:r>
        <w:rPr>
          <w:sz w:val="24"/>
          <w:szCs w:val="24"/>
        </w:rPr>
        <w:t xml:space="preserve">However, rather than simply relying on market processes for the dissemination and application of AIG technologies, the School allocates academic staff time to actively seek and engage with potential users (academic and non-academic) of AIG technologies. For example, the Deputy Head of AIG also holds the role of the School’s Director of Innovation and Engagement. This involves seeking and engaging with a wide range of sectors which might be interested in the technologies and other outputs from the School as a whole, and the AIG especially. Along with a second AIG professor, he is personally involved in applying AIG technologies in environmental research which uses satellite observations of earth to gather data. A third AIG professor collaborates with experts in biophysics and optometry (eyecare science and practice) to develop AIG technology for application in these fields. </w:t>
      </w:r>
    </w:p>
    <w:p w14:paraId="1752933F" w14:textId="4E088960" w:rsidR="00272012" w:rsidRDefault="00272012" w:rsidP="00272012">
      <w:pPr>
        <w:spacing w:after="120" w:line="360" w:lineRule="auto"/>
        <w:rPr>
          <w:sz w:val="24"/>
          <w:szCs w:val="24"/>
        </w:rPr>
      </w:pPr>
      <w:r w:rsidRPr="00FC33ED">
        <w:rPr>
          <w:sz w:val="24"/>
          <w:szCs w:val="24"/>
          <w:u w:val="single"/>
        </w:rPr>
        <w:t>Phase 2.</w:t>
      </w:r>
      <w:r>
        <w:rPr>
          <w:sz w:val="24"/>
          <w:szCs w:val="24"/>
          <w:u w:val="single"/>
        </w:rPr>
        <w:t xml:space="preserve"> Applying instruments to observatories in large space programmes</w:t>
      </w:r>
      <w:r>
        <w:rPr>
          <w:sz w:val="24"/>
          <w:szCs w:val="24"/>
        </w:rPr>
        <w:br/>
        <w:t xml:space="preserve">Thanks to AIG’s leading expertise in developing astronomy instrumentation, in particular in electromagnetic radiation detectors (similar to X-rays, but for different wavelengths), AIG researchers have had significant involvement in the development of on-board instruments for two major ESA missions. The first, and larger of the two projects, was the Spectral and Photometric Imaging Receiver (SPIRE) project. Cardiff was the lead institution out of eighteen institutions from eight European countries collaborating on the £90 million project. The SPIRE instrument served as a detector to be placed on ESA’s </w:t>
      </w:r>
      <w:r>
        <w:rPr>
          <w:i/>
          <w:sz w:val="24"/>
          <w:szCs w:val="24"/>
        </w:rPr>
        <w:t xml:space="preserve">Herschel </w:t>
      </w:r>
      <w:r>
        <w:rPr>
          <w:sz w:val="24"/>
          <w:szCs w:val="24"/>
        </w:rPr>
        <w:t xml:space="preserve">space telescope, whose total cost was nearly £1 billion. The second project, on which Cardiff was a collaborating institution, was the High Frequency Instrument (HFI) placed on board the ~£700 million </w:t>
      </w:r>
      <w:r>
        <w:rPr>
          <w:i/>
          <w:sz w:val="24"/>
          <w:szCs w:val="24"/>
        </w:rPr>
        <w:t xml:space="preserve">Planck </w:t>
      </w:r>
      <w:r>
        <w:rPr>
          <w:sz w:val="24"/>
          <w:szCs w:val="24"/>
        </w:rPr>
        <w:t xml:space="preserve">telescope. Both the Herschel and Planck telescope missions lasted from 2009 to 2013, but the production of their on-board instruments constituted a significant proportion of AIG research for over a decade from 1990s to the 2000s.  </w:t>
      </w:r>
    </w:p>
    <w:p w14:paraId="55E79C72" w14:textId="77777777" w:rsidR="00272012" w:rsidRDefault="00272012" w:rsidP="00272012">
      <w:pPr>
        <w:spacing w:after="120" w:line="360" w:lineRule="auto"/>
        <w:rPr>
          <w:sz w:val="24"/>
          <w:szCs w:val="24"/>
        </w:rPr>
      </w:pPr>
      <w:r>
        <w:rPr>
          <w:sz w:val="24"/>
          <w:szCs w:val="24"/>
        </w:rPr>
        <w:t xml:space="preserve">The scientific and technical challenges associated with implementing technologies into a functioning satellite in the extreme conditions of a take-off are significant. They call upon far larger forms of collaboration than, for instance, AIG’s development of specific devices in collaboration with QMCI and in consultation with ARG, as in Phase 1. This can be illustrated by the large number of authors on papers related to the SPIRE instrument, one of which names nearly 200 co-authors; and even these would not account for all who worked on the instrument, for example private companies which produce or engineer certain parts. </w:t>
      </w:r>
    </w:p>
    <w:p w14:paraId="3169A2F9" w14:textId="77777777" w:rsidR="00272012" w:rsidRDefault="00272012" w:rsidP="00272012">
      <w:pPr>
        <w:spacing w:after="120" w:line="360" w:lineRule="auto"/>
        <w:rPr>
          <w:sz w:val="24"/>
          <w:szCs w:val="24"/>
        </w:rPr>
      </w:pPr>
      <w:r>
        <w:rPr>
          <w:sz w:val="24"/>
          <w:szCs w:val="24"/>
        </w:rPr>
        <w:t xml:space="preserve">Indeed, the multiple nations and multiple kinds of organisation involved mean that considerable management skill is essential among the academic leadership of such projects. Even prior to the commencement of such projects, the decision by ESA about which nations will be involved and which will take the lead are inherently political in the context of an agency funded by multiple nations, so that scientific and technological expertise are not the sole criteria for engagement in a given ESA project. </w:t>
      </w:r>
    </w:p>
    <w:p w14:paraId="3C9DF0F7" w14:textId="388B07B6" w:rsidR="00272012" w:rsidRDefault="00272012" w:rsidP="00272012">
      <w:pPr>
        <w:spacing w:after="120" w:line="360" w:lineRule="auto"/>
        <w:rPr>
          <w:sz w:val="24"/>
          <w:szCs w:val="24"/>
        </w:rPr>
      </w:pPr>
      <w:r w:rsidRPr="00FC33ED">
        <w:rPr>
          <w:sz w:val="24"/>
          <w:szCs w:val="24"/>
          <w:u w:val="single"/>
        </w:rPr>
        <w:t>Phase 3.</w:t>
      </w:r>
      <w:r>
        <w:rPr>
          <w:sz w:val="24"/>
          <w:szCs w:val="24"/>
          <w:u w:val="single"/>
        </w:rPr>
        <w:t xml:space="preserve"> Curiosity as a driver of a combined science and outreach strategy</w:t>
      </w:r>
      <w:r>
        <w:rPr>
          <w:sz w:val="24"/>
          <w:szCs w:val="24"/>
          <w:u w:val="single"/>
        </w:rPr>
        <w:br/>
      </w:r>
      <w:r>
        <w:rPr>
          <w:sz w:val="24"/>
          <w:szCs w:val="24"/>
        </w:rPr>
        <w:t xml:space="preserve">Data obtained by the Herschel and Planck satellite telescopes have enabled researchers, primarily in the ARG but sometimes in collaboration with AIG, to answer questions and advance theories of fundamental interest about the universe. For example, the data has been used to answer questions about how stars are formed and how galaxies evolve in the long run (over billions of years). </w:t>
      </w:r>
    </w:p>
    <w:p w14:paraId="12320AA7" w14:textId="77777777" w:rsidR="00272012" w:rsidRDefault="00272012" w:rsidP="00272012">
      <w:pPr>
        <w:spacing w:after="120" w:line="360" w:lineRule="auto"/>
        <w:rPr>
          <w:sz w:val="24"/>
          <w:szCs w:val="24"/>
        </w:rPr>
      </w:pPr>
      <w:r>
        <w:rPr>
          <w:sz w:val="24"/>
          <w:szCs w:val="24"/>
        </w:rPr>
        <w:t xml:space="preserve">Alongside this curiosity-inspired basic scientific research, a significant minority of the work and output of AIG and ARG is less cutting edge but still considered a key goal and responsibility of the School, complementary to and directly following from its cutting edge research. These other activities include outreach, production of popular science outputs, and scientific communication (e.g. via scientific and mainstream media outlets). As was seen in Phase 1 in relation to disseminating innovative technologies to various sectors and research fields, there is significant dedication within the School to engage with these outreach and other communication activities and, as will be shown below, significant scope for career recognition through them. This commitment can be seen in both the general structure and culture of the two groups (AIG &amp; ARG) and the wider School, as well as in specific outreach activities directly associated with the School’s SPIRE funding. I describe these below.   </w:t>
      </w:r>
    </w:p>
    <w:p w14:paraId="24CF50C2" w14:textId="4D45A611" w:rsidR="00272012" w:rsidRDefault="00272012" w:rsidP="00272012">
      <w:pPr>
        <w:spacing w:after="120" w:line="360" w:lineRule="auto"/>
        <w:rPr>
          <w:sz w:val="24"/>
          <w:szCs w:val="24"/>
        </w:rPr>
      </w:pPr>
      <w:r>
        <w:rPr>
          <w:sz w:val="24"/>
          <w:szCs w:val="24"/>
        </w:rPr>
        <w:t xml:space="preserve">With regards to the School-wide culture, the Head of ARG writes popular science books (including a book, not yet published, about Herschel aimed at a non-scientific audience). Meanwhile, the Deputy Head has, for several years, also served as the School’s Head of Public Engagement and Chair of the Outreach Committee and, in 2018, was awarded as Member of the Order of the British Empire (MBE) for services to science communication and promotion. The School also has part-time staff whose main professions are in science communication. For example, one part-time lecturer, who also was awarded an MBE for services to science outreach and communication in 2017, is the founding director of </w:t>
      </w:r>
      <w:r>
        <w:rPr>
          <w:i/>
          <w:sz w:val="24"/>
          <w:szCs w:val="24"/>
        </w:rPr>
        <w:t>science made simple</w:t>
      </w:r>
      <w:r>
        <w:rPr>
          <w:sz w:val="24"/>
          <w:szCs w:val="24"/>
        </w:rPr>
        <w:t>, a social enterprise which runs science outreach programmes, particularly in schools. Another part-time lecturer is the Education Director of Las Cumbres Observatory, an international non-profit company which operates a network of telescopes and connects these via the Internet, allowing access to anyone and therefore of great value in public and school outreach activities. Both these part-time lecturers are provided office space by the School to conduct both their university and non-university activities, and both have played significant roles in showcasing, disseminating, educating and enthusing the public based on Cardiff’s astronomy research and technology.</w:t>
      </w:r>
    </w:p>
    <w:p w14:paraId="4059DCC5" w14:textId="77777777" w:rsidR="00272012" w:rsidRDefault="00272012" w:rsidP="00272012">
      <w:pPr>
        <w:spacing w:after="120" w:line="360" w:lineRule="auto"/>
        <w:rPr>
          <w:sz w:val="24"/>
          <w:szCs w:val="24"/>
        </w:rPr>
      </w:pPr>
      <w:r>
        <w:rPr>
          <w:sz w:val="24"/>
          <w:szCs w:val="24"/>
        </w:rPr>
        <w:t>The SPIRE project, as well as being a good example of the School’s overall research expertise and operational model, is also an excellent example of the AIG’s commitment to wider impact. The AIG-based SPIRE team secured nearly £200,000 for outreach activities directly associated with the SPIRE project and the broader Herschel programme (and this figure is only a fraction of the total outreach and engagement funding awarded to the School during the REF period). Part of this funding was expended on employing one of the SPIRE/Herschel postdoctoral researchers as a dedicated, half-time Herschel Outreach Officer, in which role he set up and maintains a well-visited website aimed at both expert and non-expert audiences discussing the project and related issues of fundamental astronomical interest, as well as organising a range of Outreach events. He has since become the Ogden Lecturer within the school, supported by the Ogden Trust, which promotes the teaching and learning of physics throughout society.</w:t>
      </w:r>
    </w:p>
    <w:p w14:paraId="5277578B" w14:textId="77777777" w:rsidR="00272012" w:rsidRDefault="00272012" w:rsidP="00272012">
      <w:pPr>
        <w:spacing w:after="120" w:line="360" w:lineRule="auto"/>
        <w:rPr>
          <w:sz w:val="24"/>
          <w:szCs w:val="24"/>
        </w:rPr>
      </w:pPr>
      <w:r>
        <w:rPr>
          <w:sz w:val="24"/>
          <w:szCs w:val="24"/>
        </w:rPr>
        <w:t xml:space="preserve">Throughout the School, there is a sense that curiosity-based astronomical research into the formation of galaxies and stars is considered incomplete until it is disseminated publicly in the hope of satisfying and stimulating the natural curiosity of society, particularly potential future scientists. </w:t>
      </w:r>
    </w:p>
    <w:tbl>
      <w:tblPr>
        <w:tblW w:w="7155" w:type="dxa"/>
        <w:tblLook w:val="04A0" w:firstRow="1" w:lastRow="0" w:firstColumn="1" w:lastColumn="0" w:noHBand="0" w:noVBand="1"/>
      </w:tblPr>
      <w:tblGrid>
        <w:gridCol w:w="2569"/>
        <w:gridCol w:w="4586"/>
      </w:tblGrid>
      <w:tr w:rsidR="00741002" w14:paraId="4A937B21" w14:textId="77777777" w:rsidTr="00741002">
        <w:tc>
          <w:tcPr>
            <w:tcW w:w="2569" w:type="dxa"/>
            <w:tcBorders>
              <w:top w:val="single" w:sz="4" w:space="0" w:color="auto"/>
              <w:left w:val="single" w:sz="4" w:space="0" w:color="auto"/>
              <w:bottom w:val="single" w:sz="4" w:space="0" w:color="auto"/>
              <w:right w:val="single" w:sz="4" w:space="0" w:color="auto"/>
            </w:tcBorders>
          </w:tcPr>
          <w:p w14:paraId="3B518BD1" w14:textId="484102AA" w:rsidR="00741002" w:rsidRPr="002B4060" w:rsidRDefault="00741002" w:rsidP="00741002">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5F0C0215" w14:textId="77777777" w:rsidR="00741002" w:rsidRPr="00B8594F" w:rsidRDefault="00741002" w:rsidP="00741002">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05D80063" w14:textId="6AB8BF50" w:rsidR="00741002" w:rsidRPr="00B8594F" w:rsidRDefault="00741002" w:rsidP="00741002">
            <w:pPr>
              <w:spacing w:after="0" w:line="240" w:lineRule="auto"/>
              <w:jc w:val="center"/>
              <w:rPr>
                <w:b/>
                <w:sz w:val="24"/>
                <w:szCs w:val="24"/>
              </w:rPr>
            </w:pPr>
            <w:r w:rsidRPr="00B8594F">
              <w:rPr>
                <w:b/>
                <w:sz w:val="24"/>
                <w:szCs w:val="24"/>
              </w:rPr>
              <w:t>1               2               3               4               5</w:t>
            </w:r>
          </w:p>
        </w:tc>
      </w:tr>
      <w:tr w:rsidR="00741002" w14:paraId="6BB34B79" w14:textId="77777777" w:rsidTr="00741002">
        <w:tc>
          <w:tcPr>
            <w:tcW w:w="2569" w:type="dxa"/>
            <w:tcBorders>
              <w:top w:val="single" w:sz="4" w:space="0" w:color="auto"/>
              <w:left w:val="single" w:sz="4" w:space="0" w:color="auto"/>
              <w:bottom w:val="single" w:sz="4" w:space="0" w:color="auto"/>
              <w:right w:val="single" w:sz="4" w:space="0" w:color="auto"/>
            </w:tcBorders>
          </w:tcPr>
          <w:p w14:paraId="49E9E27B" w14:textId="77777777" w:rsidR="00741002" w:rsidRDefault="00741002"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2CA25C15" w14:textId="77777777" w:rsidR="00741002" w:rsidRDefault="00741002" w:rsidP="004130A7">
            <w:pPr>
              <w:spacing w:after="0" w:line="240" w:lineRule="auto"/>
              <w:rPr>
                <w:sz w:val="24"/>
                <w:szCs w:val="24"/>
              </w:rPr>
            </w:pPr>
            <w:r>
              <w:rPr>
                <w:sz w:val="24"/>
                <w:szCs w:val="24"/>
              </w:rPr>
              <w:t xml:space="preserve"> 3              1 2</w:t>
            </w:r>
          </w:p>
        </w:tc>
      </w:tr>
      <w:tr w:rsidR="00741002" w14:paraId="090B8326" w14:textId="77777777" w:rsidTr="00741002">
        <w:tc>
          <w:tcPr>
            <w:tcW w:w="2569" w:type="dxa"/>
            <w:tcBorders>
              <w:top w:val="single" w:sz="4" w:space="0" w:color="auto"/>
              <w:left w:val="single" w:sz="4" w:space="0" w:color="auto"/>
              <w:bottom w:val="single" w:sz="4" w:space="0" w:color="auto"/>
              <w:right w:val="single" w:sz="4" w:space="0" w:color="auto"/>
            </w:tcBorders>
          </w:tcPr>
          <w:p w14:paraId="7320E6DA" w14:textId="77777777" w:rsidR="00741002" w:rsidRDefault="00741002"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50452E3C" w14:textId="77777777" w:rsidR="00741002" w:rsidRDefault="00741002" w:rsidP="004130A7">
            <w:pPr>
              <w:spacing w:after="0" w:line="240" w:lineRule="auto"/>
              <w:rPr>
                <w:sz w:val="24"/>
                <w:szCs w:val="24"/>
              </w:rPr>
            </w:pPr>
            <w:r>
              <w:rPr>
                <w:sz w:val="24"/>
                <w:szCs w:val="24"/>
              </w:rPr>
              <w:t xml:space="preserve">                   3                               1                2</w:t>
            </w:r>
          </w:p>
        </w:tc>
      </w:tr>
      <w:tr w:rsidR="00741002" w14:paraId="56A9BE1D" w14:textId="77777777" w:rsidTr="00741002">
        <w:tc>
          <w:tcPr>
            <w:tcW w:w="2569" w:type="dxa"/>
            <w:tcBorders>
              <w:top w:val="single" w:sz="4" w:space="0" w:color="auto"/>
              <w:left w:val="single" w:sz="4" w:space="0" w:color="auto"/>
              <w:bottom w:val="single" w:sz="4" w:space="0" w:color="auto"/>
              <w:right w:val="single" w:sz="4" w:space="0" w:color="auto"/>
            </w:tcBorders>
          </w:tcPr>
          <w:p w14:paraId="0493302A" w14:textId="77777777" w:rsidR="00741002" w:rsidRDefault="00741002"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1DAB7B66" w14:textId="77777777" w:rsidR="00741002" w:rsidRDefault="00741002" w:rsidP="004130A7">
            <w:pPr>
              <w:spacing w:after="0" w:line="240" w:lineRule="auto"/>
              <w:rPr>
                <w:sz w:val="24"/>
                <w:szCs w:val="24"/>
              </w:rPr>
            </w:pPr>
            <w:r>
              <w:rPr>
                <w:sz w:val="24"/>
                <w:szCs w:val="24"/>
              </w:rPr>
              <w:t>2 3              1</w:t>
            </w:r>
          </w:p>
        </w:tc>
      </w:tr>
      <w:tr w:rsidR="00741002" w14:paraId="05ADB43E" w14:textId="77777777" w:rsidTr="00741002">
        <w:tc>
          <w:tcPr>
            <w:tcW w:w="2569" w:type="dxa"/>
            <w:tcBorders>
              <w:top w:val="single" w:sz="4" w:space="0" w:color="auto"/>
              <w:left w:val="single" w:sz="4" w:space="0" w:color="auto"/>
              <w:bottom w:val="single" w:sz="4" w:space="0" w:color="auto"/>
              <w:right w:val="single" w:sz="4" w:space="0" w:color="auto"/>
            </w:tcBorders>
          </w:tcPr>
          <w:p w14:paraId="1B5E378B" w14:textId="77777777" w:rsidR="00741002" w:rsidRDefault="00741002"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0885878C" w14:textId="77777777" w:rsidR="00741002" w:rsidRDefault="00741002" w:rsidP="004130A7">
            <w:pPr>
              <w:spacing w:after="0" w:line="240" w:lineRule="auto"/>
              <w:rPr>
                <w:sz w:val="24"/>
                <w:szCs w:val="24"/>
              </w:rPr>
            </w:pPr>
            <w:r>
              <w:rPr>
                <w:sz w:val="24"/>
                <w:szCs w:val="24"/>
              </w:rPr>
              <w:t>1 3              2</w:t>
            </w:r>
          </w:p>
        </w:tc>
      </w:tr>
      <w:tr w:rsidR="00741002" w14:paraId="4BC3E2B0" w14:textId="77777777" w:rsidTr="00741002">
        <w:tc>
          <w:tcPr>
            <w:tcW w:w="2569" w:type="dxa"/>
            <w:tcBorders>
              <w:top w:val="single" w:sz="4" w:space="0" w:color="auto"/>
              <w:left w:val="single" w:sz="4" w:space="0" w:color="auto"/>
              <w:bottom w:val="single" w:sz="4" w:space="0" w:color="auto"/>
              <w:right w:val="single" w:sz="4" w:space="0" w:color="auto"/>
            </w:tcBorders>
          </w:tcPr>
          <w:p w14:paraId="37856ED5" w14:textId="77777777" w:rsidR="00741002" w:rsidRDefault="00741002"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14F9BC92" w14:textId="77777777" w:rsidR="00741002" w:rsidRDefault="00741002" w:rsidP="004130A7">
            <w:pPr>
              <w:spacing w:after="0" w:line="240" w:lineRule="auto"/>
              <w:rPr>
                <w:sz w:val="24"/>
                <w:szCs w:val="24"/>
              </w:rPr>
            </w:pPr>
            <w:r>
              <w:rPr>
                <w:sz w:val="24"/>
                <w:szCs w:val="24"/>
              </w:rPr>
              <w:t xml:space="preserve"> 3                                                 2                1</w:t>
            </w:r>
          </w:p>
        </w:tc>
      </w:tr>
      <w:tr w:rsidR="00741002" w14:paraId="3D4C1C2A" w14:textId="77777777" w:rsidTr="00741002">
        <w:tc>
          <w:tcPr>
            <w:tcW w:w="2569" w:type="dxa"/>
            <w:tcBorders>
              <w:top w:val="single" w:sz="4" w:space="0" w:color="auto"/>
              <w:left w:val="single" w:sz="4" w:space="0" w:color="auto"/>
              <w:bottom w:val="single" w:sz="4" w:space="0" w:color="auto"/>
              <w:right w:val="single" w:sz="4" w:space="0" w:color="auto"/>
            </w:tcBorders>
          </w:tcPr>
          <w:p w14:paraId="03D74759" w14:textId="77777777" w:rsidR="00741002" w:rsidRDefault="00741002"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74D8D40E" w14:textId="77777777" w:rsidR="00741002" w:rsidRDefault="00741002" w:rsidP="004130A7">
            <w:pPr>
              <w:spacing w:after="0" w:line="240" w:lineRule="auto"/>
              <w:rPr>
                <w:sz w:val="24"/>
                <w:szCs w:val="24"/>
              </w:rPr>
            </w:pPr>
            <w:r>
              <w:rPr>
                <w:sz w:val="24"/>
                <w:szCs w:val="24"/>
              </w:rPr>
              <w:t>1 2              3</w:t>
            </w:r>
          </w:p>
        </w:tc>
      </w:tr>
      <w:tr w:rsidR="00741002" w14:paraId="26145FA7" w14:textId="77777777" w:rsidTr="00741002">
        <w:tc>
          <w:tcPr>
            <w:tcW w:w="2569" w:type="dxa"/>
            <w:tcBorders>
              <w:top w:val="single" w:sz="4" w:space="0" w:color="auto"/>
              <w:left w:val="single" w:sz="4" w:space="0" w:color="auto"/>
              <w:bottom w:val="single" w:sz="4" w:space="0" w:color="auto"/>
              <w:right w:val="single" w:sz="4" w:space="0" w:color="auto"/>
            </w:tcBorders>
          </w:tcPr>
          <w:p w14:paraId="7E4CF99D" w14:textId="77777777" w:rsidR="00741002" w:rsidRDefault="00741002"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6A10EB00" w14:textId="77777777" w:rsidR="00741002" w:rsidRDefault="00741002" w:rsidP="004130A7">
            <w:pPr>
              <w:tabs>
                <w:tab w:val="left" w:pos="1227"/>
                <w:tab w:val="center" w:pos="2185"/>
                <w:tab w:val="left" w:pos="2595"/>
              </w:tabs>
              <w:spacing w:after="0" w:line="240" w:lineRule="auto"/>
              <w:rPr>
                <w:sz w:val="24"/>
                <w:szCs w:val="24"/>
              </w:rPr>
            </w:pPr>
            <w:r>
              <w:rPr>
                <w:sz w:val="24"/>
                <w:szCs w:val="24"/>
              </w:rPr>
              <w:t xml:space="preserve"> 2               1 3</w:t>
            </w:r>
          </w:p>
        </w:tc>
      </w:tr>
      <w:tr w:rsidR="00741002" w14:paraId="718BE03C" w14:textId="77777777" w:rsidTr="00741002">
        <w:tc>
          <w:tcPr>
            <w:tcW w:w="2569" w:type="dxa"/>
            <w:tcBorders>
              <w:top w:val="single" w:sz="4" w:space="0" w:color="auto"/>
              <w:left w:val="single" w:sz="4" w:space="0" w:color="auto"/>
              <w:bottom w:val="single" w:sz="4" w:space="0" w:color="auto"/>
              <w:right w:val="single" w:sz="4" w:space="0" w:color="auto"/>
            </w:tcBorders>
          </w:tcPr>
          <w:p w14:paraId="678F2C0B" w14:textId="77777777" w:rsidR="00741002" w:rsidRDefault="00741002"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7A9998E7" w14:textId="77777777" w:rsidR="00741002" w:rsidRDefault="00741002" w:rsidP="004130A7">
            <w:pPr>
              <w:spacing w:after="0" w:line="240" w:lineRule="auto"/>
              <w:rPr>
                <w:sz w:val="24"/>
                <w:szCs w:val="24"/>
              </w:rPr>
            </w:pPr>
            <w:r>
              <w:rPr>
                <w:sz w:val="24"/>
                <w:szCs w:val="24"/>
              </w:rPr>
              <w:t xml:space="preserve">                  1 2            3</w:t>
            </w:r>
          </w:p>
        </w:tc>
      </w:tr>
      <w:tr w:rsidR="00741002" w14:paraId="45B5341E" w14:textId="77777777" w:rsidTr="00741002">
        <w:tc>
          <w:tcPr>
            <w:tcW w:w="2569" w:type="dxa"/>
            <w:tcBorders>
              <w:top w:val="single" w:sz="4" w:space="0" w:color="auto"/>
              <w:left w:val="single" w:sz="4" w:space="0" w:color="auto"/>
              <w:bottom w:val="single" w:sz="4" w:space="0" w:color="auto"/>
              <w:right w:val="single" w:sz="4" w:space="0" w:color="auto"/>
            </w:tcBorders>
          </w:tcPr>
          <w:p w14:paraId="3CFD2545" w14:textId="77777777" w:rsidR="00741002" w:rsidRDefault="00741002"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568BA13B" w14:textId="77777777" w:rsidR="00741002" w:rsidRDefault="00741002" w:rsidP="004130A7">
            <w:pPr>
              <w:spacing w:after="0" w:line="240" w:lineRule="auto"/>
              <w:rPr>
                <w:sz w:val="24"/>
                <w:szCs w:val="24"/>
              </w:rPr>
            </w:pPr>
            <w:r>
              <w:rPr>
                <w:sz w:val="24"/>
                <w:szCs w:val="24"/>
              </w:rPr>
              <w:t xml:space="preserve">                    1             3               2 </w:t>
            </w:r>
          </w:p>
        </w:tc>
      </w:tr>
      <w:tr w:rsidR="00741002" w14:paraId="6F9EDEA0" w14:textId="77777777" w:rsidTr="00741002">
        <w:tc>
          <w:tcPr>
            <w:tcW w:w="2569" w:type="dxa"/>
            <w:tcBorders>
              <w:top w:val="single" w:sz="4" w:space="0" w:color="auto"/>
              <w:left w:val="single" w:sz="4" w:space="0" w:color="auto"/>
              <w:bottom w:val="single" w:sz="4" w:space="0" w:color="auto"/>
              <w:right w:val="single" w:sz="4" w:space="0" w:color="auto"/>
            </w:tcBorders>
          </w:tcPr>
          <w:p w14:paraId="51EDD34E" w14:textId="77777777" w:rsidR="00741002" w:rsidRDefault="00741002"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2BD042C9" w14:textId="77777777" w:rsidR="00741002" w:rsidRDefault="00741002" w:rsidP="004130A7">
            <w:pPr>
              <w:spacing w:after="0" w:line="240" w:lineRule="auto"/>
              <w:rPr>
                <w:sz w:val="24"/>
                <w:szCs w:val="24"/>
              </w:rPr>
            </w:pPr>
            <w:r>
              <w:rPr>
                <w:sz w:val="24"/>
                <w:szCs w:val="24"/>
              </w:rPr>
              <w:t xml:space="preserve">                    2             1               3</w:t>
            </w:r>
          </w:p>
        </w:tc>
      </w:tr>
      <w:tr w:rsidR="00741002" w14:paraId="20ABF2AF" w14:textId="77777777" w:rsidTr="00741002">
        <w:tc>
          <w:tcPr>
            <w:tcW w:w="2569" w:type="dxa"/>
            <w:tcBorders>
              <w:top w:val="single" w:sz="4" w:space="0" w:color="auto"/>
              <w:left w:val="single" w:sz="4" w:space="0" w:color="auto"/>
              <w:bottom w:val="single" w:sz="4" w:space="0" w:color="auto"/>
              <w:right w:val="single" w:sz="4" w:space="0" w:color="auto"/>
            </w:tcBorders>
          </w:tcPr>
          <w:p w14:paraId="02CDF922" w14:textId="77777777" w:rsidR="00741002" w:rsidRDefault="00741002"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32DB4327" w14:textId="77777777" w:rsidR="00741002" w:rsidRDefault="00741002" w:rsidP="004130A7">
            <w:pPr>
              <w:spacing w:after="0" w:line="240" w:lineRule="auto"/>
              <w:rPr>
                <w:sz w:val="24"/>
                <w:szCs w:val="24"/>
              </w:rPr>
            </w:pPr>
            <w:r>
              <w:rPr>
                <w:sz w:val="24"/>
                <w:szCs w:val="24"/>
              </w:rPr>
              <w:t xml:space="preserve"> 2                 1                              3</w:t>
            </w:r>
          </w:p>
        </w:tc>
      </w:tr>
      <w:tr w:rsidR="00741002" w14:paraId="12F6B15D" w14:textId="77777777" w:rsidTr="00741002">
        <w:tc>
          <w:tcPr>
            <w:tcW w:w="2569" w:type="dxa"/>
            <w:tcBorders>
              <w:top w:val="single" w:sz="4" w:space="0" w:color="auto"/>
              <w:left w:val="single" w:sz="4" w:space="0" w:color="auto"/>
              <w:bottom w:val="single" w:sz="4" w:space="0" w:color="auto"/>
              <w:right w:val="single" w:sz="4" w:space="0" w:color="auto"/>
            </w:tcBorders>
          </w:tcPr>
          <w:p w14:paraId="67874E52" w14:textId="77777777" w:rsidR="00741002" w:rsidRDefault="00741002"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4CD498CC" w14:textId="77777777" w:rsidR="00741002" w:rsidRDefault="00741002" w:rsidP="004130A7">
            <w:pPr>
              <w:spacing w:after="0" w:line="240" w:lineRule="auto"/>
              <w:rPr>
                <w:sz w:val="24"/>
                <w:szCs w:val="24"/>
              </w:rPr>
            </w:pPr>
            <w:r>
              <w:rPr>
                <w:sz w:val="24"/>
                <w:szCs w:val="24"/>
              </w:rPr>
              <w:t xml:space="preserve">                    2             1               3</w:t>
            </w:r>
          </w:p>
        </w:tc>
      </w:tr>
      <w:tr w:rsidR="00741002" w14:paraId="39FD8436" w14:textId="77777777" w:rsidTr="00741002">
        <w:tc>
          <w:tcPr>
            <w:tcW w:w="2569" w:type="dxa"/>
            <w:tcBorders>
              <w:top w:val="single" w:sz="4" w:space="0" w:color="auto"/>
              <w:left w:val="single" w:sz="4" w:space="0" w:color="auto"/>
              <w:bottom w:val="single" w:sz="4" w:space="0" w:color="auto"/>
              <w:right w:val="single" w:sz="4" w:space="0" w:color="auto"/>
            </w:tcBorders>
          </w:tcPr>
          <w:p w14:paraId="7D0EB818" w14:textId="77777777" w:rsidR="00741002" w:rsidRDefault="00741002"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38B95BA4" w14:textId="77777777" w:rsidR="00741002" w:rsidRDefault="00741002" w:rsidP="004130A7">
            <w:pPr>
              <w:spacing w:after="0" w:line="240" w:lineRule="auto"/>
              <w:rPr>
                <w:sz w:val="24"/>
                <w:szCs w:val="24"/>
              </w:rPr>
            </w:pPr>
            <w:r>
              <w:rPr>
                <w:sz w:val="24"/>
                <w:szCs w:val="24"/>
              </w:rPr>
              <w:t xml:space="preserve"> 3                 2             1</w:t>
            </w:r>
          </w:p>
        </w:tc>
      </w:tr>
      <w:tr w:rsidR="00741002" w14:paraId="718D6D6D" w14:textId="77777777" w:rsidTr="00741002">
        <w:tc>
          <w:tcPr>
            <w:tcW w:w="2569" w:type="dxa"/>
            <w:tcBorders>
              <w:top w:val="single" w:sz="4" w:space="0" w:color="auto"/>
              <w:left w:val="single" w:sz="4" w:space="0" w:color="auto"/>
              <w:bottom w:val="single" w:sz="4" w:space="0" w:color="auto"/>
              <w:right w:val="single" w:sz="4" w:space="0" w:color="auto"/>
            </w:tcBorders>
          </w:tcPr>
          <w:p w14:paraId="3A264084" w14:textId="77777777" w:rsidR="00741002" w:rsidRDefault="00741002"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6885D6C7" w14:textId="77777777" w:rsidR="00741002" w:rsidRDefault="00741002" w:rsidP="004130A7">
            <w:pPr>
              <w:spacing w:after="0" w:line="240" w:lineRule="auto"/>
              <w:rPr>
                <w:sz w:val="24"/>
                <w:szCs w:val="24"/>
              </w:rPr>
            </w:pPr>
            <w:r>
              <w:rPr>
                <w:sz w:val="24"/>
                <w:szCs w:val="24"/>
              </w:rPr>
              <w:t>1 2 3</w:t>
            </w:r>
          </w:p>
        </w:tc>
      </w:tr>
      <w:tr w:rsidR="00741002" w14:paraId="3FED7A79" w14:textId="77777777" w:rsidTr="00741002">
        <w:tc>
          <w:tcPr>
            <w:tcW w:w="2569" w:type="dxa"/>
            <w:tcBorders>
              <w:top w:val="single" w:sz="4" w:space="0" w:color="auto"/>
              <w:left w:val="single" w:sz="4" w:space="0" w:color="auto"/>
              <w:bottom w:val="single" w:sz="4" w:space="0" w:color="auto"/>
              <w:right w:val="single" w:sz="4" w:space="0" w:color="auto"/>
            </w:tcBorders>
          </w:tcPr>
          <w:p w14:paraId="32B02EE9" w14:textId="77777777" w:rsidR="00741002" w:rsidRDefault="00741002"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2C0466EE" w14:textId="77777777" w:rsidR="00741002" w:rsidRDefault="00741002" w:rsidP="004130A7">
            <w:pPr>
              <w:keepNext/>
              <w:spacing w:after="0" w:line="240" w:lineRule="auto"/>
              <w:rPr>
                <w:sz w:val="24"/>
                <w:szCs w:val="24"/>
              </w:rPr>
            </w:pPr>
            <w:r>
              <w:rPr>
                <w:sz w:val="24"/>
                <w:szCs w:val="24"/>
              </w:rPr>
              <w:t xml:space="preserve">                 1 2 3           </w:t>
            </w:r>
          </w:p>
        </w:tc>
      </w:tr>
    </w:tbl>
    <w:p w14:paraId="537A3338" w14:textId="1216A76B" w:rsidR="00272012" w:rsidRPr="00902CA3" w:rsidRDefault="00272012" w:rsidP="00272012">
      <w:pPr>
        <w:pStyle w:val="Caption"/>
        <w:spacing w:after="120" w:line="360" w:lineRule="auto"/>
        <w:rPr>
          <w:sz w:val="24"/>
          <w:szCs w:val="24"/>
        </w:rPr>
      </w:pPr>
      <w:bookmarkStart w:id="309" w:name="_Toc531023160"/>
      <w:bookmarkStart w:id="310" w:name="_Toc536438921"/>
      <w:bookmarkStart w:id="311" w:name="_Toc31702096"/>
      <w:r w:rsidRPr="00902CA3">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27</w:t>
      </w:r>
      <w:r w:rsidR="00233012">
        <w:rPr>
          <w:noProof/>
        </w:rPr>
        <w:fldChar w:fldCharType="end"/>
      </w:r>
      <w:r w:rsidRPr="00902CA3">
        <w:t xml:space="preserve">. Plotted typology. </w:t>
      </w:r>
      <w:r>
        <w:t>BoR 9</w:t>
      </w:r>
      <w:bookmarkEnd w:id="309"/>
      <w:bookmarkEnd w:id="310"/>
      <w:bookmarkEnd w:id="311"/>
    </w:p>
    <w:p w14:paraId="120BD60B" w14:textId="7B682D49" w:rsidR="00272012" w:rsidRDefault="0093259B" w:rsidP="00272012">
      <w:pPr>
        <w:pStyle w:val="Heading3"/>
      </w:pPr>
      <w:bookmarkStart w:id="312" w:name="_Toc531007176"/>
      <w:bookmarkStart w:id="313" w:name="_Toc536718002"/>
      <w:bookmarkStart w:id="314" w:name="_Toc31702025"/>
      <w:r>
        <w:t xml:space="preserve">BoRs sampled from </w:t>
      </w:r>
      <w:r w:rsidR="00272012">
        <w:t>UoA 10</w:t>
      </w:r>
      <w:bookmarkEnd w:id="312"/>
      <w:bookmarkEnd w:id="313"/>
      <w:bookmarkEnd w:id="314"/>
    </w:p>
    <w:p w14:paraId="6B1F30A5" w14:textId="77777777" w:rsidR="00272012" w:rsidRDefault="00272012" w:rsidP="00272012">
      <w:pPr>
        <w:spacing w:after="120" w:line="360" w:lineRule="auto"/>
        <w:rPr>
          <w:sz w:val="24"/>
          <w:szCs w:val="24"/>
        </w:rPr>
      </w:pPr>
      <w:r>
        <w:rPr>
          <w:sz w:val="24"/>
          <w:szCs w:val="24"/>
        </w:rPr>
        <w:t xml:space="preserve">This is the second of two submissions selected from Glasgow and is submitted by Glasgow’s School of Mathematics and Statistics. Statistical methodologies clearly have a significant and growing role in practically all contemporary sciences and industries. In this sense, the two Case Studies below are similar, in that both depend on innovations in statistical methodologies directed at particular contexts. </w:t>
      </w:r>
    </w:p>
    <w:p w14:paraId="269A232D" w14:textId="77777777" w:rsidR="00272012" w:rsidRPr="00363F03" w:rsidRDefault="00272012" w:rsidP="00272012">
      <w:pPr>
        <w:spacing w:after="120" w:line="360" w:lineRule="auto"/>
        <w:rPr>
          <w:sz w:val="24"/>
          <w:szCs w:val="24"/>
        </w:rPr>
      </w:pPr>
      <w:r>
        <w:rPr>
          <w:sz w:val="24"/>
          <w:szCs w:val="24"/>
        </w:rPr>
        <w:t>However, the two Case Studies also exhibit differences, and this reflects primarily the differences in the kinds of sectors and actors with which Formal scientists might collaborate. The first of the two, having developed expertise in a particular statistical methodology, somewhat serendipitously found themselves being sought after as collaborators by a large multi-national company, who saw the strategic potential of developing these methodologies in ways specific to their operations, and whose size enabled them to make the kind of long-term partnerships and investments that academic researchers seek. The other case is of academic research inputting into the highly science-dependent area of clinical medicine.</w:t>
      </w:r>
    </w:p>
    <w:p w14:paraId="02444B4B" w14:textId="130AB31B" w:rsidR="00272012" w:rsidRDefault="009528FE" w:rsidP="00272012">
      <w:pPr>
        <w:pStyle w:val="Heading4"/>
      </w:pPr>
      <w:r>
        <w:t>Body of Research 10.1: ‘Monitoring Groundwater Pollution’</w:t>
      </w:r>
    </w:p>
    <w:p w14:paraId="11093CD6" w14:textId="0D17D87F"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‘Development of an innovative data analysis tool to monitor groundwater pollution and environmental impact’</w:t>
      </w:r>
    </w:p>
    <w:p w14:paraId="2A6FA740" w14:textId="66D92D04" w:rsidR="00272012" w:rsidRPr="002951E2" w:rsidRDefault="00272012" w:rsidP="00272012">
      <w:pPr>
        <w:spacing w:after="120" w:line="360" w:lineRule="auto"/>
        <w:rPr>
          <w:sz w:val="24"/>
          <w:szCs w:val="24"/>
        </w:rPr>
      </w:pPr>
      <w:r w:rsidRPr="00FC33ED">
        <w:rPr>
          <w:sz w:val="24"/>
          <w:szCs w:val="24"/>
          <w:u w:val="single"/>
        </w:rPr>
        <w:t xml:space="preserve">Phase 1. </w:t>
      </w:r>
      <w:r>
        <w:rPr>
          <w:sz w:val="24"/>
          <w:szCs w:val="24"/>
          <w:u w:val="single"/>
        </w:rPr>
        <w:t>Advances in statistical methodologies and software</w:t>
      </w:r>
      <w:r>
        <w:rPr>
          <w:sz w:val="24"/>
          <w:szCs w:val="24"/>
          <w:u w:val="single"/>
        </w:rPr>
        <w:br/>
      </w:r>
      <w:r>
        <w:rPr>
          <w:sz w:val="24"/>
          <w:szCs w:val="24"/>
        </w:rPr>
        <w:t xml:space="preserve">Throughout the 1990s and 2000s, Glasgow statisticians, led primarily by one professor, have made significant advances in developing new statistical methodologies for application in a broad range of scientific and industrial contexts. Keen to encourage the broadest relevance and uptake of their outputs, the researchers have always developed these methodological tools whilst bearing in mind the latest and most popular computational statistical packages. More recently, they have taken this further by codifying these innovations within a new add-on package for ‘R’, one of the most widely-used computational statistical applications. </w:t>
      </w:r>
    </w:p>
    <w:p w14:paraId="18701400" w14:textId="34A0EB17" w:rsidR="00272012" w:rsidRDefault="00272012" w:rsidP="00272012">
      <w:pPr>
        <w:spacing w:after="120" w:line="360" w:lineRule="auto"/>
        <w:rPr>
          <w:sz w:val="24"/>
          <w:szCs w:val="24"/>
        </w:rPr>
      </w:pPr>
      <w:r w:rsidRPr="00FC33ED">
        <w:rPr>
          <w:sz w:val="24"/>
          <w:szCs w:val="24"/>
          <w:u w:val="single"/>
        </w:rPr>
        <w:t xml:space="preserve">Phase 2. </w:t>
      </w:r>
      <w:r>
        <w:rPr>
          <w:sz w:val="24"/>
          <w:szCs w:val="24"/>
          <w:u w:val="single"/>
        </w:rPr>
        <w:t xml:space="preserve">Knowledge transfer and industrial application through graduate employment </w:t>
      </w:r>
      <w:r>
        <w:rPr>
          <w:sz w:val="24"/>
          <w:szCs w:val="24"/>
        </w:rPr>
        <w:t xml:space="preserve">In 2005, a doctoral graduate from the Glasgow School of Mathematics and Statistics, having been supervised by the leading professor underpinning this Case Study, was employed by the multinational oil and gas company Royal Dutch Shell, commonly-known as Shell, working within its UK-based Shell Global Solutions division. Within a year, and as a direct result of the expertise brought by this boundary-spanning statistician, Shell Global Solutions began work on the potential application of these Glasgow-developed statistical methods to groundwater monitoring. Monitoring the potential pollution of groundwater as a result of oil and gas extraction activities is an essential aspect of the industry. However, standard approaches to this monitoring have sometimes been hindered due to the statistical complexities of making inferences about wider areas based on the small samples of measurements of pollutants that can be practically obtained. There was therefore significant scope for improvements in groundwater monitoring methods and sample analysis techniques, with likely improvements in the speed with which leaks or spills could be identified, as well as efficiency gains in the amounts of sample required. </w:t>
      </w:r>
      <w:r w:rsidRPr="00F7047D">
        <w:rPr>
          <w:sz w:val="24"/>
          <w:szCs w:val="24"/>
        </w:rPr>
        <w:t xml:space="preserve"> </w:t>
      </w:r>
    </w:p>
    <w:p w14:paraId="1EBBFDFF" w14:textId="77777777" w:rsidR="00272012" w:rsidRPr="00FC33ED" w:rsidRDefault="00272012" w:rsidP="00272012">
      <w:pPr>
        <w:spacing w:after="120" w:line="360" w:lineRule="auto"/>
        <w:rPr>
          <w:sz w:val="24"/>
          <w:szCs w:val="24"/>
          <w:u w:val="single"/>
        </w:rPr>
      </w:pPr>
      <w:r>
        <w:rPr>
          <w:sz w:val="24"/>
          <w:szCs w:val="24"/>
        </w:rPr>
        <w:t>So</w:t>
      </w:r>
      <w:r w:rsidRPr="00F7047D">
        <w:rPr>
          <w:sz w:val="24"/>
          <w:szCs w:val="24"/>
        </w:rPr>
        <w:t xml:space="preserve"> began a research relationship</w:t>
      </w:r>
      <w:r>
        <w:rPr>
          <w:sz w:val="24"/>
          <w:szCs w:val="24"/>
        </w:rPr>
        <w:t xml:space="preserve"> between the School and Shell. The initial work, resulting in co-authored papers, focused on further methodological improvements in spatiotemporal modelling (the analysis of sparse data collected over time and space). As will be seen in Phase 3, this relationship continued thanks to the strong potential Shell saw in this analytical approach and the funds they were willing to invest.</w:t>
      </w:r>
    </w:p>
    <w:p w14:paraId="2D0BE9BE" w14:textId="1C6795C4" w:rsidR="00272012" w:rsidRPr="009E548E" w:rsidRDefault="00272012" w:rsidP="00272012">
      <w:pPr>
        <w:spacing w:after="120" w:line="360" w:lineRule="auto"/>
        <w:rPr>
          <w:sz w:val="24"/>
          <w:szCs w:val="24"/>
        </w:rPr>
      </w:pPr>
      <w:r w:rsidRPr="00FC33ED">
        <w:rPr>
          <w:sz w:val="24"/>
          <w:szCs w:val="24"/>
          <w:u w:val="single"/>
        </w:rPr>
        <w:t>Phase 3.</w:t>
      </w:r>
      <w:r>
        <w:rPr>
          <w:sz w:val="24"/>
          <w:szCs w:val="24"/>
          <w:u w:val="single"/>
        </w:rPr>
        <w:t xml:space="preserve"> Collaborative development of new industry-specific analytical software </w:t>
      </w:r>
      <w:r>
        <w:rPr>
          <w:sz w:val="24"/>
          <w:szCs w:val="24"/>
          <w:u w:val="single"/>
        </w:rPr>
        <w:br/>
      </w:r>
      <w:r>
        <w:rPr>
          <w:sz w:val="24"/>
          <w:szCs w:val="24"/>
        </w:rPr>
        <w:t xml:space="preserve">As the relationship between the School and Shell developed, Shell became more aware of the potential value of not only the School’s statistical techniques, but also of their software outputs, also described in Phase 1. From the late 2000s, this university-industry partnership took on a new dimension and shared goal as the academic team worked with the company to make adaptations to this software for an industry-specific analytical tool. The result was the Groundwater Spatiotemporal Data Analysis Tool (GWSDAT) software, developed primarily for Shell use, but also available to other industrial and regulatory users. Having implemented GWSDAT from 2009, Shell have since then funded a PhD student at Glasgow to focus full-time on further refining the software, and as a result of these investments achieved an estimate of at least $10 million in savings up to 2014. </w:t>
      </w:r>
    </w:p>
    <w:tbl>
      <w:tblPr>
        <w:tblW w:w="7155" w:type="dxa"/>
        <w:tblLook w:val="04A0" w:firstRow="1" w:lastRow="0" w:firstColumn="1" w:lastColumn="0" w:noHBand="0" w:noVBand="1"/>
      </w:tblPr>
      <w:tblGrid>
        <w:gridCol w:w="2569"/>
        <w:gridCol w:w="4586"/>
      </w:tblGrid>
      <w:tr w:rsidR="00B24718" w14:paraId="03B0A09A" w14:textId="77777777" w:rsidTr="00B24718">
        <w:tc>
          <w:tcPr>
            <w:tcW w:w="2569" w:type="dxa"/>
            <w:tcBorders>
              <w:top w:val="single" w:sz="4" w:space="0" w:color="auto"/>
              <w:left w:val="single" w:sz="4" w:space="0" w:color="auto"/>
              <w:bottom w:val="single" w:sz="4" w:space="0" w:color="auto"/>
              <w:right w:val="single" w:sz="4" w:space="0" w:color="auto"/>
            </w:tcBorders>
          </w:tcPr>
          <w:p w14:paraId="19ADA2A0" w14:textId="41ECDF4B" w:rsidR="00B24718" w:rsidRPr="002B4060" w:rsidRDefault="00B24718" w:rsidP="00B24718">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0CCCB92A" w14:textId="77777777" w:rsidR="00B24718" w:rsidRPr="00B8594F" w:rsidRDefault="00B24718" w:rsidP="00B24718">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24CA65D0" w14:textId="24E83F20" w:rsidR="00B24718" w:rsidRPr="00B8594F" w:rsidRDefault="00B24718" w:rsidP="00B24718">
            <w:pPr>
              <w:spacing w:after="0" w:line="240" w:lineRule="auto"/>
              <w:jc w:val="center"/>
              <w:rPr>
                <w:b/>
                <w:sz w:val="24"/>
                <w:szCs w:val="24"/>
              </w:rPr>
            </w:pPr>
            <w:r w:rsidRPr="00B8594F">
              <w:rPr>
                <w:b/>
                <w:sz w:val="24"/>
                <w:szCs w:val="24"/>
              </w:rPr>
              <w:t>1               2               3               4               5</w:t>
            </w:r>
          </w:p>
        </w:tc>
      </w:tr>
      <w:tr w:rsidR="00B24718" w14:paraId="5C87D97C" w14:textId="77777777" w:rsidTr="00B24718">
        <w:tc>
          <w:tcPr>
            <w:tcW w:w="2569" w:type="dxa"/>
            <w:tcBorders>
              <w:top w:val="single" w:sz="4" w:space="0" w:color="auto"/>
              <w:left w:val="single" w:sz="4" w:space="0" w:color="auto"/>
              <w:bottom w:val="single" w:sz="4" w:space="0" w:color="auto"/>
              <w:right w:val="single" w:sz="4" w:space="0" w:color="auto"/>
            </w:tcBorders>
          </w:tcPr>
          <w:p w14:paraId="720C708F" w14:textId="77777777" w:rsidR="00B24718" w:rsidRDefault="00B24718"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6247189B" w14:textId="77777777" w:rsidR="00B24718" w:rsidRDefault="00B24718" w:rsidP="004130A7">
            <w:pPr>
              <w:spacing w:after="0" w:line="240" w:lineRule="auto"/>
              <w:rPr>
                <w:sz w:val="24"/>
                <w:szCs w:val="24"/>
              </w:rPr>
            </w:pPr>
            <w:r>
              <w:rPr>
                <w:sz w:val="24"/>
                <w:szCs w:val="24"/>
              </w:rPr>
              <w:t xml:space="preserve"> 1               2               3</w:t>
            </w:r>
          </w:p>
        </w:tc>
      </w:tr>
      <w:tr w:rsidR="00B24718" w14:paraId="11EB038E" w14:textId="77777777" w:rsidTr="00B24718">
        <w:tc>
          <w:tcPr>
            <w:tcW w:w="2569" w:type="dxa"/>
            <w:tcBorders>
              <w:top w:val="single" w:sz="4" w:space="0" w:color="auto"/>
              <w:left w:val="single" w:sz="4" w:space="0" w:color="auto"/>
              <w:bottom w:val="single" w:sz="4" w:space="0" w:color="auto"/>
              <w:right w:val="single" w:sz="4" w:space="0" w:color="auto"/>
            </w:tcBorders>
          </w:tcPr>
          <w:p w14:paraId="797B853F" w14:textId="77777777" w:rsidR="00B24718" w:rsidRDefault="00B24718"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12B3AC70" w14:textId="77777777" w:rsidR="00B24718" w:rsidRDefault="00B24718" w:rsidP="004130A7">
            <w:pPr>
              <w:spacing w:after="0" w:line="240" w:lineRule="auto"/>
              <w:rPr>
                <w:sz w:val="24"/>
                <w:szCs w:val="24"/>
              </w:rPr>
            </w:pPr>
            <w:r>
              <w:rPr>
                <w:sz w:val="24"/>
                <w:szCs w:val="24"/>
              </w:rPr>
              <w:t xml:space="preserve">                                   1                2               3</w:t>
            </w:r>
          </w:p>
        </w:tc>
      </w:tr>
      <w:tr w:rsidR="00B24718" w14:paraId="44C48EF2" w14:textId="77777777" w:rsidTr="00B24718">
        <w:tc>
          <w:tcPr>
            <w:tcW w:w="2569" w:type="dxa"/>
            <w:tcBorders>
              <w:top w:val="single" w:sz="4" w:space="0" w:color="auto"/>
              <w:left w:val="single" w:sz="4" w:space="0" w:color="auto"/>
              <w:bottom w:val="single" w:sz="4" w:space="0" w:color="auto"/>
              <w:right w:val="single" w:sz="4" w:space="0" w:color="auto"/>
            </w:tcBorders>
          </w:tcPr>
          <w:p w14:paraId="53AD473B" w14:textId="77777777" w:rsidR="00B24718" w:rsidRDefault="00B24718"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39928351" w14:textId="77777777" w:rsidR="00B24718" w:rsidRDefault="00B24718" w:rsidP="004130A7">
            <w:pPr>
              <w:spacing w:after="0" w:line="240" w:lineRule="auto"/>
              <w:rPr>
                <w:sz w:val="24"/>
                <w:szCs w:val="24"/>
              </w:rPr>
            </w:pPr>
            <w:r>
              <w:rPr>
                <w:sz w:val="24"/>
                <w:szCs w:val="24"/>
              </w:rPr>
              <w:t xml:space="preserve"> 1               2               3</w:t>
            </w:r>
          </w:p>
        </w:tc>
      </w:tr>
      <w:tr w:rsidR="00B24718" w14:paraId="105CFB05" w14:textId="77777777" w:rsidTr="00B24718">
        <w:tc>
          <w:tcPr>
            <w:tcW w:w="2569" w:type="dxa"/>
            <w:tcBorders>
              <w:top w:val="single" w:sz="4" w:space="0" w:color="auto"/>
              <w:left w:val="single" w:sz="4" w:space="0" w:color="auto"/>
              <w:bottom w:val="single" w:sz="4" w:space="0" w:color="auto"/>
              <w:right w:val="single" w:sz="4" w:space="0" w:color="auto"/>
            </w:tcBorders>
          </w:tcPr>
          <w:p w14:paraId="52D7CC07" w14:textId="77777777" w:rsidR="00B24718" w:rsidRDefault="00B24718"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3BBB0288" w14:textId="77777777" w:rsidR="00B24718" w:rsidRDefault="00B24718" w:rsidP="004130A7">
            <w:pPr>
              <w:spacing w:after="0" w:line="240" w:lineRule="auto"/>
              <w:rPr>
                <w:sz w:val="24"/>
                <w:szCs w:val="24"/>
              </w:rPr>
            </w:pPr>
            <w:r>
              <w:rPr>
                <w:sz w:val="24"/>
                <w:szCs w:val="24"/>
              </w:rPr>
              <w:t xml:space="preserve">                 1 2                               3</w:t>
            </w:r>
          </w:p>
        </w:tc>
      </w:tr>
      <w:tr w:rsidR="00B24718" w14:paraId="10A5A78C" w14:textId="77777777" w:rsidTr="00B24718">
        <w:tc>
          <w:tcPr>
            <w:tcW w:w="2569" w:type="dxa"/>
            <w:tcBorders>
              <w:top w:val="single" w:sz="4" w:space="0" w:color="auto"/>
              <w:left w:val="single" w:sz="4" w:space="0" w:color="auto"/>
              <w:bottom w:val="single" w:sz="4" w:space="0" w:color="auto"/>
              <w:right w:val="single" w:sz="4" w:space="0" w:color="auto"/>
            </w:tcBorders>
          </w:tcPr>
          <w:p w14:paraId="300F77EC" w14:textId="77777777" w:rsidR="00B24718" w:rsidRDefault="00B24718"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5C785D71" w14:textId="77777777" w:rsidR="00B24718" w:rsidRDefault="00B24718" w:rsidP="004130A7">
            <w:pPr>
              <w:spacing w:after="0" w:line="240" w:lineRule="auto"/>
              <w:rPr>
                <w:sz w:val="24"/>
                <w:szCs w:val="24"/>
              </w:rPr>
            </w:pPr>
            <w:r>
              <w:rPr>
                <w:sz w:val="24"/>
                <w:szCs w:val="24"/>
              </w:rPr>
              <w:t xml:space="preserve">                                   1                2               3</w:t>
            </w:r>
          </w:p>
        </w:tc>
      </w:tr>
      <w:tr w:rsidR="00B24718" w14:paraId="5F46478D" w14:textId="77777777" w:rsidTr="00B24718">
        <w:tc>
          <w:tcPr>
            <w:tcW w:w="2569" w:type="dxa"/>
            <w:tcBorders>
              <w:top w:val="single" w:sz="4" w:space="0" w:color="auto"/>
              <w:left w:val="single" w:sz="4" w:space="0" w:color="auto"/>
              <w:bottom w:val="single" w:sz="4" w:space="0" w:color="auto"/>
              <w:right w:val="single" w:sz="4" w:space="0" w:color="auto"/>
            </w:tcBorders>
          </w:tcPr>
          <w:p w14:paraId="6F22F74A" w14:textId="77777777" w:rsidR="00B24718" w:rsidRDefault="00B24718"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2B75BFA8" w14:textId="77777777" w:rsidR="00B24718" w:rsidRDefault="00B24718" w:rsidP="004130A7">
            <w:pPr>
              <w:spacing w:after="0" w:line="240" w:lineRule="auto"/>
              <w:rPr>
                <w:sz w:val="24"/>
                <w:szCs w:val="24"/>
              </w:rPr>
            </w:pPr>
            <w:r>
              <w:rPr>
                <w:sz w:val="24"/>
                <w:szCs w:val="24"/>
              </w:rPr>
              <w:t xml:space="preserve"> 1 3            2               </w:t>
            </w:r>
          </w:p>
        </w:tc>
      </w:tr>
      <w:tr w:rsidR="00B24718" w14:paraId="750827C1" w14:textId="77777777" w:rsidTr="00B24718">
        <w:tc>
          <w:tcPr>
            <w:tcW w:w="2569" w:type="dxa"/>
            <w:tcBorders>
              <w:top w:val="single" w:sz="4" w:space="0" w:color="auto"/>
              <w:left w:val="single" w:sz="4" w:space="0" w:color="auto"/>
              <w:bottom w:val="single" w:sz="4" w:space="0" w:color="auto"/>
              <w:right w:val="single" w:sz="4" w:space="0" w:color="auto"/>
            </w:tcBorders>
          </w:tcPr>
          <w:p w14:paraId="2EAEDE0B" w14:textId="77777777" w:rsidR="00B24718" w:rsidRDefault="00B24718"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05890818" w14:textId="77777777" w:rsidR="00B24718" w:rsidRDefault="00B24718" w:rsidP="004130A7">
            <w:pPr>
              <w:tabs>
                <w:tab w:val="left" w:pos="1227"/>
                <w:tab w:val="center" w:pos="2185"/>
                <w:tab w:val="left" w:pos="2595"/>
              </w:tabs>
              <w:spacing w:after="0" w:line="240" w:lineRule="auto"/>
              <w:rPr>
                <w:sz w:val="24"/>
                <w:szCs w:val="24"/>
              </w:rPr>
            </w:pPr>
            <w:r>
              <w:rPr>
                <w:sz w:val="24"/>
                <w:szCs w:val="24"/>
              </w:rPr>
              <w:t xml:space="preserve">  1              2               3</w:t>
            </w:r>
          </w:p>
        </w:tc>
      </w:tr>
      <w:tr w:rsidR="00B24718" w14:paraId="7BFB6243" w14:textId="77777777" w:rsidTr="00B24718">
        <w:tc>
          <w:tcPr>
            <w:tcW w:w="2569" w:type="dxa"/>
            <w:tcBorders>
              <w:top w:val="single" w:sz="4" w:space="0" w:color="auto"/>
              <w:left w:val="single" w:sz="4" w:space="0" w:color="auto"/>
              <w:bottom w:val="single" w:sz="4" w:space="0" w:color="auto"/>
              <w:right w:val="single" w:sz="4" w:space="0" w:color="auto"/>
            </w:tcBorders>
          </w:tcPr>
          <w:p w14:paraId="3173C848" w14:textId="77777777" w:rsidR="00B24718" w:rsidRDefault="00B24718"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41D74EEB" w14:textId="77777777" w:rsidR="00B24718" w:rsidRDefault="00B24718" w:rsidP="004130A7">
            <w:pPr>
              <w:spacing w:after="0" w:line="240" w:lineRule="auto"/>
              <w:rPr>
                <w:sz w:val="24"/>
                <w:szCs w:val="24"/>
              </w:rPr>
            </w:pPr>
            <w:r>
              <w:rPr>
                <w:sz w:val="24"/>
                <w:szCs w:val="24"/>
              </w:rPr>
              <w:t xml:space="preserve">  1             2 3</w:t>
            </w:r>
          </w:p>
        </w:tc>
      </w:tr>
      <w:tr w:rsidR="00B24718" w14:paraId="5B65A54D" w14:textId="77777777" w:rsidTr="00B24718">
        <w:tc>
          <w:tcPr>
            <w:tcW w:w="2569" w:type="dxa"/>
            <w:tcBorders>
              <w:top w:val="single" w:sz="4" w:space="0" w:color="auto"/>
              <w:left w:val="single" w:sz="4" w:space="0" w:color="auto"/>
              <w:bottom w:val="single" w:sz="4" w:space="0" w:color="auto"/>
              <w:right w:val="single" w:sz="4" w:space="0" w:color="auto"/>
            </w:tcBorders>
          </w:tcPr>
          <w:p w14:paraId="6A8E277C" w14:textId="77777777" w:rsidR="00B24718" w:rsidRDefault="00B24718"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6A8DC258" w14:textId="77777777" w:rsidR="00B24718" w:rsidRDefault="00B24718" w:rsidP="004130A7">
            <w:pPr>
              <w:spacing w:after="0" w:line="240" w:lineRule="auto"/>
              <w:rPr>
                <w:sz w:val="24"/>
                <w:szCs w:val="24"/>
              </w:rPr>
            </w:pPr>
            <w:r>
              <w:rPr>
                <w:sz w:val="24"/>
                <w:szCs w:val="24"/>
              </w:rPr>
              <w:t xml:space="preserve">  1             2 3</w:t>
            </w:r>
          </w:p>
        </w:tc>
      </w:tr>
      <w:tr w:rsidR="00B24718" w14:paraId="727541B5" w14:textId="77777777" w:rsidTr="00B24718">
        <w:tc>
          <w:tcPr>
            <w:tcW w:w="2569" w:type="dxa"/>
            <w:tcBorders>
              <w:top w:val="single" w:sz="4" w:space="0" w:color="auto"/>
              <w:left w:val="single" w:sz="4" w:space="0" w:color="auto"/>
              <w:bottom w:val="single" w:sz="4" w:space="0" w:color="auto"/>
              <w:right w:val="single" w:sz="4" w:space="0" w:color="auto"/>
            </w:tcBorders>
          </w:tcPr>
          <w:p w14:paraId="7A3CC286" w14:textId="77777777" w:rsidR="00B24718" w:rsidRDefault="00B24718"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07FF9149" w14:textId="77777777" w:rsidR="00B24718" w:rsidRDefault="00B24718" w:rsidP="004130A7">
            <w:pPr>
              <w:spacing w:after="0" w:line="240" w:lineRule="auto"/>
              <w:rPr>
                <w:sz w:val="24"/>
                <w:szCs w:val="24"/>
              </w:rPr>
            </w:pPr>
            <w:r>
              <w:rPr>
                <w:sz w:val="24"/>
                <w:szCs w:val="24"/>
              </w:rPr>
              <w:t xml:space="preserve">  1             2 3</w:t>
            </w:r>
          </w:p>
        </w:tc>
      </w:tr>
      <w:tr w:rsidR="00B24718" w14:paraId="61733C63" w14:textId="77777777" w:rsidTr="00B24718">
        <w:tc>
          <w:tcPr>
            <w:tcW w:w="2569" w:type="dxa"/>
            <w:tcBorders>
              <w:top w:val="single" w:sz="4" w:space="0" w:color="auto"/>
              <w:left w:val="single" w:sz="4" w:space="0" w:color="auto"/>
              <w:bottom w:val="single" w:sz="4" w:space="0" w:color="auto"/>
              <w:right w:val="single" w:sz="4" w:space="0" w:color="auto"/>
            </w:tcBorders>
          </w:tcPr>
          <w:p w14:paraId="59E2068B" w14:textId="77777777" w:rsidR="00B24718" w:rsidRDefault="00B24718"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4F21DEF5" w14:textId="77777777" w:rsidR="00B24718" w:rsidRDefault="00B24718" w:rsidP="004130A7">
            <w:pPr>
              <w:spacing w:after="0" w:line="240" w:lineRule="auto"/>
              <w:rPr>
                <w:sz w:val="24"/>
                <w:szCs w:val="24"/>
              </w:rPr>
            </w:pPr>
            <w:r>
              <w:rPr>
                <w:sz w:val="24"/>
                <w:szCs w:val="24"/>
              </w:rPr>
              <w:t xml:space="preserve">                  1               2                                 3</w:t>
            </w:r>
          </w:p>
        </w:tc>
      </w:tr>
      <w:tr w:rsidR="00B24718" w14:paraId="7BF33E7E" w14:textId="77777777" w:rsidTr="00B24718">
        <w:tc>
          <w:tcPr>
            <w:tcW w:w="2569" w:type="dxa"/>
            <w:tcBorders>
              <w:top w:val="single" w:sz="4" w:space="0" w:color="auto"/>
              <w:left w:val="single" w:sz="4" w:space="0" w:color="auto"/>
              <w:bottom w:val="single" w:sz="4" w:space="0" w:color="auto"/>
              <w:right w:val="single" w:sz="4" w:space="0" w:color="auto"/>
            </w:tcBorders>
          </w:tcPr>
          <w:p w14:paraId="6C4AB060" w14:textId="77777777" w:rsidR="00B24718" w:rsidRDefault="00B24718"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085D3CD4" w14:textId="77777777" w:rsidR="00B24718" w:rsidRDefault="00B24718" w:rsidP="004130A7">
            <w:pPr>
              <w:spacing w:after="0" w:line="240" w:lineRule="auto"/>
              <w:rPr>
                <w:sz w:val="24"/>
                <w:szCs w:val="24"/>
              </w:rPr>
            </w:pPr>
            <w:r>
              <w:rPr>
                <w:sz w:val="24"/>
                <w:szCs w:val="24"/>
              </w:rPr>
              <w:t xml:space="preserve">                  1                                  2              3</w:t>
            </w:r>
          </w:p>
        </w:tc>
      </w:tr>
      <w:tr w:rsidR="00B24718" w14:paraId="1B8771D4" w14:textId="77777777" w:rsidTr="00B24718">
        <w:tc>
          <w:tcPr>
            <w:tcW w:w="2569" w:type="dxa"/>
            <w:tcBorders>
              <w:top w:val="single" w:sz="4" w:space="0" w:color="auto"/>
              <w:left w:val="single" w:sz="4" w:space="0" w:color="auto"/>
              <w:bottom w:val="single" w:sz="4" w:space="0" w:color="auto"/>
              <w:right w:val="single" w:sz="4" w:space="0" w:color="auto"/>
            </w:tcBorders>
          </w:tcPr>
          <w:p w14:paraId="5B6742B3" w14:textId="77777777" w:rsidR="00B24718" w:rsidRDefault="00B24718"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2376B195" w14:textId="77777777" w:rsidR="00B24718" w:rsidRDefault="00B24718" w:rsidP="004130A7">
            <w:pPr>
              <w:spacing w:after="0" w:line="240" w:lineRule="auto"/>
              <w:rPr>
                <w:sz w:val="24"/>
                <w:szCs w:val="24"/>
              </w:rPr>
            </w:pPr>
            <w:r>
              <w:rPr>
                <w:sz w:val="24"/>
                <w:szCs w:val="24"/>
              </w:rPr>
              <w:t xml:space="preserve">  1              2               3</w:t>
            </w:r>
          </w:p>
        </w:tc>
      </w:tr>
      <w:tr w:rsidR="00B24718" w14:paraId="0EC2D828" w14:textId="77777777" w:rsidTr="00B24718">
        <w:tc>
          <w:tcPr>
            <w:tcW w:w="2569" w:type="dxa"/>
            <w:tcBorders>
              <w:top w:val="single" w:sz="4" w:space="0" w:color="auto"/>
              <w:left w:val="single" w:sz="4" w:space="0" w:color="auto"/>
              <w:bottom w:val="single" w:sz="4" w:space="0" w:color="auto"/>
              <w:right w:val="single" w:sz="4" w:space="0" w:color="auto"/>
            </w:tcBorders>
          </w:tcPr>
          <w:p w14:paraId="0276BAF0" w14:textId="77777777" w:rsidR="00B24718" w:rsidRDefault="00B24718"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1FEE29B5" w14:textId="77777777" w:rsidR="00B24718" w:rsidRDefault="00B24718" w:rsidP="004130A7">
            <w:pPr>
              <w:spacing w:after="0" w:line="240" w:lineRule="auto"/>
              <w:rPr>
                <w:sz w:val="24"/>
                <w:szCs w:val="24"/>
              </w:rPr>
            </w:pPr>
            <w:r>
              <w:rPr>
                <w:sz w:val="24"/>
                <w:szCs w:val="24"/>
              </w:rPr>
              <w:t>1 2 3</w:t>
            </w:r>
          </w:p>
        </w:tc>
      </w:tr>
      <w:tr w:rsidR="00B24718" w14:paraId="2E77054F" w14:textId="77777777" w:rsidTr="00B24718">
        <w:tc>
          <w:tcPr>
            <w:tcW w:w="2569" w:type="dxa"/>
            <w:tcBorders>
              <w:top w:val="single" w:sz="4" w:space="0" w:color="auto"/>
              <w:left w:val="single" w:sz="4" w:space="0" w:color="auto"/>
              <w:bottom w:val="single" w:sz="4" w:space="0" w:color="auto"/>
              <w:right w:val="single" w:sz="4" w:space="0" w:color="auto"/>
            </w:tcBorders>
          </w:tcPr>
          <w:p w14:paraId="4E5E6FEB" w14:textId="77777777" w:rsidR="00B24718" w:rsidRDefault="00B24718"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17F85F91" w14:textId="77777777" w:rsidR="00B24718" w:rsidRDefault="00B24718" w:rsidP="004130A7">
            <w:pPr>
              <w:keepNext/>
              <w:spacing w:after="0" w:line="240" w:lineRule="auto"/>
              <w:rPr>
                <w:sz w:val="24"/>
                <w:szCs w:val="24"/>
              </w:rPr>
            </w:pPr>
            <w:r>
              <w:rPr>
                <w:sz w:val="24"/>
                <w:szCs w:val="24"/>
              </w:rPr>
              <w:t xml:space="preserve">  1              2                                  3</w:t>
            </w:r>
          </w:p>
        </w:tc>
      </w:tr>
    </w:tbl>
    <w:p w14:paraId="41D82ECC" w14:textId="0DAAC92C" w:rsidR="00272012" w:rsidRPr="004605E6" w:rsidRDefault="00272012" w:rsidP="00272012">
      <w:pPr>
        <w:pStyle w:val="Caption"/>
        <w:spacing w:after="120" w:line="360" w:lineRule="auto"/>
      </w:pPr>
      <w:bookmarkStart w:id="315" w:name="_Toc531023161"/>
      <w:bookmarkStart w:id="316" w:name="_Toc536438922"/>
      <w:bookmarkStart w:id="317" w:name="_Toc31702097"/>
      <w:r w:rsidRPr="004605E6">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28</w:t>
      </w:r>
      <w:r w:rsidR="00233012">
        <w:rPr>
          <w:noProof/>
        </w:rPr>
        <w:fldChar w:fldCharType="end"/>
      </w:r>
      <w:r w:rsidRPr="004605E6">
        <w:t>. Plotted typology.</w:t>
      </w:r>
      <w:r>
        <w:t xml:space="preserve"> BoR10.1</w:t>
      </w:r>
      <w:bookmarkEnd w:id="315"/>
      <w:bookmarkEnd w:id="316"/>
      <w:bookmarkEnd w:id="317"/>
    </w:p>
    <w:p w14:paraId="1D8827F2" w14:textId="0451B77F" w:rsidR="00272012" w:rsidRDefault="009528FE" w:rsidP="00272012">
      <w:pPr>
        <w:pStyle w:val="Heading4"/>
      </w:pPr>
      <w:r>
        <w:t>Body of Research 10.2: ‘Quantification of the benefits of statins’</w:t>
      </w:r>
    </w:p>
    <w:p w14:paraId="0B712E9B" w14:textId="5EDF972E" w:rsidR="00272012" w:rsidRPr="00FC33ED" w:rsidRDefault="00272012" w:rsidP="00272012">
      <w:pPr>
        <w:spacing w:after="120" w:line="360" w:lineRule="auto"/>
        <w:rPr>
          <w:sz w:val="24"/>
          <w:szCs w:val="24"/>
        </w:rPr>
      </w:pPr>
      <w:r w:rsidRPr="00FC33ED">
        <w:rPr>
          <w:sz w:val="24"/>
          <w:szCs w:val="24"/>
        </w:rPr>
        <w:t>Titl</w:t>
      </w:r>
      <w:r w:rsidR="009528FE">
        <w:rPr>
          <w:sz w:val="24"/>
          <w:szCs w:val="24"/>
        </w:rPr>
        <w:t>e of relevant REF Impact Case Study:</w:t>
      </w:r>
      <w:r w:rsidRPr="00FC33ED">
        <w:rPr>
          <w:sz w:val="24"/>
          <w:szCs w:val="24"/>
        </w:rPr>
        <w:t xml:space="preserve"> </w:t>
      </w:r>
      <w:r>
        <w:rPr>
          <w:sz w:val="24"/>
          <w:szCs w:val="24"/>
        </w:rPr>
        <w:t>‘Quantification of the benefits of statins’</w:t>
      </w:r>
    </w:p>
    <w:p w14:paraId="1015B2EC" w14:textId="42B7B75F" w:rsidR="00272012" w:rsidRDefault="00272012" w:rsidP="00272012">
      <w:pPr>
        <w:spacing w:after="120" w:line="360" w:lineRule="auto"/>
        <w:rPr>
          <w:sz w:val="24"/>
          <w:szCs w:val="24"/>
        </w:rPr>
      </w:pPr>
      <w:r w:rsidRPr="00FC33ED">
        <w:rPr>
          <w:sz w:val="24"/>
          <w:szCs w:val="24"/>
          <w:u w:val="single"/>
        </w:rPr>
        <w:t xml:space="preserve">Phase 1. </w:t>
      </w:r>
      <w:r>
        <w:rPr>
          <w:sz w:val="24"/>
          <w:szCs w:val="24"/>
          <w:u w:val="single"/>
        </w:rPr>
        <w:t>Conducting a large clinical trial on a controversial but high-potential drug</w:t>
      </w:r>
      <w:r>
        <w:rPr>
          <w:sz w:val="24"/>
          <w:szCs w:val="24"/>
          <w:u w:val="single"/>
        </w:rPr>
        <w:br/>
      </w:r>
      <w:r>
        <w:rPr>
          <w:sz w:val="24"/>
          <w:szCs w:val="24"/>
        </w:rPr>
        <w:t>In 1988, Glasgow statisticians became involved in a bid to conduct a trial of ‘statins’, cholesterol-lowering drugs, for a large pharmaceutical company. Some scientific and media controversy surrounded statins. Some research had shown cardiovascular health benefits, while some observational studies had associated statins with increased risk of heart disease and even death from unrelated causes, such as cancer and even murder.</w:t>
      </w:r>
    </w:p>
    <w:p w14:paraId="2B7DCD92" w14:textId="77777777" w:rsidR="00272012" w:rsidRDefault="00272012" w:rsidP="00272012">
      <w:pPr>
        <w:spacing w:after="120" w:line="360" w:lineRule="auto"/>
        <w:rPr>
          <w:sz w:val="24"/>
          <w:szCs w:val="24"/>
        </w:rPr>
      </w:pPr>
      <w:r>
        <w:rPr>
          <w:sz w:val="24"/>
          <w:szCs w:val="24"/>
        </w:rPr>
        <w:t>Despite this, the bidding team believed that there was a high potential for statins, particularly in Scotland where the rate of heart disease was higher than any other country in the world. They designed a clinical trial of statins on individuals who, demographically, could be considered at-risk but had no history of heart disease. The bidding team were unique in proposing to study individuals with no history of heart failure, and this preventative objective was a significant factor in their being awarded the trial, known as the West of Scotland Coronary Prevention Study (WOSCOPS).</w:t>
      </w:r>
    </w:p>
    <w:p w14:paraId="1444189B" w14:textId="77777777" w:rsidR="00272012" w:rsidRDefault="00272012" w:rsidP="00272012">
      <w:pPr>
        <w:spacing w:after="120" w:line="360" w:lineRule="auto"/>
        <w:rPr>
          <w:sz w:val="24"/>
          <w:szCs w:val="24"/>
        </w:rPr>
      </w:pPr>
      <w:r>
        <w:rPr>
          <w:sz w:val="24"/>
          <w:szCs w:val="24"/>
        </w:rPr>
        <w:t xml:space="preserve">Statins’ controversy hindered participant recruitment. Only with great effort from the institutional partners and leaders, hundreds of health professionals, and the large team of data collectors which made up the WOSCOPS team, over a period of more than two-and-a-half years and around 150,000 patient visits, were the team were able to identify, screen, and recruit an appropriate number of consenting participants (approximately 6,600 in total). This was followed by more than 130,000 follow-up visits for all participants over a five-year trial period. The trial confirmed significant health benefits of statins, including a 31% reduction in coronary events and a 28% reduction in deaths from coronary heart disease. Crucially, no significant negative effects of statins were identified.  </w:t>
      </w:r>
    </w:p>
    <w:p w14:paraId="1370BF7D" w14:textId="1D02946D" w:rsidR="00272012" w:rsidRDefault="00272012" w:rsidP="00272012">
      <w:pPr>
        <w:spacing w:after="120" w:line="360" w:lineRule="auto"/>
        <w:rPr>
          <w:sz w:val="24"/>
          <w:szCs w:val="24"/>
        </w:rPr>
      </w:pPr>
      <w:r w:rsidRPr="00FC33ED">
        <w:rPr>
          <w:sz w:val="24"/>
          <w:szCs w:val="24"/>
          <w:u w:val="single"/>
        </w:rPr>
        <w:t xml:space="preserve">Phase 2. </w:t>
      </w:r>
      <w:r>
        <w:rPr>
          <w:sz w:val="24"/>
          <w:szCs w:val="24"/>
          <w:u w:val="single"/>
        </w:rPr>
        <w:t>Methodological innovations to enable long-term follow-up of participants</w:t>
      </w:r>
      <w:r>
        <w:rPr>
          <w:sz w:val="24"/>
          <w:szCs w:val="24"/>
          <w:u w:val="single"/>
        </w:rPr>
        <w:br/>
      </w:r>
      <w:r>
        <w:rPr>
          <w:sz w:val="24"/>
          <w:szCs w:val="24"/>
        </w:rPr>
        <w:t xml:space="preserve">After having collected and analysed the massive amount of data described in Phase 1, the WOSCOPS leaders were keen to continue the follow-up of patients in order to understand the longer-term effects of statins. This required two kinds of methodological innovation to address two significant challenges, the first practical, the second analytical. Both were ultimately delivered by the Glasgow Centre for Biostatistics. </w:t>
      </w:r>
    </w:p>
    <w:p w14:paraId="676ED555" w14:textId="77777777" w:rsidR="00272012" w:rsidRDefault="00272012" w:rsidP="00272012">
      <w:pPr>
        <w:spacing w:after="120" w:line="360" w:lineRule="auto"/>
        <w:rPr>
          <w:sz w:val="24"/>
          <w:szCs w:val="24"/>
        </w:rPr>
      </w:pPr>
      <w:r>
        <w:rPr>
          <w:sz w:val="24"/>
          <w:szCs w:val="24"/>
        </w:rPr>
        <w:t xml:space="preserve">The major practical challenge was how to physically check up on participants. After around seven years of data collection and around 280,000 patient visits, securing funds to continue this level of on-the-ground support was unfeasible. Near the end of the data-collection, Glasgow created a doctoral studentship which would focus on the feasibility of using digitally-stored records of patients to act as a method for collecting follow-up data, rather than patients needing to be physically called in for the sole purpose of follow-ups. It was shown that the results that would have been achieved by using digital data were almost exactly the same as the actual results that had been achieved by physical follow-ups throughout the five-year trial period. After completing the PhD, the student in question was hired by the Government to work on the digital patient data system, and future follow-ups (see Phase 3) were able to implement this approach.  </w:t>
      </w:r>
    </w:p>
    <w:p w14:paraId="21FAFD31" w14:textId="77777777" w:rsidR="00272012" w:rsidRPr="00FC33ED" w:rsidRDefault="00272012" w:rsidP="00272012">
      <w:pPr>
        <w:spacing w:after="120" w:line="360" w:lineRule="auto"/>
        <w:rPr>
          <w:sz w:val="24"/>
          <w:szCs w:val="24"/>
          <w:u w:val="single"/>
        </w:rPr>
      </w:pPr>
      <w:r>
        <w:rPr>
          <w:sz w:val="24"/>
          <w:szCs w:val="24"/>
        </w:rPr>
        <w:t xml:space="preserve">The second challenge related to a widespread confusion and misunderstanding, even amongst medical statistical experts, about the methodological step from </w:t>
      </w:r>
      <w:r w:rsidRPr="0081390F">
        <w:rPr>
          <w:sz w:val="24"/>
          <w:szCs w:val="24"/>
        </w:rPr>
        <w:t>analysing results</w:t>
      </w:r>
      <w:r>
        <w:rPr>
          <w:sz w:val="24"/>
          <w:szCs w:val="24"/>
        </w:rPr>
        <w:t xml:space="preserve"> of long-term trials to </w:t>
      </w:r>
      <w:r w:rsidRPr="0081390F">
        <w:rPr>
          <w:sz w:val="24"/>
          <w:szCs w:val="24"/>
        </w:rPr>
        <w:t>predicting the actual effects</w:t>
      </w:r>
      <w:r>
        <w:rPr>
          <w:sz w:val="24"/>
          <w:szCs w:val="24"/>
        </w:rPr>
        <w:t xml:space="preserve"> of treatment on given patients in clinical settings. This predictive capability, although not essential to demonstrating the general effectiveness and safety of a drug (the concern of industry), is very important clinically (the concern of health practitioners), particularly in health systems free at the point of contact, because the strength of a prediction will affect costing decisions (the concern of Government) about which sub-groups (age, health status, gender etc.) of a population should be offered the treatment, when, and for how long. The breakthrough development in the statistical treatment of this issue resulted in the relevant Glasgow staff to be invited to discuss this work and its implications both at a major conference of the Royal Statistical Society and in a major medical statistics journal. </w:t>
      </w:r>
    </w:p>
    <w:p w14:paraId="34CFF613" w14:textId="42F9325B" w:rsidR="00272012" w:rsidRDefault="00272012" w:rsidP="00272012">
      <w:pPr>
        <w:spacing w:after="120" w:line="360" w:lineRule="auto"/>
        <w:rPr>
          <w:sz w:val="24"/>
          <w:szCs w:val="24"/>
        </w:rPr>
      </w:pPr>
      <w:r w:rsidRPr="00FC33ED">
        <w:rPr>
          <w:sz w:val="24"/>
          <w:szCs w:val="24"/>
          <w:u w:val="single"/>
        </w:rPr>
        <w:t>Phase 3.</w:t>
      </w:r>
      <w:r>
        <w:rPr>
          <w:sz w:val="24"/>
          <w:szCs w:val="24"/>
          <w:u w:val="single"/>
        </w:rPr>
        <w:t xml:space="preserve"> Long-term follow-ups of WOSCOPS </w:t>
      </w:r>
      <w:r>
        <w:rPr>
          <w:sz w:val="24"/>
          <w:szCs w:val="24"/>
          <w:u w:val="single"/>
        </w:rPr>
        <w:br/>
      </w:r>
      <w:r>
        <w:rPr>
          <w:sz w:val="24"/>
          <w:szCs w:val="24"/>
        </w:rPr>
        <w:t xml:space="preserve">The ten-year follow-up (referenced in the Case Study) and all subsequent five-yearly follow-ups (the twenty-five-year follow-up is now under way) have all depended on the two methodological innovations achieved in Phase 2. The record-linkage methodological innovation has massively reduced the labour-intensity and levels of funding required for follow-ups, these requiring only relatively modest grants from health organisations or the Scottish Government. And the statistical innovation has allowed more accurate predictions of the treatment effects of statins and helped to prompt the up-take of statins in medical guidelines and practice globally. The follow-up studies continue to show a range of significant long-term health benefits of cholesterol-lowering statins without significant negative side-effects. </w:t>
      </w:r>
    </w:p>
    <w:p w14:paraId="6D0DAA58" w14:textId="404CD147" w:rsidR="00237CD8" w:rsidRDefault="00237CD8" w:rsidP="00272012">
      <w:pPr>
        <w:spacing w:after="120" w:line="360" w:lineRule="auto"/>
        <w:rPr>
          <w:sz w:val="24"/>
          <w:szCs w:val="24"/>
        </w:rPr>
      </w:pPr>
    </w:p>
    <w:p w14:paraId="5E056C6E" w14:textId="111D976C" w:rsidR="00237CD8" w:rsidRDefault="00237CD8" w:rsidP="00272012">
      <w:pPr>
        <w:spacing w:after="120" w:line="360" w:lineRule="auto"/>
        <w:rPr>
          <w:sz w:val="24"/>
          <w:szCs w:val="24"/>
        </w:rPr>
      </w:pPr>
    </w:p>
    <w:p w14:paraId="3746CD72" w14:textId="324465A2" w:rsidR="00237CD8" w:rsidRDefault="00237CD8" w:rsidP="00272012">
      <w:pPr>
        <w:spacing w:after="120" w:line="360" w:lineRule="auto"/>
        <w:rPr>
          <w:sz w:val="24"/>
          <w:szCs w:val="24"/>
        </w:rPr>
      </w:pPr>
    </w:p>
    <w:p w14:paraId="04FBBBD1" w14:textId="4860EABC" w:rsidR="00237CD8" w:rsidRDefault="00237CD8" w:rsidP="00272012">
      <w:pPr>
        <w:spacing w:after="120" w:line="360" w:lineRule="auto"/>
        <w:rPr>
          <w:sz w:val="24"/>
          <w:szCs w:val="24"/>
        </w:rPr>
      </w:pPr>
    </w:p>
    <w:p w14:paraId="491A15C6" w14:textId="77777777" w:rsidR="00237CD8" w:rsidRPr="00E524F2" w:rsidRDefault="00237CD8" w:rsidP="00272012">
      <w:pPr>
        <w:spacing w:after="120" w:line="360" w:lineRule="auto"/>
        <w:rPr>
          <w:sz w:val="24"/>
          <w:szCs w:val="24"/>
        </w:rPr>
      </w:pPr>
    </w:p>
    <w:tbl>
      <w:tblPr>
        <w:tblW w:w="7155" w:type="dxa"/>
        <w:tblLook w:val="04A0" w:firstRow="1" w:lastRow="0" w:firstColumn="1" w:lastColumn="0" w:noHBand="0" w:noVBand="1"/>
      </w:tblPr>
      <w:tblGrid>
        <w:gridCol w:w="2569"/>
        <w:gridCol w:w="4586"/>
      </w:tblGrid>
      <w:tr w:rsidR="00B24718" w14:paraId="521D847D" w14:textId="77777777" w:rsidTr="00B24718">
        <w:tc>
          <w:tcPr>
            <w:tcW w:w="2569" w:type="dxa"/>
            <w:tcBorders>
              <w:top w:val="single" w:sz="4" w:space="0" w:color="auto"/>
              <w:left w:val="single" w:sz="4" w:space="0" w:color="auto"/>
              <w:bottom w:val="single" w:sz="4" w:space="0" w:color="auto"/>
              <w:right w:val="single" w:sz="4" w:space="0" w:color="auto"/>
            </w:tcBorders>
          </w:tcPr>
          <w:p w14:paraId="4F06B0FF" w14:textId="113D3CF6" w:rsidR="00B24718" w:rsidRPr="002B4060" w:rsidRDefault="00B24718" w:rsidP="00B24718">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59E053CA" w14:textId="77777777" w:rsidR="00B24718" w:rsidRPr="00B8594F" w:rsidRDefault="00B24718" w:rsidP="00B24718">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5CD77E84" w14:textId="0DFB5151" w:rsidR="00B24718" w:rsidRPr="00B8594F" w:rsidRDefault="00B24718" w:rsidP="00B24718">
            <w:pPr>
              <w:spacing w:after="0" w:line="240" w:lineRule="auto"/>
              <w:jc w:val="center"/>
              <w:rPr>
                <w:b/>
                <w:sz w:val="24"/>
                <w:szCs w:val="24"/>
              </w:rPr>
            </w:pPr>
            <w:r w:rsidRPr="00B8594F">
              <w:rPr>
                <w:b/>
                <w:sz w:val="24"/>
                <w:szCs w:val="24"/>
              </w:rPr>
              <w:t>1               2               3               4               5</w:t>
            </w:r>
          </w:p>
        </w:tc>
      </w:tr>
      <w:tr w:rsidR="00B24718" w14:paraId="509AEEC1" w14:textId="77777777" w:rsidTr="00B24718">
        <w:tc>
          <w:tcPr>
            <w:tcW w:w="2569" w:type="dxa"/>
            <w:tcBorders>
              <w:top w:val="single" w:sz="4" w:space="0" w:color="auto"/>
              <w:left w:val="single" w:sz="4" w:space="0" w:color="auto"/>
              <w:bottom w:val="single" w:sz="4" w:space="0" w:color="auto"/>
              <w:right w:val="single" w:sz="4" w:space="0" w:color="auto"/>
            </w:tcBorders>
          </w:tcPr>
          <w:p w14:paraId="67595662" w14:textId="77777777" w:rsidR="00B24718" w:rsidRDefault="00B24718"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6953D839" w14:textId="77777777" w:rsidR="00B24718" w:rsidRDefault="00B24718" w:rsidP="004130A7">
            <w:pPr>
              <w:spacing w:after="0" w:line="240" w:lineRule="auto"/>
              <w:rPr>
                <w:sz w:val="24"/>
                <w:szCs w:val="24"/>
              </w:rPr>
            </w:pPr>
            <w:r>
              <w:rPr>
                <w:sz w:val="24"/>
                <w:szCs w:val="24"/>
              </w:rPr>
              <w:t>1 2 3</w:t>
            </w:r>
          </w:p>
        </w:tc>
      </w:tr>
      <w:tr w:rsidR="00B24718" w14:paraId="7FAB1FA8" w14:textId="77777777" w:rsidTr="00B24718">
        <w:tc>
          <w:tcPr>
            <w:tcW w:w="2569" w:type="dxa"/>
            <w:tcBorders>
              <w:top w:val="single" w:sz="4" w:space="0" w:color="auto"/>
              <w:left w:val="single" w:sz="4" w:space="0" w:color="auto"/>
              <w:bottom w:val="single" w:sz="4" w:space="0" w:color="auto"/>
              <w:right w:val="single" w:sz="4" w:space="0" w:color="auto"/>
            </w:tcBorders>
          </w:tcPr>
          <w:p w14:paraId="6989963A" w14:textId="77777777" w:rsidR="00B24718" w:rsidRDefault="00B24718"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5E550B9B" w14:textId="77777777" w:rsidR="00B24718" w:rsidRDefault="00B24718" w:rsidP="004130A7">
            <w:pPr>
              <w:spacing w:after="0" w:line="240" w:lineRule="auto"/>
              <w:rPr>
                <w:sz w:val="24"/>
                <w:szCs w:val="24"/>
              </w:rPr>
            </w:pPr>
            <w:r>
              <w:rPr>
                <w:sz w:val="24"/>
                <w:szCs w:val="24"/>
              </w:rPr>
              <w:t xml:space="preserve">                                  1 2              3</w:t>
            </w:r>
          </w:p>
        </w:tc>
      </w:tr>
      <w:tr w:rsidR="00B24718" w14:paraId="78A6233B" w14:textId="77777777" w:rsidTr="00B24718">
        <w:tc>
          <w:tcPr>
            <w:tcW w:w="2569" w:type="dxa"/>
            <w:tcBorders>
              <w:top w:val="single" w:sz="4" w:space="0" w:color="auto"/>
              <w:left w:val="single" w:sz="4" w:space="0" w:color="auto"/>
              <w:bottom w:val="single" w:sz="4" w:space="0" w:color="auto"/>
              <w:right w:val="single" w:sz="4" w:space="0" w:color="auto"/>
            </w:tcBorders>
          </w:tcPr>
          <w:p w14:paraId="5792B786" w14:textId="77777777" w:rsidR="00B24718" w:rsidRDefault="00B24718"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32977D13" w14:textId="77777777" w:rsidR="00B24718" w:rsidRDefault="00B24718" w:rsidP="004130A7">
            <w:pPr>
              <w:spacing w:after="0" w:line="240" w:lineRule="auto"/>
              <w:rPr>
                <w:sz w:val="24"/>
                <w:szCs w:val="24"/>
              </w:rPr>
            </w:pPr>
            <w:r>
              <w:rPr>
                <w:sz w:val="24"/>
                <w:szCs w:val="24"/>
              </w:rPr>
              <w:t xml:space="preserve">                 2 3             1</w:t>
            </w:r>
          </w:p>
        </w:tc>
      </w:tr>
      <w:tr w:rsidR="00B24718" w14:paraId="0F3B5B80" w14:textId="77777777" w:rsidTr="00B24718">
        <w:tc>
          <w:tcPr>
            <w:tcW w:w="2569" w:type="dxa"/>
            <w:tcBorders>
              <w:top w:val="single" w:sz="4" w:space="0" w:color="auto"/>
              <w:left w:val="single" w:sz="4" w:space="0" w:color="auto"/>
              <w:bottom w:val="single" w:sz="4" w:space="0" w:color="auto"/>
              <w:right w:val="single" w:sz="4" w:space="0" w:color="auto"/>
            </w:tcBorders>
          </w:tcPr>
          <w:p w14:paraId="2EFEF845" w14:textId="77777777" w:rsidR="00B24718" w:rsidRDefault="00B24718"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06874A55" w14:textId="77777777" w:rsidR="00B24718" w:rsidRDefault="00B24718" w:rsidP="004130A7">
            <w:pPr>
              <w:spacing w:after="0" w:line="240" w:lineRule="auto"/>
              <w:rPr>
                <w:sz w:val="24"/>
                <w:szCs w:val="24"/>
              </w:rPr>
            </w:pPr>
            <w:r>
              <w:rPr>
                <w:sz w:val="24"/>
                <w:szCs w:val="24"/>
              </w:rPr>
              <w:t xml:space="preserve">               1 2 3</w:t>
            </w:r>
          </w:p>
        </w:tc>
      </w:tr>
      <w:tr w:rsidR="00B24718" w14:paraId="176EAAE2" w14:textId="77777777" w:rsidTr="00B24718">
        <w:tc>
          <w:tcPr>
            <w:tcW w:w="2569" w:type="dxa"/>
            <w:tcBorders>
              <w:top w:val="single" w:sz="4" w:space="0" w:color="auto"/>
              <w:left w:val="single" w:sz="4" w:space="0" w:color="auto"/>
              <w:bottom w:val="single" w:sz="4" w:space="0" w:color="auto"/>
              <w:right w:val="single" w:sz="4" w:space="0" w:color="auto"/>
            </w:tcBorders>
          </w:tcPr>
          <w:p w14:paraId="5DA8DBFC" w14:textId="77777777" w:rsidR="00B24718" w:rsidRDefault="00B24718"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320C2831" w14:textId="77777777" w:rsidR="00B24718" w:rsidRDefault="00B24718" w:rsidP="004130A7">
            <w:pPr>
              <w:spacing w:after="0" w:line="240" w:lineRule="auto"/>
              <w:rPr>
                <w:sz w:val="24"/>
                <w:szCs w:val="24"/>
              </w:rPr>
            </w:pPr>
            <w:r>
              <w:rPr>
                <w:sz w:val="24"/>
                <w:szCs w:val="24"/>
              </w:rPr>
              <w:t xml:space="preserve">                                    2               1              3</w:t>
            </w:r>
          </w:p>
        </w:tc>
      </w:tr>
      <w:tr w:rsidR="00B24718" w14:paraId="1B251DE6" w14:textId="77777777" w:rsidTr="00B24718">
        <w:tc>
          <w:tcPr>
            <w:tcW w:w="2569" w:type="dxa"/>
            <w:tcBorders>
              <w:top w:val="single" w:sz="4" w:space="0" w:color="auto"/>
              <w:left w:val="single" w:sz="4" w:space="0" w:color="auto"/>
              <w:bottom w:val="single" w:sz="4" w:space="0" w:color="auto"/>
              <w:right w:val="single" w:sz="4" w:space="0" w:color="auto"/>
            </w:tcBorders>
          </w:tcPr>
          <w:p w14:paraId="53FEE62E" w14:textId="77777777" w:rsidR="00B24718" w:rsidRDefault="00B24718"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74D143DB" w14:textId="77777777" w:rsidR="00B24718" w:rsidRDefault="00B24718" w:rsidP="004130A7">
            <w:pPr>
              <w:tabs>
                <w:tab w:val="left" w:pos="1089"/>
              </w:tabs>
              <w:spacing w:after="0" w:line="240" w:lineRule="auto"/>
              <w:rPr>
                <w:sz w:val="24"/>
                <w:szCs w:val="24"/>
              </w:rPr>
            </w:pPr>
            <w:r>
              <w:rPr>
                <w:sz w:val="24"/>
                <w:szCs w:val="24"/>
              </w:rPr>
              <w:t>1 3</w:t>
            </w:r>
            <w:r>
              <w:rPr>
                <w:sz w:val="24"/>
                <w:szCs w:val="24"/>
              </w:rPr>
              <w:tab/>
              <w:t>2</w:t>
            </w:r>
          </w:p>
        </w:tc>
      </w:tr>
      <w:tr w:rsidR="00B24718" w14:paraId="44756E8A" w14:textId="77777777" w:rsidTr="00B24718">
        <w:tc>
          <w:tcPr>
            <w:tcW w:w="2569" w:type="dxa"/>
            <w:tcBorders>
              <w:top w:val="single" w:sz="4" w:space="0" w:color="auto"/>
              <w:left w:val="single" w:sz="4" w:space="0" w:color="auto"/>
              <w:bottom w:val="single" w:sz="4" w:space="0" w:color="auto"/>
              <w:right w:val="single" w:sz="4" w:space="0" w:color="auto"/>
            </w:tcBorders>
          </w:tcPr>
          <w:p w14:paraId="57BA4A93" w14:textId="77777777" w:rsidR="00B24718" w:rsidRDefault="00B24718"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20CBC5F1" w14:textId="77777777" w:rsidR="00B24718" w:rsidRDefault="00B24718" w:rsidP="004130A7">
            <w:pPr>
              <w:tabs>
                <w:tab w:val="left" w:pos="1227"/>
                <w:tab w:val="center" w:pos="2185"/>
                <w:tab w:val="left" w:pos="2595"/>
              </w:tabs>
              <w:spacing w:after="0" w:line="240" w:lineRule="auto"/>
              <w:rPr>
                <w:sz w:val="24"/>
                <w:szCs w:val="24"/>
              </w:rPr>
            </w:pPr>
            <w:r>
              <w:rPr>
                <w:sz w:val="24"/>
                <w:szCs w:val="24"/>
              </w:rPr>
              <w:t xml:space="preserve">                  2 3             1</w:t>
            </w:r>
          </w:p>
        </w:tc>
      </w:tr>
      <w:tr w:rsidR="00B24718" w14:paraId="7DE6A61B" w14:textId="77777777" w:rsidTr="00B24718">
        <w:tc>
          <w:tcPr>
            <w:tcW w:w="2569" w:type="dxa"/>
            <w:tcBorders>
              <w:top w:val="single" w:sz="4" w:space="0" w:color="auto"/>
              <w:left w:val="single" w:sz="4" w:space="0" w:color="auto"/>
              <w:bottom w:val="single" w:sz="4" w:space="0" w:color="auto"/>
              <w:right w:val="single" w:sz="4" w:space="0" w:color="auto"/>
            </w:tcBorders>
          </w:tcPr>
          <w:p w14:paraId="7585C31C" w14:textId="77777777" w:rsidR="00B24718" w:rsidRDefault="00B24718"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279AEF9A" w14:textId="77777777" w:rsidR="00B24718" w:rsidRDefault="00B24718" w:rsidP="004130A7">
            <w:pPr>
              <w:spacing w:after="0" w:line="240" w:lineRule="auto"/>
              <w:rPr>
                <w:sz w:val="24"/>
                <w:szCs w:val="24"/>
              </w:rPr>
            </w:pPr>
            <w:r>
              <w:rPr>
                <w:sz w:val="24"/>
                <w:szCs w:val="24"/>
              </w:rPr>
              <w:t xml:space="preserve">                   2              1 3</w:t>
            </w:r>
          </w:p>
        </w:tc>
      </w:tr>
      <w:tr w:rsidR="00B24718" w14:paraId="3BC9E65D" w14:textId="77777777" w:rsidTr="00B24718">
        <w:tc>
          <w:tcPr>
            <w:tcW w:w="2569" w:type="dxa"/>
            <w:tcBorders>
              <w:top w:val="single" w:sz="4" w:space="0" w:color="auto"/>
              <w:left w:val="single" w:sz="4" w:space="0" w:color="auto"/>
              <w:bottom w:val="single" w:sz="4" w:space="0" w:color="auto"/>
              <w:right w:val="single" w:sz="4" w:space="0" w:color="auto"/>
            </w:tcBorders>
          </w:tcPr>
          <w:p w14:paraId="75620EC3" w14:textId="77777777" w:rsidR="00B24718" w:rsidRDefault="00B24718"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4DDD3F15" w14:textId="77777777" w:rsidR="00B24718" w:rsidRDefault="00B24718" w:rsidP="004130A7">
            <w:pPr>
              <w:spacing w:after="0" w:line="240" w:lineRule="auto"/>
              <w:rPr>
                <w:sz w:val="24"/>
                <w:szCs w:val="24"/>
              </w:rPr>
            </w:pPr>
            <w:r>
              <w:rPr>
                <w:sz w:val="24"/>
                <w:szCs w:val="24"/>
              </w:rPr>
              <w:t xml:space="preserve">                  2 3             1</w:t>
            </w:r>
          </w:p>
        </w:tc>
      </w:tr>
      <w:tr w:rsidR="00B24718" w14:paraId="4DF039DB" w14:textId="77777777" w:rsidTr="00B24718">
        <w:tc>
          <w:tcPr>
            <w:tcW w:w="2569" w:type="dxa"/>
            <w:tcBorders>
              <w:top w:val="single" w:sz="4" w:space="0" w:color="auto"/>
              <w:left w:val="single" w:sz="4" w:space="0" w:color="auto"/>
              <w:bottom w:val="single" w:sz="4" w:space="0" w:color="auto"/>
              <w:right w:val="single" w:sz="4" w:space="0" w:color="auto"/>
            </w:tcBorders>
          </w:tcPr>
          <w:p w14:paraId="095F7769" w14:textId="77777777" w:rsidR="00B24718" w:rsidRDefault="00B24718"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2E74B27D" w14:textId="77777777" w:rsidR="00B24718" w:rsidRDefault="00B24718" w:rsidP="004130A7">
            <w:pPr>
              <w:spacing w:after="0" w:line="240" w:lineRule="auto"/>
              <w:rPr>
                <w:sz w:val="24"/>
                <w:szCs w:val="24"/>
              </w:rPr>
            </w:pPr>
            <w:r>
              <w:rPr>
                <w:sz w:val="24"/>
                <w:szCs w:val="24"/>
              </w:rPr>
              <w:t xml:space="preserve">                  2 3             1</w:t>
            </w:r>
          </w:p>
        </w:tc>
      </w:tr>
      <w:tr w:rsidR="00B24718" w14:paraId="15AE1F62" w14:textId="77777777" w:rsidTr="00B24718">
        <w:tc>
          <w:tcPr>
            <w:tcW w:w="2569" w:type="dxa"/>
            <w:tcBorders>
              <w:top w:val="single" w:sz="4" w:space="0" w:color="auto"/>
              <w:left w:val="single" w:sz="4" w:space="0" w:color="auto"/>
              <w:bottom w:val="single" w:sz="4" w:space="0" w:color="auto"/>
              <w:right w:val="single" w:sz="4" w:space="0" w:color="auto"/>
            </w:tcBorders>
          </w:tcPr>
          <w:p w14:paraId="531AADFF" w14:textId="77777777" w:rsidR="00B24718" w:rsidRDefault="00B24718"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4191E940" w14:textId="77777777" w:rsidR="00B24718" w:rsidRDefault="00B24718" w:rsidP="004130A7">
            <w:pPr>
              <w:spacing w:after="0" w:line="240" w:lineRule="auto"/>
              <w:rPr>
                <w:sz w:val="24"/>
                <w:szCs w:val="24"/>
              </w:rPr>
            </w:pPr>
            <w:r>
              <w:rPr>
                <w:sz w:val="24"/>
                <w:szCs w:val="24"/>
              </w:rPr>
              <w:t xml:space="preserve">                                   1 2             3</w:t>
            </w:r>
          </w:p>
        </w:tc>
      </w:tr>
      <w:tr w:rsidR="00B24718" w14:paraId="0A9FEA3C" w14:textId="77777777" w:rsidTr="00B24718">
        <w:tc>
          <w:tcPr>
            <w:tcW w:w="2569" w:type="dxa"/>
            <w:tcBorders>
              <w:top w:val="single" w:sz="4" w:space="0" w:color="auto"/>
              <w:left w:val="single" w:sz="4" w:space="0" w:color="auto"/>
              <w:bottom w:val="single" w:sz="4" w:space="0" w:color="auto"/>
              <w:right w:val="single" w:sz="4" w:space="0" w:color="auto"/>
            </w:tcBorders>
          </w:tcPr>
          <w:p w14:paraId="3A172A60" w14:textId="77777777" w:rsidR="00B24718" w:rsidRDefault="00B24718"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25C17B32" w14:textId="77777777" w:rsidR="00B24718" w:rsidRDefault="00B24718" w:rsidP="004130A7">
            <w:pPr>
              <w:spacing w:after="0" w:line="240" w:lineRule="auto"/>
              <w:rPr>
                <w:sz w:val="24"/>
                <w:szCs w:val="24"/>
              </w:rPr>
            </w:pPr>
            <w:r>
              <w:rPr>
                <w:sz w:val="24"/>
                <w:szCs w:val="24"/>
              </w:rPr>
              <w:t xml:space="preserve">                                 1 2 3</w:t>
            </w:r>
          </w:p>
        </w:tc>
      </w:tr>
      <w:tr w:rsidR="00B24718" w14:paraId="37285FD2" w14:textId="77777777" w:rsidTr="00B24718">
        <w:tc>
          <w:tcPr>
            <w:tcW w:w="2569" w:type="dxa"/>
            <w:tcBorders>
              <w:top w:val="single" w:sz="4" w:space="0" w:color="auto"/>
              <w:left w:val="single" w:sz="4" w:space="0" w:color="auto"/>
              <w:bottom w:val="single" w:sz="4" w:space="0" w:color="auto"/>
              <w:right w:val="single" w:sz="4" w:space="0" w:color="auto"/>
            </w:tcBorders>
          </w:tcPr>
          <w:p w14:paraId="27C5F3A5" w14:textId="77777777" w:rsidR="00B24718" w:rsidRDefault="00B24718"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7020D8C1" w14:textId="77777777" w:rsidR="00B24718" w:rsidRDefault="00B24718" w:rsidP="004130A7">
            <w:pPr>
              <w:spacing w:after="0" w:line="240" w:lineRule="auto"/>
              <w:rPr>
                <w:sz w:val="24"/>
                <w:szCs w:val="24"/>
              </w:rPr>
            </w:pPr>
            <w:r>
              <w:rPr>
                <w:sz w:val="24"/>
                <w:szCs w:val="24"/>
              </w:rPr>
              <w:t xml:space="preserve"> 3                2               1</w:t>
            </w:r>
          </w:p>
        </w:tc>
      </w:tr>
      <w:tr w:rsidR="00B24718" w14:paraId="28E4A1E4" w14:textId="77777777" w:rsidTr="00B24718">
        <w:tc>
          <w:tcPr>
            <w:tcW w:w="2569" w:type="dxa"/>
            <w:tcBorders>
              <w:top w:val="single" w:sz="4" w:space="0" w:color="auto"/>
              <w:left w:val="single" w:sz="4" w:space="0" w:color="auto"/>
              <w:bottom w:val="single" w:sz="4" w:space="0" w:color="auto"/>
              <w:right w:val="single" w:sz="4" w:space="0" w:color="auto"/>
            </w:tcBorders>
          </w:tcPr>
          <w:p w14:paraId="0B8C2BE8" w14:textId="77777777" w:rsidR="00B24718" w:rsidRDefault="00B24718"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1B7D16E9" w14:textId="77777777" w:rsidR="00B24718" w:rsidRDefault="00B24718" w:rsidP="004130A7">
            <w:pPr>
              <w:spacing w:after="0" w:line="240" w:lineRule="auto"/>
              <w:rPr>
                <w:sz w:val="24"/>
                <w:szCs w:val="24"/>
              </w:rPr>
            </w:pPr>
            <w:r>
              <w:rPr>
                <w:sz w:val="24"/>
                <w:szCs w:val="24"/>
              </w:rPr>
              <w:t>1 2 3</w:t>
            </w:r>
          </w:p>
        </w:tc>
      </w:tr>
      <w:tr w:rsidR="00B24718" w14:paraId="7789047E" w14:textId="77777777" w:rsidTr="00B24718">
        <w:tc>
          <w:tcPr>
            <w:tcW w:w="2569" w:type="dxa"/>
            <w:tcBorders>
              <w:top w:val="single" w:sz="4" w:space="0" w:color="auto"/>
              <w:left w:val="single" w:sz="4" w:space="0" w:color="auto"/>
              <w:bottom w:val="single" w:sz="4" w:space="0" w:color="auto"/>
              <w:right w:val="single" w:sz="4" w:space="0" w:color="auto"/>
            </w:tcBorders>
          </w:tcPr>
          <w:p w14:paraId="79E4DDCB" w14:textId="77777777" w:rsidR="00B24718" w:rsidRDefault="00B24718"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5C1D9FD1" w14:textId="77777777" w:rsidR="00B24718" w:rsidRDefault="00B24718" w:rsidP="004130A7">
            <w:pPr>
              <w:keepNext/>
              <w:spacing w:after="0" w:line="240" w:lineRule="auto"/>
              <w:rPr>
                <w:sz w:val="24"/>
                <w:szCs w:val="24"/>
              </w:rPr>
            </w:pPr>
            <w:r>
              <w:rPr>
                <w:sz w:val="24"/>
                <w:szCs w:val="24"/>
              </w:rPr>
              <w:t xml:space="preserve">                   2               3               1</w:t>
            </w:r>
          </w:p>
        </w:tc>
      </w:tr>
    </w:tbl>
    <w:p w14:paraId="6BE411B8" w14:textId="412A0F32" w:rsidR="00272012" w:rsidRPr="00D7064D" w:rsidRDefault="00272012" w:rsidP="00272012">
      <w:pPr>
        <w:pStyle w:val="Caption"/>
        <w:spacing w:after="120" w:line="360" w:lineRule="auto"/>
      </w:pPr>
      <w:bookmarkStart w:id="318" w:name="_Ref531133799"/>
      <w:bookmarkStart w:id="319" w:name="_Toc531023162"/>
      <w:bookmarkStart w:id="320" w:name="_Toc536438923"/>
      <w:bookmarkStart w:id="321" w:name="_Toc31702098"/>
      <w:r w:rsidRPr="00D7064D">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29</w:t>
      </w:r>
      <w:r w:rsidR="00233012">
        <w:rPr>
          <w:noProof/>
        </w:rPr>
        <w:fldChar w:fldCharType="end"/>
      </w:r>
      <w:bookmarkEnd w:id="318"/>
      <w:r w:rsidRPr="00D7064D">
        <w:t>. Plotted typology.</w:t>
      </w:r>
      <w:r>
        <w:t xml:space="preserve"> BoR10.2</w:t>
      </w:r>
      <w:bookmarkEnd w:id="319"/>
      <w:bookmarkEnd w:id="320"/>
      <w:bookmarkEnd w:id="321"/>
    </w:p>
    <w:p w14:paraId="121930F9" w14:textId="77777777" w:rsidR="00AE46D2" w:rsidRDefault="00AE46D2">
      <w:pPr>
        <w:rPr>
          <w:rFonts w:asciiTheme="majorHAnsi" w:eastAsiaTheme="majorEastAsia" w:hAnsiTheme="majorHAnsi" w:cstheme="majorBidi"/>
          <w:caps/>
          <w:color w:val="1F3763" w:themeColor="accent1" w:themeShade="7F"/>
          <w:sz w:val="24"/>
          <w:szCs w:val="24"/>
        </w:rPr>
      </w:pPr>
      <w:bookmarkStart w:id="322" w:name="_Toc531007177"/>
      <w:bookmarkStart w:id="323" w:name="_Toc536718003"/>
      <w:r>
        <w:br w:type="page"/>
      </w:r>
    </w:p>
    <w:p w14:paraId="2788BB54" w14:textId="4C0CF9B3" w:rsidR="00272012" w:rsidRDefault="0093259B" w:rsidP="00272012">
      <w:pPr>
        <w:pStyle w:val="Heading3"/>
      </w:pPr>
      <w:bookmarkStart w:id="324" w:name="_Toc31702026"/>
      <w:r>
        <w:t xml:space="preserve">BoRs sampled from </w:t>
      </w:r>
      <w:r w:rsidR="00272012">
        <w:t>UoA 11</w:t>
      </w:r>
      <w:bookmarkEnd w:id="322"/>
      <w:bookmarkEnd w:id="323"/>
      <w:bookmarkEnd w:id="324"/>
    </w:p>
    <w:p w14:paraId="4387462E" w14:textId="77777777" w:rsidR="00272012" w:rsidRDefault="00272012" w:rsidP="00272012">
      <w:pPr>
        <w:spacing w:after="120" w:line="360" w:lineRule="auto"/>
        <w:rPr>
          <w:sz w:val="24"/>
          <w:szCs w:val="24"/>
        </w:rPr>
      </w:pPr>
      <w:r>
        <w:rPr>
          <w:sz w:val="24"/>
          <w:szCs w:val="24"/>
        </w:rPr>
        <w:t xml:space="preserve">The University of Portsmouth’s Faculty of Technology contributes two BoRs, </w:t>
      </w:r>
      <w:r>
        <w:rPr>
          <w:i/>
          <w:sz w:val="24"/>
          <w:szCs w:val="24"/>
        </w:rPr>
        <w:t>‘Clinical outcome modelling saves lives’</w:t>
      </w:r>
      <w:r>
        <w:rPr>
          <w:sz w:val="24"/>
          <w:szCs w:val="24"/>
        </w:rPr>
        <w:t xml:space="preserve"> and </w:t>
      </w:r>
      <w:r w:rsidRPr="004B70E0">
        <w:rPr>
          <w:i/>
          <w:sz w:val="24"/>
          <w:szCs w:val="24"/>
        </w:rPr>
        <w:t>‘Improved mobility and quality of life for children with disabilities’</w:t>
      </w:r>
      <w:r>
        <w:rPr>
          <w:sz w:val="24"/>
          <w:szCs w:val="24"/>
        </w:rPr>
        <w:t xml:space="preserve">, delivered by two separate research units, respectively, the Centre for Healthcare Modelling and Informatics (CHMI) and the Systems Engineering Research Group (SERG). The two units, CHMI and SERG, each focus on leveraging interdisciplinary research networks and professional practitioner networks in order to maximise the relevance and impact of their applied research. </w:t>
      </w:r>
    </w:p>
    <w:p w14:paraId="379C232F" w14:textId="1917BE7D" w:rsidR="00272012" w:rsidRDefault="009528FE" w:rsidP="00272012">
      <w:pPr>
        <w:pStyle w:val="Heading4"/>
      </w:pPr>
      <w:r>
        <w:t>Body of Research 11.1: ‘Clinical outcome modelling saves lives’</w:t>
      </w:r>
    </w:p>
    <w:p w14:paraId="7BFE9F0F" w14:textId="0D56EA74"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‘Clinical outcome modelling saves lives’</w:t>
      </w:r>
    </w:p>
    <w:p w14:paraId="7228EC3F" w14:textId="5A6D1C09" w:rsidR="00272012" w:rsidRDefault="00272012" w:rsidP="00272012">
      <w:pPr>
        <w:spacing w:after="120" w:line="360" w:lineRule="auto"/>
        <w:rPr>
          <w:sz w:val="24"/>
          <w:szCs w:val="24"/>
        </w:rPr>
      </w:pPr>
      <w:r w:rsidRPr="00FC33ED">
        <w:rPr>
          <w:sz w:val="24"/>
          <w:szCs w:val="24"/>
          <w:u w:val="single"/>
        </w:rPr>
        <w:t xml:space="preserve">Phase 1. </w:t>
      </w:r>
      <w:r>
        <w:rPr>
          <w:sz w:val="24"/>
          <w:szCs w:val="24"/>
          <w:u w:val="single"/>
        </w:rPr>
        <w:t>An auditing system for comparing surgical outcomes across hospitals</w:t>
      </w:r>
      <w:r>
        <w:rPr>
          <w:sz w:val="24"/>
          <w:szCs w:val="24"/>
          <w:u w:val="single"/>
        </w:rPr>
        <w:br/>
      </w:r>
      <w:r>
        <w:rPr>
          <w:sz w:val="24"/>
          <w:szCs w:val="24"/>
        </w:rPr>
        <w:t xml:space="preserve">In the 1980s, there was increasing interest in the auditing of surgical practice in order to enable comparisons between hospitals and to enable benchmarking of successful surgical outcomes, as well as to identify best practice. This prompted research aimed at producing a basis for standardising outcomes in different contexts which would take into account factors known to affect chances of successful surgery, e.g. old age or a history of health conditions. The most widely-accepted research-based audit system which had been proposed was known as ‘POSSUM’ (Physiological and Operative Severity Score for the enUmeration of Morbidity and mortality). In the early 1990s, an interdisciplinary team of doctors, medical physicists and statisticians from Portsmouth NHS Trust and the CHMI embarked on a collaboration to test and improve such audit systems. The team identified significant limitations in POSSUM, finding that it over-predicted the average death rate of surgery (with some sub-groups over-predicted by a factor of seven). Based on new data and improvement to the POSSUM model’s formula, the Portsmouth NHS/CHMI team were able to significantly improve the model’s predictive capabilities, thus making the model more fit for purpose. They called the new model ‘Portsmouth-POSSUM’ (P-POSSUM). </w:t>
      </w:r>
    </w:p>
    <w:p w14:paraId="26FC1903" w14:textId="26D97271" w:rsidR="00272012" w:rsidRPr="00053F33" w:rsidRDefault="00272012" w:rsidP="00272012">
      <w:pPr>
        <w:spacing w:after="120" w:line="360" w:lineRule="auto"/>
        <w:rPr>
          <w:sz w:val="24"/>
          <w:szCs w:val="24"/>
        </w:rPr>
      </w:pPr>
      <w:r w:rsidRPr="00FC33ED">
        <w:rPr>
          <w:sz w:val="24"/>
          <w:szCs w:val="24"/>
          <w:u w:val="single"/>
        </w:rPr>
        <w:t xml:space="preserve">Phase 2. </w:t>
      </w:r>
      <w:r>
        <w:rPr>
          <w:sz w:val="24"/>
          <w:szCs w:val="24"/>
          <w:u w:val="single"/>
        </w:rPr>
        <w:t xml:space="preserve">Developing an Early Warning System (EWS) for real-time clinical care </w:t>
      </w:r>
      <w:r>
        <w:rPr>
          <w:sz w:val="24"/>
          <w:szCs w:val="24"/>
          <w:u w:val="single"/>
        </w:rPr>
        <w:br/>
      </w:r>
      <w:r>
        <w:rPr>
          <w:sz w:val="24"/>
          <w:szCs w:val="24"/>
        </w:rPr>
        <w:t>For the following decade, into the early 2000s, this collaboration continued and further consolidated with the appointment of one NHS medical physicist as Professor of Health Informatics at CHMI. This professor became the main link between the partner institutions and led the development of this Phase of research in two main directions. First, it broadened in scope by applying P-POSSUM to general medicine cases rather than only to surgery outcomes. Second, it moved closer to being of direct relevance to clinical care. It achieved this by showing, in principle, how the P-POSSUM model could be (i) sufficiently simple in terms of requiring only vital signs data already routinely collected by hospitals of their inpatients, and also (ii) sufficiently powerful in predictive capability to be of use to clinical care in real-time. In other words, the model could be used as an Early Warning Score (EWS) to instantaneously identify and rank patients most at-risk of deterioration and therefore of extra monitoring and care.</w:t>
      </w:r>
    </w:p>
    <w:p w14:paraId="30583FC3" w14:textId="7F082579" w:rsidR="00272012" w:rsidRDefault="00272012" w:rsidP="00272012">
      <w:pPr>
        <w:spacing w:after="120" w:line="360" w:lineRule="auto"/>
        <w:rPr>
          <w:sz w:val="24"/>
          <w:szCs w:val="24"/>
        </w:rPr>
      </w:pPr>
      <w:r w:rsidRPr="00FC33ED">
        <w:rPr>
          <w:sz w:val="24"/>
          <w:szCs w:val="24"/>
          <w:u w:val="single"/>
        </w:rPr>
        <w:t>Phase 3</w:t>
      </w:r>
      <w:r>
        <w:rPr>
          <w:sz w:val="24"/>
          <w:szCs w:val="24"/>
          <w:u w:val="single"/>
        </w:rPr>
        <w:t>. Developing and disseminating the EWS for routine hospital use in NHS and beyond</w:t>
      </w:r>
      <w:r>
        <w:rPr>
          <w:sz w:val="24"/>
          <w:szCs w:val="24"/>
          <w:u w:val="single"/>
        </w:rPr>
        <w:br/>
      </w:r>
      <w:r>
        <w:rPr>
          <w:sz w:val="24"/>
          <w:szCs w:val="24"/>
        </w:rPr>
        <w:t xml:space="preserve">Developing the EWS into a workable system for widespread application throughout a hospital and, potentially, the NHS more generally, required two new kinds of partnerships to be established. </w:t>
      </w:r>
    </w:p>
    <w:p w14:paraId="4492F41B" w14:textId="77777777" w:rsidR="00272012" w:rsidRDefault="00272012" w:rsidP="00272012">
      <w:pPr>
        <w:spacing w:after="120" w:line="360" w:lineRule="auto"/>
        <w:rPr>
          <w:sz w:val="24"/>
          <w:szCs w:val="24"/>
        </w:rPr>
      </w:pPr>
      <w:r>
        <w:rPr>
          <w:sz w:val="24"/>
          <w:szCs w:val="24"/>
        </w:rPr>
        <w:t>The first, starting in the mid-2000s, was with private sector specialists in medical informatics. This partnership centred around developing a commercial product to digitise the process of inputting the patient data and refining the algorithm which generates the EWS, as well as digitally disseminating the EWS to relevant staff around the hospital. At the time of the REF submission, the company had sold the resultant technology to more than 20 hospitals.</w:t>
      </w:r>
    </w:p>
    <w:p w14:paraId="54AB8899" w14:textId="77777777" w:rsidR="00272012" w:rsidRDefault="00272012" w:rsidP="00272012">
      <w:pPr>
        <w:spacing w:after="120" w:line="360" w:lineRule="auto"/>
        <w:rPr>
          <w:sz w:val="24"/>
          <w:szCs w:val="24"/>
        </w:rPr>
      </w:pPr>
      <w:r>
        <w:rPr>
          <w:sz w:val="24"/>
          <w:szCs w:val="24"/>
        </w:rPr>
        <w:t xml:space="preserve">Second, CHMI also wanted to make a non-commercial version of their EWS available for free to the NHS. The team worked with the Royal College of Physicians (RCP) in order to deliver this. At the time of the REF submission, the RCP had recommended for the NHS to fully adopt the final version of CHMI’s EWS, and it had already been adopted in other countries. </w:t>
      </w:r>
    </w:p>
    <w:tbl>
      <w:tblPr>
        <w:tblW w:w="7155" w:type="dxa"/>
        <w:tblLook w:val="04A0" w:firstRow="1" w:lastRow="0" w:firstColumn="1" w:lastColumn="0" w:noHBand="0" w:noVBand="1"/>
      </w:tblPr>
      <w:tblGrid>
        <w:gridCol w:w="2569"/>
        <w:gridCol w:w="4586"/>
      </w:tblGrid>
      <w:tr w:rsidR="00B24718" w14:paraId="787CA2FE" w14:textId="77777777" w:rsidTr="00B24718">
        <w:tc>
          <w:tcPr>
            <w:tcW w:w="2569" w:type="dxa"/>
            <w:tcBorders>
              <w:top w:val="single" w:sz="4" w:space="0" w:color="auto"/>
              <w:left w:val="single" w:sz="4" w:space="0" w:color="auto"/>
              <w:bottom w:val="single" w:sz="4" w:space="0" w:color="auto"/>
              <w:right w:val="single" w:sz="4" w:space="0" w:color="auto"/>
            </w:tcBorders>
          </w:tcPr>
          <w:p w14:paraId="5E2363BD" w14:textId="01F25520" w:rsidR="00B24718" w:rsidRPr="002B4060" w:rsidRDefault="00B24718" w:rsidP="00B24718">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6642A07C" w14:textId="77777777" w:rsidR="00B24718" w:rsidRPr="00B8594F" w:rsidRDefault="00B24718" w:rsidP="00B24718">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7FB5B20D" w14:textId="2513AD29" w:rsidR="00B24718" w:rsidRPr="00B8594F" w:rsidRDefault="00B24718" w:rsidP="00B24718">
            <w:pPr>
              <w:spacing w:after="0" w:line="240" w:lineRule="auto"/>
              <w:jc w:val="center"/>
              <w:rPr>
                <w:b/>
                <w:sz w:val="24"/>
                <w:szCs w:val="24"/>
              </w:rPr>
            </w:pPr>
            <w:r w:rsidRPr="00B8594F">
              <w:rPr>
                <w:b/>
                <w:sz w:val="24"/>
                <w:szCs w:val="24"/>
              </w:rPr>
              <w:t>1               2               3               4               5</w:t>
            </w:r>
          </w:p>
        </w:tc>
      </w:tr>
      <w:tr w:rsidR="00B24718" w14:paraId="747E55F6" w14:textId="77777777" w:rsidTr="00B24718">
        <w:tc>
          <w:tcPr>
            <w:tcW w:w="2569" w:type="dxa"/>
            <w:tcBorders>
              <w:top w:val="single" w:sz="4" w:space="0" w:color="auto"/>
              <w:left w:val="single" w:sz="4" w:space="0" w:color="auto"/>
              <w:bottom w:val="single" w:sz="4" w:space="0" w:color="auto"/>
              <w:right w:val="single" w:sz="4" w:space="0" w:color="auto"/>
            </w:tcBorders>
          </w:tcPr>
          <w:p w14:paraId="09A13D2E" w14:textId="77777777" w:rsidR="00B24718" w:rsidRDefault="00B24718"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09B4B487" w14:textId="77777777" w:rsidR="00B24718" w:rsidRDefault="00B24718" w:rsidP="004130A7">
            <w:pPr>
              <w:spacing w:after="0" w:line="240" w:lineRule="auto"/>
              <w:rPr>
                <w:sz w:val="24"/>
                <w:szCs w:val="24"/>
              </w:rPr>
            </w:pPr>
            <w:r>
              <w:rPr>
                <w:sz w:val="24"/>
                <w:szCs w:val="24"/>
              </w:rPr>
              <w:t xml:space="preserve">                 1 2             3 </w:t>
            </w:r>
          </w:p>
        </w:tc>
      </w:tr>
      <w:tr w:rsidR="00B24718" w14:paraId="4AAFE341" w14:textId="77777777" w:rsidTr="00B24718">
        <w:tc>
          <w:tcPr>
            <w:tcW w:w="2569" w:type="dxa"/>
            <w:tcBorders>
              <w:top w:val="single" w:sz="4" w:space="0" w:color="auto"/>
              <w:left w:val="single" w:sz="4" w:space="0" w:color="auto"/>
              <w:bottom w:val="single" w:sz="4" w:space="0" w:color="auto"/>
              <w:right w:val="single" w:sz="4" w:space="0" w:color="auto"/>
            </w:tcBorders>
          </w:tcPr>
          <w:p w14:paraId="0AD18F46" w14:textId="77777777" w:rsidR="00B24718" w:rsidRDefault="00B24718"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24722987" w14:textId="77777777" w:rsidR="00B24718" w:rsidRDefault="00B24718" w:rsidP="004130A7">
            <w:pPr>
              <w:spacing w:after="0" w:line="240" w:lineRule="auto"/>
              <w:rPr>
                <w:sz w:val="24"/>
                <w:szCs w:val="24"/>
              </w:rPr>
            </w:pPr>
            <w:r>
              <w:rPr>
                <w:sz w:val="24"/>
                <w:szCs w:val="24"/>
              </w:rPr>
              <w:t xml:space="preserve">                                                     1            2 3</w:t>
            </w:r>
          </w:p>
        </w:tc>
      </w:tr>
      <w:tr w:rsidR="00B24718" w14:paraId="730B2CC4" w14:textId="77777777" w:rsidTr="00B24718">
        <w:tc>
          <w:tcPr>
            <w:tcW w:w="2569" w:type="dxa"/>
            <w:tcBorders>
              <w:top w:val="single" w:sz="4" w:space="0" w:color="auto"/>
              <w:left w:val="single" w:sz="4" w:space="0" w:color="auto"/>
              <w:bottom w:val="single" w:sz="4" w:space="0" w:color="auto"/>
              <w:right w:val="single" w:sz="4" w:space="0" w:color="auto"/>
            </w:tcBorders>
          </w:tcPr>
          <w:p w14:paraId="2808AE57" w14:textId="77777777" w:rsidR="00B24718" w:rsidRDefault="00B24718"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70150FC7" w14:textId="77777777" w:rsidR="00B24718" w:rsidRDefault="00B24718" w:rsidP="004130A7">
            <w:pPr>
              <w:spacing w:after="0" w:line="240" w:lineRule="auto"/>
              <w:rPr>
                <w:sz w:val="24"/>
                <w:szCs w:val="24"/>
              </w:rPr>
            </w:pPr>
            <w:r>
              <w:rPr>
                <w:sz w:val="24"/>
                <w:szCs w:val="24"/>
              </w:rPr>
              <w:t xml:space="preserve">                                                   1 2              3</w:t>
            </w:r>
          </w:p>
        </w:tc>
      </w:tr>
      <w:tr w:rsidR="00B24718" w14:paraId="531B3EB5" w14:textId="77777777" w:rsidTr="00B24718">
        <w:tc>
          <w:tcPr>
            <w:tcW w:w="2569" w:type="dxa"/>
            <w:tcBorders>
              <w:top w:val="single" w:sz="4" w:space="0" w:color="auto"/>
              <w:left w:val="single" w:sz="4" w:space="0" w:color="auto"/>
              <w:bottom w:val="single" w:sz="4" w:space="0" w:color="auto"/>
              <w:right w:val="single" w:sz="4" w:space="0" w:color="auto"/>
            </w:tcBorders>
          </w:tcPr>
          <w:p w14:paraId="29FC409E" w14:textId="77777777" w:rsidR="00B24718" w:rsidRDefault="00B24718"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4D47B5EE" w14:textId="77777777" w:rsidR="00B24718" w:rsidRDefault="00B24718" w:rsidP="004130A7">
            <w:pPr>
              <w:spacing w:after="0" w:line="240" w:lineRule="auto"/>
              <w:rPr>
                <w:sz w:val="24"/>
                <w:szCs w:val="24"/>
              </w:rPr>
            </w:pPr>
            <w:r>
              <w:rPr>
                <w:sz w:val="24"/>
                <w:szCs w:val="24"/>
              </w:rPr>
              <w:t xml:space="preserve">                                                  1 2 3</w:t>
            </w:r>
          </w:p>
        </w:tc>
      </w:tr>
      <w:tr w:rsidR="00B24718" w14:paraId="334FD517" w14:textId="77777777" w:rsidTr="00B24718">
        <w:tc>
          <w:tcPr>
            <w:tcW w:w="2569" w:type="dxa"/>
            <w:tcBorders>
              <w:top w:val="single" w:sz="4" w:space="0" w:color="auto"/>
              <w:left w:val="single" w:sz="4" w:space="0" w:color="auto"/>
              <w:bottom w:val="single" w:sz="4" w:space="0" w:color="auto"/>
              <w:right w:val="single" w:sz="4" w:space="0" w:color="auto"/>
            </w:tcBorders>
          </w:tcPr>
          <w:p w14:paraId="05A668F5" w14:textId="77777777" w:rsidR="00B24718" w:rsidRDefault="00B24718"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5C152C42" w14:textId="77777777" w:rsidR="00B24718" w:rsidRDefault="00B24718" w:rsidP="004130A7">
            <w:pPr>
              <w:spacing w:after="0" w:line="240" w:lineRule="auto"/>
              <w:rPr>
                <w:sz w:val="24"/>
                <w:szCs w:val="24"/>
              </w:rPr>
            </w:pPr>
            <w:r>
              <w:rPr>
                <w:sz w:val="24"/>
                <w:szCs w:val="24"/>
              </w:rPr>
              <w:t xml:space="preserve">                                                                1 2 3</w:t>
            </w:r>
          </w:p>
        </w:tc>
      </w:tr>
      <w:tr w:rsidR="00B24718" w14:paraId="3F8053A4" w14:textId="77777777" w:rsidTr="00B24718">
        <w:tc>
          <w:tcPr>
            <w:tcW w:w="2569" w:type="dxa"/>
            <w:tcBorders>
              <w:top w:val="single" w:sz="4" w:space="0" w:color="auto"/>
              <w:left w:val="single" w:sz="4" w:space="0" w:color="auto"/>
              <w:bottom w:val="single" w:sz="4" w:space="0" w:color="auto"/>
              <w:right w:val="single" w:sz="4" w:space="0" w:color="auto"/>
            </w:tcBorders>
          </w:tcPr>
          <w:p w14:paraId="7FAA4F2B" w14:textId="77777777" w:rsidR="00B24718" w:rsidRDefault="00B24718"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43AC2E7D" w14:textId="77777777" w:rsidR="00B24718" w:rsidRDefault="00B24718" w:rsidP="004130A7">
            <w:pPr>
              <w:spacing w:after="0" w:line="240" w:lineRule="auto"/>
              <w:rPr>
                <w:sz w:val="24"/>
                <w:szCs w:val="24"/>
              </w:rPr>
            </w:pPr>
            <w:r>
              <w:rPr>
                <w:sz w:val="24"/>
                <w:szCs w:val="24"/>
              </w:rPr>
              <w:t xml:space="preserve">  1               2              3</w:t>
            </w:r>
          </w:p>
        </w:tc>
      </w:tr>
      <w:tr w:rsidR="00B24718" w14:paraId="04B6B747" w14:textId="77777777" w:rsidTr="00B24718">
        <w:tc>
          <w:tcPr>
            <w:tcW w:w="2569" w:type="dxa"/>
            <w:tcBorders>
              <w:top w:val="single" w:sz="4" w:space="0" w:color="auto"/>
              <w:left w:val="single" w:sz="4" w:space="0" w:color="auto"/>
              <w:bottom w:val="single" w:sz="4" w:space="0" w:color="auto"/>
              <w:right w:val="single" w:sz="4" w:space="0" w:color="auto"/>
            </w:tcBorders>
          </w:tcPr>
          <w:p w14:paraId="0CAC35E2" w14:textId="77777777" w:rsidR="00B24718" w:rsidRDefault="00B24718"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459BCA8F" w14:textId="77777777" w:rsidR="00B24718" w:rsidRDefault="00B24718" w:rsidP="004130A7">
            <w:pPr>
              <w:tabs>
                <w:tab w:val="left" w:pos="1227"/>
                <w:tab w:val="center" w:pos="2185"/>
                <w:tab w:val="left" w:pos="2595"/>
              </w:tabs>
              <w:spacing w:after="0" w:line="240" w:lineRule="auto"/>
              <w:rPr>
                <w:sz w:val="24"/>
                <w:szCs w:val="24"/>
              </w:rPr>
            </w:pPr>
            <w:r>
              <w:rPr>
                <w:sz w:val="24"/>
                <w:szCs w:val="24"/>
              </w:rPr>
              <w:t xml:space="preserve">                                  1 2              3</w:t>
            </w:r>
          </w:p>
        </w:tc>
      </w:tr>
      <w:tr w:rsidR="00B24718" w14:paraId="2F1F80E7" w14:textId="77777777" w:rsidTr="00B24718">
        <w:tc>
          <w:tcPr>
            <w:tcW w:w="2569" w:type="dxa"/>
            <w:tcBorders>
              <w:top w:val="single" w:sz="4" w:space="0" w:color="auto"/>
              <w:left w:val="single" w:sz="4" w:space="0" w:color="auto"/>
              <w:bottom w:val="single" w:sz="4" w:space="0" w:color="auto"/>
              <w:right w:val="single" w:sz="4" w:space="0" w:color="auto"/>
            </w:tcBorders>
          </w:tcPr>
          <w:p w14:paraId="0DD272CC" w14:textId="77777777" w:rsidR="00B24718" w:rsidRDefault="00B24718"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5D8AC11E" w14:textId="77777777" w:rsidR="00B24718" w:rsidRDefault="00B24718" w:rsidP="004130A7">
            <w:pPr>
              <w:spacing w:after="0" w:line="240" w:lineRule="auto"/>
              <w:rPr>
                <w:sz w:val="24"/>
                <w:szCs w:val="24"/>
              </w:rPr>
            </w:pPr>
            <w:r>
              <w:rPr>
                <w:sz w:val="24"/>
                <w:szCs w:val="24"/>
              </w:rPr>
              <w:t xml:space="preserve">                 1 2                               3                         </w:t>
            </w:r>
          </w:p>
        </w:tc>
      </w:tr>
      <w:tr w:rsidR="00B24718" w14:paraId="6B1FD2FA" w14:textId="77777777" w:rsidTr="00B24718">
        <w:tc>
          <w:tcPr>
            <w:tcW w:w="2569" w:type="dxa"/>
            <w:tcBorders>
              <w:top w:val="single" w:sz="4" w:space="0" w:color="auto"/>
              <w:left w:val="single" w:sz="4" w:space="0" w:color="auto"/>
              <w:bottom w:val="single" w:sz="4" w:space="0" w:color="auto"/>
              <w:right w:val="single" w:sz="4" w:space="0" w:color="auto"/>
            </w:tcBorders>
          </w:tcPr>
          <w:p w14:paraId="477328FA" w14:textId="77777777" w:rsidR="00B24718" w:rsidRDefault="00B24718"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27F7DE81" w14:textId="77777777" w:rsidR="00B24718" w:rsidRDefault="00B24718" w:rsidP="004130A7">
            <w:pPr>
              <w:spacing w:after="0" w:line="240" w:lineRule="auto"/>
              <w:rPr>
                <w:sz w:val="24"/>
                <w:szCs w:val="24"/>
              </w:rPr>
            </w:pPr>
            <w:r>
              <w:rPr>
                <w:sz w:val="24"/>
                <w:szCs w:val="24"/>
              </w:rPr>
              <w:t xml:space="preserve">                   1              2                3</w:t>
            </w:r>
          </w:p>
        </w:tc>
      </w:tr>
      <w:tr w:rsidR="00B24718" w14:paraId="0A38720F" w14:textId="77777777" w:rsidTr="00B24718">
        <w:tc>
          <w:tcPr>
            <w:tcW w:w="2569" w:type="dxa"/>
            <w:tcBorders>
              <w:top w:val="single" w:sz="4" w:space="0" w:color="auto"/>
              <w:left w:val="single" w:sz="4" w:space="0" w:color="auto"/>
              <w:bottom w:val="single" w:sz="4" w:space="0" w:color="auto"/>
              <w:right w:val="single" w:sz="4" w:space="0" w:color="auto"/>
            </w:tcBorders>
          </w:tcPr>
          <w:p w14:paraId="3FD3EECB" w14:textId="77777777" w:rsidR="00B24718" w:rsidRDefault="00B24718"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407CAE53" w14:textId="77777777" w:rsidR="00B24718" w:rsidRDefault="00B24718" w:rsidP="004130A7">
            <w:pPr>
              <w:spacing w:after="0" w:line="240" w:lineRule="auto"/>
              <w:rPr>
                <w:sz w:val="24"/>
                <w:szCs w:val="24"/>
              </w:rPr>
            </w:pPr>
            <w:r>
              <w:rPr>
                <w:sz w:val="24"/>
                <w:szCs w:val="24"/>
              </w:rPr>
              <w:t xml:space="preserve">                                   1               2 3</w:t>
            </w:r>
          </w:p>
        </w:tc>
      </w:tr>
      <w:tr w:rsidR="00B24718" w14:paraId="31D7846F" w14:textId="77777777" w:rsidTr="00B24718">
        <w:tc>
          <w:tcPr>
            <w:tcW w:w="2569" w:type="dxa"/>
            <w:tcBorders>
              <w:top w:val="single" w:sz="4" w:space="0" w:color="auto"/>
              <w:left w:val="single" w:sz="4" w:space="0" w:color="auto"/>
              <w:bottom w:val="single" w:sz="4" w:space="0" w:color="auto"/>
              <w:right w:val="single" w:sz="4" w:space="0" w:color="auto"/>
            </w:tcBorders>
          </w:tcPr>
          <w:p w14:paraId="6808A1A3" w14:textId="77777777" w:rsidR="00B24718" w:rsidRDefault="00B24718"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2E2DE5D9" w14:textId="77777777" w:rsidR="00B24718" w:rsidRDefault="00B24718" w:rsidP="004130A7">
            <w:pPr>
              <w:spacing w:after="0" w:line="240" w:lineRule="auto"/>
              <w:rPr>
                <w:sz w:val="24"/>
                <w:szCs w:val="24"/>
              </w:rPr>
            </w:pPr>
            <w:r>
              <w:rPr>
                <w:sz w:val="24"/>
                <w:szCs w:val="24"/>
              </w:rPr>
              <w:t xml:space="preserve">                                                     1            2 3</w:t>
            </w:r>
          </w:p>
        </w:tc>
      </w:tr>
      <w:tr w:rsidR="00B24718" w14:paraId="15609CC6" w14:textId="77777777" w:rsidTr="00B24718">
        <w:tc>
          <w:tcPr>
            <w:tcW w:w="2569" w:type="dxa"/>
            <w:tcBorders>
              <w:top w:val="single" w:sz="4" w:space="0" w:color="auto"/>
              <w:left w:val="single" w:sz="4" w:space="0" w:color="auto"/>
              <w:bottom w:val="single" w:sz="4" w:space="0" w:color="auto"/>
              <w:right w:val="single" w:sz="4" w:space="0" w:color="auto"/>
            </w:tcBorders>
          </w:tcPr>
          <w:p w14:paraId="0D384B53" w14:textId="77777777" w:rsidR="00B24718" w:rsidRDefault="00B24718"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43AE6B8B" w14:textId="77777777" w:rsidR="00B24718" w:rsidRDefault="00B24718" w:rsidP="004130A7">
            <w:pPr>
              <w:spacing w:after="0" w:line="240" w:lineRule="auto"/>
              <w:rPr>
                <w:sz w:val="24"/>
                <w:szCs w:val="24"/>
              </w:rPr>
            </w:pPr>
            <w:r>
              <w:rPr>
                <w:sz w:val="24"/>
                <w:szCs w:val="24"/>
              </w:rPr>
              <w:t xml:space="preserve">                                   1               2 3</w:t>
            </w:r>
          </w:p>
        </w:tc>
      </w:tr>
      <w:tr w:rsidR="00B24718" w14:paraId="283299EC" w14:textId="77777777" w:rsidTr="00B24718">
        <w:tc>
          <w:tcPr>
            <w:tcW w:w="2569" w:type="dxa"/>
            <w:tcBorders>
              <w:top w:val="single" w:sz="4" w:space="0" w:color="auto"/>
              <w:left w:val="single" w:sz="4" w:space="0" w:color="auto"/>
              <w:bottom w:val="single" w:sz="4" w:space="0" w:color="auto"/>
              <w:right w:val="single" w:sz="4" w:space="0" w:color="auto"/>
            </w:tcBorders>
          </w:tcPr>
          <w:p w14:paraId="44CF38E0" w14:textId="77777777" w:rsidR="00B24718" w:rsidRDefault="00B24718"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5CC5B80C" w14:textId="77777777" w:rsidR="00B24718" w:rsidRDefault="00B24718" w:rsidP="004130A7">
            <w:pPr>
              <w:spacing w:after="0" w:line="240" w:lineRule="auto"/>
              <w:rPr>
                <w:sz w:val="24"/>
                <w:szCs w:val="24"/>
              </w:rPr>
            </w:pPr>
            <w:r>
              <w:rPr>
                <w:sz w:val="24"/>
                <w:szCs w:val="24"/>
              </w:rPr>
              <w:t xml:space="preserve">                                  1 2              3</w:t>
            </w:r>
          </w:p>
        </w:tc>
      </w:tr>
      <w:tr w:rsidR="00B24718" w14:paraId="7EAB21DC" w14:textId="77777777" w:rsidTr="00B24718">
        <w:tc>
          <w:tcPr>
            <w:tcW w:w="2569" w:type="dxa"/>
            <w:tcBorders>
              <w:top w:val="single" w:sz="4" w:space="0" w:color="auto"/>
              <w:left w:val="single" w:sz="4" w:space="0" w:color="auto"/>
              <w:bottom w:val="single" w:sz="4" w:space="0" w:color="auto"/>
              <w:right w:val="single" w:sz="4" w:space="0" w:color="auto"/>
            </w:tcBorders>
          </w:tcPr>
          <w:p w14:paraId="35775577" w14:textId="77777777" w:rsidR="00B24718" w:rsidRDefault="00B24718"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3E16759F" w14:textId="77777777" w:rsidR="00B24718" w:rsidRDefault="00B24718" w:rsidP="004130A7">
            <w:pPr>
              <w:spacing w:after="0" w:line="240" w:lineRule="auto"/>
              <w:rPr>
                <w:sz w:val="24"/>
                <w:szCs w:val="24"/>
              </w:rPr>
            </w:pPr>
            <w:r>
              <w:rPr>
                <w:sz w:val="24"/>
                <w:szCs w:val="24"/>
              </w:rPr>
              <w:t>1 2              3</w:t>
            </w:r>
          </w:p>
        </w:tc>
      </w:tr>
      <w:tr w:rsidR="00B24718" w14:paraId="13464BB3" w14:textId="77777777" w:rsidTr="00B24718">
        <w:tc>
          <w:tcPr>
            <w:tcW w:w="2569" w:type="dxa"/>
            <w:tcBorders>
              <w:top w:val="single" w:sz="4" w:space="0" w:color="auto"/>
              <w:left w:val="single" w:sz="4" w:space="0" w:color="auto"/>
              <w:bottom w:val="single" w:sz="4" w:space="0" w:color="auto"/>
              <w:right w:val="single" w:sz="4" w:space="0" w:color="auto"/>
            </w:tcBorders>
          </w:tcPr>
          <w:p w14:paraId="37C78460" w14:textId="77777777" w:rsidR="00B24718" w:rsidRDefault="00B24718"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7C2E3222" w14:textId="77777777" w:rsidR="00B24718" w:rsidRDefault="00B24718" w:rsidP="004130A7">
            <w:pPr>
              <w:keepNext/>
              <w:spacing w:after="0" w:line="240" w:lineRule="auto"/>
              <w:rPr>
                <w:sz w:val="24"/>
                <w:szCs w:val="24"/>
              </w:rPr>
            </w:pPr>
            <w:r>
              <w:rPr>
                <w:sz w:val="24"/>
                <w:szCs w:val="24"/>
              </w:rPr>
              <w:t xml:space="preserve">                  1 2                              3</w:t>
            </w:r>
          </w:p>
        </w:tc>
      </w:tr>
    </w:tbl>
    <w:p w14:paraId="362AB9D9" w14:textId="10A32E75" w:rsidR="00272012" w:rsidRPr="00283EB3" w:rsidRDefault="00272012" w:rsidP="00272012">
      <w:pPr>
        <w:pStyle w:val="Caption"/>
        <w:spacing w:after="120" w:line="360" w:lineRule="auto"/>
        <w:rPr>
          <w:sz w:val="24"/>
          <w:szCs w:val="24"/>
        </w:rPr>
      </w:pPr>
      <w:bookmarkStart w:id="325" w:name="_Toc531023163"/>
      <w:bookmarkStart w:id="326" w:name="_Toc536438924"/>
      <w:bookmarkStart w:id="327" w:name="_Toc31702099"/>
      <w:r w:rsidRPr="00283EB3">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30</w:t>
      </w:r>
      <w:r w:rsidR="00233012">
        <w:rPr>
          <w:noProof/>
        </w:rPr>
        <w:fldChar w:fldCharType="end"/>
      </w:r>
      <w:r w:rsidRPr="00283EB3">
        <w:t xml:space="preserve">. Plotted typology. </w:t>
      </w:r>
      <w:r>
        <w:t>BoR11.1</w:t>
      </w:r>
      <w:bookmarkEnd w:id="325"/>
      <w:bookmarkEnd w:id="326"/>
      <w:bookmarkEnd w:id="327"/>
    </w:p>
    <w:p w14:paraId="2028946C" w14:textId="04B5B518" w:rsidR="00272012" w:rsidRDefault="009528FE" w:rsidP="00272012">
      <w:pPr>
        <w:pStyle w:val="Heading4"/>
      </w:pPr>
      <w:r>
        <w:t>Body of Research 11.2: ‘Improved mobility and quality of life for children with disabilities’</w:t>
      </w:r>
    </w:p>
    <w:p w14:paraId="4FD2BDDD" w14:textId="1B45EF68"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w:t>
      </w:r>
      <w:r>
        <w:rPr>
          <w:sz w:val="24"/>
          <w:szCs w:val="24"/>
        </w:rPr>
        <w:t xml:space="preserve"> ‘Improved mobility and quality of life for children with disabilities’</w:t>
      </w:r>
    </w:p>
    <w:p w14:paraId="62CA9DD3" w14:textId="64FE3C53" w:rsidR="00272012" w:rsidRPr="00836C88" w:rsidRDefault="00272012" w:rsidP="00272012">
      <w:pPr>
        <w:spacing w:after="120" w:line="360" w:lineRule="auto"/>
        <w:rPr>
          <w:sz w:val="24"/>
          <w:szCs w:val="24"/>
        </w:rPr>
      </w:pPr>
      <w:r w:rsidRPr="00FC33ED">
        <w:rPr>
          <w:sz w:val="24"/>
          <w:szCs w:val="24"/>
          <w:u w:val="single"/>
        </w:rPr>
        <w:t xml:space="preserve">Phase 1. </w:t>
      </w:r>
      <w:r>
        <w:rPr>
          <w:sz w:val="24"/>
          <w:szCs w:val="24"/>
          <w:u w:val="single"/>
        </w:rPr>
        <w:t>Industrial collaboration to develop mobile artificial intelligence (‘walking robots’)</w:t>
      </w:r>
      <w:r>
        <w:rPr>
          <w:sz w:val="24"/>
          <w:szCs w:val="24"/>
          <w:u w:val="single"/>
        </w:rPr>
        <w:br/>
      </w:r>
      <w:r>
        <w:rPr>
          <w:sz w:val="24"/>
          <w:szCs w:val="24"/>
        </w:rPr>
        <w:t xml:space="preserve">Since the late 1980s, Portsmouth’s Systems Engineering Research Group (SERG) began collaborative work with industry on so-called ‘expert systems’, an advanced form of artificial intelligence in which computer systems are designed for making the decisions of an expert human in a particular context. The main industrial collaborator was Nuclear Electric, the company which ran British Electric upon the sector’s privatisation. Industry’s main interest was the development of ‘walking robots’ which could be used as inspectors. The sector’s high technological demands and strategic importance for the nation enabled SERG and its industry partners to attract research council funding. This collaboration is ongoing, and the paper referenced under Phase 1 is a recent example of such work. The expertise developed by SERG through this research has been crucial to future work relevant to the impacts described in the Case Study.  </w:t>
      </w:r>
    </w:p>
    <w:p w14:paraId="12159FFE" w14:textId="085D2A4D" w:rsidR="00272012" w:rsidRDefault="00272012" w:rsidP="00272012">
      <w:pPr>
        <w:spacing w:after="120" w:line="360" w:lineRule="auto"/>
        <w:rPr>
          <w:sz w:val="24"/>
          <w:szCs w:val="24"/>
        </w:rPr>
      </w:pPr>
      <w:r w:rsidRPr="00FC33ED">
        <w:rPr>
          <w:sz w:val="24"/>
          <w:szCs w:val="24"/>
          <w:u w:val="single"/>
        </w:rPr>
        <w:t xml:space="preserve">Phase 2. </w:t>
      </w:r>
      <w:r w:rsidRPr="00BE466D">
        <w:rPr>
          <w:sz w:val="24"/>
          <w:szCs w:val="24"/>
          <w:u w:val="single"/>
        </w:rPr>
        <w:t>Engaging wheelchair users, care professionals and experts</w:t>
      </w:r>
      <w:r>
        <w:rPr>
          <w:sz w:val="24"/>
          <w:szCs w:val="24"/>
          <w:u w:val="single"/>
        </w:rPr>
        <w:br/>
      </w:r>
      <w:r>
        <w:rPr>
          <w:sz w:val="24"/>
          <w:szCs w:val="24"/>
        </w:rPr>
        <w:t xml:space="preserve">From the early 1990s, SERG began applying their expertise in mobile robots and automated guided vehicles to so-called ‘rehabilitation technology’, specifically the functionality of wheelchairs. Throughout the decade, a significant part of the work towards achieving this involved the systematic engagement with rehabilitation and other care and related professionals, as well as wheelchair users themselves. For example, SERG initiated visits to ‘special schools’ (specialising in inclusive environments) and hospitals. SERG were quickly able to establish a collaborative relationship with one special school, which was particularly fruitful since this school also employed its own in-house specialist engineer who provided an important source of expertise and collaboration, and eventually was appointed to a University post in addition to his school role. Conversely, medical professionals tended to be more </w:t>
      </w:r>
      <w:bookmarkStart w:id="328" w:name="_Hlk529904811"/>
      <w:r>
        <w:rPr>
          <w:sz w:val="24"/>
          <w:szCs w:val="24"/>
        </w:rPr>
        <w:t xml:space="preserve">“reluctant” and “suspicious” [11.2.1, p. 466] </w:t>
      </w:r>
      <w:bookmarkEnd w:id="328"/>
      <w:r>
        <w:rPr>
          <w:sz w:val="24"/>
          <w:szCs w:val="24"/>
        </w:rPr>
        <w:t xml:space="preserve">of technological solutions. Relationships with medical professionals improved as the value of SERG’s work was demonstrated through their school collaborations as well as through symposia hosted by SERG which brought together various experts and stakeholders. </w:t>
      </w:r>
    </w:p>
    <w:p w14:paraId="62A77BCF" w14:textId="77777777" w:rsidR="00272012" w:rsidRPr="008178FF" w:rsidRDefault="00272012" w:rsidP="00272012">
      <w:pPr>
        <w:spacing w:after="120" w:line="360" w:lineRule="auto"/>
        <w:rPr>
          <w:sz w:val="24"/>
          <w:szCs w:val="24"/>
        </w:rPr>
      </w:pPr>
      <w:r>
        <w:rPr>
          <w:sz w:val="24"/>
          <w:szCs w:val="24"/>
        </w:rPr>
        <w:t xml:space="preserve">These relationships were crucial for SERG’s access to users and natural data-collection sites, as well as establishing a direct pathway to impact. Work published under this Phase was also more directly targeted at user groups, for example [11.2.4] is SERG’s first publication aimed directly at the rehabilitation professional community. </w:t>
      </w:r>
    </w:p>
    <w:p w14:paraId="4E45984E" w14:textId="792C7FE5" w:rsidR="00272012" w:rsidRDefault="00272012" w:rsidP="00272012">
      <w:pPr>
        <w:spacing w:after="120" w:line="360" w:lineRule="auto"/>
        <w:rPr>
          <w:sz w:val="24"/>
          <w:szCs w:val="24"/>
        </w:rPr>
      </w:pPr>
      <w:r w:rsidRPr="00FC33ED">
        <w:rPr>
          <w:sz w:val="24"/>
          <w:szCs w:val="24"/>
          <w:u w:val="single"/>
        </w:rPr>
        <w:t>Phase 3</w:t>
      </w:r>
      <w:r>
        <w:rPr>
          <w:sz w:val="24"/>
          <w:szCs w:val="24"/>
          <w:u w:val="single"/>
        </w:rPr>
        <w:t>. Long-term work with rehabilitation experts, professionals, manufacturers and users</w:t>
      </w:r>
      <w:r>
        <w:rPr>
          <w:sz w:val="24"/>
          <w:szCs w:val="24"/>
        </w:rPr>
        <w:br/>
        <w:t xml:space="preserve">The substantive research and development centred around artificial intelligence systems which would equip wheelchairs with improved capacities to learn from its environment and its specific user. For example, these advances: improved the wheelchair’s ability to automatically avoid collisions; improved the manoeuvrability of the wheelchair, thus reducing the burden on the user; allowed the wheelchair to learn to tolerate a level of involuntary movements of the user; and endowed the wheelchair with the capacity to adapt its responsiveness to the user. These technologies have been achieved in collaboration with wheelchair manufacturers, schools, charities and the NHS, and with support from research councils and Innovate UK (for example through a KTP). </w:t>
      </w:r>
    </w:p>
    <w:p w14:paraId="5EF0B596" w14:textId="77777777" w:rsidR="00272012" w:rsidRPr="00CA2FA3" w:rsidRDefault="00272012" w:rsidP="00272012">
      <w:pPr>
        <w:spacing w:after="120" w:line="360" w:lineRule="auto"/>
        <w:rPr>
          <w:sz w:val="24"/>
          <w:szCs w:val="24"/>
        </w:rPr>
      </w:pPr>
      <w:r>
        <w:rPr>
          <w:sz w:val="24"/>
          <w:szCs w:val="24"/>
        </w:rPr>
        <w:t xml:space="preserve">The technologies have mostly impacted children and individuals with complex needs, both directly through the provision of improved wheelchairs, and indirectly by impacting professional services.  </w:t>
      </w:r>
    </w:p>
    <w:tbl>
      <w:tblPr>
        <w:tblW w:w="7155" w:type="dxa"/>
        <w:tblLook w:val="04A0" w:firstRow="1" w:lastRow="0" w:firstColumn="1" w:lastColumn="0" w:noHBand="0" w:noVBand="1"/>
      </w:tblPr>
      <w:tblGrid>
        <w:gridCol w:w="2569"/>
        <w:gridCol w:w="4586"/>
      </w:tblGrid>
      <w:tr w:rsidR="00B24718" w14:paraId="7552F362" w14:textId="77777777" w:rsidTr="00B24718">
        <w:tc>
          <w:tcPr>
            <w:tcW w:w="2569" w:type="dxa"/>
            <w:tcBorders>
              <w:top w:val="single" w:sz="4" w:space="0" w:color="auto"/>
              <w:left w:val="single" w:sz="4" w:space="0" w:color="auto"/>
              <w:bottom w:val="single" w:sz="4" w:space="0" w:color="auto"/>
              <w:right w:val="single" w:sz="4" w:space="0" w:color="auto"/>
            </w:tcBorders>
          </w:tcPr>
          <w:p w14:paraId="0295BD94" w14:textId="17EBEF4D" w:rsidR="00B24718" w:rsidRPr="002B4060" w:rsidRDefault="00B24718" w:rsidP="00B24718">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562A2C3F" w14:textId="77777777" w:rsidR="00B24718" w:rsidRPr="00B8594F" w:rsidRDefault="00B24718" w:rsidP="00B24718">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3B959A73" w14:textId="2AF061A0" w:rsidR="00B24718" w:rsidRPr="00B8594F" w:rsidRDefault="00B24718" w:rsidP="00B24718">
            <w:pPr>
              <w:spacing w:after="0" w:line="240" w:lineRule="auto"/>
              <w:jc w:val="center"/>
              <w:rPr>
                <w:b/>
                <w:sz w:val="24"/>
                <w:szCs w:val="24"/>
              </w:rPr>
            </w:pPr>
            <w:r w:rsidRPr="00B8594F">
              <w:rPr>
                <w:b/>
                <w:sz w:val="24"/>
                <w:szCs w:val="24"/>
              </w:rPr>
              <w:t>1               2               3               4               5</w:t>
            </w:r>
          </w:p>
        </w:tc>
      </w:tr>
      <w:tr w:rsidR="00B24718" w14:paraId="664AF30F" w14:textId="77777777" w:rsidTr="00B24718">
        <w:tc>
          <w:tcPr>
            <w:tcW w:w="2569" w:type="dxa"/>
            <w:tcBorders>
              <w:top w:val="single" w:sz="4" w:space="0" w:color="auto"/>
              <w:left w:val="single" w:sz="4" w:space="0" w:color="auto"/>
              <w:bottom w:val="single" w:sz="4" w:space="0" w:color="auto"/>
              <w:right w:val="single" w:sz="4" w:space="0" w:color="auto"/>
            </w:tcBorders>
          </w:tcPr>
          <w:p w14:paraId="37437F73" w14:textId="77777777" w:rsidR="00B24718" w:rsidRDefault="00B24718"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337D3AF1" w14:textId="77777777" w:rsidR="00B24718" w:rsidRDefault="00B24718" w:rsidP="004130A7">
            <w:pPr>
              <w:spacing w:after="0" w:line="240" w:lineRule="auto"/>
              <w:rPr>
                <w:sz w:val="24"/>
                <w:szCs w:val="24"/>
              </w:rPr>
            </w:pPr>
            <w:r>
              <w:rPr>
                <w:sz w:val="24"/>
                <w:szCs w:val="24"/>
              </w:rPr>
              <w:t xml:space="preserve"> 1               3               2</w:t>
            </w:r>
          </w:p>
        </w:tc>
      </w:tr>
      <w:tr w:rsidR="00B24718" w14:paraId="5BA38160" w14:textId="77777777" w:rsidTr="00B24718">
        <w:tc>
          <w:tcPr>
            <w:tcW w:w="2569" w:type="dxa"/>
            <w:tcBorders>
              <w:top w:val="single" w:sz="4" w:space="0" w:color="auto"/>
              <w:left w:val="single" w:sz="4" w:space="0" w:color="auto"/>
              <w:bottom w:val="single" w:sz="4" w:space="0" w:color="auto"/>
              <w:right w:val="single" w:sz="4" w:space="0" w:color="auto"/>
            </w:tcBorders>
          </w:tcPr>
          <w:p w14:paraId="24527CF9" w14:textId="77777777" w:rsidR="00B24718" w:rsidRDefault="00B24718"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0B912E22" w14:textId="77777777" w:rsidR="00B24718" w:rsidRDefault="00B24718" w:rsidP="004130A7">
            <w:pPr>
              <w:spacing w:after="0" w:line="240" w:lineRule="auto"/>
              <w:rPr>
                <w:sz w:val="24"/>
                <w:szCs w:val="24"/>
              </w:rPr>
            </w:pPr>
            <w:r>
              <w:rPr>
                <w:sz w:val="24"/>
                <w:szCs w:val="24"/>
              </w:rPr>
              <w:t xml:space="preserve">                                   1              2 3</w:t>
            </w:r>
          </w:p>
        </w:tc>
      </w:tr>
      <w:tr w:rsidR="00B24718" w14:paraId="16C88CB7" w14:textId="77777777" w:rsidTr="00B24718">
        <w:tc>
          <w:tcPr>
            <w:tcW w:w="2569" w:type="dxa"/>
            <w:tcBorders>
              <w:top w:val="single" w:sz="4" w:space="0" w:color="auto"/>
              <w:left w:val="single" w:sz="4" w:space="0" w:color="auto"/>
              <w:bottom w:val="single" w:sz="4" w:space="0" w:color="auto"/>
              <w:right w:val="single" w:sz="4" w:space="0" w:color="auto"/>
            </w:tcBorders>
          </w:tcPr>
          <w:p w14:paraId="6B9484FB" w14:textId="77777777" w:rsidR="00B24718" w:rsidRDefault="00B24718"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3BBE8386" w14:textId="77777777" w:rsidR="00B24718" w:rsidRDefault="00B24718" w:rsidP="004130A7">
            <w:pPr>
              <w:spacing w:after="0" w:line="240" w:lineRule="auto"/>
              <w:rPr>
                <w:sz w:val="24"/>
                <w:szCs w:val="24"/>
              </w:rPr>
            </w:pPr>
            <w:r>
              <w:rPr>
                <w:sz w:val="24"/>
                <w:szCs w:val="24"/>
              </w:rPr>
              <w:t xml:space="preserve">                  1                               2 3</w:t>
            </w:r>
          </w:p>
        </w:tc>
      </w:tr>
      <w:tr w:rsidR="00B24718" w14:paraId="4F3296B4" w14:textId="77777777" w:rsidTr="00B24718">
        <w:tc>
          <w:tcPr>
            <w:tcW w:w="2569" w:type="dxa"/>
            <w:tcBorders>
              <w:top w:val="single" w:sz="4" w:space="0" w:color="auto"/>
              <w:left w:val="single" w:sz="4" w:space="0" w:color="auto"/>
              <w:bottom w:val="single" w:sz="4" w:space="0" w:color="auto"/>
              <w:right w:val="single" w:sz="4" w:space="0" w:color="auto"/>
            </w:tcBorders>
          </w:tcPr>
          <w:p w14:paraId="557B48CD" w14:textId="77777777" w:rsidR="00B24718" w:rsidRDefault="00B24718"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75A4D2A9" w14:textId="77777777" w:rsidR="00B24718" w:rsidRDefault="00B24718" w:rsidP="004130A7">
            <w:pPr>
              <w:spacing w:after="0" w:line="240" w:lineRule="auto"/>
              <w:rPr>
                <w:sz w:val="24"/>
                <w:szCs w:val="24"/>
              </w:rPr>
            </w:pPr>
            <w:r>
              <w:rPr>
                <w:sz w:val="24"/>
                <w:szCs w:val="24"/>
              </w:rPr>
              <w:t xml:space="preserve">                                                  1 2 3</w:t>
            </w:r>
          </w:p>
        </w:tc>
      </w:tr>
      <w:tr w:rsidR="00B24718" w14:paraId="1F2E71DE" w14:textId="77777777" w:rsidTr="00B24718">
        <w:trPr>
          <w:trHeight w:val="56"/>
        </w:trPr>
        <w:tc>
          <w:tcPr>
            <w:tcW w:w="2569" w:type="dxa"/>
            <w:tcBorders>
              <w:top w:val="single" w:sz="4" w:space="0" w:color="auto"/>
              <w:left w:val="single" w:sz="4" w:space="0" w:color="auto"/>
              <w:bottom w:val="single" w:sz="4" w:space="0" w:color="auto"/>
              <w:right w:val="single" w:sz="4" w:space="0" w:color="auto"/>
            </w:tcBorders>
          </w:tcPr>
          <w:p w14:paraId="53C810EE" w14:textId="77777777" w:rsidR="00B24718" w:rsidRDefault="00B24718"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3D3E6ED3" w14:textId="77777777" w:rsidR="00B24718" w:rsidRDefault="00B24718" w:rsidP="004130A7">
            <w:pPr>
              <w:spacing w:after="0" w:line="240" w:lineRule="auto"/>
              <w:rPr>
                <w:sz w:val="24"/>
                <w:szCs w:val="24"/>
              </w:rPr>
            </w:pPr>
            <w:r>
              <w:rPr>
                <w:sz w:val="24"/>
                <w:szCs w:val="24"/>
              </w:rPr>
              <w:t xml:space="preserve">                                   1                              2 3</w:t>
            </w:r>
          </w:p>
        </w:tc>
      </w:tr>
      <w:tr w:rsidR="00B24718" w14:paraId="4CB7112B" w14:textId="77777777" w:rsidTr="00B24718">
        <w:tc>
          <w:tcPr>
            <w:tcW w:w="2569" w:type="dxa"/>
            <w:tcBorders>
              <w:top w:val="single" w:sz="4" w:space="0" w:color="auto"/>
              <w:left w:val="single" w:sz="4" w:space="0" w:color="auto"/>
              <w:bottom w:val="single" w:sz="4" w:space="0" w:color="auto"/>
              <w:right w:val="single" w:sz="4" w:space="0" w:color="auto"/>
            </w:tcBorders>
          </w:tcPr>
          <w:p w14:paraId="613EF0E2" w14:textId="77777777" w:rsidR="00B24718" w:rsidRDefault="00B24718"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46ABED2F" w14:textId="77777777" w:rsidR="00B24718" w:rsidRDefault="00B24718" w:rsidP="004130A7">
            <w:pPr>
              <w:spacing w:after="0" w:line="240" w:lineRule="auto"/>
              <w:rPr>
                <w:sz w:val="24"/>
                <w:szCs w:val="24"/>
              </w:rPr>
            </w:pPr>
            <w:r>
              <w:rPr>
                <w:sz w:val="24"/>
                <w:szCs w:val="24"/>
              </w:rPr>
              <w:t>1 3             2</w:t>
            </w:r>
          </w:p>
        </w:tc>
      </w:tr>
      <w:tr w:rsidR="00B24718" w14:paraId="2B9AF692" w14:textId="77777777" w:rsidTr="00B24718">
        <w:tc>
          <w:tcPr>
            <w:tcW w:w="2569" w:type="dxa"/>
            <w:tcBorders>
              <w:top w:val="single" w:sz="4" w:space="0" w:color="auto"/>
              <w:left w:val="single" w:sz="4" w:space="0" w:color="auto"/>
              <w:bottom w:val="single" w:sz="4" w:space="0" w:color="auto"/>
              <w:right w:val="single" w:sz="4" w:space="0" w:color="auto"/>
            </w:tcBorders>
          </w:tcPr>
          <w:p w14:paraId="633DF980" w14:textId="77777777" w:rsidR="00B24718" w:rsidRDefault="00B24718"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5B998548" w14:textId="77777777" w:rsidR="00B24718" w:rsidRDefault="00B24718" w:rsidP="004130A7">
            <w:pPr>
              <w:tabs>
                <w:tab w:val="left" w:pos="1227"/>
                <w:tab w:val="center" w:pos="2185"/>
                <w:tab w:val="left" w:pos="2595"/>
              </w:tabs>
              <w:spacing w:after="0" w:line="240" w:lineRule="auto"/>
              <w:rPr>
                <w:sz w:val="24"/>
                <w:szCs w:val="24"/>
              </w:rPr>
            </w:pPr>
            <w:r>
              <w:rPr>
                <w:sz w:val="24"/>
                <w:szCs w:val="24"/>
              </w:rPr>
              <w:t xml:space="preserve">                  1               3                                 2</w:t>
            </w:r>
          </w:p>
        </w:tc>
      </w:tr>
      <w:tr w:rsidR="00B24718" w14:paraId="25005660" w14:textId="77777777" w:rsidTr="00B24718">
        <w:tc>
          <w:tcPr>
            <w:tcW w:w="2569" w:type="dxa"/>
            <w:tcBorders>
              <w:top w:val="single" w:sz="4" w:space="0" w:color="auto"/>
              <w:left w:val="single" w:sz="4" w:space="0" w:color="auto"/>
              <w:bottom w:val="single" w:sz="4" w:space="0" w:color="auto"/>
              <w:right w:val="single" w:sz="4" w:space="0" w:color="auto"/>
            </w:tcBorders>
          </w:tcPr>
          <w:p w14:paraId="4A66DBCB" w14:textId="77777777" w:rsidR="00B24718" w:rsidRDefault="00B24718"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670AD0FD" w14:textId="77777777" w:rsidR="00B24718" w:rsidRDefault="00B24718" w:rsidP="004130A7">
            <w:pPr>
              <w:spacing w:after="0" w:line="240" w:lineRule="auto"/>
              <w:rPr>
                <w:sz w:val="24"/>
                <w:szCs w:val="24"/>
              </w:rPr>
            </w:pPr>
            <w:r>
              <w:rPr>
                <w:sz w:val="24"/>
                <w:szCs w:val="24"/>
              </w:rPr>
              <w:t xml:space="preserve">                  1               3                2</w:t>
            </w:r>
          </w:p>
        </w:tc>
      </w:tr>
      <w:tr w:rsidR="00B24718" w14:paraId="37486070" w14:textId="77777777" w:rsidTr="00B24718">
        <w:tc>
          <w:tcPr>
            <w:tcW w:w="2569" w:type="dxa"/>
            <w:tcBorders>
              <w:top w:val="single" w:sz="4" w:space="0" w:color="auto"/>
              <w:left w:val="single" w:sz="4" w:space="0" w:color="auto"/>
              <w:bottom w:val="single" w:sz="4" w:space="0" w:color="auto"/>
              <w:right w:val="single" w:sz="4" w:space="0" w:color="auto"/>
            </w:tcBorders>
          </w:tcPr>
          <w:p w14:paraId="70CB88CB" w14:textId="77777777" w:rsidR="00B24718" w:rsidRDefault="00B24718"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4B4BD572" w14:textId="77777777" w:rsidR="00B24718" w:rsidRDefault="00B24718" w:rsidP="004130A7">
            <w:pPr>
              <w:spacing w:after="0" w:line="240" w:lineRule="auto"/>
              <w:rPr>
                <w:sz w:val="24"/>
                <w:szCs w:val="24"/>
              </w:rPr>
            </w:pPr>
            <w:r>
              <w:rPr>
                <w:sz w:val="24"/>
                <w:szCs w:val="24"/>
              </w:rPr>
              <w:t xml:space="preserve"> 1                                3                2</w:t>
            </w:r>
          </w:p>
        </w:tc>
      </w:tr>
      <w:tr w:rsidR="00B24718" w14:paraId="33009257" w14:textId="77777777" w:rsidTr="00B24718">
        <w:tc>
          <w:tcPr>
            <w:tcW w:w="2569" w:type="dxa"/>
            <w:tcBorders>
              <w:top w:val="single" w:sz="4" w:space="0" w:color="auto"/>
              <w:left w:val="single" w:sz="4" w:space="0" w:color="auto"/>
              <w:bottom w:val="single" w:sz="4" w:space="0" w:color="auto"/>
              <w:right w:val="single" w:sz="4" w:space="0" w:color="auto"/>
            </w:tcBorders>
          </w:tcPr>
          <w:p w14:paraId="51C3E54B" w14:textId="77777777" w:rsidR="00B24718" w:rsidRDefault="00B24718"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634040BE" w14:textId="77777777" w:rsidR="00B24718" w:rsidRDefault="00B24718" w:rsidP="004130A7">
            <w:pPr>
              <w:spacing w:after="0" w:line="240" w:lineRule="auto"/>
              <w:rPr>
                <w:sz w:val="24"/>
                <w:szCs w:val="24"/>
              </w:rPr>
            </w:pPr>
            <w:r>
              <w:rPr>
                <w:sz w:val="24"/>
                <w:szCs w:val="24"/>
              </w:rPr>
              <w:t xml:space="preserve">                  1                                2 3</w:t>
            </w:r>
          </w:p>
        </w:tc>
      </w:tr>
      <w:tr w:rsidR="00B24718" w14:paraId="529D3C8A" w14:textId="77777777" w:rsidTr="00B24718">
        <w:tc>
          <w:tcPr>
            <w:tcW w:w="2569" w:type="dxa"/>
            <w:tcBorders>
              <w:top w:val="single" w:sz="4" w:space="0" w:color="auto"/>
              <w:left w:val="single" w:sz="4" w:space="0" w:color="auto"/>
              <w:bottom w:val="single" w:sz="4" w:space="0" w:color="auto"/>
              <w:right w:val="single" w:sz="4" w:space="0" w:color="auto"/>
            </w:tcBorders>
          </w:tcPr>
          <w:p w14:paraId="2DAB2029" w14:textId="77777777" w:rsidR="00B24718" w:rsidRDefault="00B24718"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18FD9080" w14:textId="77777777" w:rsidR="00B24718" w:rsidRDefault="00B24718" w:rsidP="004130A7">
            <w:pPr>
              <w:spacing w:after="0" w:line="240" w:lineRule="auto"/>
              <w:rPr>
                <w:sz w:val="24"/>
                <w:szCs w:val="24"/>
              </w:rPr>
            </w:pPr>
            <w:r>
              <w:rPr>
                <w:sz w:val="24"/>
                <w:szCs w:val="24"/>
              </w:rPr>
              <w:t xml:space="preserve">                                   1                              2 3</w:t>
            </w:r>
          </w:p>
        </w:tc>
      </w:tr>
      <w:tr w:rsidR="00B24718" w14:paraId="24A21092" w14:textId="77777777" w:rsidTr="00B24718">
        <w:tc>
          <w:tcPr>
            <w:tcW w:w="2569" w:type="dxa"/>
            <w:tcBorders>
              <w:top w:val="single" w:sz="4" w:space="0" w:color="auto"/>
              <w:left w:val="single" w:sz="4" w:space="0" w:color="auto"/>
              <w:bottom w:val="single" w:sz="4" w:space="0" w:color="auto"/>
              <w:right w:val="single" w:sz="4" w:space="0" w:color="auto"/>
            </w:tcBorders>
          </w:tcPr>
          <w:p w14:paraId="2974AEC0" w14:textId="77777777" w:rsidR="00B24718" w:rsidRDefault="00B24718"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7C60B238" w14:textId="77777777" w:rsidR="00B24718" w:rsidRDefault="00B24718" w:rsidP="004130A7">
            <w:pPr>
              <w:spacing w:after="0" w:line="240" w:lineRule="auto"/>
              <w:rPr>
                <w:sz w:val="24"/>
                <w:szCs w:val="24"/>
              </w:rPr>
            </w:pPr>
            <w:r>
              <w:rPr>
                <w:sz w:val="24"/>
                <w:szCs w:val="24"/>
              </w:rPr>
              <w:t xml:space="preserve">                                   1                              2 3</w:t>
            </w:r>
          </w:p>
        </w:tc>
      </w:tr>
      <w:tr w:rsidR="00B24718" w14:paraId="2D919A2E" w14:textId="77777777" w:rsidTr="00B24718">
        <w:tc>
          <w:tcPr>
            <w:tcW w:w="2569" w:type="dxa"/>
            <w:tcBorders>
              <w:top w:val="single" w:sz="4" w:space="0" w:color="auto"/>
              <w:left w:val="single" w:sz="4" w:space="0" w:color="auto"/>
              <w:bottom w:val="single" w:sz="4" w:space="0" w:color="auto"/>
              <w:right w:val="single" w:sz="4" w:space="0" w:color="auto"/>
            </w:tcBorders>
          </w:tcPr>
          <w:p w14:paraId="75B63F95" w14:textId="77777777" w:rsidR="00B24718" w:rsidRDefault="00B24718"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6BB22DBD" w14:textId="77777777" w:rsidR="00B24718" w:rsidRDefault="00B24718" w:rsidP="004130A7">
            <w:pPr>
              <w:spacing w:after="0" w:line="240" w:lineRule="auto"/>
              <w:rPr>
                <w:sz w:val="24"/>
                <w:szCs w:val="24"/>
              </w:rPr>
            </w:pPr>
            <w:r>
              <w:rPr>
                <w:sz w:val="24"/>
                <w:szCs w:val="24"/>
              </w:rPr>
              <w:t xml:space="preserve">                 1 3             2 </w:t>
            </w:r>
          </w:p>
        </w:tc>
      </w:tr>
      <w:tr w:rsidR="00B24718" w14:paraId="798D4E3D" w14:textId="77777777" w:rsidTr="00B24718">
        <w:tc>
          <w:tcPr>
            <w:tcW w:w="2569" w:type="dxa"/>
            <w:tcBorders>
              <w:top w:val="single" w:sz="4" w:space="0" w:color="auto"/>
              <w:left w:val="single" w:sz="4" w:space="0" w:color="auto"/>
              <w:bottom w:val="single" w:sz="4" w:space="0" w:color="auto"/>
              <w:right w:val="single" w:sz="4" w:space="0" w:color="auto"/>
            </w:tcBorders>
          </w:tcPr>
          <w:p w14:paraId="0B12E812" w14:textId="77777777" w:rsidR="00B24718" w:rsidRDefault="00B24718"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6F5DB8F4" w14:textId="77777777" w:rsidR="00B24718" w:rsidRDefault="00B24718" w:rsidP="004130A7">
            <w:pPr>
              <w:spacing w:after="0" w:line="240" w:lineRule="auto"/>
              <w:rPr>
                <w:sz w:val="24"/>
                <w:szCs w:val="24"/>
              </w:rPr>
            </w:pPr>
            <w:r>
              <w:rPr>
                <w:sz w:val="24"/>
                <w:szCs w:val="24"/>
              </w:rPr>
              <w:t xml:space="preserve"> 1              2 3</w:t>
            </w:r>
          </w:p>
        </w:tc>
      </w:tr>
      <w:tr w:rsidR="00B24718" w14:paraId="463190F0" w14:textId="77777777" w:rsidTr="00B24718">
        <w:tc>
          <w:tcPr>
            <w:tcW w:w="2569" w:type="dxa"/>
            <w:tcBorders>
              <w:top w:val="single" w:sz="4" w:space="0" w:color="auto"/>
              <w:left w:val="single" w:sz="4" w:space="0" w:color="auto"/>
              <w:bottom w:val="single" w:sz="4" w:space="0" w:color="auto"/>
              <w:right w:val="single" w:sz="4" w:space="0" w:color="auto"/>
            </w:tcBorders>
          </w:tcPr>
          <w:p w14:paraId="31C67F5C" w14:textId="77777777" w:rsidR="00B24718" w:rsidRDefault="00B24718"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2710AFB6" w14:textId="77777777" w:rsidR="00B24718" w:rsidRDefault="00B24718" w:rsidP="004130A7">
            <w:pPr>
              <w:keepNext/>
              <w:spacing w:after="0" w:line="240" w:lineRule="auto"/>
              <w:rPr>
                <w:sz w:val="24"/>
                <w:szCs w:val="24"/>
              </w:rPr>
            </w:pPr>
            <w:r>
              <w:rPr>
                <w:sz w:val="24"/>
                <w:szCs w:val="24"/>
              </w:rPr>
              <w:t xml:space="preserve">                  1                                2 3</w:t>
            </w:r>
          </w:p>
        </w:tc>
      </w:tr>
    </w:tbl>
    <w:p w14:paraId="7DCCEA0F" w14:textId="1AB29C1B" w:rsidR="00272012" w:rsidRPr="0062359E" w:rsidRDefault="00272012" w:rsidP="00272012">
      <w:pPr>
        <w:pStyle w:val="Caption"/>
        <w:spacing w:after="120" w:line="360" w:lineRule="auto"/>
      </w:pPr>
      <w:bookmarkStart w:id="329" w:name="_Toc531023164"/>
      <w:bookmarkStart w:id="330" w:name="_Toc536438925"/>
      <w:bookmarkStart w:id="331" w:name="_Toc31702100"/>
      <w:r w:rsidRPr="0062359E">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31</w:t>
      </w:r>
      <w:r w:rsidR="00233012">
        <w:rPr>
          <w:noProof/>
        </w:rPr>
        <w:fldChar w:fldCharType="end"/>
      </w:r>
      <w:r w:rsidRPr="0062359E">
        <w:t xml:space="preserve">. Plotted typology. </w:t>
      </w:r>
      <w:r>
        <w:t>BoR11.2</w:t>
      </w:r>
      <w:bookmarkEnd w:id="329"/>
      <w:bookmarkEnd w:id="330"/>
      <w:bookmarkEnd w:id="331"/>
    </w:p>
    <w:p w14:paraId="064C71C7" w14:textId="77777777" w:rsidR="00AE46D2" w:rsidRDefault="00AE46D2">
      <w:pPr>
        <w:rPr>
          <w:rFonts w:asciiTheme="majorHAnsi" w:eastAsiaTheme="majorEastAsia" w:hAnsiTheme="majorHAnsi" w:cstheme="majorBidi"/>
          <w:caps/>
          <w:color w:val="1F3763" w:themeColor="accent1" w:themeShade="7F"/>
          <w:sz w:val="24"/>
          <w:szCs w:val="24"/>
        </w:rPr>
      </w:pPr>
      <w:bookmarkStart w:id="332" w:name="_Toc531007178"/>
      <w:bookmarkStart w:id="333" w:name="_Toc536718004"/>
      <w:r>
        <w:br w:type="page"/>
      </w:r>
    </w:p>
    <w:p w14:paraId="393C5030" w14:textId="5A786947" w:rsidR="00272012" w:rsidRDefault="0093259B" w:rsidP="00272012">
      <w:pPr>
        <w:pStyle w:val="Heading3"/>
      </w:pPr>
      <w:bookmarkStart w:id="334" w:name="_Toc31702027"/>
      <w:r>
        <w:t xml:space="preserve">BoRs sampled from </w:t>
      </w:r>
      <w:r w:rsidR="00272012">
        <w:t>UoA 13</w:t>
      </w:r>
      <w:bookmarkEnd w:id="332"/>
      <w:bookmarkEnd w:id="333"/>
      <w:bookmarkEnd w:id="334"/>
    </w:p>
    <w:p w14:paraId="59DD1C53" w14:textId="77777777" w:rsidR="00272012" w:rsidRPr="007B3B7B" w:rsidRDefault="00272012" w:rsidP="00272012">
      <w:pPr>
        <w:spacing w:after="120" w:line="360" w:lineRule="auto"/>
        <w:rPr>
          <w:sz w:val="24"/>
          <w:szCs w:val="24"/>
        </w:rPr>
      </w:pPr>
      <w:r>
        <w:rPr>
          <w:sz w:val="24"/>
          <w:szCs w:val="24"/>
        </w:rPr>
        <w:t xml:space="preserve">University of Cambridge (hereby Cambridge) research in the Department for Materials Science &amp; Metallurgy (DMSM) underpins this UoA 13 submission. Researchers in DMSM apply expertise in physical and chemical engineering to practical contexts. The two sampled Case Studies below represent the two broad approaches to this. The first is an instance of delivering technology to large industry. The second exemplifies the significant infrastructure and incentive DMSM offers its researchers to develop patentable technologies over which the researcher can receive highly favourable terms of ownership for spin-outs and patents which result from their academic research. In both Cases, patents are important academic outputs, and this is reflected by their being heavily referenced in the Case Study documents as representative of the quality and significance of the underpinning research. </w:t>
      </w:r>
    </w:p>
    <w:p w14:paraId="129482A8" w14:textId="01C3410F" w:rsidR="00272012" w:rsidRDefault="009528FE" w:rsidP="00272012">
      <w:pPr>
        <w:pStyle w:val="Heading4"/>
      </w:pPr>
      <w:r>
        <w:t>Body of Research 13.1: ‘High-performance nanostructured-steel armour</w:t>
      </w:r>
    </w:p>
    <w:p w14:paraId="66652D16" w14:textId="1ED181EC"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‘High-performance nanostructured-steel armour’</w:t>
      </w:r>
    </w:p>
    <w:p w14:paraId="527F9ED3" w14:textId="6671EF1B" w:rsidR="00272012" w:rsidRDefault="00272012" w:rsidP="00272012">
      <w:pPr>
        <w:spacing w:after="120" w:line="360" w:lineRule="auto"/>
        <w:rPr>
          <w:sz w:val="24"/>
          <w:szCs w:val="24"/>
        </w:rPr>
      </w:pPr>
      <w:r w:rsidRPr="00FC33ED">
        <w:rPr>
          <w:sz w:val="24"/>
          <w:szCs w:val="24"/>
          <w:u w:val="single"/>
        </w:rPr>
        <w:t xml:space="preserve">Phase 1. </w:t>
      </w:r>
      <w:r>
        <w:rPr>
          <w:sz w:val="24"/>
          <w:szCs w:val="24"/>
          <w:u w:val="single"/>
        </w:rPr>
        <w:t>Collaboration with the Ministry of Defence to improve steel performance</w:t>
      </w:r>
      <w:r>
        <w:rPr>
          <w:sz w:val="24"/>
          <w:szCs w:val="24"/>
          <w:u w:val="single"/>
        </w:rPr>
        <w:br/>
      </w:r>
      <w:r>
        <w:rPr>
          <w:sz w:val="24"/>
          <w:szCs w:val="24"/>
        </w:rPr>
        <w:t xml:space="preserve">Many metals, including steel, are crystalline in their nanostructure, that is, they are made up of microscopic crystallites or ‘grains’. It is known that metals made up of a greater number, but smaller size of grains are stronger than metals made up of fewer, larger grains. Based on this knowledge, in the late 1990s, DMSM researchers, in partnership with the Ministry of Defence (MoD), commenced work on processes which would reduce grain size of steel. The main end product of this research was the aim of improving the performance of steel used in the manufacture of armoured vehicles.  </w:t>
      </w:r>
    </w:p>
    <w:p w14:paraId="04FCEBD5" w14:textId="77777777" w:rsidR="00272012" w:rsidRPr="00C015F8" w:rsidRDefault="00272012" w:rsidP="00272012">
      <w:pPr>
        <w:spacing w:after="120" w:line="360" w:lineRule="auto"/>
        <w:rPr>
          <w:sz w:val="24"/>
          <w:szCs w:val="24"/>
        </w:rPr>
      </w:pPr>
      <w:r>
        <w:rPr>
          <w:sz w:val="24"/>
          <w:szCs w:val="24"/>
        </w:rPr>
        <w:t xml:space="preserve">This combined effort yielded significant theoretical discoveries about nanostructures, as well as patentable novel techniques for manipulating and manufacturing hardened steel known as ‘bainite’, which had been discovered in the early twentieth century but was previously little-understood. </w:t>
      </w:r>
    </w:p>
    <w:p w14:paraId="75F0026C" w14:textId="3BEEDDBD" w:rsidR="00272012" w:rsidRPr="008B796D" w:rsidRDefault="00272012" w:rsidP="00272012">
      <w:pPr>
        <w:spacing w:after="120" w:line="360" w:lineRule="auto"/>
        <w:rPr>
          <w:sz w:val="24"/>
          <w:szCs w:val="24"/>
          <w:u w:val="single"/>
        </w:rPr>
      </w:pPr>
      <w:r w:rsidRPr="00FC33ED">
        <w:rPr>
          <w:sz w:val="24"/>
          <w:szCs w:val="24"/>
          <w:u w:val="single"/>
        </w:rPr>
        <w:t xml:space="preserve">Phase 2. </w:t>
      </w:r>
      <w:r>
        <w:rPr>
          <w:sz w:val="24"/>
          <w:szCs w:val="24"/>
          <w:u w:val="single"/>
        </w:rPr>
        <w:t>Collaborating with industry for wide-scale manufacture and application of bainite</w:t>
      </w:r>
      <w:r>
        <w:rPr>
          <w:sz w:val="24"/>
          <w:szCs w:val="24"/>
          <w:u w:val="single"/>
        </w:rPr>
        <w:br/>
      </w:r>
      <w:r>
        <w:rPr>
          <w:sz w:val="24"/>
          <w:szCs w:val="24"/>
        </w:rPr>
        <w:t xml:space="preserve">The patented processes held by the MoD, which had resulted from work described under Phase 1, was licensed to Tata Steel (then known as Corus). Industrial-scale production required further research and development, now in a ‘triple helix’ </w:t>
      </w:r>
      <w:r w:rsidR="00233012">
        <w:rPr>
          <w:sz w:val="24"/>
          <w:szCs w:val="24"/>
        </w:rPr>
        <w:fldChar w:fldCharType="begin"/>
      </w:r>
      <w:r>
        <w:rPr>
          <w:sz w:val="24"/>
          <w:szCs w:val="24"/>
        </w:rPr>
        <w:instrText xml:space="preserve"> ADDIN EN.CITE &lt;EndNote&gt;&lt;Cite&gt;&lt;Author&gt;Leydesdorff&lt;/Author&gt;&lt;Year&gt;1998&lt;/Year&gt;&lt;IDText&gt;The Triple Helix as a model for innovation studies&lt;/IDText&gt;&lt;DisplayText&gt;(Leydesdorff &amp;amp; Etzkowitz, 1998)&lt;/DisplayText&gt;&lt;record&gt;&lt;isbn&gt;0302-3427&lt;/isbn&gt;&lt;titles&gt;&lt;title&gt;The Triple Helix as a model for innovation studies&lt;/title&gt;&lt;secondary-title&gt;Science and Public Policy&lt;/secondary-title&gt;&lt;/titles&gt;&lt;pages&gt;195-203&lt;/pages&gt;&lt;number&gt;3&lt;/number&gt;&lt;contributors&gt;&lt;authors&gt;&lt;author&gt;Leydesdorff, Loet&lt;/author&gt;&lt;author&gt;Etzkowitz, Henry&lt;/author&gt;&lt;/authors&gt;&lt;/contributors&gt;&lt;added-date format="utc"&gt;1475278029&lt;/added-date&gt;&lt;ref-type name="Journal Article"&gt;17&lt;/ref-type&gt;&lt;dates&gt;&lt;year&gt;1998&lt;/year&gt;&lt;/dates&gt;&lt;rec-number&gt;6018&lt;/rec-number&gt;&lt;last-updated-date format="utc"&gt;1477665468&lt;/last-updated-date&gt;&lt;electronic-resource-num&gt;10.1093/spp/25.3.195&lt;/electronic-resource-num&gt;&lt;volume&gt;25&lt;/volume&gt;&lt;/record&gt;&lt;/Cite&gt;&lt;/EndNote&gt;</w:instrText>
      </w:r>
      <w:r w:rsidR="00233012">
        <w:rPr>
          <w:sz w:val="24"/>
          <w:szCs w:val="24"/>
        </w:rPr>
        <w:fldChar w:fldCharType="separate"/>
      </w:r>
      <w:r>
        <w:rPr>
          <w:noProof/>
          <w:sz w:val="24"/>
          <w:szCs w:val="24"/>
        </w:rPr>
        <w:t>(Leydesdorff &amp; Etzkowitz, 1998)</w:t>
      </w:r>
      <w:r w:rsidR="00233012">
        <w:rPr>
          <w:sz w:val="24"/>
          <w:szCs w:val="24"/>
        </w:rPr>
        <w:fldChar w:fldCharType="end"/>
      </w:r>
      <w:r>
        <w:rPr>
          <w:sz w:val="24"/>
          <w:szCs w:val="24"/>
        </w:rPr>
        <w:t xml:space="preserve"> industry-government-academia collaboration. This resulted in new patents held by all three parties. The improved steel was found to be superior to existing products and able to be produced cost-effectively. As a result of this industrial collaboration, one leading MSM researcher was endowed as the first </w:t>
      </w:r>
      <w:r w:rsidRPr="008B796D">
        <w:rPr>
          <w:sz w:val="24"/>
          <w:szCs w:val="24"/>
        </w:rPr>
        <w:t xml:space="preserve">Tata </w:t>
      </w:r>
      <w:r>
        <w:rPr>
          <w:sz w:val="24"/>
          <w:szCs w:val="24"/>
        </w:rPr>
        <w:t xml:space="preserve">Steel </w:t>
      </w:r>
      <w:r w:rsidRPr="008B796D">
        <w:rPr>
          <w:sz w:val="24"/>
          <w:szCs w:val="24"/>
        </w:rPr>
        <w:t>Professor of Metallurgy.</w:t>
      </w:r>
      <w:r>
        <w:rPr>
          <w:sz w:val="24"/>
          <w:szCs w:val="24"/>
        </w:rPr>
        <w:t xml:space="preserve"> </w:t>
      </w:r>
    </w:p>
    <w:p w14:paraId="1399E458" w14:textId="55BD69F6" w:rsidR="00272012" w:rsidRDefault="00272012" w:rsidP="00272012">
      <w:pPr>
        <w:spacing w:after="120" w:line="360" w:lineRule="auto"/>
        <w:rPr>
          <w:sz w:val="24"/>
          <w:szCs w:val="24"/>
        </w:rPr>
      </w:pPr>
      <w:r w:rsidRPr="00FC33ED">
        <w:rPr>
          <w:sz w:val="24"/>
          <w:szCs w:val="24"/>
          <w:u w:val="single"/>
        </w:rPr>
        <w:t>Phase 3.</w:t>
      </w:r>
      <w:r>
        <w:rPr>
          <w:sz w:val="24"/>
          <w:szCs w:val="24"/>
          <w:u w:val="single"/>
        </w:rPr>
        <w:t xml:space="preserve"> Disseminating wider theoretical and applied implications of underpinning research</w:t>
      </w:r>
      <w:r>
        <w:rPr>
          <w:sz w:val="24"/>
          <w:szCs w:val="24"/>
          <w:u w:val="single"/>
        </w:rPr>
        <w:br/>
      </w:r>
      <w:r>
        <w:rPr>
          <w:sz w:val="24"/>
          <w:szCs w:val="24"/>
        </w:rPr>
        <w:t xml:space="preserve">Phase 3 refers to efforts at summarising the theoretical and applied research in such a way as to steer future lines of inquiry. The aim is to focus researchers’ efforts on those areas which will most likely lead to application and commercialisation, so that attempts to advance </w:t>
      </w:r>
      <w:r>
        <w:rPr>
          <w:i/>
          <w:sz w:val="24"/>
          <w:szCs w:val="24"/>
        </w:rPr>
        <w:t xml:space="preserve">understanding </w:t>
      </w:r>
      <w:r>
        <w:rPr>
          <w:sz w:val="24"/>
          <w:szCs w:val="24"/>
        </w:rPr>
        <w:t xml:space="preserve">are driven by goals of </w:t>
      </w:r>
      <w:r>
        <w:rPr>
          <w:i/>
          <w:sz w:val="24"/>
          <w:szCs w:val="24"/>
        </w:rPr>
        <w:t>use</w:t>
      </w:r>
      <w:r>
        <w:rPr>
          <w:sz w:val="24"/>
          <w:szCs w:val="24"/>
        </w:rPr>
        <w:t>. This objective is reflected in the shift in publishing practice. Outputs from earlier Phases were published in journals promoting “fundamental and technological aspects”</w:t>
      </w:r>
      <w:r>
        <w:rPr>
          <w:rStyle w:val="FootnoteReference"/>
          <w:sz w:val="24"/>
          <w:szCs w:val="24"/>
        </w:rPr>
        <w:footnoteReference w:id="27"/>
      </w:r>
      <w:r>
        <w:rPr>
          <w:sz w:val="24"/>
          <w:szCs w:val="24"/>
        </w:rPr>
        <w:t xml:space="preserve"> of materials. By contrast, the journal in which the paper referenced under Phase 3 is published has a more direct focus on applications: “Emphasis is placed on ... issues at the forefront of the field, such as energy and environmental issues, as well as medical and bioengineering applications”, with a “particular interest [in] nanostructured/nanoscales materials”</w:t>
      </w:r>
      <w:r>
        <w:rPr>
          <w:rStyle w:val="FootnoteReference"/>
          <w:sz w:val="24"/>
          <w:szCs w:val="24"/>
        </w:rPr>
        <w:footnoteReference w:id="28"/>
      </w:r>
      <w:r>
        <w:rPr>
          <w:sz w:val="24"/>
          <w:szCs w:val="24"/>
        </w:rPr>
        <w:t xml:space="preserve">. </w:t>
      </w:r>
    </w:p>
    <w:p w14:paraId="11D9C83B" w14:textId="77777777" w:rsidR="00272012" w:rsidRDefault="00272012" w:rsidP="00272012">
      <w:pPr>
        <w:spacing w:after="120" w:line="360" w:lineRule="auto"/>
        <w:rPr>
          <w:sz w:val="24"/>
          <w:szCs w:val="24"/>
        </w:rPr>
      </w:pPr>
      <w:r>
        <w:rPr>
          <w:sz w:val="24"/>
          <w:szCs w:val="24"/>
        </w:rPr>
        <w:t xml:space="preserve">Recent research conducted since that referenced in the Case Study, by both DMSM and others, has revealed more about why greater amounts of carbon (which is largely responsible for the strength of steel) are retained in the process than earlier theory would have predicted, and is also moving into new areas of application, such as the mining and rail industries. </w:t>
      </w:r>
    </w:p>
    <w:tbl>
      <w:tblPr>
        <w:tblW w:w="7155" w:type="dxa"/>
        <w:tblLook w:val="04A0" w:firstRow="1" w:lastRow="0" w:firstColumn="1" w:lastColumn="0" w:noHBand="0" w:noVBand="1"/>
      </w:tblPr>
      <w:tblGrid>
        <w:gridCol w:w="2569"/>
        <w:gridCol w:w="4586"/>
      </w:tblGrid>
      <w:tr w:rsidR="00B24718" w14:paraId="2FDF767A" w14:textId="77777777" w:rsidTr="00B24718">
        <w:tc>
          <w:tcPr>
            <w:tcW w:w="2569" w:type="dxa"/>
            <w:tcBorders>
              <w:top w:val="single" w:sz="4" w:space="0" w:color="auto"/>
              <w:left w:val="single" w:sz="4" w:space="0" w:color="auto"/>
              <w:bottom w:val="single" w:sz="4" w:space="0" w:color="auto"/>
              <w:right w:val="single" w:sz="4" w:space="0" w:color="auto"/>
            </w:tcBorders>
          </w:tcPr>
          <w:p w14:paraId="2BDF66E4" w14:textId="74DC4C6D" w:rsidR="00B24718" w:rsidRPr="002B4060" w:rsidRDefault="00B24718" w:rsidP="00B24718">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69B8A974" w14:textId="77777777" w:rsidR="00B24718" w:rsidRPr="00B8594F" w:rsidRDefault="00B24718" w:rsidP="00B24718">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6FE1434B" w14:textId="6C49C1DF" w:rsidR="00B24718" w:rsidRPr="00B8594F" w:rsidRDefault="00B24718" w:rsidP="00B24718">
            <w:pPr>
              <w:spacing w:after="0" w:line="240" w:lineRule="auto"/>
              <w:jc w:val="center"/>
              <w:rPr>
                <w:b/>
                <w:sz w:val="24"/>
                <w:szCs w:val="24"/>
              </w:rPr>
            </w:pPr>
            <w:r w:rsidRPr="00B8594F">
              <w:rPr>
                <w:b/>
                <w:sz w:val="24"/>
                <w:szCs w:val="24"/>
              </w:rPr>
              <w:t>1               2               3               4               5</w:t>
            </w:r>
          </w:p>
        </w:tc>
      </w:tr>
      <w:tr w:rsidR="00B24718" w14:paraId="62729230" w14:textId="77777777" w:rsidTr="00B24718">
        <w:tc>
          <w:tcPr>
            <w:tcW w:w="2569" w:type="dxa"/>
            <w:tcBorders>
              <w:top w:val="single" w:sz="4" w:space="0" w:color="auto"/>
              <w:left w:val="single" w:sz="4" w:space="0" w:color="auto"/>
              <w:bottom w:val="single" w:sz="4" w:space="0" w:color="auto"/>
              <w:right w:val="single" w:sz="4" w:space="0" w:color="auto"/>
            </w:tcBorders>
          </w:tcPr>
          <w:p w14:paraId="2FC36DC6" w14:textId="77777777" w:rsidR="00B24718" w:rsidRDefault="00B24718"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775712A1" w14:textId="77777777" w:rsidR="00B24718" w:rsidRDefault="00B24718" w:rsidP="004130A7">
            <w:pPr>
              <w:spacing w:after="0" w:line="240" w:lineRule="auto"/>
              <w:rPr>
                <w:sz w:val="24"/>
                <w:szCs w:val="24"/>
              </w:rPr>
            </w:pPr>
            <w:r>
              <w:rPr>
                <w:sz w:val="24"/>
                <w:szCs w:val="24"/>
              </w:rPr>
              <w:t>1 3             2</w:t>
            </w:r>
          </w:p>
        </w:tc>
      </w:tr>
      <w:tr w:rsidR="00B24718" w14:paraId="71CBC68A" w14:textId="77777777" w:rsidTr="00B24718">
        <w:tc>
          <w:tcPr>
            <w:tcW w:w="2569" w:type="dxa"/>
            <w:tcBorders>
              <w:top w:val="single" w:sz="4" w:space="0" w:color="auto"/>
              <w:left w:val="single" w:sz="4" w:space="0" w:color="auto"/>
              <w:bottom w:val="single" w:sz="4" w:space="0" w:color="auto"/>
              <w:right w:val="single" w:sz="4" w:space="0" w:color="auto"/>
            </w:tcBorders>
          </w:tcPr>
          <w:p w14:paraId="3CFEFC9A" w14:textId="77777777" w:rsidR="00B24718" w:rsidRDefault="00B24718"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1D2D66C1" w14:textId="77777777" w:rsidR="00B24718" w:rsidRDefault="00B24718" w:rsidP="004130A7">
            <w:pPr>
              <w:spacing w:after="0" w:line="240" w:lineRule="auto"/>
              <w:rPr>
                <w:sz w:val="24"/>
                <w:szCs w:val="24"/>
              </w:rPr>
            </w:pPr>
            <w:r>
              <w:rPr>
                <w:sz w:val="24"/>
                <w:szCs w:val="24"/>
              </w:rPr>
              <w:t xml:space="preserve">                                  1 3              2</w:t>
            </w:r>
          </w:p>
        </w:tc>
      </w:tr>
      <w:tr w:rsidR="00B24718" w14:paraId="2E5357E5" w14:textId="77777777" w:rsidTr="00B24718">
        <w:tc>
          <w:tcPr>
            <w:tcW w:w="2569" w:type="dxa"/>
            <w:tcBorders>
              <w:top w:val="single" w:sz="4" w:space="0" w:color="auto"/>
              <w:left w:val="single" w:sz="4" w:space="0" w:color="auto"/>
              <w:bottom w:val="single" w:sz="4" w:space="0" w:color="auto"/>
              <w:right w:val="single" w:sz="4" w:space="0" w:color="auto"/>
            </w:tcBorders>
          </w:tcPr>
          <w:p w14:paraId="76291118" w14:textId="77777777" w:rsidR="00B24718" w:rsidRDefault="00B24718"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2081CAF2" w14:textId="77777777" w:rsidR="00B24718" w:rsidRDefault="00B24718" w:rsidP="004130A7">
            <w:pPr>
              <w:spacing w:after="0" w:line="240" w:lineRule="auto"/>
              <w:rPr>
                <w:sz w:val="24"/>
                <w:szCs w:val="24"/>
              </w:rPr>
            </w:pPr>
            <w:r>
              <w:rPr>
                <w:sz w:val="24"/>
                <w:szCs w:val="24"/>
              </w:rPr>
              <w:t xml:space="preserve">                 1 3              2</w:t>
            </w:r>
          </w:p>
        </w:tc>
      </w:tr>
      <w:tr w:rsidR="00B24718" w14:paraId="3546B1F6" w14:textId="77777777" w:rsidTr="00B24718">
        <w:tc>
          <w:tcPr>
            <w:tcW w:w="2569" w:type="dxa"/>
            <w:tcBorders>
              <w:top w:val="single" w:sz="4" w:space="0" w:color="auto"/>
              <w:left w:val="single" w:sz="4" w:space="0" w:color="auto"/>
              <w:bottom w:val="single" w:sz="4" w:space="0" w:color="auto"/>
              <w:right w:val="single" w:sz="4" w:space="0" w:color="auto"/>
            </w:tcBorders>
          </w:tcPr>
          <w:p w14:paraId="46604A93" w14:textId="77777777" w:rsidR="00B24718" w:rsidRDefault="00B24718"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7719D67F" w14:textId="77777777" w:rsidR="00B24718" w:rsidRDefault="00B24718" w:rsidP="004130A7">
            <w:pPr>
              <w:spacing w:after="0" w:line="240" w:lineRule="auto"/>
              <w:rPr>
                <w:sz w:val="24"/>
                <w:szCs w:val="24"/>
              </w:rPr>
            </w:pPr>
            <w:r>
              <w:rPr>
                <w:sz w:val="24"/>
                <w:szCs w:val="24"/>
              </w:rPr>
              <w:t xml:space="preserve">                                 1 2 3</w:t>
            </w:r>
          </w:p>
        </w:tc>
      </w:tr>
      <w:tr w:rsidR="00B24718" w14:paraId="2FB67861" w14:textId="77777777" w:rsidTr="00B24718">
        <w:tc>
          <w:tcPr>
            <w:tcW w:w="2569" w:type="dxa"/>
            <w:tcBorders>
              <w:top w:val="single" w:sz="4" w:space="0" w:color="auto"/>
              <w:left w:val="single" w:sz="4" w:space="0" w:color="auto"/>
              <w:bottom w:val="single" w:sz="4" w:space="0" w:color="auto"/>
              <w:right w:val="single" w:sz="4" w:space="0" w:color="auto"/>
            </w:tcBorders>
          </w:tcPr>
          <w:p w14:paraId="6DEFDFCA" w14:textId="77777777" w:rsidR="00B24718" w:rsidRDefault="00B24718"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26694630" w14:textId="77777777" w:rsidR="00B24718" w:rsidRDefault="00B24718" w:rsidP="004130A7">
            <w:pPr>
              <w:spacing w:after="0" w:line="240" w:lineRule="auto"/>
              <w:rPr>
                <w:sz w:val="24"/>
                <w:szCs w:val="24"/>
              </w:rPr>
            </w:pPr>
            <w:r>
              <w:rPr>
                <w:sz w:val="24"/>
                <w:szCs w:val="24"/>
              </w:rPr>
              <w:t xml:space="preserve">                                    3               1               2</w:t>
            </w:r>
          </w:p>
        </w:tc>
      </w:tr>
      <w:tr w:rsidR="00B24718" w14:paraId="23EECA3D" w14:textId="77777777" w:rsidTr="00B24718">
        <w:tc>
          <w:tcPr>
            <w:tcW w:w="2569" w:type="dxa"/>
            <w:tcBorders>
              <w:top w:val="single" w:sz="4" w:space="0" w:color="auto"/>
              <w:left w:val="single" w:sz="4" w:space="0" w:color="auto"/>
              <w:bottom w:val="single" w:sz="4" w:space="0" w:color="auto"/>
              <w:right w:val="single" w:sz="4" w:space="0" w:color="auto"/>
            </w:tcBorders>
          </w:tcPr>
          <w:p w14:paraId="374F39EF" w14:textId="77777777" w:rsidR="00B24718" w:rsidRDefault="00B24718"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756E4F8D" w14:textId="77777777" w:rsidR="00B24718" w:rsidRDefault="00B24718" w:rsidP="004130A7">
            <w:pPr>
              <w:spacing w:after="0" w:line="240" w:lineRule="auto"/>
              <w:rPr>
                <w:sz w:val="24"/>
                <w:szCs w:val="24"/>
              </w:rPr>
            </w:pPr>
            <w:r>
              <w:rPr>
                <w:sz w:val="24"/>
                <w:szCs w:val="24"/>
              </w:rPr>
              <w:t>1 2 3</w:t>
            </w:r>
          </w:p>
        </w:tc>
      </w:tr>
      <w:tr w:rsidR="00B24718" w14:paraId="07C17CB6" w14:textId="77777777" w:rsidTr="00B24718">
        <w:tc>
          <w:tcPr>
            <w:tcW w:w="2569" w:type="dxa"/>
            <w:tcBorders>
              <w:top w:val="single" w:sz="4" w:space="0" w:color="auto"/>
              <w:left w:val="single" w:sz="4" w:space="0" w:color="auto"/>
              <w:bottom w:val="single" w:sz="4" w:space="0" w:color="auto"/>
              <w:right w:val="single" w:sz="4" w:space="0" w:color="auto"/>
            </w:tcBorders>
          </w:tcPr>
          <w:p w14:paraId="681B6E32" w14:textId="77777777" w:rsidR="00B24718" w:rsidRDefault="00B24718"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7F5F580A" w14:textId="77777777" w:rsidR="00B24718" w:rsidRDefault="00B24718" w:rsidP="004130A7">
            <w:pPr>
              <w:tabs>
                <w:tab w:val="left" w:pos="1227"/>
                <w:tab w:val="center" w:pos="2185"/>
                <w:tab w:val="left" w:pos="2595"/>
              </w:tabs>
              <w:spacing w:after="0" w:line="240" w:lineRule="auto"/>
              <w:rPr>
                <w:sz w:val="24"/>
                <w:szCs w:val="24"/>
              </w:rPr>
            </w:pPr>
            <w:r>
              <w:rPr>
                <w:sz w:val="24"/>
                <w:szCs w:val="24"/>
              </w:rPr>
              <w:t>1 3             2</w:t>
            </w:r>
          </w:p>
        </w:tc>
      </w:tr>
      <w:tr w:rsidR="00B24718" w14:paraId="7114ED64" w14:textId="77777777" w:rsidTr="00B24718">
        <w:tc>
          <w:tcPr>
            <w:tcW w:w="2569" w:type="dxa"/>
            <w:tcBorders>
              <w:top w:val="single" w:sz="4" w:space="0" w:color="auto"/>
              <w:left w:val="single" w:sz="4" w:space="0" w:color="auto"/>
              <w:bottom w:val="single" w:sz="4" w:space="0" w:color="auto"/>
              <w:right w:val="single" w:sz="4" w:space="0" w:color="auto"/>
            </w:tcBorders>
          </w:tcPr>
          <w:p w14:paraId="58BF84CA" w14:textId="77777777" w:rsidR="00B24718" w:rsidRDefault="00B24718"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46561FF6" w14:textId="77777777" w:rsidR="00B24718" w:rsidRDefault="00B24718" w:rsidP="004130A7">
            <w:pPr>
              <w:spacing w:after="0" w:line="240" w:lineRule="auto"/>
              <w:rPr>
                <w:sz w:val="24"/>
                <w:szCs w:val="24"/>
              </w:rPr>
            </w:pPr>
            <w:r>
              <w:rPr>
                <w:sz w:val="24"/>
                <w:szCs w:val="24"/>
              </w:rPr>
              <w:t xml:space="preserve">1 2 3 </w:t>
            </w:r>
          </w:p>
        </w:tc>
      </w:tr>
      <w:tr w:rsidR="00B24718" w14:paraId="3D1674C3" w14:textId="77777777" w:rsidTr="00B24718">
        <w:tc>
          <w:tcPr>
            <w:tcW w:w="2569" w:type="dxa"/>
            <w:tcBorders>
              <w:top w:val="single" w:sz="4" w:space="0" w:color="auto"/>
              <w:left w:val="single" w:sz="4" w:space="0" w:color="auto"/>
              <w:bottom w:val="single" w:sz="4" w:space="0" w:color="auto"/>
              <w:right w:val="single" w:sz="4" w:space="0" w:color="auto"/>
            </w:tcBorders>
          </w:tcPr>
          <w:p w14:paraId="29886643" w14:textId="77777777" w:rsidR="00B24718" w:rsidRDefault="00B24718"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70C7D3D5" w14:textId="77777777" w:rsidR="00B24718" w:rsidRDefault="00B24718" w:rsidP="004130A7">
            <w:pPr>
              <w:spacing w:after="0" w:line="240" w:lineRule="auto"/>
              <w:rPr>
                <w:sz w:val="24"/>
                <w:szCs w:val="24"/>
              </w:rPr>
            </w:pPr>
            <w:r>
              <w:rPr>
                <w:sz w:val="24"/>
                <w:szCs w:val="24"/>
              </w:rPr>
              <w:t xml:space="preserve">1 2 3 </w:t>
            </w:r>
          </w:p>
        </w:tc>
      </w:tr>
      <w:tr w:rsidR="00B24718" w14:paraId="5F1968AF" w14:textId="77777777" w:rsidTr="00B24718">
        <w:tc>
          <w:tcPr>
            <w:tcW w:w="2569" w:type="dxa"/>
            <w:tcBorders>
              <w:top w:val="single" w:sz="4" w:space="0" w:color="auto"/>
              <w:left w:val="single" w:sz="4" w:space="0" w:color="auto"/>
              <w:bottom w:val="single" w:sz="4" w:space="0" w:color="auto"/>
              <w:right w:val="single" w:sz="4" w:space="0" w:color="auto"/>
            </w:tcBorders>
          </w:tcPr>
          <w:p w14:paraId="4B7AE440" w14:textId="77777777" w:rsidR="00B24718" w:rsidRDefault="00B24718"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449339B3" w14:textId="77777777" w:rsidR="00B24718" w:rsidRDefault="00B24718" w:rsidP="004130A7">
            <w:pPr>
              <w:spacing w:after="0" w:line="240" w:lineRule="auto"/>
              <w:rPr>
                <w:sz w:val="24"/>
                <w:szCs w:val="24"/>
              </w:rPr>
            </w:pPr>
            <w:r>
              <w:rPr>
                <w:sz w:val="24"/>
                <w:szCs w:val="24"/>
              </w:rPr>
              <w:t xml:space="preserve">               1 2 3</w:t>
            </w:r>
          </w:p>
        </w:tc>
      </w:tr>
      <w:tr w:rsidR="00B24718" w14:paraId="505A1585" w14:textId="77777777" w:rsidTr="00B24718">
        <w:tc>
          <w:tcPr>
            <w:tcW w:w="2569" w:type="dxa"/>
            <w:tcBorders>
              <w:top w:val="single" w:sz="4" w:space="0" w:color="auto"/>
              <w:left w:val="single" w:sz="4" w:space="0" w:color="auto"/>
              <w:bottom w:val="single" w:sz="4" w:space="0" w:color="auto"/>
              <w:right w:val="single" w:sz="4" w:space="0" w:color="auto"/>
            </w:tcBorders>
          </w:tcPr>
          <w:p w14:paraId="4BACEE3A" w14:textId="77777777" w:rsidR="00B24718" w:rsidRDefault="00B24718"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443C1763" w14:textId="77777777" w:rsidR="00B24718" w:rsidRDefault="00B24718" w:rsidP="004130A7">
            <w:pPr>
              <w:spacing w:after="0" w:line="240" w:lineRule="auto"/>
              <w:rPr>
                <w:sz w:val="24"/>
                <w:szCs w:val="24"/>
              </w:rPr>
            </w:pPr>
            <w:r>
              <w:rPr>
                <w:sz w:val="24"/>
                <w:szCs w:val="24"/>
              </w:rPr>
              <w:t xml:space="preserve">                                  1 3                               2</w:t>
            </w:r>
          </w:p>
        </w:tc>
      </w:tr>
      <w:tr w:rsidR="00B24718" w14:paraId="38C850A5" w14:textId="77777777" w:rsidTr="00B24718">
        <w:tc>
          <w:tcPr>
            <w:tcW w:w="2569" w:type="dxa"/>
            <w:tcBorders>
              <w:top w:val="single" w:sz="4" w:space="0" w:color="auto"/>
              <w:left w:val="single" w:sz="4" w:space="0" w:color="auto"/>
              <w:bottom w:val="single" w:sz="4" w:space="0" w:color="auto"/>
              <w:right w:val="single" w:sz="4" w:space="0" w:color="auto"/>
            </w:tcBorders>
          </w:tcPr>
          <w:p w14:paraId="158844FC" w14:textId="77777777" w:rsidR="00B24718" w:rsidRDefault="00B24718"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27CB2E9F" w14:textId="77777777" w:rsidR="00B24718" w:rsidRDefault="00B24718" w:rsidP="004130A7">
            <w:pPr>
              <w:spacing w:after="0" w:line="240" w:lineRule="auto"/>
              <w:rPr>
                <w:sz w:val="24"/>
                <w:szCs w:val="24"/>
              </w:rPr>
            </w:pPr>
            <w:r>
              <w:rPr>
                <w:sz w:val="24"/>
                <w:szCs w:val="24"/>
              </w:rPr>
              <w:t xml:space="preserve">                                  1 3                               2</w:t>
            </w:r>
          </w:p>
        </w:tc>
      </w:tr>
      <w:tr w:rsidR="00B24718" w14:paraId="3F4BBD12" w14:textId="77777777" w:rsidTr="00B24718">
        <w:tc>
          <w:tcPr>
            <w:tcW w:w="2569" w:type="dxa"/>
            <w:tcBorders>
              <w:top w:val="single" w:sz="4" w:space="0" w:color="auto"/>
              <w:left w:val="single" w:sz="4" w:space="0" w:color="auto"/>
              <w:bottom w:val="single" w:sz="4" w:space="0" w:color="auto"/>
              <w:right w:val="single" w:sz="4" w:space="0" w:color="auto"/>
            </w:tcBorders>
          </w:tcPr>
          <w:p w14:paraId="3302CC74" w14:textId="77777777" w:rsidR="00B24718" w:rsidRDefault="00B24718"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0D6A3A50" w14:textId="77777777" w:rsidR="00B24718" w:rsidRDefault="00B24718" w:rsidP="004130A7">
            <w:pPr>
              <w:spacing w:after="0" w:line="240" w:lineRule="auto"/>
              <w:rPr>
                <w:sz w:val="24"/>
                <w:szCs w:val="24"/>
              </w:rPr>
            </w:pPr>
            <w:r>
              <w:rPr>
                <w:sz w:val="24"/>
                <w:szCs w:val="24"/>
              </w:rPr>
              <w:t xml:space="preserve">               1 2 3</w:t>
            </w:r>
          </w:p>
        </w:tc>
      </w:tr>
      <w:tr w:rsidR="00B24718" w14:paraId="6AD63D6C" w14:textId="77777777" w:rsidTr="00B24718">
        <w:tc>
          <w:tcPr>
            <w:tcW w:w="2569" w:type="dxa"/>
            <w:tcBorders>
              <w:top w:val="single" w:sz="4" w:space="0" w:color="auto"/>
              <w:left w:val="single" w:sz="4" w:space="0" w:color="auto"/>
              <w:bottom w:val="single" w:sz="4" w:space="0" w:color="auto"/>
              <w:right w:val="single" w:sz="4" w:space="0" w:color="auto"/>
            </w:tcBorders>
          </w:tcPr>
          <w:p w14:paraId="5BD1FB35" w14:textId="77777777" w:rsidR="00B24718" w:rsidRDefault="00B24718"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219EF97F" w14:textId="77777777" w:rsidR="00B24718" w:rsidRDefault="00B24718" w:rsidP="004130A7">
            <w:pPr>
              <w:spacing w:after="0" w:line="240" w:lineRule="auto"/>
              <w:rPr>
                <w:sz w:val="24"/>
                <w:szCs w:val="24"/>
              </w:rPr>
            </w:pPr>
            <w:r>
              <w:rPr>
                <w:sz w:val="24"/>
                <w:szCs w:val="24"/>
              </w:rPr>
              <w:t>1 2 3</w:t>
            </w:r>
          </w:p>
        </w:tc>
      </w:tr>
      <w:tr w:rsidR="00B24718" w14:paraId="7C976FDC" w14:textId="77777777" w:rsidTr="00B24718">
        <w:tc>
          <w:tcPr>
            <w:tcW w:w="2569" w:type="dxa"/>
            <w:tcBorders>
              <w:top w:val="single" w:sz="4" w:space="0" w:color="auto"/>
              <w:left w:val="single" w:sz="4" w:space="0" w:color="auto"/>
              <w:bottom w:val="single" w:sz="4" w:space="0" w:color="auto"/>
              <w:right w:val="single" w:sz="4" w:space="0" w:color="auto"/>
            </w:tcBorders>
          </w:tcPr>
          <w:p w14:paraId="59105C85" w14:textId="77777777" w:rsidR="00B24718" w:rsidRDefault="00B24718"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63BA4935" w14:textId="77777777" w:rsidR="00B24718" w:rsidRDefault="00B24718" w:rsidP="004130A7">
            <w:pPr>
              <w:keepNext/>
              <w:spacing w:after="0" w:line="240" w:lineRule="auto"/>
              <w:rPr>
                <w:sz w:val="24"/>
                <w:szCs w:val="24"/>
              </w:rPr>
            </w:pPr>
            <w:r>
              <w:rPr>
                <w:sz w:val="24"/>
                <w:szCs w:val="24"/>
              </w:rPr>
              <w:t xml:space="preserve">                 1 3              2</w:t>
            </w:r>
          </w:p>
        </w:tc>
      </w:tr>
    </w:tbl>
    <w:p w14:paraId="5F07E287" w14:textId="58461E75" w:rsidR="00272012" w:rsidRPr="00CF395F" w:rsidRDefault="00272012" w:rsidP="00272012">
      <w:pPr>
        <w:pStyle w:val="Caption"/>
        <w:spacing w:after="120" w:line="360" w:lineRule="auto"/>
        <w:rPr>
          <w:sz w:val="24"/>
          <w:szCs w:val="24"/>
        </w:rPr>
      </w:pPr>
      <w:bookmarkStart w:id="335" w:name="_Toc531023165"/>
      <w:bookmarkStart w:id="336" w:name="_Toc536438926"/>
      <w:bookmarkStart w:id="337" w:name="_Toc31702101"/>
      <w:r w:rsidRPr="00CF395F">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32</w:t>
      </w:r>
      <w:r w:rsidR="00233012">
        <w:rPr>
          <w:noProof/>
        </w:rPr>
        <w:fldChar w:fldCharType="end"/>
      </w:r>
      <w:r w:rsidRPr="00CF395F">
        <w:t xml:space="preserve">. Plotted typology. </w:t>
      </w:r>
      <w:r>
        <w:t>BoR13.</w:t>
      </w:r>
      <w:r w:rsidR="00811361">
        <w:t>1</w:t>
      </w:r>
      <w:bookmarkEnd w:id="335"/>
      <w:bookmarkEnd w:id="336"/>
      <w:bookmarkEnd w:id="337"/>
    </w:p>
    <w:p w14:paraId="4C8A2BF6" w14:textId="4A6AF32A" w:rsidR="00272012" w:rsidRDefault="009528FE" w:rsidP="00272012">
      <w:pPr>
        <w:pStyle w:val="Heading4"/>
      </w:pPr>
      <w:r>
        <w:t>Body of Research 13.2: ‘Topical oxygen therapy for wound healing’</w:t>
      </w:r>
    </w:p>
    <w:p w14:paraId="6BC54AD1" w14:textId="2BA85605"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‘Topical oxygen therapy for wound healing’</w:t>
      </w:r>
    </w:p>
    <w:p w14:paraId="0AD41496" w14:textId="73F8C72B" w:rsidR="00272012" w:rsidRDefault="00272012" w:rsidP="00272012">
      <w:pPr>
        <w:spacing w:after="120" w:line="360" w:lineRule="auto"/>
        <w:rPr>
          <w:sz w:val="24"/>
          <w:szCs w:val="24"/>
        </w:rPr>
      </w:pPr>
      <w:r w:rsidRPr="00FC33ED">
        <w:rPr>
          <w:sz w:val="24"/>
          <w:szCs w:val="24"/>
          <w:u w:val="single"/>
        </w:rPr>
        <w:t>Phase 1.</w:t>
      </w:r>
      <w:r>
        <w:rPr>
          <w:sz w:val="24"/>
          <w:szCs w:val="24"/>
          <w:u w:val="single"/>
        </w:rPr>
        <w:t xml:space="preserve"> Aqueous electrochemistry &amp; hydrometallurgy engineering</w:t>
      </w:r>
      <w:r>
        <w:rPr>
          <w:sz w:val="24"/>
          <w:szCs w:val="24"/>
          <w:u w:val="single"/>
        </w:rPr>
        <w:br/>
      </w:r>
      <w:r>
        <w:rPr>
          <w:sz w:val="24"/>
          <w:szCs w:val="24"/>
        </w:rPr>
        <w:t xml:space="preserve">The Materials Chemistry Group (MCG), located within DMSM, has particular strengths in the related areas of aqueous electrochemistry and hydrometallurgy. Aqueous electrochemistry exploits the properties of water molecules and their elementary components (i.e. hydrogen and oxygen) as conductors. Hydrometallurgy involves study of the reactions between water and its component elements with metals. One of the potentially broad range of applications of such expertise is in the generation of oxygen, for example by understanding how water reacts with metals and manipulating conditions (i.e. humidity) so as to produce the desired effect. </w:t>
      </w:r>
    </w:p>
    <w:p w14:paraId="05267E43" w14:textId="77777777" w:rsidR="00272012" w:rsidRPr="0056784D" w:rsidRDefault="00272012" w:rsidP="00272012">
      <w:pPr>
        <w:spacing w:after="120" w:line="360" w:lineRule="auto"/>
        <w:rPr>
          <w:sz w:val="24"/>
          <w:szCs w:val="24"/>
        </w:rPr>
      </w:pPr>
      <w:r>
        <w:rPr>
          <w:sz w:val="24"/>
          <w:szCs w:val="24"/>
        </w:rPr>
        <w:t xml:space="preserve">Phase 1 refers to underpinning research conducted by MCG into aqueous electrochemistry and hydrometallurgy, specifically around creating oxygen generators based on the electrochemical interaction between water and metal. As will be described below, the results of this research were crucial to MCG’s later development of a wound-healing device.  </w:t>
      </w:r>
    </w:p>
    <w:p w14:paraId="30C6738F" w14:textId="29FDB628" w:rsidR="00272012" w:rsidRDefault="00272012" w:rsidP="00272012">
      <w:pPr>
        <w:spacing w:after="120" w:line="360" w:lineRule="auto"/>
        <w:rPr>
          <w:sz w:val="24"/>
          <w:szCs w:val="24"/>
        </w:rPr>
      </w:pPr>
      <w:r w:rsidRPr="00FC33ED">
        <w:rPr>
          <w:sz w:val="24"/>
          <w:szCs w:val="24"/>
          <w:u w:val="single"/>
        </w:rPr>
        <w:t xml:space="preserve">Phase 2. </w:t>
      </w:r>
      <w:r>
        <w:rPr>
          <w:sz w:val="24"/>
          <w:szCs w:val="24"/>
          <w:u w:val="single"/>
        </w:rPr>
        <w:t>Applying expertise to develop an oxygen-generation and distribution system</w:t>
      </w:r>
      <w:r>
        <w:rPr>
          <w:sz w:val="24"/>
          <w:szCs w:val="24"/>
          <w:u w:val="single"/>
        </w:rPr>
        <w:br/>
      </w:r>
      <w:r>
        <w:rPr>
          <w:sz w:val="24"/>
          <w:szCs w:val="24"/>
        </w:rPr>
        <w:t xml:space="preserve">In the early 2000s, whilst at a chemical engineering conference, one leading MCG researcher came across an oxygen-generation device to aid the healing of wounds. Following the presentation, this researcher believed, based on MCG’s expertise described under Phase 1, that the device could be significantly improved upon by better controlling the relationship between water and metal when a small electrical voltage is applied. The researcher believed it would be possible to concentrate the distribution of this generated oxygen around the wound, thus greatly speeding the healing process. </w:t>
      </w:r>
    </w:p>
    <w:p w14:paraId="484BF6A9" w14:textId="77777777" w:rsidR="00272012" w:rsidRPr="0056784D" w:rsidRDefault="00272012" w:rsidP="00272012">
      <w:pPr>
        <w:spacing w:after="120" w:line="360" w:lineRule="auto"/>
        <w:rPr>
          <w:sz w:val="24"/>
          <w:szCs w:val="24"/>
        </w:rPr>
      </w:pPr>
      <w:r>
        <w:rPr>
          <w:sz w:val="24"/>
          <w:szCs w:val="24"/>
        </w:rPr>
        <w:t xml:space="preserve">Already having significant experience of intellectual property and founding spin-out companies, the researcher cofounded a new company with a long-time non-academic collaborator which would focus on the design of a new oxygen-distribution system. He was also successful in recruiting a postdoctoral researcher to focus on developing other aspects of the device. These two collaborative enterprises led to two separate patents, both of which ultimately were brought together in the final product (Phase 3). </w:t>
      </w:r>
    </w:p>
    <w:p w14:paraId="254296B3" w14:textId="0541E7FD" w:rsidR="00272012" w:rsidRDefault="00272012" w:rsidP="00272012">
      <w:pPr>
        <w:spacing w:after="120" w:line="360" w:lineRule="auto"/>
        <w:rPr>
          <w:sz w:val="24"/>
          <w:szCs w:val="24"/>
        </w:rPr>
      </w:pPr>
      <w:r w:rsidRPr="00FC33ED">
        <w:rPr>
          <w:sz w:val="24"/>
          <w:szCs w:val="24"/>
          <w:u w:val="single"/>
        </w:rPr>
        <w:t>Phase 3.</w:t>
      </w:r>
      <w:r>
        <w:rPr>
          <w:sz w:val="24"/>
          <w:szCs w:val="24"/>
          <w:u w:val="single"/>
        </w:rPr>
        <w:t xml:space="preserve"> Engaging the health sector and marketing the final product</w:t>
      </w:r>
      <w:r>
        <w:rPr>
          <w:sz w:val="24"/>
          <w:szCs w:val="24"/>
          <w:u w:val="single"/>
        </w:rPr>
        <w:br/>
      </w:r>
      <w:r>
        <w:rPr>
          <w:sz w:val="24"/>
          <w:szCs w:val="24"/>
        </w:rPr>
        <w:t xml:space="preserve">Finalising the product and making it available to medical professionals brings a new phase and also a new set of collaborations. Like all new medical products, the device was rigorously scrutinised, particularly at the stage of obtaining ethical approval for conducting the necessary trials. Even after ethical approval was granted, UK hospitals were found to be unresponsive. Hospitals expected a financial incentive for trialling the product and (as was seen in the case of UoA 11 Case Study II) were sceptical of proposed technological solutions to long-standing problems – in this case, the problem of healing chronic wounds, ulcers, burns etc. As such, the initial trials were not able to be conducted within NHS hospitals and were instead conducted in Czech Republic, which was also known to have appropriate ethics procedures and experience of carrying out trials. MCG being comprised of engineers rather than medical researchers, the trials themselves were outsourced to a specialist private medical consultancy known through MCG’s wider network. </w:t>
      </w:r>
    </w:p>
    <w:p w14:paraId="069C1AB0" w14:textId="77777777" w:rsidR="00272012" w:rsidRDefault="00272012" w:rsidP="00272012">
      <w:pPr>
        <w:spacing w:after="120" w:line="360" w:lineRule="auto"/>
      </w:pPr>
      <w:r>
        <w:rPr>
          <w:sz w:val="24"/>
          <w:szCs w:val="24"/>
        </w:rPr>
        <w:t xml:space="preserve">These trials also served as a kind of market research and product development project. They identified practical issues that users had with understanding and using the device, for example how to maintain it, recharge it, etc. This prompted more user-friendly amendments to be made where necessary. One of the results was a further patent (referenced under Phase 3) which incorporates a portable oxygen-generator within the device, reducing the need for battery recharging. </w:t>
      </w:r>
    </w:p>
    <w:tbl>
      <w:tblPr>
        <w:tblW w:w="7155" w:type="dxa"/>
        <w:tblLook w:val="04A0" w:firstRow="1" w:lastRow="0" w:firstColumn="1" w:lastColumn="0" w:noHBand="0" w:noVBand="1"/>
      </w:tblPr>
      <w:tblGrid>
        <w:gridCol w:w="2569"/>
        <w:gridCol w:w="4586"/>
      </w:tblGrid>
      <w:tr w:rsidR="00B24718" w14:paraId="160638D1" w14:textId="77777777" w:rsidTr="00B24718">
        <w:tc>
          <w:tcPr>
            <w:tcW w:w="2569" w:type="dxa"/>
            <w:tcBorders>
              <w:top w:val="single" w:sz="4" w:space="0" w:color="auto"/>
              <w:left w:val="single" w:sz="4" w:space="0" w:color="auto"/>
              <w:bottom w:val="single" w:sz="4" w:space="0" w:color="auto"/>
              <w:right w:val="single" w:sz="4" w:space="0" w:color="auto"/>
            </w:tcBorders>
          </w:tcPr>
          <w:p w14:paraId="1850C2CC" w14:textId="2EF9A00E" w:rsidR="00B24718" w:rsidRPr="002B4060" w:rsidRDefault="00B24718" w:rsidP="00B24718">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315BC5CB" w14:textId="77777777" w:rsidR="00B24718" w:rsidRPr="00B8594F" w:rsidRDefault="00B24718" w:rsidP="00B24718">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5E1CE83C" w14:textId="28BFC61A" w:rsidR="00B24718" w:rsidRPr="00B8594F" w:rsidRDefault="00B24718" w:rsidP="00B24718">
            <w:pPr>
              <w:spacing w:after="0" w:line="240" w:lineRule="auto"/>
              <w:jc w:val="center"/>
              <w:rPr>
                <w:b/>
                <w:sz w:val="24"/>
                <w:szCs w:val="24"/>
              </w:rPr>
            </w:pPr>
            <w:r w:rsidRPr="00B8594F">
              <w:rPr>
                <w:b/>
                <w:sz w:val="24"/>
                <w:szCs w:val="24"/>
              </w:rPr>
              <w:t>1               2               3               4               5</w:t>
            </w:r>
          </w:p>
        </w:tc>
      </w:tr>
      <w:tr w:rsidR="00B24718" w14:paraId="530963C1" w14:textId="77777777" w:rsidTr="00B24718">
        <w:tc>
          <w:tcPr>
            <w:tcW w:w="2569" w:type="dxa"/>
            <w:tcBorders>
              <w:top w:val="single" w:sz="4" w:space="0" w:color="auto"/>
              <w:left w:val="single" w:sz="4" w:space="0" w:color="auto"/>
              <w:bottom w:val="single" w:sz="4" w:space="0" w:color="auto"/>
              <w:right w:val="single" w:sz="4" w:space="0" w:color="auto"/>
            </w:tcBorders>
          </w:tcPr>
          <w:p w14:paraId="2C06B61E" w14:textId="77777777" w:rsidR="00B24718" w:rsidRDefault="00B24718"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188575EA" w14:textId="77777777" w:rsidR="00B24718" w:rsidRDefault="00B24718" w:rsidP="004130A7">
            <w:pPr>
              <w:spacing w:after="0" w:line="240" w:lineRule="auto"/>
              <w:rPr>
                <w:sz w:val="24"/>
                <w:szCs w:val="24"/>
              </w:rPr>
            </w:pPr>
            <w:r>
              <w:rPr>
                <w:sz w:val="24"/>
                <w:szCs w:val="24"/>
              </w:rPr>
              <w:t xml:space="preserve"> 1              2 3</w:t>
            </w:r>
          </w:p>
        </w:tc>
      </w:tr>
      <w:tr w:rsidR="00B24718" w14:paraId="292ECE02" w14:textId="77777777" w:rsidTr="00B24718">
        <w:tc>
          <w:tcPr>
            <w:tcW w:w="2569" w:type="dxa"/>
            <w:tcBorders>
              <w:top w:val="single" w:sz="4" w:space="0" w:color="auto"/>
              <w:left w:val="single" w:sz="4" w:space="0" w:color="auto"/>
              <w:bottom w:val="single" w:sz="4" w:space="0" w:color="auto"/>
              <w:right w:val="single" w:sz="4" w:space="0" w:color="auto"/>
            </w:tcBorders>
          </w:tcPr>
          <w:p w14:paraId="2B0BC310" w14:textId="77777777" w:rsidR="00B24718" w:rsidRDefault="00B24718"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7D4708F0" w14:textId="77777777" w:rsidR="00B24718" w:rsidRDefault="00B24718" w:rsidP="004130A7">
            <w:pPr>
              <w:spacing w:after="0" w:line="240" w:lineRule="auto"/>
              <w:rPr>
                <w:sz w:val="24"/>
                <w:szCs w:val="24"/>
              </w:rPr>
            </w:pPr>
            <w:r>
              <w:rPr>
                <w:sz w:val="24"/>
                <w:szCs w:val="24"/>
              </w:rPr>
              <w:t xml:space="preserve">                  1                                               2 3</w:t>
            </w:r>
          </w:p>
        </w:tc>
      </w:tr>
      <w:tr w:rsidR="00B24718" w14:paraId="1B830E03" w14:textId="77777777" w:rsidTr="00B24718">
        <w:tc>
          <w:tcPr>
            <w:tcW w:w="2569" w:type="dxa"/>
            <w:tcBorders>
              <w:top w:val="single" w:sz="4" w:space="0" w:color="auto"/>
              <w:left w:val="single" w:sz="4" w:space="0" w:color="auto"/>
              <w:bottom w:val="single" w:sz="4" w:space="0" w:color="auto"/>
              <w:right w:val="single" w:sz="4" w:space="0" w:color="auto"/>
            </w:tcBorders>
          </w:tcPr>
          <w:p w14:paraId="765DAFA0" w14:textId="77777777" w:rsidR="00B24718" w:rsidRDefault="00B24718"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03277368" w14:textId="77777777" w:rsidR="00B24718" w:rsidRDefault="00B24718" w:rsidP="004130A7">
            <w:pPr>
              <w:spacing w:after="0" w:line="240" w:lineRule="auto"/>
              <w:rPr>
                <w:sz w:val="24"/>
                <w:szCs w:val="24"/>
              </w:rPr>
            </w:pPr>
            <w:r>
              <w:rPr>
                <w:sz w:val="24"/>
                <w:szCs w:val="24"/>
              </w:rPr>
              <w:t xml:space="preserve"> 1                                                  2               3</w:t>
            </w:r>
          </w:p>
        </w:tc>
      </w:tr>
      <w:tr w:rsidR="00B24718" w14:paraId="22B6E1F2" w14:textId="77777777" w:rsidTr="00B24718">
        <w:tc>
          <w:tcPr>
            <w:tcW w:w="2569" w:type="dxa"/>
            <w:tcBorders>
              <w:top w:val="single" w:sz="4" w:space="0" w:color="auto"/>
              <w:left w:val="single" w:sz="4" w:space="0" w:color="auto"/>
              <w:bottom w:val="single" w:sz="4" w:space="0" w:color="auto"/>
              <w:right w:val="single" w:sz="4" w:space="0" w:color="auto"/>
            </w:tcBorders>
          </w:tcPr>
          <w:p w14:paraId="31BAB8FA" w14:textId="77777777" w:rsidR="00B24718" w:rsidRDefault="00B24718"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63572F1A" w14:textId="77777777" w:rsidR="00B24718" w:rsidRDefault="00B24718" w:rsidP="004130A7">
            <w:pPr>
              <w:spacing w:after="0" w:line="240" w:lineRule="auto"/>
              <w:rPr>
                <w:sz w:val="24"/>
                <w:szCs w:val="24"/>
              </w:rPr>
            </w:pPr>
            <w:r>
              <w:rPr>
                <w:sz w:val="24"/>
                <w:szCs w:val="24"/>
              </w:rPr>
              <w:t xml:space="preserve">                  1                                 2               3</w:t>
            </w:r>
          </w:p>
        </w:tc>
      </w:tr>
      <w:tr w:rsidR="00B24718" w14:paraId="35212F6B" w14:textId="77777777" w:rsidTr="00B24718">
        <w:tc>
          <w:tcPr>
            <w:tcW w:w="2569" w:type="dxa"/>
            <w:tcBorders>
              <w:top w:val="single" w:sz="4" w:space="0" w:color="auto"/>
              <w:left w:val="single" w:sz="4" w:space="0" w:color="auto"/>
              <w:bottom w:val="single" w:sz="4" w:space="0" w:color="auto"/>
              <w:right w:val="single" w:sz="4" w:space="0" w:color="auto"/>
            </w:tcBorders>
          </w:tcPr>
          <w:p w14:paraId="69930056" w14:textId="77777777" w:rsidR="00B24718" w:rsidRDefault="00B24718"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4780D967" w14:textId="77777777" w:rsidR="00B24718" w:rsidRDefault="00B24718" w:rsidP="004130A7">
            <w:pPr>
              <w:spacing w:after="0" w:line="240" w:lineRule="auto"/>
              <w:rPr>
                <w:sz w:val="24"/>
                <w:szCs w:val="24"/>
              </w:rPr>
            </w:pPr>
            <w:r>
              <w:rPr>
                <w:sz w:val="24"/>
                <w:szCs w:val="24"/>
              </w:rPr>
              <w:t xml:space="preserve">                                    1                             2 3</w:t>
            </w:r>
          </w:p>
        </w:tc>
      </w:tr>
      <w:tr w:rsidR="00B24718" w14:paraId="5AAB3815" w14:textId="77777777" w:rsidTr="00B24718">
        <w:tc>
          <w:tcPr>
            <w:tcW w:w="2569" w:type="dxa"/>
            <w:tcBorders>
              <w:top w:val="single" w:sz="4" w:space="0" w:color="auto"/>
              <w:left w:val="single" w:sz="4" w:space="0" w:color="auto"/>
              <w:bottom w:val="single" w:sz="4" w:space="0" w:color="auto"/>
              <w:right w:val="single" w:sz="4" w:space="0" w:color="auto"/>
            </w:tcBorders>
          </w:tcPr>
          <w:p w14:paraId="0266C1A9" w14:textId="77777777" w:rsidR="00B24718" w:rsidRDefault="00B24718"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3B202153" w14:textId="77777777" w:rsidR="00B24718" w:rsidRDefault="00B24718" w:rsidP="004130A7">
            <w:pPr>
              <w:spacing w:after="0" w:line="240" w:lineRule="auto"/>
              <w:rPr>
                <w:sz w:val="24"/>
                <w:szCs w:val="24"/>
              </w:rPr>
            </w:pPr>
            <w:r>
              <w:rPr>
                <w:sz w:val="24"/>
                <w:szCs w:val="24"/>
              </w:rPr>
              <w:t>1 2 3</w:t>
            </w:r>
          </w:p>
        </w:tc>
      </w:tr>
      <w:tr w:rsidR="00B24718" w14:paraId="0BF919C2" w14:textId="77777777" w:rsidTr="00B24718">
        <w:tc>
          <w:tcPr>
            <w:tcW w:w="2569" w:type="dxa"/>
            <w:tcBorders>
              <w:top w:val="single" w:sz="4" w:space="0" w:color="auto"/>
              <w:left w:val="single" w:sz="4" w:space="0" w:color="auto"/>
              <w:bottom w:val="single" w:sz="4" w:space="0" w:color="auto"/>
              <w:right w:val="single" w:sz="4" w:space="0" w:color="auto"/>
            </w:tcBorders>
          </w:tcPr>
          <w:p w14:paraId="31F0F85C" w14:textId="77777777" w:rsidR="00B24718" w:rsidRDefault="00B24718"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0474B2B9" w14:textId="77777777" w:rsidR="00B24718" w:rsidRDefault="00B24718" w:rsidP="004130A7">
            <w:pPr>
              <w:tabs>
                <w:tab w:val="left" w:pos="1227"/>
                <w:tab w:val="center" w:pos="2185"/>
                <w:tab w:val="left" w:pos="2595"/>
              </w:tabs>
              <w:spacing w:after="0" w:line="240" w:lineRule="auto"/>
              <w:rPr>
                <w:sz w:val="24"/>
                <w:szCs w:val="24"/>
              </w:rPr>
            </w:pPr>
            <w:r>
              <w:rPr>
                <w:sz w:val="24"/>
                <w:szCs w:val="24"/>
              </w:rPr>
              <w:t xml:space="preserve">               1 2 3</w:t>
            </w:r>
          </w:p>
        </w:tc>
      </w:tr>
      <w:tr w:rsidR="00B24718" w14:paraId="43F87A70" w14:textId="77777777" w:rsidTr="00B24718">
        <w:tc>
          <w:tcPr>
            <w:tcW w:w="2569" w:type="dxa"/>
            <w:tcBorders>
              <w:top w:val="single" w:sz="4" w:space="0" w:color="auto"/>
              <w:left w:val="single" w:sz="4" w:space="0" w:color="auto"/>
              <w:bottom w:val="single" w:sz="4" w:space="0" w:color="auto"/>
              <w:right w:val="single" w:sz="4" w:space="0" w:color="auto"/>
            </w:tcBorders>
          </w:tcPr>
          <w:p w14:paraId="22FE84CC" w14:textId="77777777" w:rsidR="00B24718" w:rsidRDefault="00B24718"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19393D7C" w14:textId="77777777" w:rsidR="00B24718" w:rsidRDefault="00B24718" w:rsidP="004130A7">
            <w:pPr>
              <w:spacing w:after="0" w:line="240" w:lineRule="auto"/>
              <w:rPr>
                <w:sz w:val="24"/>
                <w:szCs w:val="24"/>
              </w:rPr>
            </w:pPr>
            <w:r>
              <w:rPr>
                <w:sz w:val="24"/>
                <w:szCs w:val="24"/>
              </w:rPr>
              <w:t xml:space="preserve">                  1               2 3</w:t>
            </w:r>
          </w:p>
        </w:tc>
      </w:tr>
      <w:tr w:rsidR="00B24718" w14:paraId="2C5A0402" w14:textId="77777777" w:rsidTr="00B24718">
        <w:tc>
          <w:tcPr>
            <w:tcW w:w="2569" w:type="dxa"/>
            <w:tcBorders>
              <w:top w:val="single" w:sz="4" w:space="0" w:color="auto"/>
              <w:left w:val="single" w:sz="4" w:space="0" w:color="auto"/>
              <w:bottom w:val="single" w:sz="4" w:space="0" w:color="auto"/>
              <w:right w:val="single" w:sz="4" w:space="0" w:color="auto"/>
            </w:tcBorders>
          </w:tcPr>
          <w:p w14:paraId="336AD613" w14:textId="77777777" w:rsidR="00B24718" w:rsidRDefault="00B24718"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24A36B59" w14:textId="77777777" w:rsidR="00B24718" w:rsidRDefault="00B24718" w:rsidP="004130A7">
            <w:pPr>
              <w:spacing w:after="0" w:line="240" w:lineRule="auto"/>
              <w:rPr>
                <w:sz w:val="24"/>
                <w:szCs w:val="24"/>
              </w:rPr>
            </w:pPr>
            <w:r>
              <w:rPr>
                <w:sz w:val="24"/>
                <w:szCs w:val="24"/>
              </w:rPr>
              <w:t xml:space="preserve"> 1               2                3</w:t>
            </w:r>
          </w:p>
        </w:tc>
      </w:tr>
      <w:tr w:rsidR="00B24718" w14:paraId="51D80BA3" w14:textId="77777777" w:rsidTr="00B24718">
        <w:tc>
          <w:tcPr>
            <w:tcW w:w="2569" w:type="dxa"/>
            <w:tcBorders>
              <w:top w:val="single" w:sz="4" w:space="0" w:color="auto"/>
              <w:left w:val="single" w:sz="4" w:space="0" w:color="auto"/>
              <w:bottom w:val="single" w:sz="4" w:space="0" w:color="auto"/>
              <w:right w:val="single" w:sz="4" w:space="0" w:color="auto"/>
            </w:tcBorders>
          </w:tcPr>
          <w:p w14:paraId="249650B7" w14:textId="77777777" w:rsidR="00B24718" w:rsidRDefault="00B24718"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35A33940" w14:textId="77777777" w:rsidR="00B24718" w:rsidRDefault="00B24718" w:rsidP="004130A7">
            <w:pPr>
              <w:spacing w:after="0" w:line="240" w:lineRule="auto"/>
              <w:rPr>
                <w:sz w:val="24"/>
                <w:szCs w:val="24"/>
              </w:rPr>
            </w:pPr>
            <w:r>
              <w:rPr>
                <w:sz w:val="24"/>
                <w:szCs w:val="24"/>
              </w:rPr>
              <w:t>1 3             2</w:t>
            </w:r>
          </w:p>
        </w:tc>
      </w:tr>
      <w:tr w:rsidR="00B24718" w14:paraId="3BB5AF4C" w14:textId="77777777" w:rsidTr="00B24718">
        <w:tc>
          <w:tcPr>
            <w:tcW w:w="2569" w:type="dxa"/>
            <w:tcBorders>
              <w:top w:val="single" w:sz="4" w:space="0" w:color="auto"/>
              <w:left w:val="single" w:sz="4" w:space="0" w:color="auto"/>
              <w:bottom w:val="single" w:sz="4" w:space="0" w:color="auto"/>
              <w:right w:val="single" w:sz="4" w:space="0" w:color="auto"/>
            </w:tcBorders>
          </w:tcPr>
          <w:p w14:paraId="7BBA6C86" w14:textId="77777777" w:rsidR="00B24718" w:rsidRDefault="00B24718"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39E25A79" w14:textId="77777777" w:rsidR="00B24718" w:rsidRDefault="00B24718" w:rsidP="004130A7">
            <w:pPr>
              <w:spacing w:after="0" w:line="240" w:lineRule="auto"/>
              <w:rPr>
                <w:sz w:val="24"/>
                <w:szCs w:val="24"/>
              </w:rPr>
            </w:pPr>
            <w:r>
              <w:rPr>
                <w:sz w:val="24"/>
                <w:szCs w:val="24"/>
              </w:rPr>
              <w:t xml:space="preserve">                  1                                               2 3</w:t>
            </w:r>
          </w:p>
        </w:tc>
      </w:tr>
      <w:tr w:rsidR="00B24718" w14:paraId="3CA519A0" w14:textId="77777777" w:rsidTr="00B24718">
        <w:tc>
          <w:tcPr>
            <w:tcW w:w="2569" w:type="dxa"/>
            <w:tcBorders>
              <w:top w:val="single" w:sz="4" w:space="0" w:color="auto"/>
              <w:left w:val="single" w:sz="4" w:space="0" w:color="auto"/>
              <w:bottom w:val="single" w:sz="4" w:space="0" w:color="auto"/>
              <w:right w:val="single" w:sz="4" w:space="0" w:color="auto"/>
            </w:tcBorders>
          </w:tcPr>
          <w:p w14:paraId="1D7DE3DD" w14:textId="77777777" w:rsidR="00B24718" w:rsidRDefault="00B24718"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019B44A5" w14:textId="77777777" w:rsidR="00B24718" w:rsidRDefault="00B24718" w:rsidP="004130A7">
            <w:pPr>
              <w:spacing w:after="0" w:line="240" w:lineRule="auto"/>
              <w:rPr>
                <w:sz w:val="24"/>
                <w:szCs w:val="24"/>
              </w:rPr>
            </w:pPr>
            <w:r>
              <w:rPr>
                <w:sz w:val="24"/>
                <w:szCs w:val="24"/>
              </w:rPr>
              <w:t xml:space="preserve">                                    1                             2 3</w:t>
            </w:r>
          </w:p>
        </w:tc>
      </w:tr>
      <w:tr w:rsidR="00B24718" w14:paraId="35346EF3" w14:textId="77777777" w:rsidTr="00B24718">
        <w:tc>
          <w:tcPr>
            <w:tcW w:w="2569" w:type="dxa"/>
            <w:tcBorders>
              <w:top w:val="single" w:sz="4" w:space="0" w:color="auto"/>
              <w:left w:val="single" w:sz="4" w:space="0" w:color="auto"/>
              <w:bottom w:val="single" w:sz="4" w:space="0" w:color="auto"/>
              <w:right w:val="single" w:sz="4" w:space="0" w:color="auto"/>
            </w:tcBorders>
          </w:tcPr>
          <w:p w14:paraId="1661CFB9" w14:textId="77777777" w:rsidR="00B24718" w:rsidRDefault="00B24718"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416AB1D1" w14:textId="77777777" w:rsidR="00B24718" w:rsidRDefault="00B24718" w:rsidP="004130A7">
            <w:pPr>
              <w:spacing w:after="0" w:line="240" w:lineRule="auto"/>
              <w:rPr>
                <w:sz w:val="24"/>
                <w:szCs w:val="24"/>
              </w:rPr>
            </w:pPr>
            <w:r>
              <w:rPr>
                <w:sz w:val="24"/>
                <w:szCs w:val="24"/>
              </w:rPr>
              <w:t xml:space="preserve"> 1                                 2              3              </w:t>
            </w:r>
          </w:p>
        </w:tc>
      </w:tr>
      <w:tr w:rsidR="00B24718" w14:paraId="22F38D61" w14:textId="77777777" w:rsidTr="00B24718">
        <w:tc>
          <w:tcPr>
            <w:tcW w:w="2569" w:type="dxa"/>
            <w:tcBorders>
              <w:top w:val="single" w:sz="4" w:space="0" w:color="auto"/>
              <w:left w:val="single" w:sz="4" w:space="0" w:color="auto"/>
              <w:bottom w:val="single" w:sz="4" w:space="0" w:color="auto"/>
              <w:right w:val="single" w:sz="4" w:space="0" w:color="auto"/>
            </w:tcBorders>
          </w:tcPr>
          <w:p w14:paraId="5963E316" w14:textId="77777777" w:rsidR="00B24718" w:rsidRDefault="00B24718"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680BACDD" w14:textId="77777777" w:rsidR="00B24718" w:rsidRDefault="00B24718" w:rsidP="004130A7">
            <w:pPr>
              <w:spacing w:after="0" w:line="240" w:lineRule="auto"/>
              <w:rPr>
                <w:sz w:val="24"/>
                <w:szCs w:val="24"/>
              </w:rPr>
            </w:pPr>
            <w:r>
              <w:rPr>
                <w:sz w:val="24"/>
                <w:szCs w:val="24"/>
              </w:rPr>
              <w:t xml:space="preserve"> 1              2 3</w:t>
            </w:r>
          </w:p>
        </w:tc>
      </w:tr>
      <w:tr w:rsidR="00B24718" w14:paraId="6A903FFD" w14:textId="77777777" w:rsidTr="00B24718">
        <w:tc>
          <w:tcPr>
            <w:tcW w:w="2569" w:type="dxa"/>
            <w:tcBorders>
              <w:top w:val="single" w:sz="4" w:space="0" w:color="auto"/>
              <w:left w:val="single" w:sz="4" w:space="0" w:color="auto"/>
              <w:bottom w:val="single" w:sz="4" w:space="0" w:color="auto"/>
              <w:right w:val="single" w:sz="4" w:space="0" w:color="auto"/>
            </w:tcBorders>
          </w:tcPr>
          <w:p w14:paraId="7247BF26" w14:textId="77777777" w:rsidR="00B24718" w:rsidRDefault="00B24718"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457D14B5" w14:textId="77777777" w:rsidR="00B24718" w:rsidRDefault="00B24718" w:rsidP="004130A7">
            <w:pPr>
              <w:keepNext/>
              <w:spacing w:after="0" w:line="240" w:lineRule="auto"/>
              <w:rPr>
                <w:sz w:val="24"/>
                <w:szCs w:val="24"/>
              </w:rPr>
            </w:pPr>
            <w:r>
              <w:rPr>
                <w:sz w:val="24"/>
                <w:szCs w:val="24"/>
              </w:rPr>
              <w:t xml:space="preserve"> 1                2                               3    </w:t>
            </w:r>
          </w:p>
        </w:tc>
      </w:tr>
    </w:tbl>
    <w:p w14:paraId="3BF9AB9A" w14:textId="51879C8C" w:rsidR="00272012" w:rsidRPr="00CF395F" w:rsidRDefault="00272012" w:rsidP="00272012">
      <w:pPr>
        <w:pStyle w:val="Caption"/>
        <w:spacing w:after="120" w:line="360" w:lineRule="auto"/>
      </w:pPr>
      <w:bookmarkStart w:id="338" w:name="_Toc531023166"/>
      <w:bookmarkStart w:id="339" w:name="_Toc536438927"/>
      <w:bookmarkStart w:id="340" w:name="_Toc31702102"/>
      <w:r w:rsidRPr="00CF395F">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33</w:t>
      </w:r>
      <w:r w:rsidR="00233012">
        <w:rPr>
          <w:noProof/>
        </w:rPr>
        <w:fldChar w:fldCharType="end"/>
      </w:r>
      <w:r w:rsidRPr="00CF395F">
        <w:t xml:space="preserve">. Plotted typology. </w:t>
      </w:r>
      <w:r>
        <w:t>BoR13.2</w:t>
      </w:r>
      <w:bookmarkEnd w:id="338"/>
      <w:bookmarkEnd w:id="339"/>
      <w:bookmarkEnd w:id="340"/>
    </w:p>
    <w:p w14:paraId="7908EA07" w14:textId="77777777" w:rsidR="00AE46D2" w:rsidRDefault="00AE46D2">
      <w:pPr>
        <w:rPr>
          <w:rFonts w:asciiTheme="majorHAnsi" w:eastAsiaTheme="majorEastAsia" w:hAnsiTheme="majorHAnsi" w:cstheme="majorBidi"/>
          <w:caps/>
          <w:color w:val="1F3763" w:themeColor="accent1" w:themeShade="7F"/>
          <w:sz w:val="24"/>
          <w:szCs w:val="24"/>
        </w:rPr>
      </w:pPr>
      <w:bookmarkStart w:id="341" w:name="_Toc531007179"/>
      <w:bookmarkStart w:id="342" w:name="_Toc536718005"/>
      <w:r>
        <w:br w:type="page"/>
      </w:r>
    </w:p>
    <w:p w14:paraId="7438F7BA" w14:textId="220F811A" w:rsidR="00272012" w:rsidRDefault="0093259B" w:rsidP="00272012">
      <w:pPr>
        <w:pStyle w:val="Heading3"/>
      </w:pPr>
      <w:bookmarkStart w:id="343" w:name="_Toc31702028"/>
      <w:r>
        <w:t xml:space="preserve">BoRs sampled from </w:t>
      </w:r>
      <w:r w:rsidR="00272012">
        <w:t>UoA 14</w:t>
      </w:r>
      <w:bookmarkEnd w:id="341"/>
      <w:bookmarkEnd w:id="342"/>
      <w:bookmarkEnd w:id="343"/>
    </w:p>
    <w:p w14:paraId="48849108" w14:textId="77777777" w:rsidR="00272012" w:rsidRPr="00F17720" w:rsidRDefault="00272012" w:rsidP="00272012">
      <w:pPr>
        <w:spacing w:after="120" w:line="360" w:lineRule="auto"/>
        <w:rPr>
          <w:sz w:val="24"/>
          <w:szCs w:val="24"/>
        </w:rPr>
      </w:pPr>
      <w:r>
        <w:rPr>
          <w:sz w:val="24"/>
          <w:szCs w:val="24"/>
        </w:rPr>
        <w:t>The research is based in the Department of Civil and Structural Engineering. The two BoRs are based at the University of Sheffield Department of Civil and Structural Engineering, through the Vibration Engineering Section (VES) and Water Engineering Group (WEG), respectively. Both are focused on practical management issues for industry (construction and water), and proceed through applied projects conducted within specific companies, whose findings provide the basis for “fundamental engineering research”</w:t>
      </w:r>
      <w:r>
        <w:rPr>
          <w:rStyle w:val="FootnoteReference"/>
          <w:sz w:val="24"/>
          <w:szCs w:val="24"/>
        </w:rPr>
        <w:footnoteReference w:id="29"/>
      </w:r>
      <w:r>
        <w:rPr>
          <w:sz w:val="24"/>
          <w:szCs w:val="24"/>
        </w:rPr>
        <w:t xml:space="preserve"> in order to influence wider engineering knowledge and practices, primarily through engineering guidelines, codes and regulations. </w:t>
      </w:r>
    </w:p>
    <w:p w14:paraId="20BCC07E" w14:textId="25B3EB83" w:rsidR="00272012" w:rsidRDefault="009528FE" w:rsidP="00272012">
      <w:pPr>
        <w:pStyle w:val="Heading4"/>
      </w:pPr>
      <w:r>
        <w:t>Body of Research 14.1: ‘Managing full scale dynamic performance of civil infrastructure’</w:t>
      </w:r>
    </w:p>
    <w:p w14:paraId="04315A6C" w14:textId="6589B377"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‘Managing full scale dynamic performance of civil infrastructure’</w:t>
      </w:r>
    </w:p>
    <w:p w14:paraId="7466A0FF" w14:textId="6EB6C727" w:rsidR="00272012" w:rsidRPr="00FC33ED" w:rsidRDefault="00272012" w:rsidP="00272012">
      <w:pPr>
        <w:spacing w:after="120" w:line="360" w:lineRule="auto"/>
        <w:rPr>
          <w:sz w:val="24"/>
          <w:szCs w:val="24"/>
          <w:u w:val="single"/>
        </w:rPr>
      </w:pPr>
      <w:r w:rsidRPr="00FC33ED">
        <w:rPr>
          <w:sz w:val="24"/>
          <w:szCs w:val="24"/>
          <w:u w:val="single"/>
        </w:rPr>
        <w:t>Phase 1.</w:t>
      </w:r>
      <w:r>
        <w:rPr>
          <w:sz w:val="24"/>
          <w:szCs w:val="24"/>
          <w:u w:val="single"/>
        </w:rPr>
        <w:t xml:space="preserve"> Influencing building codes and guidelines vibration performance of large structures</w:t>
      </w:r>
      <w:r>
        <w:rPr>
          <w:sz w:val="24"/>
          <w:szCs w:val="24"/>
          <w:u w:val="single"/>
        </w:rPr>
        <w:br/>
      </w:r>
      <w:r>
        <w:rPr>
          <w:sz w:val="24"/>
          <w:szCs w:val="24"/>
        </w:rPr>
        <w:t xml:space="preserve">In the mid-1990s, researchers at Sheffield’s Department of Civil and Structure Engineering initiated the Vibration Engineering Section (VES) to conduct research in vibration performance of large structures, such as buildings and stadiums, in response safety concerns as well as modern design demands. VES secured EPSRC funding initially with the objective to conduct research which would increase the knowledge base underpinning national and international building codes and guidelines. Based on the findings of this research, which analysed the impact of human walking and jumping, first in laboratory conditions and then in the field, VES’ outputs continue to be cited in building codes and guidelines which are recognised internationally and have legal status in the case of court actions. </w:t>
      </w:r>
    </w:p>
    <w:p w14:paraId="203B4695" w14:textId="75031030" w:rsidR="00272012" w:rsidRDefault="00272012" w:rsidP="00272012">
      <w:pPr>
        <w:spacing w:after="120" w:line="360" w:lineRule="auto"/>
        <w:rPr>
          <w:sz w:val="24"/>
          <w:szCs w:val="24"/>
        </w:rPr>
      </w:pPr>
      <w:r w:rsidRPr="00FC33ED">
        <w:rPr>
          <w:sz w:val="24"/>
          <w:szCs w:val="24"/>
          <w:u w:val="single"/>
        </w:rPr>
        <w:t>Phase 2.</w:t>
      </w:r>
      <w:r>
        <w:rPr>
          <w:sz w:val="24"/>
          <w:szCs w:val="24"/>
          <w:u w:val="single"/>
        </w:rPr>
        <w:t xml:space="preserve"> Delivering more immediate impact through consultancy</w:t>
      </w:r>
      <w:r w:rsidRPr="00FC33ED">
        <w:rPr>
          <w:sz w:val="24"/>
          <w:szCs w:val="24"/>
          <w:u w:val="single"/>
        </w:rPr>
        <w:t xml:space="preserve"> </w:t>
      </w:r>
      <w:r>
        <w:rPr>
          <w:sz w:val="24"/>
          <w:szCs w:val="24"/>
          <w:u w:val="single"/>
        </w:rPr>
        <w:t>and industrial collaboration</w:t>
      </w:r>
      <w:r>
        <w:rPr>
          <w:sz w:val="24"/>
          <w:szCs w:val="24"/>
          <w:u w:val="single"/>
        </w:rPr>
        <w:br/>
      </w:r>
      <w:r>
        <w:rPr>
          <w:sz w:val="24"/>
          <w:szCs w:val="24"/>
        </w:rPr>
        <w:t xml:space="preserve">VES had engaged in consultancy research and industrial collaboration from its outset. However, in the 2000s, this took on new levels. For example, VES led on an EPSRC grant involving multiple private organisations which aimed to improve other aspects of existing guidelines, which were perceived to overburden some modern building design techniques and therefore unnecessarily increase building costs. This research required the development and validation of new tools for verifying performance. By 2008, VES created a spin-out company, Full Scale Dynamics Limited (FSDL), through which to conduct consultancy work. FSDL gave the VES team a more accessible, responsive and agile mechanism for engaging and serving clients.  </w:t>
      </w:r>
    </w:p>
    <w:p w14:paraId="1D0F83FE" w14:textId="77777777" w:rsidR="00272012" w:rsidRPr="00FC33ED" w:rsidRDefault="00272012" w:rsidP="00272012">
      <w:pPr>
        <w:spacing w:after="120" w:line="360" w:lineRule="auto"/>
        <w:rPr>
          <w:sz w:val="24"/>
          <w:szCs w:val="24"/>
          <w:u w:val="single"/>
        </w:rPr>
      </w:pPr>
      <w:r>
        <w:rPr>
          <w:sz w:val="24"/>
          <w:szCs w:val="24"/>
        </w:rPr>
        <w:t xml:space="preserve">The consultancy work and academic work support each other: the majority of consultancy work directly applies tools and expertise developed through funded research and published papers; similarly, work done on a consultancy basis has also contributed to academic outputs, including those referenced under Phase 2.  </w:t>
      </w:r>
    </w:p>
    <w:p w14:paraId="0B3FBD95" w14:textId="11AD745E" w:rsidR="00272012" w:rsidRPr="006C6580" w:rsidRDefault="00272012" w:rsidP="00272012">
      <w:pPr>
        <w:spacing w:after="120" w:line="360" w:lineRule="auto"/>
        <w:rPr>
          <w:sz w:val="24"/>
          <w:szCs w:val="24"/>
        </w:rPr>
      </w:pPr>
      <w:r w:rsidRPr="00FC33ED">
        <w:rPr>
          <w:sz w:val="24"/>
          <w:szCs w:val="24"/>
          <w:u w:val="single"/>
        </w:rPr>
        <w:t>Phase 3.</w:t>
      </w:r>
      <w:r>
        <w:rPr>
          <w:sz w:val="24"/>
          <w:szCs w:val="24"/>
          <w:u w:val="single"/>
        </w:rPr>
        <w:t xml:space="preserve"> Major advances through large research grants</w:t>
      </w:r>
      <w:r>
        <w:rPr>
          <w:sz w:val="24"/>
          <w:szCs w:val="24"/>
          <w:u w:val="single"/>
        </w:rPr>
        <w:br/>
      </w:r>
      <w:r>
        <w:rPr>
          <w:sz w:val="24"/>
          <w:szCs w:val="24"/>
        </w:rPr>
        <w:t xml:space="preserve">By the mid-2000s, VES had built up significant expertise, knowledge and data on the relationship between structural vibration performance and human movement, i.e. walking, running, jumping. However, it remained the case that there was no reliable model for understanding the dynamic forces produced by human movement. As such, no formal guidance existed on how to account for these forces. Much of the difficulty is the unpredictability of human movements, including speed, weight, type of movement and its timing, etc. VES proposed research which would enable the appropriate statistical and probabilistic analysis of human forces. The knowledge and expertise built up in previous Phases was essential to these proposals, which required gathering a very large database of different movements and forces, and therefore a much larger EPSRC grants than had previously been awarded. In 2009, VES secured the field’s first EPSRC platform grant (designed to give increased flexibility to the grant holders) to help develop these statistical models. Although this Phase of the research did not involve industrial partners directly, the high value potential of the research to the construction industry was a major rationale for the grant application. Since the REF 2014 submission, VES have continued to increase their EPSRC grant funding, recently with a strategic equipment grant of over £3 million, and in this case multiple industrial partners have been directly involved in the grant, with the resulting equipment to be available for rent for commercial as well as academic research purposes.  </w:t>
      </w:r>
    </w:p>
    <w:tbl>
      <w:tblPr>
        <w:tblW w:w="7155" w:type="dxa"/>
        <w:tblLook w:val="04A0" w:firstRow="1" w:lastRow="0" w:firstColumn="1" w:lastColumn="0" w:noHBand="0" w:noVBand="1"/>
      </w:tblPr>
      <w:tblGrid>
        <w:gridCol w:w="2569"/>
        <w:gridCol w:w="4586"/>
      </w:tblGrid>
      <w:tr w:rsidR="00B24718" w14:paraId="746230B9" w14:textId="77777777" w:rsidTr="00B24718">
        <w:tc>
          <w:tcPr>
            <w:tcW w:w="2569" w:type="dxa"/>
            <w:tcBorders>
              <w:top w:val="single" w:sz="4" w:space="0" w:color="auto"/>
              <w:left w:val="single" w:sz="4" w:space="0" w:color="auto"/>
              <w:bottom w:val="single" w:sz="4" w:space="0" w:color="auto"/>
              <w:right w:val="single" w:sz="4" w:space="0" w:color="auto"/>
            </w:tcBorders>
          </w:tcPr>
          <w:p w14:paraId="13C915F6" w14:textId="1EF23303" w:rsidR="00B24718" w:rsidRPr="002B4060" w:rsidRDefault="00B24718" w:rsidP="00B24718">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0CD134AB" w14:textId="77777777" w:rsidR="00B24718" w:rsidRPr="00B8594F" w:rsidRDefault="00B24718" w:rsidP="00B24718">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0246E23F" w14:textId="50DE3C9E" w:rsidR="00B24718" w:rsidRPr="00B8594F" w:rsidRDefault="00B24718" w:rsidP="00B24718">
            <w:pPr>
              <w:spacing w:after="0" w:line="240" w:lineRule="auto"/>
              <w:jc w:val="center"/>
              <w:rPr>
                <w:b/>
                <w:sz w:val="24"/>
                <w:szCs w:val="24"/>
              </w:rPr>
            </w:pPr>
            <w:r w:rsidRPr="00B8594F">
              <w:rPr>
                <w:b/>
                <w:sz w:val="24"/>
                <w:szCs w:val="24"/>
              </w:rPr>
              <w:t>1               2               3               4               5</w:t>
            </w:r>
          </w:p>
        </w:tc>
      </w:tr>
      <w:tr w:rsidR="00B24718" w14:paraId="5421CCA9" w14:textId="77777777" w:rsidTr="00B24718">
        <w:tc>
          <w:tcPr>
            <w:tcW w:w="2569" w:type="dxa"/>
            <w:tcBorders>
              <w:top w:val="single" w:sz="4" w:space="0" w:color="auto"/>
              <w:left w:val="single" w:sz="4" w:space="0" w:color="auto"/>
              <w:bottom w:val="single" w:sz="4" w:space="0" w:color="auto"/>
              <w:right w:val="single" w:sz="4" w:space="0" w:color="auto"/>
            </w:tcBorders>
          </w:tcPr>
          <w:p w14:paraId="3155FBDF" w14:textId="77777777" w:rsidR="00B24718" w:rsidRDefault="00B24718"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4AAC6EC1" w14:textId="77777777" w:rsidR="00B24718" w:rsidRDefault="00B24718" w:rsidP="004130A7">
            <w:pPr>
              <w:spacing w:after="0" w:line="240" w:lineRule="auto"/>
              <w:rPr>
                <w:sz w:val="24"/>
                <w:szCs w:val="24"/>
              </w:rPr>
            </w:pPr>
            <w:r>
              <w:rPr>
                <w:sz w:val="24"/>
                <w:szCs w:val="24"/>
              </w:rPr>
              <w:t xml:space="preserve">1 2 3 </w:t>
            </w:r>
          </w:p>
        </w:tc>
      </w:tr>
      <w:tr w:rsidR="00B24718" w14:paraId="01198831" w14:textId="77777777" w:rsidTr="00B24718">
        <w:tc>
          <w:tcPr>
            <w:tcW w:w="2569" w:type="dxa"/>
            <w:tcBorders>
              <w:top w:val="single" w:sz="4" w:space="0" w:color="auto"/>
              <w:left w:val="single" w:sz="4" w:space="0" w:color="auto"/>
              <w:bottom w:val="single" w:sz="4" w:space="0" w:color="auto"/>
              <w:right w:val="single" w:sz="4" w:space="0" w:color="auto"/>
            </w:tcBorders>
          </w:tcPr>
          <w:p w14:paraId="5A768112" w14:textId="77777777" w:rsidR="00B24718" w:rsidRDefault="00B24718"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0F426496" w14:textId="77777777" w:rsidR="00B24718" w:rsidRDefault="00B24718" w:rsidP="004130A7">
            <w:pPr>
              <w:spacing w:after="0" w:line="240" w:lineRule="auto"/>
              <w:rPr>
                <w:sz w:val="24"/>
                <w:szCs w:val="24"/>
              </w:rPr>
            </w:pPr>
            <w:r>
              <w:rPr>
                <w:sz w:val="24"/>
                <w:szCs w:val="24"/>
              </w:rPr>
              <w:t xml:space="preserve">                                  1 3              2</w:t>
            </w:r>
          </w:p>
        </w:tc>
      </w:tr>
      <w:tr w:rsidR="00B24718" w14:paraId="6C4FD201" w14:textId="77777777" w:rsidTr="00B24718">
        <w:tc>
          <w:tcPr>
            <w:tcW w:w="2569" w:type="dxa"/>
            <w:tcBorders>
              <w:top w:val="single" w:sz="4" w:space="0" w:color="auto"/>
              <w:left w:val="single" w:sz="4" w:space="0" w:color="auto"/>
              <w:bottom w:val="single" w:sz="4" w:space="0" w:color="auto"/>
              <w:right w:val="single" w:sz="4" w:space="0" w:color="auto"/>
            </w:tcBorders>
          </w:tcPr>
          <w:p w14:paraId="18AC0586" w14:textId="77777777" w:rsidR="00B24718" w:rsidRDefault="00B24718"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1A5C91BD" w14:textId="77777777" w:rsidR="00B24718" w:rsidRDefault="00B24718" w:rsidP="004130A7">
            <w:pPr>
              <w:spacing w:after="0" w:line="240" w:lineRule="auto"/>
              <w:rPr>
                <w:sz w:val="24"/>
                <w:szCs w:val="24"/>
              </w:rPr>
            </w:pPr>
            <w:r>
              <w:rPr>
                <w:sz w:val="24"/>
                <w:szCs w:val="24"/>
              </w:rPr>
              <w:t xml:space="preserve">                 1 3                               2</w:t>
            </w:r>
          </w:p>
        </w:tc>
      </w:tr>
      <w:tr w:rsidR="00B24718" w14:paraId="63C01314" w14:textId="77777777" w:rsidTr="00B24718">
        <w:tc>
          <w:tcPr>
            <w:tcW w:w="2569" w:type="dxa"/>
            <w:tcBorders>
              <w:top w:val="single" w:sz="4" w:space="0" w:color="auto"/>
              <w:left w:val="single" w:sz="4" w:space="0" w:color="auto"/>
              <w:bottom w:val="single" w:sz="4" w:space="0" w:color="auto"/>
              <w:right w:val="single" w:sz="4" w:space="0" w:color="auto"/>
            </w:tcBorders>
          </w:tcPr>
          <w:p w14:paraId="07187576" w14:textId="77777777" w:rsidR="00B24718" w:rsidRDefault="00B24718"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505EE690" w14:textId="77777777" w:rsidR="00B24718" w:rsidRDefault="00B24718" w:rsidP="004130A7">
            <w:pPr>
              <w:spacing w:after="0" w:line="240" w:lineRule="auto"/>
              <w:rPr>
                <w:sz w:val="24"/>
                <w:szCs w:val="24"/>
              </w:rPr>
            </w:pPr>
            <w:r>
              <w:rPr>
                <w:sz w:val="24"/>
                <w:szCs w:val="24"/>
              </w:rPr>
              <w:t xml:space="preserve">                 1 3             2</w:t>
            </w:r>
          </w:p>
        </w:tc>
      </w:tr>
      <w:tr w:rsidR="00B24718" w14:paraId="7B264A72" w14:textId="77777777" w:rsidTr="00B24718">
        <w:tc>
          <w:tcPr>
            <w:tcW w:w="2569" w:type="dxa"/>
            <w:tcBorders>
              <w:top w:val="single" w:sz="4" w:space="0" w:color="auto"/>
              <w:left w:val="single" w:sz="4" w:space="0" w:color="auto"/>
              <w:bottom w:val="single" w:sz="4" w:space="0" w:color="auto"/>
              <w:right w:val="single" w:sz="4" w:space="0" w:color="auto"/>
            </w:tcBorders>
          </w:tcPr>
          <w:p w14:paraId="18FDE50A" w14:textId="77777777" w:rsidR="00B24718" w:rsidRDefault="00B24718"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5F487E68" w14:textId="77777777" w:rsidR="00B24718" w:rsidRDefault="00B24718" w:rsidP="004130A7">
            <w:pPr>
              <w:spacing w:after="0" w:line="240" w:lineRule="auto"/>
              <w:rPr>
                <w:sz w:val="24"/>
                <w:szCs w:val="24"/>
              </w:rPr>
            </w:pPr>
            <w:r>
              <w:rPr>
                <w:sz w:val="24"/>
                <w:szCs w:val="24"/>
              </w:rPr>
              <w:t xml:space="preserve">                                  1 3                               2</w:t>
            </w:r>
          </w:p>
        </w:tc>
      </w:tr>
      <w:tr w:rsidR="00B24718" w14:paraId="2822EF17" w14:textId="77777777" w:rsidTr="00B24718">
        <w:tc>
          <w:tcPr>
            <w:tcW w:w="2569" w:type="dxa"/>
            <w:tcBorders>
              <w:top w:val="single" w:sz="4" w:space="0" w:color="auto"/>
              <w:left w:val="single" w:sz="4" w:space="0" w:color="auto"/>
              <w:bottom w:val="single" w:sz="4" w:space="0" w:color="auto"/>
              <w:right w:val="single" w:sz="4" w:space="0" w:color="auto"/>
            </w:tcBorders>
          </w:tcPr>
          <w:p w14:paraId="19830752" w14:textId="77777777" w:rsidR="00B24718" w:rsidRDefault="00B24718"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52BC9813" w14:textId="77777777" w:rsidR="00B24718" w:rsidRDefault="00B24718" w:rsidP="004130A7">
            <w:pPr>
              <w:spacing w:after="0" w:line="240" w:lineRule="auto"/>
              <w:rPr>
                <w:sz w:val="24"/>
                <w:szCs w:val="24"/>
              </w:rPr>
            </w:pPr>
            <w:r>
              <w:rPr>
                <w:sz w:val="24"/>
                <w:szCs w:val="24"/>
              </w:rPr>
              <w:t>1 2 3</w:t>
            </w:r>
          </w:p>
        </w:tc>
      </w:tr>
      <w:tr w:rsidR="00B24718" w14:paraId="7879315D" w14:textId="77777777" w:rsidTr="00B24718">
        <w:tc>
          <w:tcPr>
            <w:tcW w:w="2569" w:type="dxa"/>
            <w:tcBorders>
              <w:top w:val="single" w:sz="4" w:space="0" w:color="auto"/>
              <w:left w:val="single" w:sz="4" w:space="0" w:color="auto"/>
              <w:bottom w:val="single" w:sz="4" w:space="0" w:color="auto"/>
              <w:right w:val="single" w:sz="4" w:space="0" w:color="auto"/>
            </w:tcBorders>
          </w:tcPr>
          <w:p w14:paraId="76431FB6" w14:textId="77777777" w:rsidR="00B24718" w:rsidRDefault="00B24718"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08246D13" w14:textId="77777777" w:rsidR="00B24718" w:rsidRDefault="00B24718" w:rsidP="004130A7">
            <w:pPr>
              <w:tabs>
                <w:tab w:val="left" w:pos="1227"/>
                <w:tab w:val="center" w:pos="2185"/>
                <w:tab w:val="left" w:pos="2595"/>
              </w:tabs>
              <w:spacing w:after="0" w:line="240" w:lineRule="auto"/>
              <w:rPr>
                <w:sz w:val="24"/>
                <w:szCs w:val="24"/>
              </w:rPr>
            </w:pPr>
            <w:r>
              <w:rPr>
                <w:sz w:val="24"/>
                <w:szCs w:val="24"/>
              </w:rPr>
              <w:t xml:space="preserve"> 1 3             2</w:t>
            </w:r>
          </w:p>
        </w:tc>
      </w:tr>
      <w:tr w:rsidR="00B24718" w14:paraId="2EF948B6" w14:textId="77777777" w:rsidTr="00B24718">
        <w:tc>
          <w:tcPr>
            <w:tcW w:w="2569" w:type="dxa"/>
            <w:tcBorders>
              <w:top w:val="single" w:sz="4" w:space="0" w:color="auto"/>
              <w:left w:val="single" w:sz="4" w:space="0" w:color="auto"/>
              <w:bottom w:val="single" w:sz="4" w:space="0" w:color="auto"/>
              <w:right w:val="single" w:sz="4" w:space="0" w:color="auto"/>
            </w:tcBorders>
          </w:tcPr>
          <w:p w14:paraId="11ECB1B1" w14:textId="77777777" w:rsidR="00B24718" w:rsidRDefault="00B24718"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40699EAE" w14:textId="77777777" w:rsidR="00B24718" w:rsidRDefault="00B24718" w:rsidP="004130A7">
            <w:pPr>
              <w:spacing w:after="0" w:line="240" w:lineRule="auto"/>
              <w:rPr>
                <w:sz w:val="24"/>
                <w:szCs w:val="24"/>
              </w:rPr>
            </w:pPr>
            <w:r>
              <w:rPr>
                <w:sz w:val="24"/>
                <w:szCs w:val="24"/>
              </w:rPr>
              <w:t xml:space="preserve">   1             2 3</w:t>
            </w:r>
          </w:p>
        </w:tc>
      </w:tr>
      <w:tr w:rsidR="00B24718" w14:paraId="57B73E63" w14:textId="77777777" w:rsidTr="00B24718">
        <w:tc>
          <w:tcPr>
            <w:tcW w:w="2569" w:type="dxa"/>
            <w:tcBorders>
              <w:top w:val="single" w:sz="4" w:space="0" w:color="auto"/>
              <w:left w:val="single" w:sz="4" w:space="0" w:color="auto"/>
              <w:bottom w:val="single" w:sz="4" w:space="0" w:color="auto"/>
              <w:right w:val="single" w:sz="4" w:space="0" w:color="auto"/>
            </w:tcBorders>
          </w:tcPr>
          <w:p w14:paraId="0FA5462C" w14:textId="77777777" w:rsidR="00B24718" w:rsidRDefault="00B24718"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5281C6DF" w14:textId="77777777" w:rsidR="00B24718" w:rsidRDefault="00B24718" w:rsidP="004130A7">
            <w:pPr>
              <w:spacing w:after="0" w:line="240" w:lineRule="auto"/>
              <w:rPr>
                <w:sz w:val="24"/>
                <w:szCs w:val="24"/>
              </w:rPr>
            </w:pPr>
            <w:r>
              <w:rPr>
                <w:sz w:val="24"/>
                <w:szCs w:val="24"/>
              </w:rPr>
              <w:t>1 2 3</w:t>
            </w:r>
          </w:p>
        </w:tc>
      </w:tr>
      <w:tr w:rsidR="00B24718" w14:paraId="275C17A7" w14:textId="77777777" w:rsidTr="00B24718">
        <w:tc>
          <w:tcPr>
            <w:tcW w:w="2569" w:type="dxa"/>
            <w:tcBorders>
              <w:top w:val="single" w:sz="4" w:space="0" w:color="auto"/>
              <w:left w:val="single" w:sz="4" w:space="0" w:color="auto"/>
              <w:bottom w:val="single" w:sz="4" w:space="0" w:color="auto"/>
              <w:right w:val="single" w:sz="4" w:space="0" w:color="auto"/>
            </w:tcBorders>
          </w:tcPr>
          <w:p w14:paraId="7E381F32" w14:textId="77777777" w:rsidR="00B24718" w:rsidRDefault="00B24718"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4A11C915" w14:textId="77777777" w:rsidR="00B24718" w:rsidRDefault="00B24718" w:rsidP="004130A7">
            <w:pPr>
              <w:spacing w:after="0" w:line="240" w:lineRule="auto"/>
              <w:rPr>
                <w:sz w:val="24"/>
                <w:szCs w:val="24"/>
              </w:rPr>
            </w:pPr>
            <w:r>
              <w:rPr>
                <w:sz w:val="24"/>
                <w:szCs w:val="24"/>
              </w:rPr>
              <w:t xml:space="preserve">   1              3               2</w:t>
            </w:r>
          </w:p>
        </w:tc>
      </w:tr>
      <w:tr w:rsidR="00B24718" w14:paraId="74179B20" w14:textId="77777777" w:rsidTr="00B24718">
        <w:tc>
          <w:tcPr>
            <w:tcW w:w="2569" w:type="dxa"/>
            <w:tcBorders>
              <w:top w:val="single" w:sz="4" w:space="0" w:color="auto"/>
              <w:left w:val="single" w:sz="4" w:space="0" w:color="auto"/>
              <w:bottom w:val="single" w:sz="4" w:space="0" w:color="auto"/>
              <w:right w:val="single" w:sz="4" w:space="0" w:color="auto"/>
            </w:tcBorders>
          </w:tcPr>
          <w:p w14:paraId="20528B1B" w14:textId="77777777" w:rsidR="00B24718" w:rsidRDefault="00B24718"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19AF45DB" w14:textId="77777777" w:rsidR="00B24718" w:rsidRDefault="00B24718" w:rsidP="004130A7">
            <w:pPr>
              <w:spacing w:after="0" w:line="240" w:lineRule="auto"/>
              <w:rPr>
                <w:sz w:val="24"/>
                <w:szCs w:val="24"/>
              </w:rPr>
            </w:pPr>
            <w:r>
              <w:rPr>
                <w:sz w:val="24"/>
                <w:szCs w:val="24"/>
              </w:rPr>
              <w:t xml:space="preserve">                                  1 3              2</w:t>
            </w:r>
          </w:p>
        </w:tc>
      </w:tr>
      <w:tr w:rsidR="00B24718" w14:paraId="21D973EC" w14:textId="77777777" w:rsidTr="00B24718">
        <w:tc>
          <w:tcPr>
            <w:tcW w:w="2569" w:type="dxa"/>
            <w:tcBorders>
              <w:top w:val="single" w:sz="4" w:space="0" w:color="auto"/>
              <w:left w:val="single" w:sz="4" w:space="0" w:color="auto"/>
              <w:bottom w:val="single" w:sz="4" w:space="0" w:color="auto"/>
              <w:right w:val="single" w:sz="4" w:space="0" w:color="auto"/>
            </w:tcBorders>
          </w:tcPr>
          <w:p w14:paraId="4E891FA8" w14:textId="77777777" w:rsidR="00B24718" w:rsidRDefault="00B24718"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7D903F4D" w14:textId="77777777" w:rsidR="00B24718" w:rsidRDefault="00B24718" w:rsidP="004130A7">
            <w:pPr>
              <w:spacing w:after="0" w:line="240" w:lineRule="auto"/>
              <w:rPr>
                <w:sz w:val="24"/>
                <w:szCs w:val="24"/>
              </w:rPr>
            </w:pPr>
            <w:r>
              <w:rPr>
                <w:sz w:val="24"/>
                <w:szCs w:val="24"/>
              </w:rPr>
              <w:t xml:space="preserve">                                    1               3               2</w:t>
            </w:r>
          </w:p>
        </w:tc>
      </w:tr>
      <w:tr w:rsidR="00B24718" w14:paraId="09BB92DA" w14:textId="77777777" w:rsidTr="00B24718">
        <w:tc>
          <w:tcPr>
            <w:tcW w:w="2569" w:type="dxa"/>
            <w:tcBorders>
              <w:top w:val="single" w:sz="4" w:space="0" w:color="auto"/>
              <w:left w:val="single" w:sz="4" w:space="0" w:color="auto"/>
              <w:bottom w:val="single" w:sz="4" w:space="0" w:color="auto"/>
              <w:right w:val="single" w:sz="4" w:space="0" w:color="auto"/>
            </w:tcBorders>
          </w:tcPr>
          <w:p w14:paraId="097C983D" w14:textId="77777777" w:rsidR="00B24718" w:rsidRDefault="00B24718"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0BE9219F" w14:textId="77777777" w:rsidR="00B24718" w:rsidRDefault="00B24718" w:rsidP="004130A7">
            <w:pPr>
              <w:spacing w:after="0" w:line="240" w:lineRule="auto"/>
              <w:rPr>
                <w:sz w:val="24"/>
                <w:szCs w:val="24"/>
              </w:rPr>
            </w:pPr>
            <w:r>
              <w:rPr>
                <w:sz w:val="24"/>
                <w:szCs w:val="24"/>
              </w:rPr>
              <w:t xml:space="preserve">  1               3                                2</w:t>
            </w:r>
          </w:p>
        </w:tc>
      </w:tr>
      <w:tr w:rsidR="00B24718" w14:paraId="6F43DC73" w14:textId="77777777" w:rsidTr="00B24718">
        <w:tc>
          <w:tcPr>
            <w:tcW w:w="2569" w:type="dxa"/>
            <w:tcBorders>
              <w:top w:val="single" w:sz="4" w:space="0" w:color="auto"/>
              <w:left w:val="single" w:sz="4" w:space="0" w:color="auto"/>
              <w:bottom w:val="single" w:sz="4" w:space="0" w:color="auto"/>
              <w:right w:val="single" w:sz="4" w:space="0" w:color="auto"/>
            </w:tcBorders>
          </w:tcPr>
          <w:p w14:paraId="44D61273" w14:textId="77777777" w:rsidR="00B24718" w:rsidRDefault="00B24718"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638E9054" w14:textId="77777777" w:rsidR="00B24718" w:rsidRDefault="00B24718" w:rsidP="004130A7">
            <w:pPr>
              <w:spacing w:after="0" w:line="240" w:lineRule="auto"/>
              <w:rPr>
                <w:sz w:val="24"/>
                <w:szCs w:val="24"/>
              </w:rPr>
            </w:pPr>
            <w:r>
              <w:rPr>
                <w:sz w:val="24"/>
                <w:szCs w:val="24"/>
              </w:rPr>
              <w:t>1 2 3</w:t>
            </w:r>
          </w:p>
        </w:tc>
      </w:tr>
      <w:tr w:rsidR="00B24718" w14:paraId="1DCADB42" w14:textId="77777777" w:rsidTr="00B24718">
        <w:tc>
          <w:tcPr>
            <w:tcW w:w="2569" w:type="dxa"/>
            <w:tcBorders>
              <w:top w:val="single" w:sz="4" w:space="0" w:color="auto"/>
              <w:left w:val="single" w:sz="4" w:space="0" w:color="auto"/>
              <w:bottom w:val="single" w:sz="4" w:space="0" w:color="auto"/>
              <w:right w:val="single" w:sz="4" w:space="0" w:color="auto"/>
            </w:tcBorders>
          </w:tcPr>
          <w:p w14:paraId="0B13E066" w14:textId="77777777" w:rsidR="00B24718" w:rsidRDefault="00B24718"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1494714A" w14:textId="77777777" w:rsidR="00B24718" w:rsidRDefault="00B24718" w:rsidP="004130A7">
            <w:pPr>
              <w:keepNext/>
              <w:spacing w:after="0" w:line="240" w:lineRule="auto"/>
              <w:rPr>
                <w:sz w:val="24"/>
                <w:szCs w:val="24"/>
              </w:rPr>
            </w:pPr>
            <w:r>
              <w:rPr>
                <w:sz w:val="24"/>
                <w:szCs w:val="24"/>
              </w:rPr>
              <w:t xml:space="preserve"> 1 2                              3</w:t>
            </w:r>
          </w:p>
        </w:tc>
      </w:tr>
    </w:tbl>
    <w:p w14:paraId="21BFE3FF" w14:textId="1A78D715" w:rsidR="00272012" w:rsidRPr="006A1219" w:rsidRDefault="00272012" w:rsidP="00272012">
      <w:pPr>
        <w:pStyle w:val="Caption"/>
        <w:spacing w:after="120" w:line="360" w:lineRule="auto"/>
      </w:pPr>
      <w:bookmarkStart w:id="344" w:name="_Toc531023167"/>
      <w:bookmarkStart w:id="345" w:name="_Toc536438928"/>
      <w:bookmarkStart w:id="346" w:name="_Toc31702103"/>
      <w:r w:rsidRPr="006A1219">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34</w:t>
      </w:r>
      <w:r w:rsidR="00233012">
        <w:rPr>
          <w:noProof/>
        </w:rPr>
        <w:fldChar w:fldCharType="end"/>
      </w:r>
      <w:r w:rsidRPr="006A1219">
        <w:t>. Plotted typology.</w:t>
      </w:r>
      <w:r>
        <w:t xml:space="preserve"> BoR14.1</w:t>
      </w:r>
      <w:bookmarkEnd w:id="344"/>
      <w:bookmarkEnd w:id="345"/>
      <w:bookmarkEnd w:id="346"/>
    </w:p>
    <w:p w14:paraId="599A7C4F" w14:textId="59A0718B" w:rsidR="00272012" w:rsidRDefault="009528FE" w:rsidP="00272012">
      <w:pPr>
        <w:pStyle w:val="Heading4"/>
      </w:pPr>
      <w:r>
        <w:t>Body of Research 14.2: ‘Management of discolouration in drinking water distribution systems’</w:t>
      </w:r>
    </w:p>
    <w:p w14:paraId="169FD844" w14:textId="49675E76" w:rsidR="00272012" w:rsidRPr="00FC33ED" w:rsidRDefault="00272012" w:rsidP="00272012">
      <w:pPr>
        <w:spacing w:after="120" w:line="360" w:lineRule="auto"/>
        <w:rPr>
          <w:sz w:val="24"/>
          <w:szCs w:val="24"/>
        </w:rPr>
      </w:pPr>
      <w:r w:rsidRPr="00FC33ED">
        <w:rPr>
          <w:sz w:val="24"/>
          <w:szCs w:val="24"/>
        </w:rPr>
        <w:t>Title</w:t>
      </w:r>
      <w:r w:rsidR="009528FE">
        <w:rPr>
          <w:sz w:val="24"/>
          <w:szCs w:val="24"/>
        </w:rPr>
        <w:t xml:space="preserve"> of relevant REF Impact Case Study</w:t>
      </w:r>
      <w:r w:rsidRPr="00FC33ED">
        <w:rPr>
          <w:sz w:val="24"/>
          <w:szCs w:val="24"/>
        </w:rPr>
        <w:t xml:space="preserve">: </w:t>
      </w:r>
      <w:r>
        <w:rPr>
          <w:sz w:val="24"/>
          <w:szCs w:val="24"/>
        </w:rPr>
        <w:t>‘Management of discolouration in drinking water distribution systems’</w:t>
      </w:r>
    </w:p>
    <w:p w14:paraId="0D385BF5" w14:textId="1D9FA08C" w:rsidR="00272012" w:rsidRDefault="00272012" w:rsidP="00272012">
      <w:pPr>
        <w:spacing w:after="120" w:line="360" w:lineRule="auto"/>
        <w:rPr>
          <w:sz w:val="24"/>
          <w:szCs w:val="24"/>
        </w:rPr>
      </w:pPr>
      <w:r w:rsidRPr="00FC33ED">
        <w:rPr>
          <w:sz w:val="24"/>
          <w:szCs w:val="24"/>
          <w:u w:val="single"/>
        </w:rPr>
        <w:t xml:space="preserve">Phase 1. </w:t>
      </w:r>
      <w:r>
        <w:rPr>
          <w:sz w:val="24"/>
          <w:szCs w:val="24"/>
          <w:u w:val="single"/>
        </w:rPr>
        <w:t xml:space="preserve">A model for predicting and managing water discolouration </w:t>
      </w:r>
      <w:r>
        <w:rPr>
          <w:sz w:val="24"/>
          <w:szCs w:val="24"/>
          <w:u w:val="single"/>
        </w:rPr>
        <w:br/>
      </w:r>
      <w:r>
        <w:rPr>
          <w:sz w:val="24"/>
          <w:szCs w:val="24"/>
        </w:rPr>
        <w:t xml:space="preserve">From the early 2000s, a small team from the EPSRC-funded Sheffield-based Water Engineering Group (WEG) commenced a programme of research on discolouration of drinking water in collaboration with water companies. Discolouration is the biggest cause of customer complaints regarding water quality and is therefore a significant expense for water companies. The industry previously understood discolouration to be primarily the result of normal processes of sediment transporting from river environments into the water system. However, based on analysis of material responsible for discolouration, WEG proposed an alternative model for understanding discolouration in which material builds up in cohesive layers on the walls of pipes. This build-up interacts with the water in different ways in different hydraulic conditions, which can sometimes lead to displacement of material in sufficient amounts to cause discolouration. The body of research in Phase 1 refers to WEG’s developing and validating this novel model for the ‘Prediction and management Of Discolouration in Distribution Systems’ (PODDS).  </w:t>
      </w:r>
    </w:p>
    <w:p w14:paraId="462C82C5" w14:textId="0FDEDFDF" w:rsidR="00272012" w:rsidRDefault="00272012" w:rsidP="00272012">
      <w:pPr>
        <w:spacing w:after="120" w:line="360" w:lineRule="auto"/>
        <w:rPr>
          <w:sz w:val="24"/>
          <w:szCs w:val="24"/>
        </w:rPr>
      </w:pPr>
      <w:r w:rsidRPr="00FC33ED">
        <w:rPr>
          <w:sz w:val="24"/>
          <w:szCs w:val="24"/>
          <w:u w:val="single"/>
        </w:rPr>
        <w:t xml:space="preserve">Phase 2. </w:t>
      </w:r>
      <w:r>
        <w:rPr>
          <w:sz w:val="24"/>
          <w:szCs w:val="24"/>
          <w:u w:val="single"/>
        </w:rPr>
        <w:t>Implementing risk-based computational tools for water management practice</w:t>
      </w:r>
      <w:r>
        <w:rPr>
          <w:sz w:val="24"/>
          <w:szCs w:val="24"/>
          <w:u w:val="single"/>
        </w:rPr>
        <w:br/>
      </w:r>
      <w:r>
        <w:rPr>
          <w:sz w:val="24"/>
          <w:szCs w:val="24"/>
        </w:rPr>
        <w:t xml:space="preserve">In the second half of the decade, based on the new model developed in Phase 1, research moved onto a more practical phase of using the model to inform management practice. WEG, in collaboration with several water company collaborators, developed computational management tools. These took a risk-based approach which would allow the data gathered to input into management decisions around when to intervene with “capital or operational strategies to manage discolouration risk” [14.2.4, p. 113]. </w:t>
      </w:r>
    </w:p>
    <w:p w14:paraId="34A1A552" w14:textId="77777777" w:rsidR="00272012" w:rsidRPr="00FC33ED" w:rsidRDefault="00272012" w:rsidP="00272012">
      <w:pPr>
        <w:spacing w:after="120" w:line="360" w:lineRule="auto"/>
        <w:rPr>
          <w:sz w:val="24"/>
          <w:szCs w:val="24"/>
          <w:u w:val="single"/>
        </w:rPr>
      </w:pPr>
      <w:r>
        <w:rPr>
          <w:sz w:val="24"/>
          <w:szCs w:val="24"/>
        </w:rPr>
        <w:t>With the increased amount of data gathered from a broader group of companies and a longer period of time, it emerged that trunk mains represented a major, but previously little-considered source of discolouration, with the industry assumption traditionally being that discolouration is due to issues in localised pipes. Trunk mains were now identified as worthy of particular strategic focus in the short-term, leading to Phase 3.</w:t>
      </w:r>
    </w:p>
    <w:p w14:paraId="385007E4" w14:textId="743F2CA6" w:rsidR="00272012" w:rsidRDefault="00272012" w:rsidP="00272012">
      <w:pPr>
        <w:spacing w:after="120" w:line="360" w:lineRule="auto"/>
        <w:rPr>
          <w:sz w:val="24"/>
          <w:szCs w:val="24"/>
        </w:rPr>
      </w:pPr>
      <w:r w:rsidRPr="00FC33ED">
        <w:rPr>
          <w:sz w:val="24"/>
          <w:szCs w:val="24"/>
          <w:u w:val="single"/>
        </w:rPr>
        <w:t>Phase 3.</w:t>
      </w:r>
      <w:r>
        <w:rPr>
          <w:sz w:val="24"/>
          <w:szCs w:val="24"/>
          <w:u w:val="single"/>
        </w:rPr>
        <w:t xml:space="preserve"> Maximising impact by focusing on an ignored but major cause of discolouration</w:t>
      </w:r>
      <w:r>
        <w:rPr>
          <w:sz w:val="24"/>
          <w:szCs w:val="24"/>
        </w:rPr>
        <w:br/>
        <w:t xml:space="preserve">Research in Phase 3 aimed to test the extent to which trunk mains were responsible for discolouration. The approach to data collection and analysis was broadly similar to that of Phase 2 research. However, due to the particular interest in trunk mains, the researchers adopted a case study approach, whereby field data-collection focused on a single trunk mains system and associated local pipes, and this was supplemented with a spatiotemporal analysis of the timing and location of customer complaints within the region. Of the three Phases, the described here had the most immediate implications for management decisions of water companies, since a focus on managing trunk mains obviously has broader benefits across the whole associated water system and is therefore potentially more cost-effective than reacting only to local events and complaints. Accordingly, the paper under Phase 3 is the only one referenced in the Case Study on which an industry engineer collaborated as a co-author. </w:t>
      </w:r>
    </w:p>
    <w:p w14:paraId="714B8C25" w14:textId="77777777" w:rsidR="00272012" w:rsidRDefault="00272012" w:rsidP="00272012">
      <w:pPr>
        <w:spacing w:after="120" w:line="360" w:lineRule="auto"/>
        <w:rPr>
          <w:sz w:val="24"/>
          <w:szCs w:val="24"/>
        </w:rPr>
      </w:pPr>
      <w:r>
        <w:rPr>
          <w:sz w:val="24"/>
          <w:szCs w:val="24"/>
        </w:rPr>
        <w:t xml:space="preserve">WEG’s PODDS work is ongoing and continues to focus on informing management decisions for its many water company partners, providing them with an opportunity to mutually learn from each other by combining their data through the research tools developed by PGW. The provision of this opportunity for mutual learning is an important role played by the neutral university in this otherwise competitive industry in which such data would normally be considered highly sensitive.    </w:t>
      </w:r>
    </w:p>
    <w:tbl>
      <w:tblPr>
        <w:tblW w:w="7155" w:type="dxa"/>
        <w:tblLook w:val="04A0" w:firstRow="1" w:lastRow="0" w:firstColumn="1" w:lastColumn="0" w:noHBand="0" w:noVBand="1"/>
      </w:tblPr>
      <w:tblGrid>
        <w:gridCol w:w="2569"/>
        <w:gridCol w:w="4586"/>
      </w:tblGrid>
      <w:tr w:rsidR="00B24718" w14:paraId="75D7FBCD" w14:textId="77777777" w:rsidTr="00B24718">
        <w:tc>
          <w:tcPr>
            <w:tcW w:w="2569" w:type="dxa"/>
            <w:tcBorders>
              <w:top w:val="single" w:sz="4" w:space="0" w:color="auto"/>
              <w:left w:val="single" w:sz="4" w:space="0" w:color="auto"/>
              <w:bottom w:val="single" w:sz="4" w:space="0" w:color="auto"/>
              <w:right w:val="single" w:sz="4" w:space="0" w:color="auto"/>
            </w:tcBorders>
          </w:tcPr>
          <w:p w14:paraId="5BE12859" w14:textId="5947B26E" w:rsidR="00B24718" w:rsidRPr="002B4060" w:rsidRDefault="00B24718" w:rsidP="00B24718">
            <w:pPr>
              <w:spacing w:after="0" w:line="240" w:lineRule="auto"/>
              <w:rPr>
                <w:b/>
                <w:sz w:val="24"/>
                <w:szCs w:val="24"/>
              </w:rPr>
            </w:pPr>
            <w:r w:rsidRPr="002B4060">
              <w:rPr>
                <w:b/>
                <w:sz w:val="24"/>
                <w:szCs w:val="24"/>
              </w:rPr>
              <w:t>Attribute</w:t>
            </w:r>
            <w:r>
              <w:rPr>
                <w:b/>
                <w:sz w:val="24"/>
                <w:szCs w:val="24"/>
              </w:rPr>
              <w:t>/activity</w:t>
            </w:r>
          </w:p>
        </w:tc>
        <w:tc>
          <w:tcPr>
            <w:tcW w:w="4586" w:type="dxa"/>
            <w:tcBorders>
              <w:top w:val="single" w:sz="4" w:space="0" w:color="auto"/>
              <w:left w:val="single" w:sz="4" w:space="0" w:color="auto"/>
              <w:bottom w:val="single" w:sz="4" w:space="0" w:color="auto"/>
              <w:right w:val="single" w:sz="4" w:space="0" w:color="auto"/>
            </w:tcBorders>
          </w:tcPr>
          <w:p w14:paraId="2452E69D" w14:textId="77777777" w:rsidR="00B24718" w:rsidRPr="00B8594F" w:rsidRDefault="00B24718" w:rsidP="00B24718">
            <w:pPr>
              <w:spacing w:after="0" w:line="240" w:lineRule="auto"/>
              <w:jc w:val="center"/>
              <w:rPr>
                <w:b/>
                <w:sz w:val="24"/>
                <w:szCs w:val="24"/>
              </w:rPr>
            </w:pPr>
            <w:r>
              <w:rPr>
                <w:b/>
                <w:sz w:val="24"/>
                <w:szCs w:val="24"/>
              </w:rPr>
              <w:t xml:space="preserve">‘Bounded’ </w:t>
            </w:r>
            <w:r w:rsidRPr="00B8594F">
              <w:rPr>
                <w:b/>
                <w:sz w:val="24"/>
                <w:szCs w:val="24"/>
              </w:rPr>
              <w:t xml:space="preserve">                     </w:t>
            </w:r>
            <w:r>
              <w:rPr>
                <w:b/>
                <w:sz w:val="24"/>
                <w:szCs w:val="24"/>
              </w:rPr>
              <w:t xml:space="preserve">          ‘Unbounded’</w:t>
            </w:r>
          </w:p>
          <w:p w14:paraId="0F7425BA" w14:textId="1B65E6EF" w:rsidR="00B24718" w:rsidRPr="00B8594F" w:rsidRDefault="00B24718" w:rsidP="00B24718">
            <w:pPr>
              <w:spacing w:after="0" w:line="240" w:lineRule="auto"/>
              <w:jc w:val="center"/>
              <w:rPr>
                <w:b/>
                <w:sz w:val="24"/>
                <w:szCs w:val="24"/>
              </w:rPr>
            </w:pPr>
            <w:r w:rsidRPr="00B8594F">
              <w:rPr>
                <w:b/>
                <w:sz w:val="24"/>
                <w:szCs w:val="24"/>
              </w:rPr>
              <w:t>1               2               3               4               5</w:t>
            </w:r>
          </w:p>
        </w:tc>
      </w:tr>
      <w:tr w:rsidR="00B24718" w14:paraId="0DB6C5C7" w14:textId="77777777" w:rsidTr="00B24718">
        <w:tc>
          <w:tcPr>
            <w:tcW w:w="2569" w:type="dxa"/>
            <w:tcBorders>
              <w:top w:val="single" w:sz="4" w:space="0" w:color="auto"/>
              <w:left w:val="single" w:sz="4" w:space="0" w:color="auto"/>
              <w:bottom w:val="single" w:sz="4" w:space="0" w:color="auto"/>
              <w:right w:val="single" w:sz="4" w:space="0" w:color="auto"/>
            </w:tcBorders>
          </w:tcPr>
          <w:p w14:paraId="361F1653" w14:textId="77777777" w:rsidR="00B24718" w:rsidRDefault="00B24718" w:rsidP="004130A7">
            <w:pPr>
              <w:spacing w:after="0" w:line="240" w:lineRule="auto"/>
              <w:rPr>
                <w:sz w:val="24"/>
                <w:szCs w:val="24"/>
              </w:rPr>
            </w:pPr>
            <w:r>
              <w:rPr>
                <w:sz w:val="24"/>
                <w:szCs w:val="24"/>
              </w:rPr>
              <w:t>Expertise</w:t>
            </w:r>
          </w:p>
        </w:tc>
        <w:tc>
          <w:tcPr>
            <w:tcW w:w="4586" w:type="dxa"/>
            <w:tcBorders>
              <w:top w:val="single" w:sz="4" w:space="0" w:color="auto"/>
              <w:left w:val="single" w:sz="4" w:space="0" w:color="auto"/>
              <w:bottom w:val="single" w:sz="4" w:space="0" w:color="auto"/>
              <w:right w:val="single" w:sz="4" w:space="0" w:color="auto"/>
            </w:tcBorders>
          </w:tcPr>
          <w:p w14:paraId="61A8399A" w14:textId="77777777" w:rsidR="00B24718" w:rsidRDefault="00B24718" w:rsidP="004130A7">
            <w:pPr>
              <w:spacing w:after="0" w:line="240" w:lineRule="auto"/>
              <w:rPr>
                <w:sz w:val="24"/>
                <w:szCs w:val="24"/>
              </w:rPr>
            </w:pPr>
            <w:r>
              <w:rPr>
                <w:sz w:val="24"/>
                <w:szCs w:val="24"/>
              </w:rPr>
              <w:t xml:space="preserve">               1 2 3</w:t>
            </w:r>
          </w:p>
        </w:tc>
      </w:tr>
      <w:tr w:rsidR="00B24718" w14:paraId="7AF6F530" w14:textId="77777777" w:rsidTr="00B24718">
        <w:tc>
          <w:tcPr>
            <w:tcW w:w="2569" w:type="dxa"/>
            <w:tcBorders>
              <w:top w:val="single" w:sz="4" w:space="0" w:color="auto"/>
              <w:left w:val="single" w:sz="4" w:space="0" w:color="auto"/>
              <w:bottom w:val="single" w:sz="4" w:space="0" w:color="auto"/>
              <w:right w:val="single" w:sz="4" w:space="0" w:color="auto"/>
            </w:tcBorders>
          </w:tcPr>
          <w:p w14:paraId="7BD2ECA0" w14:textId="77777777" w:rsidR="00B24718" w:rsidRDefault="00B24718" w:rsidP="004130A7">
            <w:pPr>
              <w:spacing w:after="0" w:line="240" w:lineRule="auto"/>
              <w:rPr>
                <w:sz w:val="24"/>
                <w:szCs w:val="24"/>
              </w:rPr>
            </w:pPr>
            <w:r>
              <w:rPr>
                <w:sz w:val="24"/>
                <w:szCs w:val="24"/>
              </w:rPr>
              <w:t>Relevance</w:t>
            </w:r>
          </w:p>
        </w:tc>
        <w:tc>
          <w:tcPr>
            <w:tcW w:w="4586" w:type="dxa"/>
            <w:tcBorders>
              <w:top w:val="single" w:sz="4" w:space="0" w:color="auto"/>
              <w:left w:val="single" w:sz="4" w:space="0" w:color="auto"/>
              <w:bottom w:val="single" w:sz="4" w:space="0" w:color="auto"/>
              <w:right w:val="single" w:sz="4" w:space="0" w:color="auto"/>
            </w:tcBorders>
          </w:tcPr>
          <w:p w14:paraId="65CCC037" w14:textId="77777777" w:rsidR="00B24718" w:rsidRDefault="00B24718" w:rsidP="004130A7">
            <w:pPr>
              <w:spacing w:after="0" w:line="240" w:lineRule="auto"/>
              <w:rPr>
                <w:sz w:val="24"/>
                <w:szCs w:val="24"/>
              </w:rPr>
            </w:pPr>
            <w:r>
              <w:rPr>
                <w:sz w:val="24"/>
                <w:szCs w:val="24"/>
              </w:rPr>
              <w:t xml:space="preserve">                                   1                2               3                </w:t>
            </w:r>
          </w:p>
        </w:tc>
      </w:tr>
      <w:tr w:rsidR="00B24718" w14:paraId="6AC97B70" w14:textId="77777777" w:rsidTr="00B24718">
        <w:tc>
          <w:tcPr>
            <w:tcW w:w="2569" w:type="dxa"/>
            <w:tcBorders>
              <w:top w:val="single" w:sz="4" w:space="0" w:color="auto"/>
              <w:left w:val="single" w:sz="4" w:space="0" w:color="auto"/>
              <w:bottom w:val="single" w:sz="4" w:space="0" w:color="auto"/>
              <w:right w:val="single" w:sz="4" w:space="0" w:color="auto"/>
            </w:tcBorders>
          </w:tcPr>
          <w:p w14:paraId="1A7A300D" w14:textId="77777777" w:rsidR="00B24718" w:rsidRDefault="00B24718" w:rsidP="004130A7">
            <w:pPr>
              <w:spacing w:after="0" w:line="240" w:lineRule="auto"/>
              <w:rPr>
                <w:sz w:val="24"/>
                <w:szCs w:val="24"/>
              </w:rPr>
            </w:pPr>
            <w:r>
              <w:rPr>
                <w:sz w:val="24"/>
                <w:szCs w:val="24"/>
              </w:rPr>
              <w:t>Disciplinary focus</w:t>
            </w:r>
          </w:p>
        </w:tc>
        <w:tc>
          <w:tcPr>
            <w:tcW w:w="4586" w:type="dxa"/>
            <w:tcBorders>
              <w:top w:val="single" w:sz="4" w:space="0" w:color="auto"/>
              <w:left w:val="single" w:sz="4" w:space="0" w:color="auto"/>
              <w:bottom w:val="single" w:sz="4" w:space="0" w:color="auto"/>
              <w:right w:val="single" w:sz="4" w:space="0" w:color="auto"/>
            </w:tcBorders>
          </w:tcPr>
          <w:p w14:paraId="5C921200" w14:textId="77777777" w:rsidR="00B24718" w:rsidRDefault="00B24718" w:rsidP="004130A7">
            <w:pPr>
              <w:spacing w:after="0" w:line="240" w:lineRule="auto"/>
              <w:rPr>
                <w:sz w:val="24"/>
                <w:szCs w:val="24"/>
              </w:rPr>
            </w:pPr>
            <w:r>
              <w:rPr>
                <w:sz w:val="24"/>
                <w:szCs w:val="24"/>
              </w:rPr>
              <w:t xml:space="preserve">                                   1               2 3</w:t>
            </w:r>
          </w:p>
        </w:tc>
      </w:tr>
      <w:tr w:rsidR="00B24718" w14:paraId="7A79BD59" w14:textId="77777777" w:rsidTr="00B24718">
        <w:tc>
          <w:tcPr>
            <w:tcW w:w="2569" w:type="dxa"/>
            <w:tcBorders>
              <w:top w:val="single" w:sz="4" w:space="0" w:color="auto"/>
              <w:left w:val="single" w:sz="4" w:space="0" w:color="auto"/>
              <w:bottom w:val="single" w:sz="4" w:space="0" w:color="auto"/>
              <w:right w:val="single" w:sz="4" w:space="0" w:color="auto"/>
            </w:tcBorders>
          </w:tcPr>
          <w:p w14:paraId="3DB6F751" w14:textId="77777777" w:rsidR="00B24718" w:rsidRDefault="00B24718" w:rsidP="004130A7">
            <w:pPr>
              <w:spacing w:after="0" w:line="240" w:lineRule="auto"/>
              <w:rPr>
                <w:sz w:val="24"/>
                <w:szCs w:val="24"/>
              </w:rPr>
            </w:pPr>
            <w:r>
              <w:rPr>
                <w:sz w:val="24"/>
                <w:szCs w:val="24"/>
              </w:rPr>
              <w:t>Uncertainty</w:t>
            </w:r>
          </w:p>
        </w:tc>
        <w:tc>
          <w:tcPr>
            <w:tcW w:w="4586" w:type="dxa"/>
            <w:tcBorders>
              <w:top w:val="single" w:sz="4" w:space="0" w:color="auto"/>
              <w:left w:val="single" w:sz="4" w:space="0" w:color="auto"/>
              <w:bottom w:val="single" w:sz="4" w:space="0" w:color="auto"/>
              <w:right w:val="single" w:sz="4" w:space="0" w:color="auto"/>
            </w:tcBorders>
          </w:tcPr>
          <w:p w14:paraId="2F3AB68B" w14:textId="77777777" w:rsidR="00B24718" w:rsidRDefault="00B24718" w:rsidP="004130A7">
            <w:pPr>
              <w:spacing w:after="0" w:line="240" w:lineRule="auto"/>
              <w:rPr>
                <w:sz w:val="24"/>
                <w:szCs w:val="24"/>
              </w:rPr>
            </w:pPr>
            <w:r>
              <w:rPr>
                <w:sz w:val="24"/>
                <w:szCs w:val="24"/>
              </w:rPr>
              <w:t xml:space="preserve">                  1              2 3     </w:t>
            </w:r>
          </w:p>
        </w:tc>
      </w:tr>
      <w:tr w:rsidR="00B24718" w14:paraId="139F4CE5" w14:textId="77777777" w:rsidTr="00B24718">
        <w:tc>
          <w:tcPr>
            <w:tcW w:w="2569" w:type="dxa"/>
            <w:tcBorders>
              <w:top w:val="single" w:sz="4" w:space="0" w:color="auto"/>
              <w:left w:val="single" w:sz="4" w:space="0" w:color="auto"/>
              <w:bottom w:val="single" w:sz="4" w:space="0" w:color="auto"/>
              <w:right w:val="single" w:sz="4" w:space="0" w:color="auto"/>
            </w:tcBorders>
          </w:tcPr>
          <w:p w14:paraId="6678C06A" w14:textId="77777777" w:rsidR="00B24718" w:rsidRDefault="00B24718" w:rsidP="004130A7">
            <w:pPr>
              <w:spacing w:after="0" w:line="240" w:lineRule="auto"/>
              <w:rPr>
                <w:sz w:val="24"/>
                <w:szCs w:val="24"/>
              </w:rPr>
            </w:pPr>
            <w:r>
              <w:rPr>
                <w:sz w:val="24"/>
                <w:szCs w:val="24"/>
              </w:rPr>
              <w:t>Goals</w:t>
            </w:r>
          </w:p>
        </w:tc>
        <w:tc>
          <w:tcPr>
            <w:tcW w:w="4586" w:type="dxa"/>
            <w:tcBorders>
              <w:top w:val="single" w:sz="4" w:space="0" w:color="auto"/>
              <w:left w:val="single" w:sz="4" w:space="0" w:color="auto"/>
              <w:bottom w:val="single" w:sz="4" w:space="0" w:color="auto"/>
              <w:right w:val="single" w:sz="4" w:space="0" w:color="auto"/>
            </w:tcBorders>
          </w:tcPr>
          <w:p w14:paraId="417A8078" w14:textId="77777777" w:rsidR="00B24718" w:rsidRDefault="00B24718" w:rsidP="004130A7">
            <w:pPr>
              <w:spacing w:after="0" w:line="240" w:lineRule="auto"/>
              <w:rPr>
                <w:sz w:val="24"/>
                <w:szCs w:val="24"/>
              </w:rPr>
            </w:pPr>
            <w:r>
              <w:rPr>
                <w:sz w:val="24"/>
                <w:szCs w:val="24"/>
              </w:rPr>
              <w:t xml:space="preserve">                                                     1            2 3</w:t>
            </w:r>
          </w:p>
        </w:tc>
      </w:tr>
      <w:tr w:rsidR="00B24718" w14:paraId="1A88CF42" w14:textId="77777777" w:rsidTr="00B24718">
        <w:tc>
          <w:tcPr>
            <w:tcW w:w="2569" w:type="dxa"/>
            <w:tcBorders>
              <w:top w:val="single" w:sz="4" w:space="0" w:color="auto"/>
              <w:left w:val="single" w:sz="4" w:space="0" w:color="auto"/>
              <w:bottom w:val="single" w:sz="4" w:space="0" w:color="auto"/>
              <w:right w:val="single" w:sz="4" w:space="0" w:color="auto"/>
            </w:tcBorders>
          </w:tcPr>
          <w:p w14:paraId="2D776C7E" w14:textId="77777777" w:rsidR="00B24718" w:rsidRDefault="00B24718" w:rsidP="004130A7">
            <w:pPr>
              <w:spacing w:after="0" w:line="240" w:lineRule="auto"/>
              <w:rPr>
                <w:sz w:val="24"/>
                <w:szCs w:val="24"/>
              </w:rPr>
            </w:pPr>
            <w:r>
              <w:rPr>
                <w:sz w:val="24"/>
                <w:szCs w:val="24"/>
              </w:rPr>
              <w:t>Learning</w:t>
            </w:r>
          </w:p>
        </w:tc>
        <w:tc>
          <w:tcPr>
            <w:tcW w:w="4586" w:type="dxa"/>
            <w:tcBorders>
              <w:top w:val="single" w:sz="4" w:space="0" w:color="auto"/>
              <w:left w:val="single" w:sz="4" w:space="0" w:color="auto"/>
              <w:bottom w:val="single" w:sz="4" w:space="0" w:color="auto"/>
              <w:right w:val="single" w:sz="4" w:space="0" w:color="auto"/>
            </w:tcBorders>
          </w:tcPr>
          <w:p w14:paraId="5989E7A7" w14:textId="77777777" w:rsidR="00B24718" w:rsidRDefault="00B24718" w:rsidP="004130A7">
            <w:pPr>
              <w:spacing w:after="0" w:line="240" w:lineRule="auto"/>
              <w:rPr>
                <w:sz w:val="24"/>
                <w:szCs w:val="24"/>
              </w:rPr>
            </w:pPr>
            <w:r>
              <w:rPr>
                <w:sz w:val="24"/>
                <w:szCs w:val="24"/>
              </w:rPr>
              <w:t>1               2 3</w:t>
            </w:r>
          </w:p>
        </w:tc>
      </w:tr>
      <w:tr w:rsidR="00B24718" w14:paraId="008DD249" w14:textId="77777777" w:rsidTr="00B24718">
        <w:tc>
          <w:tcPr>
            <w:tcW w:w="2569" w:type="dxa"/>
            <w:tcBorders>
              <w:top w:val="single" w:sz="4" w:space="0" w:color="auto"/>
              <w:left w:val="single" w:sz="4" w:space="0" w:color="auto"/>
              <w:bottom w:val="single" w:sz="4" w:space="0" w:color="auto"/>
              <w:right w:val="single" w:sz="4" w:space="0" w:color="auto"/>
            </w:tcBorders>
          </w:tcPr>
          <w:p w14:paraId="1339FE7B" w14:textId="77777777" w:rsidR="00B24718" w:rsidRDefault="00B24718" w:rsidP="004130A7">
            <w:pPr>
              <w:spacing w:after="0" w:line="240" w:lineRule="auto"/>
              <w:rPr>
                <w:sz w:val="24"/>
                <w:szCs w:val="24"/>
              </w:rPr>
            </w:pPr>
            <w:r>
              <w:rPr>
                <w:sz w:val="24"/>
                <w:szCs w:val="24"/>
              </w:rPr>
              <w:t>Knowledge exchange</w:t>
            </w:r>
          </w:p>
        </w:tc>
        <w:tc>
          <w:tcPr>
            <w:tcW w:w="4586" w:type="dxa"/>
            <w:tcBorders>
              <w:top w:val="single" w:sz="4" w:space="0" w:color="auto"/>
              <w:left w:val="single" w:sz="4" w:space="0" w:color="auto"/>
              <w:bottom w:val="single" w:sz="4" w:space="0" w:color="auto"/>
              <w:right w:val="single" w:sz="4" w:space="0" w:color="auto"/>
            </w:tcBorders>
          </w:tcPr>
          <w:p w14:paraId="32E46F47" w14:textId="77777777" w:rsidR="00B24718" w:rsidRDefault="00B24718" w:rsidP="004130A7">
            <w:pPr>
              <w:tabs>
                <w:tab w:val="left" w:pos="1227"/>
                <w:tab w:val="center" w:pos="2185"/>
                <w:tab w:val="left" w:pos="2595"/>
              </w:tabs>
              <w:spacing w:after="0" w:line="240" w:lineRule="auto"/>
              <w:rPr>
                <w:sz w:val="24"/>
                <w:szCs w:val="24"/>
              </w:rPr>
            </w:pPr>
            <w:r>
              <w:rPr>
                <w:sz w:val="24"/>
                <w:szCs w:val="24"/>
              </w:rPr>
              <w:t xml:space="preserve">                  1              2 3</w:t>
            </w:r>
          </w:p>
        </w:tc>
      </w:tr>
      <w:tr w:rsidR="00B24718" w14:paraId="4BD71F49" w14:textId="77777777" w:rsidTr="00B24718">
        <w:tc>
          <w:tcPr>
            <w:tcW w:w="2569" w:type="dxa"/>
            <w:tcBorders>
              <w:top w:val="single" w:sz="4" w:space="0" w:color="auto"/>
              <w:left w:val="single" w:sz="4" w:space="0" w:color="auto"/>
              <w:bottom w:val="single" w:sz="4" w:space="0" w:color="auto"/>
              <w:right w:val="single" w:sz="4" w:space="0" w:color="auto"/>
            </w:tcBorders>
          </w:tcPr>
          <w:p w14:paraId="45200FAA" w14:textId="77777777" w:rsidR="00B24718" w:rsidRDefault="00B24718" w:rsidP="004130A7">
            <w:pPr>
              <w:spacing w:after="0" w:line="240" w:lineRule="auto"/>
              <w:rPr>
                <w:sz w:val="24"/>
                <w:szCs w:val="24"/>
              </w:rPr>
            </w:pPr>
            <w:r>
              <w:rPr>
                <w:sz w:val="24"/>
                <w:szCs w:val="24"/>
              </w:rPr>
              <w:t>Network</w:t>
            </w:r>
          </w:p>
        </w:tc>
        <w:tc>
          <w:tcPr>
            <w:tcW w:w="4586" w:type="dxa"/>
            <w:tcBorders>
              <w:top w:val="single" w:sz="4" w:space="0" w:color="auto"/>
              <w:left w:val="single" w:sz="4" w:space="0" w:color="auto"/>
              <w:bottom w:val="single" w:sz="4" w:space="0" w:color="auto"/>
              <w:right w:val="single" w:sz="4" w:space="0" w:color="auto"/>
            </w:tcBorders>
          </w:tcPr>
          <w:p w14:paraId="7A05CEB0" w14:textId="77777777" w:rsidR="00B24718" w:rsidRDefault="00B24718" w:rsidP="004130A7">
            <w:pPr>
              <w:spacing w:after="0" w:line="240" w:lineRule="auto"/>
              <w:rPr>
                <w:sz w:val="24"/>
                <w:szCs w:val="24"/>
              </w:rPr>
            </w:pPr>
            <w:r>
              <w:rPr>
                <w:sz w:val="24"/>
                <w:szCs w:val="24"/>
              </w:rPr>
              <w:t xml:space="preserve">               1 2 3</w:t>
            </w:r>
          </w:p>
        </w:tc>
      </w:tr>
      <w:tr w:rsidR="00B24718" w14:paraId="79480706" w14:textId="77777777" w:rsidTr="00B24718">
        <w:tc>
          <w:tcPr>
            <w:tcW w:w="2569" w:type="dxa"/>
            <w:tcBorders>
              <w:top w:val="single" w:sz="4" w:space="0" w:color="auto"/>
              <w:left w:val="single" w:sz="4" w:space="0" w:color="auto"/>
              <w:bottom w:val="single" w:sz="4" w:space="0" w:color="auto"/>
              <w:right w:val="single" w:sz="4" w:space="0" w:color="auto"/>
            </w:tcBorders>
          </w:tcPr>
          <w:p w14:paraId="7BC43A3A" w14:textId="77777777" w:rsidR="00B24718" w:rsidRDefault="00B24718" w:rsidP="004130A7">
            <w:pPr>
              <w:spacing w:after="0" w:line="240" w:lineRule="auto"/>
              <w:rPr>
                <w:sz w:val="24"/>
                <w:szCs w:val="24"/>
              </w:rPr>
            </w:pPr>
            <w:r>
              <w:rPr>
                <w:sz w:val="24"/>
                <w:szCs w:val="24"/>
              </w:rPr>
              <w:t>Social capital</w:t>
            </w:r>
          </w:p>
        </w:tc>
        <w:tc>
          <w:tcPr>
            <w:tcW w:w="4586" w:type="dxa"/>
            <w:tcBorders>
              <w:top w:val="single" w:sz="4" w:space="0" w:color="auto"/>
              <w:left w:val="single" w:sz="4" w:space="0" w:color="auto"/>
              <w:bottom w:val="single" w:sz="4" w:space="0" w:color="auto"/>
              <w:right w:val="single" w:sz="4" w:space="0" w:color="auto"/>
            </w:tcBorders>
          </w:tcPr>
          <w:p w14:paraId="31FAB03E" w14:textId="77777777" w:rsidR="00B24718" w:rsidRDefault="00B24718" w:rsidP="004130A7">
            <w:pPr>
              <w:spacing w:after="0" w:line="240" w:lineRule="auto"/>
              <w:rPr>
                <w:sz w:val="24"/>
                <w:szCs w:val="24"/>
              </w:rPr>
            </w:pPr>
            <w:r>
              <w:rPr>
                <w:sz w:val="24"/>
                <w:szCs w:val="24"/>
              </w:rPr>
              <w:t xml:space="preserve">               1 2 3</w:t>
            </w:r>
          </w:p>
        </w:tc>
      </w:tr>
      <w:tr w:rsidR="00B24718" w14:paraId="7AA899F0" w14:textId="77777777" w:rsidTr="00B24718">
        <w:tc>
          <w:tcPr>
            <w:tcW w:w="2569" w:type="dxa"/>
            <w:tcBorders>
              <w:top w:val="single" w:sz="4" w:space="0" w:color="auto"/>
              <w:left w:val="single" w:sz="4" w:space="0" w:color="auto"/>
              <w:bottom w:val="single" w:sz="4" w:space="0" w:color="auto"/>
              <w:right w:val="single" w:sz="4" w:space="0" w:color="auto"/>
            </w:tcBorders>
          </w:tcPr>
          <w:p w14:paraId="1BE2925C" w14:textId="77777777" w:rsidR="00B24718" w:rsidRDefault="00B24718" w:rsidP="004130A7">
            <w:pPr>
              <w:spacing w:after="0" w:line="240" w:lineRule="auto"/>
              <w:rPr>
                <w:sz w:val="24"/>
                <w:szCs w:val="24"/>
              </w:rPr>
            </w:pPr>
            <w:r>
              <w:rPr>
                <w:sz w:val="24"/>
                <w:szCs w:val="24"/>
              </w:rPr>
              <w:t>Accessibility</w:t>
            </w:r>
          </w:p>
        </w:tc>
        <w:tc>
          <w:tcPr>
            <w:tcW w:w="4586" w:type="dxa"/>
            <w:tcBorders>
              <w:top w:val="single" w:sz="4" w:space="0" w:color="auto"/>
              <w:left w:val="single" w:sz="4" w:space="0" w:color="auto"/>
              <w:bottom w:val="single" w:sz="4" w:space="0" w:color="auto"/>
              <w:right w:val="single" w:sz="4" w:space="0" w:color="auto"/>
            </w:tcBorders>
          </w:tcPr>
          <w:p w14:paraId="5E158553" w14:textId="77777777" w:rsidR="00B24718" w:rsidRDefault="00B24718" w:rsidP="004130A7">
            <w:pPr>
              <w:spacing w:after="0" w:line="240" w:lineRule="auto"/>
              <w:rPr>
                <w:sz w:val="24"/>
                <w:szCs w:val="24"/>
              </w:rPr>
            </w:pPr>
            <w:r>
              <w:rPr>
                <w:sz w:val="24"/>
                <w:szCs w:val="24"/>
              </w:rPr>
              <w:t xml:space="preserve">               1 2 3</w:t>
            </w:r>
          </w:p>
        </w:tc>
      </w:tr>
      <w:tr w:rsidR="00B24718" w14:paraId="6C4B42E6" w14:textId="77777777" w:rsidTr="00B24718">
        <w:tc>
          <w:tcPr>
            <w:tcW w:w="2569" w:type="dxa"/>
            <w:tcBorders>
              <w:top w:val="single" w:sz="4" w:space="0" w:color="auto"/>
              <w:left w:val="single" w:sz="4" w:space="0" w:color="auto"/>
              <w:bottom w:val="single" w:sz="4" w:space="0" w:color="auto"/>
              <w:right w:val="single" w:sz="4" w:space="0" w:color="auto"/>
            </w:tcBorders>
          </w:tcPr>
          <w:p w14:paraId="304BF9D6" w14:textId="77777777" w:rsidR="00B24718" w:rsidRDefault="00B24718" w:rsidP="004130A7">
            <w:pPr>
              <w:spacing w:after="0" w:line="240" w:lineRule="auto"/>
              <w:rPr>
                <w:sz w:val="24"/>
                <w:szCs w:val="24"/>
              </w:rPr>
            </w:pPr>
            <w:r>
              <w:rPr>
                <w:sz w:val="24"/>
                <w:szCs w:val="24"/>
              </w:rPr>
              <w:t>Outputs and outcomes</w:t>
            </w:r>
          </w:p>
        </w:tc>
        <w:tc>
          <w:tcPr>
            <w:tcW w:w="4586" w:type="dxa"/>
            <w:tcBorders>
              <w:top w:val="single" w:sz="4" w:space="0" w:color="auto"/>
              <w:left w:val="single" w:sz="4" w:space="0" w:color="auto"/>
              <w:bottom w:val="single" w:sz="4" w:space="0" w:color="auto"/>
              <w:right w:val="single" w:sz="4" w:space="0" w:color="auto"/>
            </w:tcBorders>
          </w:tcPr>
          <w:p w14:paraId="6DBC4FB8" w14:textId="77777777" w:rsidR="00B24718" w:rsidRDefault="00B24718" w:rsidP="004130A7">
            <w:pPr>
              <w:spacing w:after="0" w:line="240" w:lineRule="auto"/>
              <w:rPr>
                <w:sz w:val="24"/>
                <w:szCs w:val="24"/>
              </w:rPr>
            </w:pPr>
            <w:r>
              <w:rPr>
                <w:sz w:val="24"/>
                <w:szCs w:val="24"/>
              </w:rPr>
              <w:t xml:space="preserve">                                    1              2 3</w:t>
            </w:r>
          </w:p>
        </w:tc>
      </w:tr>
      <w:tr w:rsidR="00B24718" w14:paraId="15A6B718" w14:textId="77777777" w:rsidTr="00B24718">
        <w:tc>
          <w:tcPr>
            <w:tcW w:w="2569" w:type="dxa"/>
            <w:tcBorders>
              <w:top w:val="single" w:sz="4" w:space="0" w:color="auto"/>
              <w:left w:val="single" w:sz="4" w:space="0" w:color="auto"/>
              <w:bottom w:val="single" w:sz="4" w:space="0" w:color="auto"/>
              <w:right w:val="single" w:sz="4" w:space="0" w:color="auto"/>
            </w:tcBorders>
          </w:tcPr>
          <w:p w14:paraId="570EE8D5" w14:textId="77777777" w:rsidR="00B24718" w:rsidRDefault="00B24718" w:rsidP="004130A7">
            <w:pPr>
              <w:spacing w:after="0" w:line="240" w:lineRule="auto"/>
              <w:rPr>
                <w:sz w:val="24"/>
                <w:szCs w:val="24"/>
              </w:rPr>
            </w:pPr>
            <w:r>
              <w:rPr>
                <w:sz w:val="24"/>
                <w:szCs w:val="24"/>
              </w:rPr>
              <w:t>Evaluation</w:t>
            </w:r>
          </w:p>
        </w:tc>
        <w:tc>
          <w:tcPr>
            <w:tcW w:w="4586" w:type="dxa"/>
            <w:tcBorders>
              <w:top w:val="single" w:sz="4" w:space="0" w:color="auto"/>
              <w:left w:val="single" w:sz="4" w:space="0" w:color="auto"/>
              <w:bottom w:val="single" w:sz="4" w:space="0" w:color="auto"/>
              <w:right w:val="single" w:sz="4" w:space="0" w:color="auto"/>
            </w:tcBorders>
          </w:tcPr>
          <w:p w14:paraId="72071B14" w14:textId="77777777" w:rsidR="00B24718" w:rsidRDefault="00B24718" w:rsidP="004130A7">
            <w:pPr>
              <w:spacing w:after="0" w:line="240" w:lineRule="auto"/>
              <w:rPr>
                <w:sz w:val="24"/>
                <w:szCs w:val="24"/>
              </w:rPr>
            </w:pPr>
            <w:r>
              <w:rPr>
                <w:sz w:val="24"/>
                <w:szCs w:val="24"/>
              </w:rPr>
              <w:t xml:space="preserve">                                                  1 2 3</w:t>
            </w:r>
          </w:p>
        </w:tc>
      </w:tr>
      <w:tr w:rsidR="00B24718" w14:paraId="24DAFBD2" w14:textId="77777777" w:rsidTr="00B24718">
        <w:tc>
          <w:tcPr>
            <w:tcW w:w="2569" w:type="dxa"/>
            <w:tcBorders>
              <w:top w:val="single" w:sz="4" w:space="0" w:color="auto"/>
              <w:left w:val="single" w:sz="4" w:space="0" w:color="auto"/>
              <w:bottom w:val="single" w:sz="4" w:space="0" w:color="auto"/>
              <w:right w:val="single" w:sz="4" w:space="0" w:color="auto"/>
            </w:tcBorders>
          </w:tcPr>
          <w:p w14:paraId="79F51313" w14:textId="77777777" w:rsidR="00B24718" w:rsidRDefault="00B24718" w:rsidP="004130A7">
            <w:pPr>
              <w:spacing w:after="0" w:line="240" w:lineRule="auto"/>
              <w:rPr>
                <w:sz w:val="24"/>
                <w:szCs w:val="24"/>
              </w:rPr>
            </w:pPr>
            <w:r>
              <w:rPr>
                <w:sz w:val="24"/>
                <w:szCs w:val="24"/>
              </w:rPr>
              <w:t>Flexibility</w:t>
            </w:r>
          </w:p>
        </w:tc>
        <w:tc>
          <w:tcPr>
            <w:tcW w:w="4586" w:type="dxa"/>
            <w:tcBorders>
              <w:top w:val="single" w:sz="4" w:space="0" w:color="auto"/>
              <w:left w:val="single" w:sz="4" w:space="0" w:color="auto"/>
              <w:bottom w:val="single" w:sz="4" w:space="0" w:color="auto"/>
              <w:right w:val="single" w:sz="4" w:space="0" w:color="auto"/>
            </w:tcBorders>
          </w:tcPr>
          <w:p w14:paraId="49E9AE92" w14:textId="77777777" w:rsidR="00B24718" w:rsidRDefault="00B24718" w:rsidP="004130A7">
            <w:pPr>
              <w:spacing w:after="0" w:line="240" w:lineRule="auto"/>
              <w:rPr>
                <w:sz w:val="24"/>
                <w:szCs w:val="24"/>
              </w:rPr>
            </w:pPr>
            <w:r>
              <w:rPr>
                <w:sz w:val="24"/>
                <w:szCs w:val="24"/>
              </w:rPr>
              <w:t xml:space="preserve">                  1               2 3</w:t>
            </w:r>
          </w:p>
        </w:tc>
      </w:tr>
      <w:tr w:rsidR="00B24718" w14:paraId="3A5B3122" w14:textId="77777777" w:rsidTr="00B24718">
        <w:tc>
          <w:tcPr>
            <w:tcW w:w="2569" w:type="dxa"/>
            <w:tcBorders>
              <w:top w:val="single" w:sz="4" w:space="0" w:color="auto"/>
              <w:left w:val="single" w:sz="4" w:space="0" w:color="auto"/>
              <w:bottom w:val="single" w:sz="4" w:space="0" w:color="auto"/>
              <w:right w:val="single" w:sz="4" w:space="0" w:color="auto"/>
            </w:tcBorders>
          </w:tcPr>
          <w:p w14:paraId="6A992E92" w14:textId="77777777" w:rsidR="00B24718" w:rsidRDefault="00B24718" w:rsidP="004130A7">
            <w:pPr>
              <w:spacing w:after="0" w:line="240" w:lineRule="auto"/>
              <w:rPr>
                <w:sz w:val="24"/>
                <w:szCs w:val="24"/>
              </w:rPr>
            </w:pPr>
            <w:r>
              <w:rPr>
                <w:sz w:val="24"/>
                <w:szCs w:val="24"/>
              </w:rPr>
              <w:t>Human capital</w:t>
            </w:r>
          </w:p>
        </w:tc>
        <w:tc>
          <w:tcPr>
            <w:tcW w:w="4586" w:type="dxa"/>
            <w:tcBorders>
              <w:top w:val="single" w:sz="4" w:space="0" w:color="auto"/>
              <w:left w:val="single" w:sz="4" w:space="0" w:color="auto"/>
              <w:bottom w:val="single" w:sz="4" w:space="0" w:color="auto"/>
              <w:right w:val="single" w:sz="4" w:space="0" w:color="auto"/>
            </w:tcBorders>
          </w:tcPr>
          <w:p w14:paraId="119C75AD" w14:textId="77777777" w:rsidR="00B24718" w:rsidRDefault="00B24718" w:rsidP="004130A7">
            <w:pPr>
              <w:spacing w:after="0" w:line="240" w:lineRule="auto"/>
              <w:rPr>
                <w:sz w:val="24"/>
                <w:szCs w:val="24"/>
              </w:rPr>
            </w:pPr>
            <w:r>
              <w:rPr>
                <w:sz w:val="24"/>
                <w:szCs w:val="24"/>
              </w:rPr>
              <w:t xml:space="preserve">               1 2 3</w:t>
            </w:r>
          </w:p>
        </w:tc>
      </w:tr>
      <w:tr w:rsidR="00B24718" w14:paraId="01946B52" w14:textId="77777777" w:rsidTr="00B24718">
        <w:tc>
          <w:tcPr>
            <w:tcW w:w="2569" w:type="dxa"/>
            <w:tcBorders>
              <w:top w:val="single" w:sz="4" w:space="0" w:color="auto"/>
              <w:left w:val="single" w:sz="4" w:space="0" w:color="auto"/>
              <w:bottom w:val="single" w:sz="4" w:space="0" w:color="auto"/>
              <w:right w:val="single" w:sz="4" w:space="0" w:color="auto"/>
            </w:tcBorders>
          </w:tcPr>
          <w:p w14:paraId="4EF244F9" w14:textId="77777777" w:rsidR="00B24718" w:rsidRDefault="00B24718" w:rsidP="004130A7">
            <w:pPr>
              <w:spacing w:after="0" w:line="240" w:lineRule="auto"/>
              <w:rPr>
                <w:sz w:val="24"/>
                <w:szCs w:val="24"/>
              </w:rPr>
            </w:pPr>
            <w:r>
              <w:rPr>
                <w:sz w:val="24"/>
                <w:szCs w:val="24"/>
              </w:rPr>
              <w:t>Boundary management</w:t>
            </w:r>
          </w:p>
        </w:tc>
        <w:tc>
          <w:tcPr>
            <w:tcW w:w="4586" w:type="dxa"/>
            <w:tcBorders>
              <w:top w:val="single" w:sz="4" w:space="0" w:color="auto"/>
              <w:left w:val="single" w:sz="4" w:space="0" w:color="auto"/>
              <w:bottom w:val="single" w:sz="4" w:space="0" w:color="auto"/>
              <w:right w:val="single" w:sz="4" w:space="0" w:color="auto"/>
            </w:tcBorders>
          </w:tcPr>
          <w:p w14:paraId="3F4CD501" w14:textId="77777777" w:rsidR="00B24718" w:rsidRDefault="00B24718" w:rsidP="004130A7">
            <w:pPr>
              <w:keepNext/>
              <w:spacing w:after="0" w:line="240" w:lineRule="auto"/>
              <w:rPr>
                <w:sz w:val="24"/>
                <w:szCs w:val="24"/>
              </w:rPr>
            </w:pPr>
            <w:r>
              <w:rPr>
                <w:sz w:val="24"/>
                <w:szCs w:val="24"/>
              </w:rPr>
              <w:t xml:space="preserve">                  1               2 3</w:t>
            </w:r>
          </w:p>
        </w:tc>
      </w:tr>
    </w:tbl>
    <w:p w14:paraId="3E9CF52E" w14:textId="45888B30" w:rsidR="00272012" w:rsidRDefault="00272012" w:rsidP="00272012">
      <w:pPr>
        <w:pStyle w:val="Caption"/>
        <w:tabs>
          <w:tab w:val="left" w:pos="5040"/>
        </w:tabs>
        <w:spacing w:after="120" w:line="360" w:lineRule="auto"/>
      </w:pPr>
      <w:bookmarkStart w:id="347" w:name="_Toc531023168"/>
      <w:bookmarkStart w:id="348" w:name="_Toc536438929"/>
      <w:bookmarkStart w:id="349" w:name="_Toc31702104"/>
      <w:r w:rsidRPr="00F01183">
        <w:t xml:space="preserve">Figure </w:t>
      </w:r>
      <w:r w:rsidR="00233012">
        <w:rPr>
          <w:noProof/>
        </w:rPr>
        <w:fldChar w:fldCharType="begin"/>
      </w:r>
      <w:r>
        <w:rPr>
          <w:noProof/>
        </w:rPr>
        <w:instrText xml:space="preserve"> SEQ Figure \* ARABIC </w:instrText>
      </w:r>
      <w:r w:rsidR="00233012">
        <w:rPr>
          <w:noProof/>
        </w:rPr>
        <w:fldChar w:fldCharType="separate"/>
      </w:r>
      <w:r w:rsidR="0011424E">
        <w:rPr>
          <w:noProof/>
        </w:rPr>
        <w:t>35</w:t>
      </w:r>
      <w:r w:rsidR="00233012">
        <w:rPr>
          <w:noProof/>
        </w:rPr>
        <w:fldChar w:fldCharType="end"/>
      </w:r>
      <w:r w:rsidRPr="00F01183">
        <w:t xml:space="preserve">. Plotted typology. </w:t>
      </w:r>
      <w:r>
        <w:t>BoR14.2</w:t>
      </w:r>
      <w:bookmarkEnd w:id="347"/>
      <w:bookmarkEnd w:id="348"/>
      <w:bookmarkEnd w:id="349"/>
    </w:p>
    <w:p w14:paraId="2676B3CA" w14:textId="77777777" w:rsidR="00272012" w:rsidRDefault="00272012" w:rsidP="00272012">
      <w:pPr>
        <w:rPr>
          <w:lang w:eastAsia="zh-TW"/>
        </w:rPr>
      </w:pPr>
      <w:r>
        <w:rPr>
          <w:lang w:eastAsia="zh-TW"/>
        </w:rPr>
        <w:br w:type="page"/>
      </w:r>
    </w:p>
    <w:p w14:paraId="32DC0A33" w14:textId="68AC1195" w:rsidR="00272012" w:rsidRDefault="00272012" w:rsidP="00272012">
      <w:pPr>
        <w:pStyle w:val="Heading2"/>
        <w:rPr>
          <w:lang w:eastAsia="zh-TW"/>
        </w:rPr>
      </w:pPr>
      <w:bookmarkStart w:id="350" w:name="_Toc536718006"/>
      <w:bookmarkStart w:id="351" w:name="_Toc31702029"/>
      <w:r>
        <w:rPr>
          <w:lang w:eastAsia="zh-TW"/>
        </w:rPr>
        <w:t xml:space="preserve">Appendix </w:t>
      </w:r>
      <w:r w:rsidR="004D3BA5">
        <w:rPr>
          <w:lang w:eastAsia="zh-TW"/>
        </w:rPr>
        <w:t>E</w:t>
      </w:r>
      <w:r>
        <w:rPr>
          <w:lang w:eastAsia="zh-TW"/>
        </w:rPr>
        <w:t>. McNie, Parris and Sarewitz’s (2016) original typology</w:t>
      </w:r>
      <w:bookmarkEnd w:id="350"/>
      <w:bookmarkEnd w:id="351"/>
    </w:p>
    <w:p w14:paraId="3E801ABF" w14:textId="77777777" w:rsidR="00272012" w:rsidRPr="00B35A44" w:rsidRDefault="00272012" w:rsidP="00272012">
      <w:pPr>
        <w:rPr>
          <w:lang w:eastAsia="zh-TW"/>
        </w:rPr>
      </w:pPr>
    </w:p>
    <w:p w14:paraId="538EF185" w14:textId="77777777" w:rsidR="00272012" w:rsidRPr="00A74154" w:rsidRDefault="00272012" w:rsidP="00272012">
      <w:pPr>
        <w:rPr>
          <w:lang w:eastAsia="zh-TW"/>
        </w:rPr>
      </w:pPr>
      <w:r w:rsidRPr="00B35A44">
        <w:rPr>
          <w:noProof/>
          <w:lang w:eastAsia="en-GB"/>
        </w:rPr>
        <w:drawing>
          <wp:inline distT="0" distB="0" distL="0" distR="0" wp14:anchorId="745BF151" wp14:editId="0645955C">
            <wp:extent cx="5731510" cy="39814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31510" cy="3981450"/>
                    </a:xfrm>
                    <a:prstGeom prst="rect">
                      <a:avLst/>
                    </a:prstGeom>
                    <a:noFill/>
                    <a:ln>
                      <a:noFill/>
                    </a:ln>
                  </pic:spPr>
                </pic:pic>
              </a:graphicData>
            </a:graphic>
          </wp:inline>
        </w:drawing>
      </w:r>
    </w:p>
    <w:p w14:paraId="2DD456E1" w14:textId="5C171CA5" w:rsidR="00775E72" w:rsidRDefault="00775E72" w:rsidP="009555C8">
      <w:pPr>
        <w:spacing w:after="120" w:line="360" w:lineRule="auto"/>
      </w:pPr>
    </w:p>
    <w:p w14:paraId="5219F4BE" w14:textId="0FDA7E41" w:rsidR="002E5045" w:rsidRDefault="002E5045">
      <w:pPr>
        <w:spacing w:after="120" w:line="360" w:lineRule="auto"/>
      </w:pPr>
    </w:p>
    <w:sectPr w:rsidR="002E5045" w:rsidSect="007E7AD8">
      <w:footerReference w:type="default" r:id="rId229"/>
      <w:pgSz w:w="11906" w:h="16838"/>
      <w:pgMar w:top="1191" w:right="1191" w:bottom="1191" w:left="119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71B17" w14:textId="77777777" w:rsidR="00B11A08" w:rsidRDefault="00B11A08" w:rsidP="007D48B4">
      <w:pPr>
        <w:spacing w:after="0" w:line="240" w:lineRule="auto"/>
      </w:pPr>
      <w:r>
        <w:separator/>
      </w:r>
    </w:p>
  </w:endnote>
  <w:endnote w:type="continuationSeparator" w:id="0">
    <w:p w14:paraId="5C992D52" w14:textId="77777777" w:rsidR="00B11A08" w:rsidRDefault="00B11A08" w:rsidP="007D4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New Roman">
    <w:altName w:val="Malgun Gothic"/>
    <w:panose1 w:val="00000000000000000000"/>
    <w:charset w:val="81"/>
    <w:family w:val="auto"/>
    <w:notTrueType/>
    <w:pitch w:val="default"/>
    <w:sig w:usb0="00000000" w:usb1="09060000" w:usb2="00000010" w:usb3="00000000" w:csb0="00080000" w:csb1="00000000"/>
  </w:font>
  <w:font w:name="AdvTimes">
    <w:altName w:val="Malgun Gothic"/>
    <w:panose1 w:val="00000000000000000000"/>
    <w:charset w:val="00"/>
    <w:family w:val="auto"/>
    <w:notTrueType/>
    <w:pitch w:val="default"/>
    <w:sig w:usb0="00000003" w:usb1="00000000" w:usb2="00000000" w:usb3="00000000" w:csb0="00000001" w:csb1="00000000"/>
  </w:font>
  <w:font w:name="TUOS Blake">
    <w:altName w:val="Calibri"/>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744743"/>
      <w:docPartObj>
        <w:docPartGallery w:val="Page Numbers (Bottom of Page)"/>
        <w:docPartUnique/>
      </w:docPartObj>
    </w:sdtPr>
    <w:sdtEndPr>
      <w:rPr>
        <w:noProof/>
      </w:rPr>
    </w:sdtEndPr>
    <w:sdtContent>
      <w:p w14:paraId="1EB3C231" w14:textId="7C1692AD" w:rsidR="00883B69" w:rsidRDefault="00883B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1B7808" w14:textId="77777777" w:rsidR="00883B69" w:rsidRDefault="00883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5BC37" w14:textId="77777777" w:rsidR="00B11A08" w:rsidRDefault="00B11A08" w:rsidP="007D48B4">
      <w:pPr>
        <w:spacing w:after="0" w:line="240" w:lineRule="auto"/>
      </w:pPr>
      <w:r>
        <w:separator/>
      </w:r>
    </w:p>
  </w:footnote>
  <w:footnote w:type="continuationSeparator" w:id="0">
    <w:p w14:paraId="345EAEDB" w14:textId="77777777" w:rsidR="00B11A08" w:rsidRDefault="00B11A08" w:rsidP="007D48B4">
      <w:pPr>
        <w:spacing w:after="0" w:line="240" w:lineRule="auto"/>
      </w:pPr>
      <w:r>
        <w:continuationSeparator/>
      </w:r>
    </w:p>
  </w:footnote>
  <w:footnote w:id="1">
    <w:p w14:paraId="77558130" w14:textId="266F2A76" w:rsidR="00883B69" w:rsidRPr="003F4F75" w:rsidRDefault="00883B69" w:rsidP="003F4F75">
      <w:pPr>
        <w:autoSpaceDE w:val="0"/>
        <w:autoSpaceDN w:val="0"/>
        <w:adjustRightInd w:val="0"/>
        <w:spacing w:after="0" w:line="240" w:lineRule="auto"/>
        <w:rPr>
          <w:sz w:val="24"/>
          <w:szCs w:val="24"/>
        </w:rPr>
      </w:pPr>
      <w:r>
        <w:rPr>
          <w:rStyle w:val="FootnoteReference"/>
        </w:rPr>
        <w:footnoteRef/>
      </w:r>
      <w:r>
        <w:t xml:space="preserve"> The ‘boundary’</w:t>
      </w:r>
      <w:r w:rsidRPr="003F4F75">
        <w:t xml:space="preserve"> metaphor has gained </w:t>
      </w:r>
      <w:r>
        <w:t xml:space="preserve">some </w:t>
      </w:r>
      <w:r w:rsidRPr="003F4F75">
        <w:t xml:space="preserve">currency amongst theorists of higher education and of universities’ social and economic roles </w:t>
      </w:r>
      <w:r w:rsidRPr="003F4F75">
        <w:fldChar w:fldCharType="begin">
          <w:fldData xml:space="preserve">PEVuZE5vdGU+PENpdGU+PEF1dGhvcj5XcmlnaHQ8L0F1dGhvcj48WWVhcj4yMDE2PC9ZZWFyPjxJ
RFRleHQ+VW5pdmVyc2l0aWVzIGluIGEga25vd2xlZGdlIGVjb25vbXkgb3IgZWNvbG9neT8gUG9s
aWN5LCBjb250ZXN0YXRpb24gYW5kIGFiamVjdGlvbjwvSURUZXh0PjxEaXNwbGF5VGV4dD4oZm9y
IGV4YW1wbGUsIEJhY2V2aWMsIDIwMTcsIDIwMTg7IEJhcm5ldHQsIDIwMTc7IEJlY2sgJmFtcDsg
WW91bmcsIDIwMDU7IEJlcm5zdGVpbiwgMjAwMDsgVy4gQy4gQ2xhcmsgZXQgYWwuLCAyMDE2OyBI
YXRha2VuYWthLCAyMDA0OyBLb3J5YWtpbmEsIFNhcnJpY28sICZhbXA7IFRlaXhlaXJhLCAyMDE1
OyBNYXkgJmFtcDsgUGVycnksIDIwMTNiLCAyMDE3OyBNY05pZSwgUGFycmlzLCAmYW1wOyBTYXJl
d2l0eiwgMjAxNjsgTmlja29sYWksIEhvZmZtYW4sICZhbXA7IFRyYXV0bmVyLCAyMDEyOyBQYXds
ZXksIDIwMTI7IFByaW1lcmkgJmFtcDsgUmVhbGUsIDIwMTU7IFNhdGHDuGVuLCAyMDE4OyBTbGF1
Z2h0ZXIsIEFyY2hlcmQsICZhbXA7IENhbXBiZWxsLCAyMDA0OyBWYWtrdXJpLCAyMDA0OyBXaGl0
bGV5LCAyMDAwOyBXcmlnaHQsIDIwMTY7IFppbWFuLCAxOTkxKTwvRGlzcGxheVRleHQ+PHJlY29y
ZD48a2V5d29yZHM+PGtleXdvcmQ+QXJ0aWNsZTwva2V5d29yZD48a2V5d29yZD5OdGhyb3BvbG9n
eSBPZiBQb2xpY3k8L2tleXdvcmQ+PGtleXdvcmQ+VW5pdmVyc2l0eSBSZWZvcm08L2tleXdvcmQ+
PGtleXdvcmQ+R2xvYmFsIEtub3dsZWRnZSBFY29ub215PC9rZXl3b3JkPjxrZXl3b3JkPlN1YnN0
YW50aXZlIEVjb2xvZ3k8L2tleXdvcmQ+PGtleXdvcmQ+RnJlZWRvbTwva2V5d29yZD48a2V5d29y
ZD5Db250ZXN0YXRpb248L2tleXdvcmQ+PGtleXdvcmQ+TGVhZGVyc2hpcDwva2V5d29yZD48L2tl
eXdvcmRzPjxpc2JuPjE5NDYtMDE3MTwvaXNibj48dGl0bGVzPjx0aXRsZT5Vbml2ZXJzaXRpZXMg
aW4gYSBrbm93bGVkZ2UgZWNvbm9teSBvciBlY29sb2d5PyBQb2xpY3ksIGNvbnRlc3RhdGlvbiBh
bmQgYWJqZWN0aW9uPC90aXRsZT48c2Vjb25kYXJ5LXRpdGxlPkNyaXRpY2FsIFBvbGljeSBTdHVk
aWVzPC9zZWNvbmRhcnktdGl0bGU+PC90aXRsZXM+PHBhZ2VzPjU5LTc4PC9wYWdlcz48bnVtYmVy
PjE8L251bWJlcj48Y29udHJpYnV0b3JzPjxhdXRob3JzPjxhdXRob3I+V3JpZ2h0LCBTdXNhbjwv
YXV0aG9yPjwvYXV0aG9ycz48L2NvbnRyaWJ1dG9ycz48YWRkZWQtZGF0ZSBmb3JtYXQ9InV0YyI+
MTUyMzE5MjA0ODwvYWRkZWQtZGF0ZT48cmVmLXR5cGUgbmFtZT0iSm91cm5hbCBBcnRpY2xlIj4x
NzwvcmVmLXR5cGU+PGRhdGVzPjx5ZWFyPjIwMTY8L3llYXI+PC9kYXRlcz48cmVjLW51bWJlcj43
NDYxPC9yZWMtbnVtYmVyPjxwdWJsaXNoZXI+Um91dGxlZGdlPC9wdWJsaXNoZXI+PGxhc3QtdXBk
YXRlZC1kYXRlIGZvcm1hdD0idXRjIj4xNTIzMTkyMDQ4PC9sYXN0LXVwZGF0ZWQtZGF0ZT48ZWxl
Y3Ryb25pYy1yZXNvdXJjZS1udW0+MTAuMTA4MC8xOTQ2MDE3MS4yMDE2LjExNDI0NTc8L2VsZWN0
cm9uaWMtcmVzb3VyY2UtbnVtPjx2b2x1bWU+MTA8L3ZvbHVtZT48L3JlY29yZD48L0NpdGU+PENp
dGU+PEF1dGhvcj5NYXk8L0F1dGhvcj48WWVhcj4yMDEzPC9ZZWFyPjxJRFRleHQ+VW5pdmVyc2l0
aWVzLCBSZWZsZXhpdml0eSBhbmQgQ3JpdGlxdWU6IFVuZWFzeSBQYXJhbGxlbHMgaW4gUHJhY3Rp
Y2U8L0lEVGV4dD48cmVjb3JkPjxrZXl3b3Jkcz48a2V5d29yZD5FZHVjYXRpb248L2tleXdvcmQ+
PC9rZXl3b3Jkcz48dGl0bGVzPjx0aXRsZT5Vbml2ZXJzaXRpZXMsIFJlZmxleGl2aXR5IGFuZCBD
cml0aXF1ZTogVW5lYXN5IFBhcmFsbGVscyBpbiBQcmFjdGljZTwvdGl0bGU+PHNlY29uZGFyeS10
aXRsZT5Qb2xpY3kgRnV0dXJlcyBpbiBFZHVjYXRpb248L3NlY29uZGFyeS10aXRsZT48L3RpdGxl
cz48cGFnZXM+NTA1LTUxNDwvcGFnZXM+PG51bWJlcj41PC9udW1iZXI+PGNvbnRyaWJ1dG9ycz48
YXV0aG9ycz48YXV0aG9yPk1heSwgVGltPC9hdXRob3I+PGF1dGhvcj5QZXJyeSwgQmV0aDwvYXV0
aG9yPjwvYXV0aG9ycz48L2NvbnRyaWJ1dG9ycz48YWRkZWQtZGF0ZSBmb3JtYXQ9InV0YyI+MTUz
MDg3MTAyNDwvYWRkZWQtZGF0ZT48cHViLWxvY2F0aW9uPkxvbmRvbiwgRW5nbGFuZDwvcHViLWxv
Y2F0aW9uPjxyZWYtdHlwZSBuYW1lPSJKb3VybmFsIEFydGljbGUiPjE3PC9yZWYtdHlwZT48ZGF0
ZXM+PHllYXI+MjAxMzwveWVhcj48L2RhdGVzPjxyZWMtbnVtYmVyPjc2MDA8L3JlYy1udW1iZXI+
PGxhc3QtdXBkYXRlZC1kYXRlIGZvcm1hdD0idXRjIj4xNTMwODcxMDI0PC9sYXN0LXVwZGF0ZWQt
ZGF0ZT48ZWxlY3Ryb25pYy1yZXNvdXJjZS1udW0+MTAuMjMwNC9wZmllLjIwMTMuMTEuNS41MDU8
L2VsZWN0cm9uaWMtcmVzb3VyY2UtbnVtPjx2b2x1bWU+MTE8L3ZvbHVtZT48L3JlY29yZD48L0Np
dGU+PENpdGU+PEF1dGhvcj5NYXk8L0F1dGhvcj48WWVhcj4yMDE3PC9ZZWFyPjxJRFRleHQ+S25v
d2xlZGdlIGZvciBqdXN0IHVyYmFuIHN1c3RhaW5hYmlsaXR5PC9JRFRleHQ+PHJlY29yZD48a2V5
d29yZHM+PGtleXdvcmQ+QXJ0aWNsZTwva2V5d29yZD48a2V5d29yZD5KdXN0aWNlPC9rZXl3b3Jk
PjxrZXl3b3JkPktub3dsZWRnZTwva2V5d29yZD48a2V5d29yZD5SZWZsZXhpdml0eTwva2V5d29y
ZD48a2V5d29yZD5JbnRlcm1lZGlhdGlvbjwva2V5d29yZD48a2V5d29yZD5UcmFuc2Zvcm1hdGlv
bjwva2V5d29yZD48L2tleXdvcmRzPjxpc2JuPjEzNTQtOTgzOTwvaXNibj48dGl0bGVzPjx0aXRs
ZT5Lbm93bGVkZ2UgZm9yIGp1c3QgdXJiYW4gc3VzdGFpbmFiaWxpdHk8L3RpdGxlPjxzZWNvbmRh
cnktdGl0bGU+TG9jYWwgRW52aXJvbm1lbnQ8L3NlY29uZGFyeS10aXRsZT48L3RpdGxlcz48cGFn
ZXM+MjMtMzU8L3BhZ2VzPjxudW1iZXI+c3VwMTwvbnVtYmVyPjxjb250cmlidXRvcnM+PGF1dGhv
cnM+PGF1dGhvcj5NYXksIFRpbTwvYXV0aG9yPjxhdXRob3I+UGVycnksIEJldGg8L2F1dGhvcj48
L2F1dGhvcnM+PC9jb250cmlidXRvcnM+PGFkZGVkLWRhdGUgZm9ybWF0PSJ1dGMiPjE1MzA4NzA4
OTg8L2FkZGVkLWRhdGU+PHJlZi10eXBlIG5hbWU9IkpvdXJuYWwgQXJ0aWNsZSI+MTc8L3JlZi10
eXBlPjxkYXRlcz48eWVhcj4yMDE3PC95ZWFyPjwvZGF0ZXM+PHJlYy1udW1iZXI+NzU5OTwvcmVj
LW51bWJlcj48cHVibGlzaGVyPlJvdXRsZWRnZTwvcHVibGlzaGVyPjxsYXN0LXVwZGF0ZWQtZGF0
ZSBmb3JtYXQ9InV0YyI+MTUzMDg3MDg5ODwvbGFzdC11cGRhdGVkLWRhdGU+PGVsZWN0cm9uaWMt
cmVzb3VyY2UtbnVtPjEwLjEwODAvMTM1NDk4MzkuMjAxNi4xMjMzNTI3PC9lbGVjdHJvbmljLXJl
c291cmNlLW51bT48dm9sdW1lPjIyPC92b2x1bWU+PC9yZWNvcmQ+PC9DaXRlPjxDaXRlPjxBdXRo
b3I+S29yeWFraW5hPC9BdXRob3I+PFllYXI+MjAxNTwvWWVhcj48SURUZXh0PlVuaXZlcnNpdGll
cyZhcG9zOyBUaGlyZCBNaXNzaW9uIEFjdGl2aXRpdGVzOiBDaGFsbGVuZ2VzIHRvIEV4dGVuZGlu
ZyBCb3VuZGFyaWVzPC9JRFRleHQ+PHJlY29yZD48aXNibj45NDYzMDAxNzg2PC9pc2JuPjx0aXRs
ZXM+PHRpdGxlPlVuaXZlcnNpdGllcyZhcG9zOyBUaGlyZCBNaXNzaW9uIEFjdGl2aXRpdGVzOiBD
aGFsbGVuZ2VzIHRvIEV4dGVuZGluZyBCb3VuZGFyaWVzPC90aXRsZT48c2Vjb25kYXJ5LXRpdGxl
PlRoZSBUcmFuc2Zvcm1hdGlvbiBvZiBVbml2ZXJzaXR5IEluc3RpdHV0aW9uYWwgYW5kIE9yZ2Fu
aXphdGlvbmFsIEJvdW5kYXJpZXM6IE9yZ2FuaXphdGlvbmFsIEJvdW5kYXJpZXM8L3NlY29uZGFy
eS10aXRsZT48L3RpdGxlcz48Y29udHJpYnV0b3JzPjxhdXRob3JzPjxhdXRob3I+S29yeWFraW5h
LCBUYXR5YW5hPC9hdXRob3I+PGF1dGhvcj5TYXJyaWNvLCBDbGF1ZGlhPC9hdXRob3I+PGF1dGhv
cj5UZWl4ZWlyYSwgUGVkcm88L2F1dGhvcj48L2F1dGhvcnM+PC9jb250cmlidXRvcnM+PGFkZGVk
LWRhdGUgZm9ybWF0PSJ1dGMiPjE1MjI0ODUyODY8L2FkZGVkLWRhdGU+PHB1Yi1sb2NhdGlvbj5S
b3R0ZXJkYW08L3B1Yi1sb2NhdGlvbj48cmVmLXR5cGUgbmFtZT0iQm9vayBTZWN0aW9uIj41PC9y
ZWYtdHlwZT48ZGF0ZXM+PHllYXI+MjAxNTwveWVhcj48L2RhdGVzPjxyZWMtbnVtYmVyPjc0Mzg8
L3JlYy1udW1iZXI+PHB1Ymxpc2hlcj5TZW5zZTwvcHVibGlzaGVyPjxsYXN0LXVwZGF0ZWQtZGF0
ZSBmb3JtYXQ9InV0YyI+MTUyMjQ4NTY1NDwvbGFzdC11cGRhdGVkLWRhdGU+PGNvbnRyaWJ1dG9y
cz48c2Vjb25kYXJ5LWF1dGhvcnM+PGF1dGhvcj5QcmltZXJpLCBFbWlsaWE8L2F1dGhvcj48YXV0
aG9yPlJlYWxlLCBFbWFudWVsYTwvYXV0aG9yPjwvc2Vjb25kYXJ5LWF1dGhvcnM+PC9jb250cmli
dXRvcnM+PC9yZWNvcmQ+PC9DaXRlPjxDaXRlPjxBdXRob3I+QmVjazwvQXV0aG9yPjxZZWFyPjIw
MDU8L1llYXI+PElEVGV4dD5UaGUgYXNzYXVsdCBvbiB0aGUgcHJvZmVzc2lvbnMgYW5kIHRoZSBy
ZXN0cnVjdHVyaW5nIG9mIGFjYWRlbWljIGFuZCBwcm9mZXNzaW9uYWwgaWRlbnRpdGllczogYSBC
ZXJuc3RlaW5pYW4gYW5hbHlzaXM8L0lEVGV4dD48cmVjb3JkPjx1cmxzPjxyZWxhdGVkLXVybHM+
PHVybD5odHRwOi8vZHguZG9pLm9yZy8xMC4xMDgwLzAxNDI1NjkwNDIwMDAyOTQxNjU8L3VybD48
L3JlbGF0ZWQtdXJscz48L3VybHM+PGlzYm4+MDE0Mi01NjkyPC9pc2JuPjx0aXRsZXM+PHRpdGxl
PlRoZSBhc3NhdWx0IG9uIHRoZSBwcm9mZXNzaW9ucyBhbmQgdGhlIHJlc3RydWN0dXJpbmcgb2Yg
YWNhZGVtaWMgYW5kIHByb2Zlc3Npb25hbCBpZGVudGl0aWVzOiBhIEJlcm5zdGVpbmlhbiBhbmFs
eXNpczwvdGl0bGU+PHNlY29uZGFyeS10aXRsZT5Ccml0aXNoIEpvdXJuYWwgb2YgU29jaW9sb2d5
IG9mIEVkdWNhdGlvbjwvc2Vjb25kYXJ5LXRpdGxlPjwvdGl0bGVzPjxwYWdlcz4xODMtMTk3PC9w
YWdlcz48dXJscz48cGRmLXVybHM+PHVybD5maWxlOi8vL0M6L1VzZXJzL2VsaWVsXzAwMC9Eb2N1
bWVudHMvQWNhZGVtaWMvUGhEL0JlY2sgJmFtcDsgWW91bmcgLSBCZXJuc3RlbiBhY2FkZW1pYyBw
cm9mZXNzaW9ucy5wZGY8L3VybD48L3BkZi11cmxzPjwvdXJscz48bnVtYmVyPjI8L251bWJlcj48
Y29udHJpYnV0b3JzPjxhdXRob3JzPjxhdXRob3I+QmVjaywgSm9objwvYXV0aG9yPjxhdXRob3I+
WW91bmcsIE1pY2hhZWwgRi4gRC48L2F1dGhvcj48L2F1dGhvcnM+PC9jb250cmlidXRvcnM+PGFk
ZGVkLWRhdGUgZm9ybWF0PSJ1dGMiPjE0NTI3MDQ0MjM8L2FkZGVkLWRhdGU+PHJlZi10eXBlIG5h
bWU9IkpvdXJuYWwgQXJ0aWNsZSI+MTc8L3JlZi10eXBlPjxkYXRlcz48eWVhcj4yMDA1PC95ZWFy
PjwvZGF0ZXM+PHJlYy1udW1iZXI+Mzc8L3JlYy1udW1iZXI+PGxhc3QtdXBkYXRlZC1kYXRlIGZv
cm1hdD0idXRjIj4xNDY5MjE1NDY4PC9sYXN0LXVwZGF0ZWQtZGF0ZT48ZWxlY3Ryb25pYy1yZXNv
dXJjZS1udW0+MTAuMTA4MC8wMTQyNTY5MDQyMDAwMjk0MTY1PC9lbGVjdHJvbmljLXJlc291cmNl
LW51bT48dm9sdW1lPjI2PC92b2x1bWU+PC9yZWNvcmQ+PC9DaXRlPjxDaXRlPjxBdXRob3I+QmVy
bnN0ZWluPC9BdXRob3I+PFllYXI+MjAwMDwvWWVhcj48SURUZXh0PlBlZGFnb2d5LCBzeW1ib2xp
YyBjb250cm9sLCBhbmQgaWRlbnRpdHk6IFRoZW9yeSwgcmVzZWFyY2gsIGNyaXRpcXVlPC9JRFRl
eHQ+PHJlY29yZD48aXNibj4wODQ3Njk1NzZYPC9pc2JuPjx0aXRsZXM+PHRpdGxlPlBlZGFnb2d5
LCBzeW1ib2xpYyBjb250cm9sLCBhbmQgaWRlbnRpdHk6IFRoZW9yeSwgcmVzZWFyY2gsIGNyaXRp
cXVlPC90aXRsZT48L3RpdGxlcz48bnVtYmVyPjQ8L251bWJlcj48Y29udHJpYnV0b3JzPjxhdXRo
b3JzPjxhdXRob3I+QmVybnN0ZWluLCBCYXNpbDwvYXV0aG9yPjwvYXV0aG9ycz48L2NvbnRyaWJ1
dG9ycz48ZWRpdGlvbj4ybmQ8L2VkaXRpb24+PGFkZGVkLWRhdGUgZm9ybWF0PSJ1dGMiPjE0NTI3
MDc4NTU8L2FkZGVkLWRhdGU+PHB1Yi1sb2NhdGlvbj5PeGZvcmQ8L3B1Yi1sb2NhdGlvbj48cmVm
LXR5cGUgbmFtZT0iQm9vayI+NjwvcmVmLXR5cGU+PGRhdGVzPjx5ZWFyPjIwMDA8L3llYXI+PC9k
YXRlcz48cmVjLW51bWJlcj4xODU8L3JlYy1udW1iZXI+PHB1Ymxpc2hlcj5Sb3dtYW4gJmFtcDsg
TGl0dGxlZmllbGQ8L3B1Ymxpc2hlcj48bGFzdC11cGRhdGVkLWRhdGUgZm9ybWF0PSJ1dGMiPjE0
Nzc3NjY4MDg8L2xhc3QtdXBkYXRlZC1kYXRlPjwvcmVjb3JkPjwvQ2l0ZT48Q2l0ZT48QXV0aG9y
PlByaW1lcmk8L0F1dGhvcj48WWVhcj4yMDE1PC9ZZWFyPjxJRFRleHQ+VGhlIFRyYW5zZm9ybWF0
aW9uIG9mIFVuaXZlcnNpdHkgSW5zdGl0dXRpb25hbCBhbmQgT3JnYW5pemF0aW9uYWwgQm91bmRh
cmllczogT3JnYW5pemF0aW9uYWwgQm91bmRhcmllczwvSURUZXh0PjxyZWNvcmQ+PHVybHM+PHJl
bGF0ZWQtdXJscz48dXJsPmh0dHBzOi8vYm9va3MuZ29vZ2xlLmNvLnVrL2Jvb2tzP2lkPTlzRGZD
Z0FBUUJBSjwvdXJsPjwvcmVsYXRlZC11cmxzPjwvdXJscz48aXNibj45Nzg5NDYzMDAxNzg2PC9p
c2JuPjx0aXRsZXM+PHRpdGxlPlRoZSBUcmFuc2Zvcm1hdGlvbiBvZiBVbml2ZXJzaXR5IEluc3Rp
dHV0aW9uYWwgYW5kIE9yZ2FuaXphdGlvbmFsIEJvdW5kYXJpZXM6IE9yZ2FuaXphdGlvbmFsIEJv
dW5kYXJpZXM8L3RpdGxlPjwvdGl0bGVzPjxjb250cmlidXRvcnM+PGF1dGhvcnM+PGF1dGhvcj5Q
cmltZXJpLCBFbWlsaWE8L2F1dGhvcj48YXV0aG9yPlJlYWxlLCBFbWFudWVsYTwvYXV0aG9yPjwv
YXV0aG9ycz48L2NvbnRyaWJ1dG9ycz48YWRkZWQtZGF0ZSBmb3JtYXQ9InV0YyI+MTUzMjEwNDUw
NTwvYWRkZWQtZGF0ZT48cHViLWxvY2F0aW9uPlJvdHRlcmRhbTwvcHViLWxvY2F0aW9uPjxyZWYt
dHlwZSBuYW1lPSJFZGl0ZWQgQm9vayI+Mjg8L3JlZi10eXBlPjxkYXRlcz48eWVhcj4yMDE1PC95
ZWFyPjwvZGF0ZXM+PHJlYy1udW1iZXI+NzYxOTwvcmVjLW51bWJlcj48cHVibGlzaGVyPlNlbnNl
IFB1Ymxpc2hlcnM8L3B1Ymxpc2hlcj48bGFzdC11cGRhdGVkLWRhdGUgZm9ybWF0PSJ1dGMiPjE1
MzIxMDQ4NjE8L2xhc3QtdXBkYXRlZC1kYXRlPjwvcmVjb3JkPjwvQ2l0ZT48Q2l0ZT48QXV0aG9y
PkJhcm5ldHQ8L0F1dGhvcj48WWVhcj4yMDE3PC9ZZWFyPjxJRFRleHQ+VGhlIEVjb2xvZ2ljYWwg
VW5pdmVyc2l0eTogQSBGZWFzaWJsZSBVdG9waWE8L0lEVGV4dD48UHJlZml4PmZvciBleGFtcGxl
YCwgQmFjZXZpY2AsIDIwMTdgLCAyMDE4YDsgPC9QcmVmaXg+PHJlY29yZD48dXJscz48cmVsYXRl
ZC11cmxzPjx1cmw+aHR0cHM6Ly93d3cuYW1hem9uLmNvLnVrL0Vjb2xvZ2ljYWwtVW5pdmVyc2l0
eS1GZWFzaWJsZS1VdG9waWEtZWJvb2svZHAvQjA3NkRGNEM5SC9yZWY9dG1tX2tpbl9zd2F0Y2hf
MD9fZW5jb2Rpbmc9VVRGOCZhbXA7cWlkPSZhbXA7c3I9PC91cmw+PC9yZWxhdGVkLXVybHM+PC91
cmxzPjx0aXRsZXM+PHRpdGxlPlRoZSBFY29sb2dpY2FsIFVuaXZlcnNpdHk6IEEgRmVhc2libGUg
VXRvcGlhPC90aXRsZT48L3RpdGxlcz48Y29udHJpYnV0b3JzPjxhdXRob3JzPjxhdXRob3I+QmFy
bmV0dCwgUm9uYWxkPC9hdXRob3I+PC9hdXRob3JzPjwvY29udHJpYnV0b3JzPjxhZGRlZC1kYXRl
IGZvcm1hdD0idXRjIj4xNTIwMDAxOTc5PC9hZGRlZC1kYXRlPjxwdWItbG9jYXRpb24+TG9uZG9u
PC9wdWItbG9jYXRpb24+PHJlZi10eXBlIG5hbWU9IkJvb2siPjY8L3JlZi10eXBlPjxkYXRlcz48
eWVhcj4yMDE3PC95ZWFyPjwvZGF0ZXM+PHJlYy1udW1iZXI+NzM3NzwvcmVjLW51bWJlcj48cHVi
bGlzaGVyPlJvdXRsZWRnZTwvcHVibGlzaGVyPjxsYXN0LXVwZGF0ZWQtZGF0ZSBmb3JtYXQ9InV0
YyI+MTUyMDAwMjE0NzwvbGFzdC11cGRhdGVkLWRhdGU+PC9yZWNvcmQ+PC9DaXRlPjxDaXRlPjxB
dXRob3I+SGF0YWtlbmFrYTwvQXV0aG9yPjxZZWFyPjIwMDQ8L1llYXI+PElEVGV4dD5Vbml2ZXJz
aXR5LUluZHVzdHJ5IFBhcnRuZXJzaGlwcyBpbiBNSVQsIENhbWJyaWRnZSwgYW5kIFRva3lvOiBT
dG9yeXRlbGxpbmcgQWNyb3NzIEJvdW5kYXJpZXM8L0lEVGV4dD48cmVjb3JkPjx1cmxzPjxyZWxh
dGVkLXVybHM+PHVybD5odHRwczovL2Jvb2tzLmdvb2dsZS5jby51ay9ib29rcz9pZD1HN21UQWdB
QVFCQUo8L3VybD48L3JlbGF0ZWQtdXJscz48L3VybHM+PGlzYm4+OTc4MTEzNTkzODY0MjwvaXNi
bj48dGl0bGVzPjx0aXRsZT5Vbml2ZXJzaXR5LUluZHVzdHJ5IFBhcnRuZXJzaGlwcyBpbiBNSVQs
IENhbWJyaWRnZSwgYW5kIFRva3lvOiBTdG9yeXRlbGxpbmcgQWNyb3NzIEJvdW5kYXJpZXM8L3Rp
dGxlPjwvdGl0bGVzPjxjb250cmlidXRvcnM+PGF1dGhvcnM+PGF1dGhvcj5IYXRha2VuYWthLCBT
LjwvYXV0aG9yPjwvYXV0aG9ycz48L2NvbnRyaWJ1dG9ycz48YWRkZWQtZGF0ZSBmb3JtYXQ9InV0
YyI+MTUzMjM2Mjk5MjwvYWRkZWQtZGF0ZT48cHViLWxvY2F0aW9uPk5ldyBZb3JrPC9wdWItbG9j
YXRpb24+PHJlZi10eXBlIG5hbWU9IkJvb2siPjY8L3JlZi10eXBlPjxkYXRlcz48eWVhcj4yMDA0
PC95ZWFyPjwvZGF0ZXM+PHJlYy1udW1iZXI+NzYyMTwvcmVjLW51bWJlcj48cHVibGlzaGVyPlRh
eWxvciAmYW1wOyBGcmFuY2lzPC9wdWJsaXNoZXI+PGxhc3QtdXBkYXRlZC1kYXRlIGZvcm1hdD0i
dXRjIj4xNTMyMzY4MDc3PC9sYXN0LXVwZGF0ZWQtZGF0ZT48L3JlY29yZD48L0NpdGU+PENpdGU+
PEF1dGhvcj5NY05pZTwvQXV0aG9yPjxZZWFyPjIwMTY8L1llYXI+PElEVGV4dD5JbXByb3Zpbmcg
dGhlIHB1YmxpYyB2YWx1ZSBvZiBzY2llbmNlOiBBIHR5cG9sb2d5IHRvIGluZm9ybSBkaXNjdXNz
aW9uLCBkZXNpZ24gYW5kIGltcGxlbWVudGF0aW9uIG9mIHJlc2VhcmNoPC9JRFRleHQ+PHJlY29y
ZD48dXJscz48cmVsYXRlZC11cmxzPjx1cmw+aHR0cHM6Ly93d3cuc2NvcHVzLmNvbS9pbndhcmQv
cmVjb3JkLnVyaT9laWQ9Mi1zMi4wLTg0OTU5NDMxOTI0JmFtcDtwYXJ0bmVySUQ9NDAmYW1wO21k
NT02ZTRmYzAxZDE5ZDFiNjFiMDkwODRlNmQ2YWEyNDRkYjwvdXJsPjwvcmVsYXRlZC11cmxzPjwv
dXJscz48d29yay10eXBlPkFydGljbGU8L3dvcmstdHlwZT48dGl0bGVzPjx0aXRsZT5JbXByb3Zp
bmcgdGhlIHB1YmxpYyB2YWx1ZSBvZiBzY2llbmNlOiBBIHR5cG9sb2d5IHRvIGluZm9ybSBkaXNj
dXNzaW9uLCBkZXNpZ24gYW5kIGltcGxlbWVudGF0aW9uIG9mIHJlc2VhcmNoPC90aXRsZT48c2Vj
b25kYXJ5LXRpdGxlPlJlc2VhcmNoIFBvbGljeTwvc2Vjb25kYXJ5LXRpdGxlPjwvdGl0bGVzPjxw
YWdlcz44ODQtODk1PC9wYWdlcz48bnVtYmVyPjQ8L251bWJlcj48Y29udHJpYnV0b3JzPjxhdXRo
b3JzPjxhdXRob3I+TWNOaWUsIEUuIEMuPC9hdXRob3I+PGF1dGhvcj5QYXJyaXMsIEEuPC9hdXRo
b3I+PGF1dGhvcj5TYXJld2l0eiwgRC48L2F1dGhvcj48L2F1dGhvcnM+PC9jb250cmlidXRvcnM+
PGFkZGVkLWRhdGUgZm9ybWF0PSJ1dGMiPjE0NzM3MDQ4Mzc8L2FkZGVkLWRhdGU+PHJlZi10eXBl
IG5hbWU9IkpvdXJuYWwgQXJ0aWNsZSI+MTc8L3JlZi10eXBlPjxkYXRlcz48eWVhcj4yMDE2PC95
ZWFyPjwvZGF0ZXM+PHJlYy1udW1iZXI+MzQ4NDwvcmVjLW51bWJlcj48bGFzdC11cGRhdGVkLWRh
dGUgZm9ybWF0PSJ1dGMiPjE0NzM3MDQ4Mzc8L2xhc3QtdXBkYXRlZC1kYXRlPjxlbGVjdHJvbmlj
LXJlc291cmNlLW51bT4xMC4xMDE2L2oucmVzcG9sLjIwMTYuMDEuMDA0PC9lbGVjdHJvbmljLXJl
c291cmNlLW51bT48dm9sdW1lPjQ1PC92b2x1bWU+PHJlbW90ZS1kYXRhYmFzZS1uYW1lPlNjb3B1
czwvcmVtb3RlLWRhdGFiYXNlLW5hbWU+PC9yZWNvcmQ+PC9DaXRlPjxDaXRlPjxBdXRob3I+Q2xh
cms8L0F1dGhvcj48WWVhcj4yMDE2PC9ZZWFyPjxJRFRleHQ+Qm91bmRhcnkgd29yayBmb3Igc3Vz
dGFpbmFibGUgZGV2ZWxvcG1lbnQ6IE5hdHVyYWwgcmVzb3VyY2UgbWFuYWdlbWVudCBhdCB0aGUg
Q29uc3VsdGF0aXZlIEdyb3VwIG9uIEludGVybmF0aW9uYWwgQWdyaWN1bHR1cmFsIFJlc2VhcmNo
IChDR0lBUik8L0lEVGV4dD48cmVjb3JkPjxrZXl3b3Jkcz48a2V5d29yZD5TY2llbmNlcyAoR2Vu
ZXJhbCk8L2tleXdvcmQ+PC9rZXl3b3Jkcz48aXNibj4wMDI3LTg0MjQ8L2lzYm4+PHRpdGxlcz48
dGl0bGU+Qm91bmRhcnkgd29yayBmb3Igc3VzdGFpbmFibGUgZGV2ZWxvcG1lbnQ6IE5hdHVyYWwg
cmVzb3VyY2UgbWFuYWdlbWVudCBhdCB0aGUgQ29uc3VsdGF0aXZlIEdyb3VwIG9uIEludGVybmF0
aW9uYWwgQWdyaWN1bHR1cmFsIFJlc2VhcmNoIChDR0lBUik8L3RpdGxlPjxzZWNvbmRhcnktdGl0
bGU+UHJvY2VlZGluZ3Mgb2YgdGhlIE5hdGlvbmFsIEFjYWRlbXkgb2YgU2NpZW5jZXM8L3NlY29u
ZGFyeS10aXRsZT48L3RpdGxlcz48cGFnZXM+NDYxNTwvcGFnZXM+PG51bWJlcj4xNzwvbnVtYmVy
Pjxjb250cmlidXRvcnM+PGF1dGhvcnM+PGF1dGhvcj5DbGFyaywgVy4gQy48L2F1dGhvcj48YXV0
aG9yPlRvbWljaCwgVC4gUC48L2F1dGhvcj48YXV0aG9yPnZhbiBOb29yZHdpamssIE0uPC9hdXRo
b3I+PGF1dGhvcj5HdXN0b24sIEQuPC9hdXRob3I+PGF1dGhvcj5DYXRhY3V0YW4sIEQuPC9hdXRo
b3I+PGF1dGhvcj5EaWNrc29uLCBOLiBNLjwvYXV0aG9yPjxhdXRob3I+TWNuaWUsIEUuPC9hdXRo
b3I+PC9hdXRob3JzPjwvY29udHJpYnV0b3JzPjxhZGRlZC1kYXRlIGZvcm1hdD0idXRjIj4xNTMy
NDM3OTk4PC9hZGRlZC1kYXRlPjxyZWYtdHlwZSBuYW1lPSJKb3VybmFsIEFydGljbGUiPjE3PC9y
ZWYtdHlwZT48ZGF0ZXM+PHllYXI+MjAxNjwveWVhcj48L2RhdGVzPjxyZWMtbnVtYmVyPjc2MjQ8
L3JlYy1udW1iZXI+PGxhc3QtdXBkYXRlZC1kYXRlIGZvcm1hdD0idXRjIj4xNTMyNDM4MjU4PC9s
YXN0LXVwZGF0ZWQtZGF0ZT48ZWxlY3Ryb25pYy1yZXNvdXJjZS1udW0+MTAuMTA3My9wbmFzLjA5
MDAyMzExMDg8L2VsZWN0cm9uaWMtcmVzb3VyY2UtbnVtPjx2b2x1bWU+MTEzPC92b2x1bWU+PC9y
ZWNvcmQ+PC9DaXRlPjxDaXRlIEV4Y2x1ZGVBdXRoPSIxIiBFeGNsdWRlWWVhcj0iMSI+PEF1dGhv
cj5CYWNldmljPC9BdXRob3I+PFllYXI+MjAxNzwvWWVhcj48SURUZXh0PkJleW9uZCB0aGUgVGhp
cmQgTWlzc2lvbjogVG93YXJkIGFuIEFjdG9yLUJhc2VkIEFjY291bnQgb2YgVW5pdmVyc2l0aWVz
JmFwb3M7IFJlbGF0aW9uc2hpcCB3aXRoIFNvY2lldHk8L0lEVGV4dD48cmVjb3JkPjxrZXl3b3Jk
cz48a2V5d29yZD5OZW9saWJlcmFsaXNtPC9rZXl3b3JkPjxrZXl3b3JkPk5lby1saWJlcmFsaXNt
PC9rZXl3b3JkPjxrZXl3b3JkPkxpYmVyYWxpc208L2tleXdvcmQ+PC9rZXl3b3Jkcz48dGl0bGVz
Pjx0aXRsZT5CZXlvbmQgdGhlIFRoaXJkIE1pc3Npb246IFRvd2FyZCBhbiBBY3Rvci1CYXNlZCBB
Y2NvdW50IG9mIFVuaXZlcnNpdGllcyZhcG9zOyBSZWxhdGlvbnNoaXAgd2l0aCBTb2NpZXR5PC90
aXRsZT48c2Vjb25kYXJ5LXRpdGxlPlVuaXZlcnNpdGllcyBpbiB0aGXCoCBuZW9saWJlcmFsIMKg
ZXJhIDogYWNhZGVtaWMgY3VsdHVyZXMgYW5kIGNyaXRpY2FsIHBlcnNwZWN0aXZlczwvc2Vjb25k
YXJ5LXRpdGxlPjwvdGl0bGVzPjxjb250cmlidXRvcnM+PGF1dGhvcnM+PGF1dGhvcj5CYWNldmlj
LCBKYW5hPC9hdXRob3I+PC9hdXRob3JzPjwvY29udHJpYnV0b3JzPjxhZGRlZC1kYXRlIGZvcm1h
dD0idXRjIj4xNTQxNTE0NDA4PC9hZGRlZC1kYXRlPjxwdWItbG9jYXRpb24+TG9uZG9uPC9wdWIt
bG9jYXRpb24+PHJlZi10eXBlIG5hbWU9IkJvb2sgU2VjdGlvbiI+NTwvcmVmLXR5cGU+PGRhdGVz
Pjx5ZWFyPjIwMTc8L3llYXI+PC9kYXRlcz48cmVjLW51bWJlcj43Njc2PC9yZWMtbnVtYmVyPjxw
dWJsaXNoZXI+UGFsZ3JhdmUgTWFjbWlsbGFuPC9wdWJsaXNoZXI+PGxhc3QtdXBkYXRlZC1kYXRl
IGZvcm1hdD0idXRjIj4xNTQxNTE0NTI3PC9sYXN0LXVwZGF0ZWQtZGF0ZT48Y29udHJpYnV0b3Jz
PjxzZWNvbmRhcnktYXV0aG9ycz48YXV0aG9yPkVyZ3XMiGwsIEhha2FuPC9hdXRob3I+PGF1dGhv
cj5Db3PMp2FyLCBTaW10ZW48L2F1dGhvcj48L3NlY29uZGFyeS1hdXRob3JzPjwvY29udHJpYnV0
b3JzPjwvcmVjb3JkPjwvQ2l0ZT48Q2l0ZSBFeGNsdWRlQXV0aD0iMSIgRXhjbHVkZVllYXI9IjEi
PjxBdXRob3I+QmFjZXZpYzwvQXV0aG9yPjxZZWFyPjIwMTg8L1llYXI+PElEVGV4dD5XaXRoIG9y
IHdpdGhvdXQgVT8gQXNzZW1ibGFnZSB0aGVvcnkgYW5kIChkZSl0ZXJyaXRvcmlhbGlzaW5nIHRo
ZSB1bml2ZXJzaXR5PC9JRFRleHQ+PHJlY29yZD48a2V5d29yZHM+PGtleXdvcmQ+QXJ0aWNsZTwv
a2V5d29yZD48a2V5d29yZD5Vbml2ZXJzaXRpZXM8L2tleXdvcmQ+PGtleXdvcmQ+QXNzZW1ibGFn
ZSBUaGVvcnk8L2tleXdvcmQ+PGtleXdvcmQ+VW5idW5kbGluZzwva2V5d29yZD48a2V5d29yZD5U
ZXJyaXRvcmlhbGlzYXRpb248L2tleXdvcmQ+PGtleXdvcmQ+U29jaWFsIE1lZGlhPC9rZXl3b3Jk
PjxrZXl3b3JkPkFjYWRlbWljIEZyZWVkb208L2tleXdvcmQ+PC9rZXl3b3Jkcz48aXNibj4xNDc2
LTc3MjQ8L2lzYm4+PHRpdGxlcz48dGl0bGU+V2l0aCBvciB3aXRob3V0IFU/IEFzc2VtYmxhZ2Ug
dGhlb3J5IGFuZCAoZGUpdGVycml0b3JpYWxpc2luZyB0aGUgdW5pdmVyc2l0eTwvdGl0bGU+PHNl
Y29uZGFyeS10aXRsZT5HbG9iYWxpc2F0aW9uLCBTb2NpZXRpZXMgYW5kIEVkdWNhdGlvbjwvc2Vj
b25kYXJ5LXRpdGxlPjwvdGl0bGVzPjxwYWdlcz4xLTE0PC9wYWdlcz48Y29udHJpYnV0b3JzPjxh
dXRob3JzPjxhdXRob3I+QmFjZXZpYywgSmFuYTwvYXV0aG9yPjwvYXV0aG9ycz48L2NvbnRyaWJ1
dG9ycz48YWRkZWQtZGF0ZSBmb3JtYXQ9InV0YyI+MTU0MTUxNDA4MDwvYWRkZWQtZGF0ZT48cmVm
LXR5cGUgbmFtZT0iSm91cm5hbCBBcnRpY2xlIj4xNzwvcmVmLXR5cGU+PGRhdGVzPjx5ZWFyPjIw
MTg8L3llYXI+PC9kYXRlcz48cmVjLW51bWJlcj43Njc1PC9yZWMtbnVtYmVyPjxwdWJsaXNoZXI+
Um91dGxlZGdlPC9wdWJsaXNoZXI+PGxhc3QtdXBkYXRlZC1kYXRlIGZvcm1hdD0idXRjIj4xNTQx
NTE0MDgwPC9sYXN0LXVwZGF0ZWQtZGF0ZT48ZWxlY3Ryb25pYy1yZXNvdXJjZS1udW0+MTAuMTA4
MC8xNDc2NzcyNC4yMDE4LjE0OTgzMjM8L2VsZWN0cm9uaWMtcmVzb3VyY2UtbnVtPjwvcmVjb3Jk
PjwvQ2l0ZT48Q2l0ZT48QXV0aG9yPlppbWFuPC9BdXRob3I+PFllYXI+MTk5MTwvWWVhcj48SURU
ZXh0PkFjYWRlbWljIFNjaWVuY2UgYXMgYSBTeXN0ZW0gb2YgTWFya2V0czwvSURUZXh0PjxyZWNv
cmQ+PGlzYm4+MDk1MS01MjI0PC9pc2JuPjx0aXRsZXM+PHRpdGxlPkFjYWRlbWljIFNjaWVuY2Ug
YXMgYSBTeXN0ZW0gb2YgTWFya2V0czwvdGl0bGU+PHNlY29uZGFyeS10aXRsZT5IaWdoZXIgRWR1
Y2F0aW9uIFF1YXJ0ZXJseTwvc2Vjb25kYXJ5LXRpdGxlPjwvdGl0bGVzPjxwYWdlcz40MS02MTwv
cGFnZXM+PG51bWJlcj4xPC9udW1iZXI+PGNvbnRyaWJ1dG9ycz48YXV0aG9ycz48YXV0aG9yPlpp
bWFuLCBKLiBNLjwvYXV0aG9yPjwvYXV0aG9ycz48L2NvbnRyaWJ1dG9ycz48YWRkZWQtZGF0ZSBm
b3JtYXQ9InV0YyI+MTUyOTA4Mjc4NjwvYWRkZWQtZGF0ZT48cHViLWxvY2F0aW9uPk94Zm9yZCwg
VUs8L3B1Yi1sb2NhdGlvbj48cmVmLXR5cGUgbmFtZT0iSm91cm5hbCBBcnRpY2xlIj4xNzwvcmVm
LXR5cGU+PGRhdGVzPjx5ZWFyPjE5OTE8L3llYXI+PC9kYXRlcz48cmVjLW51bWJlcj43NTU2PC9y
ZWMtbnVtYmVyPjxsYXN0LXVwZGF0ZWQtZGF0ZSBmb3JtYXQ9InV0YyI+MTUyOTA4Mjg0ODwvbGFz
dC11cGRhdGVkLWRhdGU+PGVsZWN0cm9uaWMtcmVzb3VyY2UtbnVtPjEwLjExMTEvai4xNDY4LTIy
NzMuMTk5MS50YjAxNTU1Lng8L2VsZWN0cm9uaWMtcmVzb3VyY2UtbnVtPjx2b2x1bWU+NDU8L3Zv
bHVtZT48L3JlY29yZD48L0NpdGU+PENpdGU+PEF1dGhvcj5WYWtrdXJpPC9BdXRob3I+PFllYXI+
MjAwNDwvWWVhcj48SURUZXh0Pkluc3RpdHV0aW9uYWwgQ2hhbmdlIG9mIFVuaXZlcnNpdGllcyBh
cyBhIFByb2JsZW0gb2YgRXZvbHZpbmcgQm91bmRhcmllczwvSURUZXh0PjxyZWNvcmQ+PGlzYm4+
MDk1Mi04NzMzPC9pc2JuPjx0aXRsZXM+PHRpdGxlPkluc3RpdHV0aW9uYWwgQ2hhbmdlIG9mIFVu
aXZlcnNpdGllcyBhcyBhIFByb2JsZW0gb2YgRXZvbHZpbmcgQm91bmRhcmllczwvdGl0bGU+PHNl
Y29uZGFyeS10aXRsZT5IaWdoZXIgZWR1Y2F0aW9uIHBvbGljeS48L3NlY29uZGFyeS10aXRsZT48
L3RpdGxlcz48cGFnZXM+Mjg3LTMwOTwvcGFnZXM+PG51bWJlcj4zPC9udW1iZXI+PGNvbnRyaWJ1
dG9ycz48YXV0aG9ycz48YXV0aG9yPlZha2t1cmksIEphcm1vPC9hdXRob3I+PC9hdXRob3JzPjwv
Y29udHJpYnV0b3JzPjxhZGRlZC1kYXRlIGZvcm1hdD0idXRjIj4xNTQ4NjgzMjgyPC9hZGRlZC1k
YXRlPjxwdWItbG9jYXRpb24+T3hmb3JkIDs8L3B1Yi1sb2NhdGlvbj48cmVmLXR5cGUgbmFtZT0i
Sm91cm5hbCBBcnRpY2xlIj4xNzwvcmVmLXR5cGU+PGRhdGVzPjx5ZWFyPjIwMDQ8L3llYXI+PC9k
YXRlcz48cmVjLW51bWJlcj43Njk5PC9yZWMtbnVtYmVyPjxsYXN0LXVwZGF0ZWQtZGF0ZSBmb3Jt
YXQ9InV0YyI+MTU0ODY4MzI4MjwvbGFzdC11cGRhdGVkLWRhdGU+PGVsZWN0cm9uaWMtcmVzb3Vy
Y2UtbnVtPjEwLjEwNTcvcGFsZ3JhdmUuaGVwLjgzMDAwNTY8L2VsZWN0cm9uaWMtcmVzb3VyY2Ut
bnVtPjx2b2x1bWU+MTc8L3ZvbHVtZT48L3JlY29yZD48L0NpdGU+PENpdGU+PEF1dGhvcj5XaGl0
bGV5PC9BdXRob3I+PFllYXI+MjAwMDwvWWVhcj48SURUZXh0PlRoZSBpbnRlbGxlY3R1YWwgYW5k
IHNvY2lhbCBvcmdhbml6YXRpb24gb2YgdGhlIHNjaWVuY2VzPC9JRFRleHQ+PHJlY29yZD48a2V5
d29yZHM+PGtleXdvcmQ+U2NpZW5jZSAtLSBQaGlsb3NvcGh5PC9rZXl3b3JkPjxrZXl3b3JkPlNj
aWVuY2UgLS0gUGhpbG9zb3BoeTwva2V5d29yZD48a2V5d29yZD5TY2llbmNlIC0tIFNvY2lhbCBh
c3BlY3RzPC9rZXl3b3JkPjxrZXl3b3JkPlNjaWVuY2UgLS0gU29jaWFsIGFzcGVjdHM8L2tleXdv
cmQ+PGtleXdvcmQ+U2NpZW5jZSBhbmQgc29jaWV0eTwva2V5d29yZD48a2V5d29yZD5Tb2Npb2xv
Z3kgb2Ygc2NpZW5jZTwva2V5d29yZD48a2V5d29yZD5Ob3JtYWwgc2NpZW5jZTwva2V5d29yZD48
a2V5d29yZD5QaGlsb3NvcGh5IG9mIHNjaWVuY2U8L2tleXdvcmQ+PC9rZXl3b3Jkcz48dGl0bGVz
Pjx0aXRsZT5UaGUgaW50ZWxsZWN0dWFsIGFuZCBzb2NpYWwgb3JnYW5pemF0aW9uIG9mIHRoZSBz
Y2llbmNlczwvdGl0bGU+PC90aXRsZXM+PGNvbnRyaWJ1dG9ycz48YXV0aG9ycz48YXV0aG9yPldo
aXRsZXksIFJpY2hhcmQ8L2F1dGhvcj48L2F1dGhvcnM+PC9jb250cmlidXRvcnM+PGVkaXRpb24+
Mm5kPC9lZGl0aW9uPjxhZGRlZC1kYXRlIGZvcm1hdD0idXRjIj4xNDg1MjAyOTYxPC9hZGRlZC1k
YXRlPjxwdWItbG9jYXRpb24+T3hmb3JkPC9wdWItbG9jYXRpb24+PHJlZi10eXBlIG5hbWU9IkJv
b2siPjY8L3JlZi10eXBlPjxkYXRlcz48eWVhcj4yMDAwPC95ZWFyPjwvZGF0ZXM+PHJlYy1udW1i
ZXI+NjQ5MTwvcmVjLW51bWJlcj48cHVibGlzaGVyPk94Zm9yZCBVbml2ZXJzaXR5IFByZXNzPC9w
dWJsaXNoZXI+PGxhc3QtdXBkYXRlZC1kYXRlIGZvcm1hdD0idXRjIj4xNTQ4Njg0OTY2PC9sYXN0
LXVwZGF0ZWQtZGF0ZT48L3JlY29yZD48L0NpdGU+PENpdGU+PEF1dGhvcj5TYXRhw7hlbjwvQXV0
aG9yPjxZZWFyPjIwMTg8L1llYXI+PElEVGV4dD5UcmFuc2Zvcm1pbmcgdGhlIOKAnCBUaGlyZCBN
aXNzaW9u4oCdIGluIE5vcndlZ2lhbiBIaWdoZXIgRWR1Y2F0aW9uIEluc3RpdHV0aW9uczogQSBC
b3VuZGFyeSBPYmplY3QgVGhlb3J5IEFwcHJvYWNoPC9JRFRleHQ+PHJlY29yZD48a2V5d29yZHM+
PGtleXdvcmQ+QXJ0aWNsZTwva2V5d29yZD48a2V5d29yZD5IaWdoZXIgRWR1Y2F0aW9uPC9rZXl3
b3JkPjxrZXl3b3JkPkJvdW5kYXJ5IE9iamVjdHM8L2tleXdvcmQ+PGtleXdvcmQ+VGhpcmQgTWlz
c2lvbjwva2V5d29yZD48a2V5d29yZD5TdHJhdGVnaWMgUGxhbm5pbmc8L2tleXdvcmQ+PC9rZXl3
b3Jkcz48aXNibj4wMDMxLTM4MzE8L2lzYm4+PHRpdGxlcz48dGl0bGU+VHJhbnNmb3JtaW5nIHRo
ZSDigJwgVGhpcmQgTWlzc2lvbuKAnSBpbiBOb3J3ZWdpYW4gSGlnaGVyIEVkdWNhdGlvbiBJbnN0
aXR1dGlvbnM6IEEgQm91bmRhcnkgT2JqZWN0IFRoZW9yeSBBcHByb2FjaDwvdGl0bGU+PHNlY29u
ZGFyeS10aXRsZT5TY2FuZGluYXZpYW4gSm91cm5hbCBvZiBFZHVjYXRpb25hbCBSZXNlYXJjaDwv
c2Vjb25kYXJ5LXRpdGxlPjwvdGl0bGVzPjxwYWdlcz41Mi02NzwvcGFnZXM+PG51bWJlcj4xPC9u
dW1iZXI+PGNvbnRyaWJ1dG9ycz48YXV0aG9ycz48YXV0aG9yPlNhdGHDuGVuLCBIb2duZSBMZXLD
uHk8L2F1dGhvcj48L2F1dGhvcnM+PC9jb250cmlidXRvcnM+PGFkZGVkLWRhdGUgZm9ybWF0PSJ1
dGMiPjE1NDg5NjQ1Nzc8L2FkZGVkLWRhdGU+PHJlZi10eXBlIG5hbWU9IkpvdXJuYWwgQXJ0aWNs
ZSI+MTc8L3JlZi10eXBlPjxkYXRlcz48eWVhcj4yMDE4PC95ZWFyPjwvZGF0ZXM+PHJlYy1udW1i
ZXI+NzcwOTwvcmVjLW51bWJlcj48cHVibGlzaGVyPlJvdXRsZWRnZTwvcHVibGlzaGVyPjxsYXN0
LXVwZGF0ZWQtZGF0ZSBmb3JtYXQ9InV0YyI+MTU0ODk2NDU3NzwvbGFzdC11cGRhdGVkLWRhdGU+
PGVsZWN0cm9uaWMtcmVzb3VyY2UtbnVtPjEwLjEwODAvMDAzMTM4MzEuMjAxNi4xMjEyMjUzPC9l
bGVjdHJvbmljLXJlc291cmNlLW51bT48dm9sdW1lPjYyPC92b2x1bWU+PC9yZWNvcmQ+PC9DaXRl
PjxDaXRlPjxBdXRob3I+U2xhdWdodGVyPC9BdXRob3I+PFllYXI+MjAwNDwvWWVhcj48SURUZXh0
PkJvdW5kYXJpZXMgYW5kIFF1YW5kYXJpZXM6IEhvdyBQcm9mZXNzb3JzIE5lZ290aWF0ZSBNYXJr
ZXQgUmVsYXRpb25zPC9JRFRleHQ+PHJlY29yZD48a2V5d29yZHM+PGtleXdvcmQ+U2Nob29sIEJ1
c2luZXNzIFJlbGF0aW9uc2hpcDwva2V5d29yZD48a2V5d29yZD5QYXJ0bmVyc2hpcHMgaW4gRWR1
Y2F0aW9uPC9rZXl3b3JkPjxrZXl3b3JkPkNvbGxlZ2UgRmFjdWx0eTwva2V5d29yZD48a2V5d29y
ZD5BZG1pbmlzdHJhdG9yczwva2V5d29yZD48a2V5d29yZD5Db2xsZWdlIEFkbWluaXN0cmF0aW9u
PC9rZXl3b3JkPjxrZXl3b3JkPkRhdGFiYXNlczwva2V5d29yZD48a2V5d29yZD5JbnRlcnZpZXdz
PC9rZXl3b3JkPjxrZXl3b3JkPkVuZ2luZWVyaW5nPC9rZXl3b3JkPjxrZXl3b3JkPlNjaWVuY2Vz
PC9rZXl3b3JkPjxrZXl3b3JkPkhpZ2hlciBFZHVjYXRpb248L2tleXdvcmQ+PC9rZXl3b3Jkcz48
aXNibj4wMTYyLTU3NDg8L2lzYm4+PHRpdGxlcz48dGl0bGU+Qm91bmRhcmllcyBhbmQgUXVhbmRh
cmllczogSG93IFByb2Zlc3NvcnMgTmVnb3RpYXRlIE1hcmtldCBSZWxhdGlvbnM8L3RpdGxlPjxz
ZWNvbmRhcnktdGl0bGU+UmV2aWV3IG9mIEhpZ2hlciBFZHVjYXRpb248L3NlY29uZGFyeS10aXRs
ZT48L3RpdGxlcz48cGFnZXM+MTI5LTE2NTwvcGFnZXM+PG51bWJlcj4xPC9udW1iZXI+PGNvbnRy
aWJ1dG9ycz48YXV0aG9ycz48YXV0aG9yPlNsYXVnaHRlciwgU2hlaWxhPC9hdXRob3I+PGF1dGhv
cj5BcmNoZXJkLCBDeW50aGlhIEpvYW48L2F1dGhvcj48YXV0aG9yPkNhbXBiZWxsLCBUZXJlc2Eg
SS4gRC48L2F1dGhvcj48L2F1dGhvcnM+PC9jb250cmlidXRvcnM+PGFkZGVkLWRhdGUgZm9ybWF0
PSJ1dGMiPjE1NDk5ODk5MDc8L2FkZGVkLWRhdGU+PHJlZi10eXBlIG5hbWU9IkpvdXJuYWwgQXJ0
aWNsZSI+MTc8L3JlZi10eXBlPjxkYXRlcz48eWVhcj4yMDA0PC95ZWFyPjwvZGF0ZXM+PHJlYy1u
dW1iZXI+NzczNTwvcmVjLW51bWJlcj48bGFzdC11cGRhdGVkLWRhdGUgZm9ybWF0PSJ1dGMiPjE1
NDk5ODk5MDc8L2xhc3QtdXBkYXRlZC1kYXRlPjxlbGVjdHJvbmljLXJlc291cmNlLW51bT4xMC4x
MzUzL3JoZS4yMDA0LjAwMzI8L2VsZWN0cm9uaWMtcmVzb3VyY2UtbnVtPjx2b2x1bWU+Mjg8L3Zv
bHVtZT48L3JlY29yZD48L0NpdGU+PENpdGU+PEF1dGhvcj5OaWNrb2xhaTwvQXV0aG9yPjxZZWFy
PjIwMTI8L1llYXI+PElEVGV4dD5DYW4gYSBLbm93bGVkZ2UgU2FuY3R1YXJ5IGFsc28gYmUgYW4g
RWNvbm9taWMgRW5naW5lPyBUaGUgTWFya2V0aXphdGlvbiBvZiBIaWdoZXIgRWR1Y2F0aW9uIGFz
IEluc3RpdHV0aW9uYWwgQm91bmRhcnkgV29yazwvSURUZXh0PjxyZWNvcmQ+PGtleXdvcmRzPjxr
ZXl3b3JkPkhpZ2hlciBFZHVjYXRpb248L2tleXdvcmQ+PGtleXdvcmQ+S25vd2xlZGdlPC9rZXl3
b3JkPjxrZXl3b3JkPkNvbGxlZ2UgU3R1ZGVudHM8L2tleXdvcmQ+PGtleXdvcmQ+TGVhcm5pbmc8
L2tleXdvcmQ+PGtleXdvcmQ+U3R1ZGVudHM8L2tleXdvcmQ+PGtleXdvcmQ+TWFya2V0czwva2V5
d29yZD48a2V5d29yZD5WYWx1ZXM8L2tleXdvcmQ+PGtleXdvcmQ+T3JnYW5pemF0aW9uYWwgU3Ry
dWN0dXJlPC9rZXl3b3JkPjxrZXl3b3JkPkN1bHR1cmFsIEdyb3Vwczwva2V5d29yZD48a2V5d29y
ZD5Db21wbGV4IE9yZ2FuaXphdGlvbjwva2V5d29yZD48a2V5d29yZD5CdXJlYXVjcmF0aWMgU3Ry
dWN0dXJlL09yZ2FuaXphdGlvbmFsIFNvY2lvbG9neTwva2V5d29yZD48a2V5d29yZD5BcnRpY2xl
PC9rZXl3b3JkPjwva2V5d29yZHM+PGlzYm4+MTc1MS05MDIwPC9pc2JuPjx0aXRsZXM+PHRpdGxl
PkNhbiBhIEtub3dsZWRnZSBTYW5jdHVhcnkgYWxzbyBiZSBhbiBFY29ub21pYyBFbmdpbmU/IFRo
ZSBNYXJrZXRpemF0aW9uIG9mIEhpZ2hlciBFZHVjYXRpb24gYXMgSW5zdGl0dXRpb25hbCBCb3Vu
ZGFyeSBXb3JrPC90aXRsZT48L3RpdGxlcz48cGFnZXM+MjA1LTIxODwvcGFnZXM+PGNvbnRyaWJ1
dG9ycz48YXV0aG9ycz48YXV0aG9yPk5pY2tvbGFpLCBEYW5pZWwgSC48L2F1dGhvcj48YXV0aG9y
PkhvZmZtYW4sIFN0ZXZlIEcuPC9hdXRob3I+PGF1dGhvcj5UcmF1dG5lciwgTWFyeSBOZWxsPC9h
dXRob3I+PC9hdXRob3JzPjwvY29udHJpYnV0b3JzPjxhZGRlZC1kYXRlIGZvcm1hdD0idXRjIj4x
NTIzMzc0MDc0PC9hZGRlZC1kYXRlPjxwdWItbG9jYXRpb24+T3hmb3JkLCBVSzwvcHViLWxvY2F0
aW9uPjxyZWYtdHlwZSBuYW1lPSJHZW5lcmljIj4xMzwvcmVmLXR5cGU+PGRhdGVzPjx5ZWFyPjIw
MTI8L3llYXI+PC9kYXRlcz48cmVjLW51bWJlcj43NDcwPC9yZWMtbnVtYmVyPjxsYXN0LXVwZGF0
ZWQtZGF0ZSBmb3JtYXQ9InV0YyI+MTUyMzM3NDA3NDwvbGFzdC11cGRhdGVkLWRhdGU+PGVsZWN0
cm9uaWMtcmVzb3VyY2UtbnVtPjEwLjExMTEvai4xNzUxLTkwMjAuMjAxMS4wMDQ0OS54PC9lbGVj
dHJvbmljLXJlc291cmNlLW51bT48dm9sdW1lPjY8L3ZvbHVtZT48L3JlY29yZD48L0NpdGU+PENp
dGU+PEF1dGhvcj5QYXdsZXk8L0F1dGhvcj48WWVhcj4yMDEyPC9ZZWFyPjxJRFRleHQ+RW5naW5l
ZXJpbmcgZmFjdWx0eSBkcmF3aW5nIHRoZSBsaW5lOiBhIHRheG9ub215IG9mIGJvdW5kYXJ5IHdv
cmsgaW4gYWNhZGVtaWMgZW5naW5lZXJpbmc8L0lEVGV4dD48cmVjb3JkPjxrZXl3b3Jkcz48a2V5
d29yZD5Cb3VuZGFyeSBUYXhvbm9teTwva2V5d29yZD48a2V5d29yZD5Cb3VuZGFyeSBXb3JrPC9r
ZXl3b3JkPjxrZXl3b3JkPkJvdW5kYXJ5IE1hcmtlcnM8L2tleXdvcmQ+PGtleXdvcmQ+RW5naW5l
ZXJpbmcgRmFjdWx0eSBNZW1iZXJzPC9rZXl3b3JkPjwva2V5d29yZHM+PGlzYm4+MTkzNy04NjI5
PC9pc2JuPjx0aXRsZXM+PHRpdGxlPkVuZ2luZWVyaW5nIGZhY3VsdHkgZHJhd2luZyB0aGUgbGlu
ZTogYSB0YXhvbm9teSBvZiBib3VuZGFyeSB3b3JrIGluIGFjYWRlbWljIGVuZ2luZWVyaW5nPC90
aXRsZT48c2Vjb25kYXJ5LXRpdGxlPkVuZ2luZWVyaW5nIFN0dWRpZXM8L3NlY29uZGFyeS10aXRs
ZT48L3RpdGxlcz48cGFnZXM+MTQ1LTE2OTwvcGFnZXM+PG51bWJlcj4yPC9udW1iZXI+PGNvbnRy
aWJ1dG9ycz48YXV0aG9ycz48YXV0aG9yPlBhd2xleSwgQWxpY2UgTC48L2F1dGhvcj48L2F1dGhv
cnM+PC9jb250cmlidXRvcnM+PGFkZGVkLWRhdGUgZm9ybWF0PSJ1dGMiPjE1MjMzNzQzNDM8L2Fk
ZGVkLWRhdGU+PHJlZi10eXBlIG5hbWU9IkpvdXJuYWwgQXJ0aWNsZSI+MTc8L3JlZi10eXBlPjxk
YXRlcz48eWVhcj4yMDEyPC95ZWFyPjwvZGF0ZXM+PHJlYy1udW1iZXI+NzQ3MTwvcmVjLW51bWJl
cj48cHVibGlzaGVyPlRheWxvciAmYW1wOyBGcmFuY2lzPC9wdWJsaXNoZXI+PGxhc3QtdXBkYXRl
ZC1kYXRlIGZvcm1hdD0idXRjIj4xNTIzMzc0MzQzPC9sYXN0LXVwZGF0ZWQtZGF0ZT48ZWxlY3Ry
b25pYy1yZXNvdXJjZS1udW0+MTAuMTA4MC8xOTM3ODYyOS4yMDEyLjY4NzAwMDwvZWxlY3Ryb25p
Yy1yZXNvdXJjZS1udW0+PHZvbHVtZT40PC92b2x1bWU+PC9yZWNvcmQ+PC9DaXRlPjwvRW5kTm90
ZT5=
</w:fldData>
        </w:fldChar>
      </w:r>
      <w:r>
        <w:instrText xml:space="preserve"> ADDIN EN.CITE </w:instrText>
      </w:r>
      <w:r>
        <w:fldChar w:fldCharType="begin">
          <w:fldData xml:space="preserve">PEVuZE5vdGU+PENpdGU+PEF1dGhvcj5XcmlnaHQ8L0F1dGhvcj48WWVhcj4yMDE2PC9ZZWFyPjxJ
RFRleHQ+VW5pdmVyc2l0aWVzIGluIGEga25vd2xlZGdlIGVjb25vbXkgb3IgZWNvbG9neT8gUG9s
aWN5LCBjb250ZXN0YXRpb24gYW5kIGFiamVjdGlvbjwvSURUZXh0PjxEaXNwbGF5VGV4dD4oZm9y
IGV4YW1wbGUsIEJhY2V2aWMsIDIwMTcsIDIwMTg7IEJhcm5ldHQsIDIwMTc7IEJlY2sgJmFtcDsg
WW91bmcsIDIwMDU7IEJlcm5zdGVpbiwgMjAwMDsgVy4gQy4gQ2xhcmsgZXQgYWwuLCAyMDE2OyBI
YXRha2VuYWthLCAyMDA0OyBLb3J5YWtpbmEsIFNhcnJpY28sICZhbXA7IFRlaXhlaXJhLCAyMDE1
OyBNYXkgJmFtcDsgUGVycnksIDIwMTNiLCAyMDE3OyBNY05pZSwgUGFycmlzLCAmYW1wOyBTYXJl
d2l0eiwgMjAxNjsgTmlja29sYWksIEhvZmZtYW4sICZhbXA7IFRyYXV0bmVyLCAyMDEyOyBQYXds
ZXksIDIwMTI7IFByaW1lcmkgJmFtcDsgUmVhbGUsIDIwMTU7IFNhdGHDuGVuLCAyMDE4OyBTbGF1
Z2h0ZXIsIEFyY2hlcmQsICZhbXA7IENhbXBiZWxsLCAyMDA0OyBWYWtrdXJpLCAyMDA0OyBXaGl0
bGV5LCAyMDAwOyBXcmlnaHQsIDIwMTY7IFppbWFuLCAxOTkxKTwvRGlzcGxheVRleHQ+PHJlY29y
ZD48a2V5d29yZHM+PGtleXdvcmQ+QXJ0aWNsZTwva2V5d29yZD48a2V5d29yZD5OdGhyb3BvbG9n
eSBPZiBQb2xpY3k8L2tleXdvcmQ+PGtleXdvcmQ+VW5pdmVyc2l0eSBSZWZvcm08L2tleXdvcmQ+
PGtleXdvcmQ+R2xvYmFsIEtub3dsZWRnZSBFY29ub215PC9rZXl3b3JkPjxrZXl3b3JkPlN1YnN0
YW50aXZlIEVjb2xvZ3k8L2tleXdvcmQ+PGtleXdvcmQ+RnJlZWRvbTwva2V5d29yZD48a2V5d29y
ZD5Db250ZXN0YXRpb248L2tleXdvcmQ+PGtleXdvcmQ+TGVhZGVyc2hpcDwva2V5d29yZD48L2tl
eXdvcmRzPjxpc2JuPjE5NDYtMDE3MTwvaXNibj48dGl0bGVzPjx0aXRsZT5Vbml2ZXJzaXRpZXMg
aW4gYSBrbm93bGVkZ2UgZWNvbm9teSBvciBlY29sb2d5PyBQb2xpY3ksIGNvbnRlc3RhdGlvbiBh
bmQgYWJqZWN0aW9uPC90aXRsZT48c2Vjb25kYXJ5LXRpdGxlPkNyaXRpY2FsIFBvbGljeSBTdHVk
aWVzPC9zZWNvbmRhcnktdGl0bGU+PC90aXRsZXM+PHBhZ2VzPjU5LTc4PC9wYWdlcz48bnVtYmVy
PjE8L251bWJlcj48Y29udHJpYnV0b3JzPjxhdXRob3JzPjxhdXRob3I+V3JpZ2h0LCBTdXNhbjwv
YXV0aG9yPjwvYXV0aG9ycz48L2NvbnRyaWJ1dG9ycz48YWRkZWQtZGF0ZSBmb3JtYXQ9InV0YyI+
MTUyMzE5MjA0ODwvYWRkZWQtZGF0ZT48cmVmLXR5cGUgbmFtZT0iSm91cm5hbCBBcnRpY2xlIj4x
NzwvcmVmLXR5cGU+PGRhdGVzPjx5ZWFyPjIwMTY8L3llYXI+PC9kYXRlcz48cmVjLW51bWJlcj43
NDYxPC9yZWMtbnVtYmVyPjxwdWJsaXNoZXI+Um91dGxlZGdlPC9wdWJsaXNoZXI+PGxhc3QtdXBk
YXRlZC1kYXRlIGZvcm1hdD0idXRjIj4xNTIzMTkyMDQ4PC9sYXN0LXVwZGF0ZWQtZGF0ZT48ZWxl
Y3Ryb25pYy1yZXNvdXJjZS1udW0+MTAuMTA4MC8xOTQ2MDE3MS4yMDE2LjExNDI0NTc8L2VsZWN0
cm9uaWMtcmVzb3VyY2UtbnVtPjx2b2x1bWU+MTA8L3ZvbHVtZT48L3JlY29yZD48L0NpdGU+PENp
dGU+PEF1dGhvcj5NYXk8L0F1dGhvcj48WWVhcj4yMDEzPC9ZZWFyPjxJRFRleHQ+VW5pdmVyc2l0
aWVzLCBSZWZsZXhpdml0eSBhbmQgQ3JpdGlxdWU6IFVuZWFzeSBQYXJhbGxlbHMgaW4gUHJhY3Rp
Y2U8L0lEVGV4dD48cmVjb3JkPjxrZXl3b3Jkcz48a2V5d29yZD5FZHVjYXRpb248L2tleXdvcmQ+
PC9rZXl3b3Jkcz48dGl0bGVzPjx0aXRsZT5Vbml2ZXJzaXRpZXMsIFJlZmxleGl2aXR5IGFuZCBD
cml0aXF1ZTogVW5lYXN5IFBhcmFsbGVscyBpbiBQcmFjdGljZTwvdGl0bGU+PHNlY29uZGFyeS10
aXRsZT5Qb2xpY3kgRnV0dXJlcyBpbiBFZHVjYXRpb248L3NlY29uZGFyeS10aXRsZT48L3RpdGxl
cz48cGFnZXM+NTA1LTUxNDwvcGFnZXM+PG51bWJlcj41PC9udW1iZXI+PGNvbnRyaWJ1dG9ycz48
YXV0aG9ycz48YXV0aG9yPk1heSwgVGltPC9hdXRob3I+PGF1dGhvcj5QZXJyeSwgQmV0aDwvYXV0
aG9yPjwvYXV0aG9ycz48L2NvbnRyaWJ1dG9ycz48YWRkZWQtZGF0ZSBmb3JtYXQ9InV0YyI+MTUz
MDg3MTAyNDwvYWRkZWQtZGF0ZT48cHViLWxvY2F0aW9uPkxvbmRvbiwgRW5nbGFuZDwvcHViLWxv
Y2F0aW9uPjxyZWYtdHlwZSBuYW1lPSJKb3VybmFsIEFydGljbGUiPjE3PC9yZWYtdHlwZT48ZGF0
ZXM+PHllYXI+MjAxMzwveWVhcj48L2RhdGVzPjxyZWMtbnVtYmVyPjc2MDA8L3JlYy1udW1iZXI+
PGxhc3QtdXBkYXRlZC1kYXRlIGZvcm1hdD0idXRjIj4xNTMwODcxMDI0PC9sYXN0LXVwZGF0ZWQt
ZGF0ZT48ZWxlY3Ryb25pYy1yZXNvdXJjZS1udW0+MTAuMjMwNC9wZmllLjIwMTMuMTEuNS41MDU8
L2VsZWN0cm9uaWMtcmVzb3VyY2UtbnVtPjx2b2x1bWU+MTE8L3ZvbHVtZT48L3JlY29yZD48L0Np
dGU+PENpdGU+PEF1dGhvcj5NYXk8L0F1dGhvcj48WWVhcj4yMDE3PC9ZZWFyPjxJRFRleHQ+S25v
d2xlZGdlIGZvciBqdXN0IHVyYmFuIHN1c3RhaW5hYmlsaXR5PC9JRFRleHQ+PHJlY29yZD48a2V5
d29yZHM+PGtleXdvcmQ+QXJ0aWNsZTwva2V5d29yZD48a2V5d29yZD5KdXN0aWNlPC9rZXl3b3Jk
PjxrZXl3b3JkPktub3dsZWRnZTwva2V5d29yZD48a2V5d29yZD5SZWZsZXhpdml0eTwva2V5d29y
ZD48a2V5d29yZD5JbnRlcm1lZGlhdGlvbjwva2V5d29yZD48a2V5d29yZD5UcmFuc2Zvcm1hdGlv
bjwva2V5d29yZD48L2tleXdvcmRzPjxpc2JuPjEzNTQtOTgzOTwvaXNibj48dGl0bGVzPjx0aXRs
ZT5Lbm93bGVkZ2UgZm9yIGp1c3QgdXJiYW4gc3VzdGFpbmFiaWxpdHk8L3RpdGxlPjxzZWNvbmRh
cnktdGl0bGU+TG9jYWwgRW52aXJvbm1lbnQ8L3NlY29uZGFyeS10aXRsZT48L3RpdGxlcz48cGFn
ZXM+MjMtMzU8L3BhZ2VzPjxudW1iZXI+c3VwMTwvbnVtYmVyPjxjb250cmlidXRvcnM+PGF1dGhv
cnM+PGF1dGhvcj5NYXksIFRpbTwvYXV0aG9yPjxhdXRob3I+UGVycnksIEJldGg8L2F1dGhvcj48
L2F1dGhvcnM+PC9jb250cmlidXRvcnM+PGFkZGVkLWRhdGUgZm9ybWF0PSJ1dGMiPjE1MzA4NzA4
OTg8L2FkZGVkLWRhdGU+PHJlZi10eXBlIG5hbWU9IkpvdXJuYWwgQXJ0aWNsZSI+MTc8L3JlZi10
eXBlPjxkYXRlcz48eWVhcj4yMDE3PC95ZWFyPjwvZGF0ZXM+PHJlYy1udW1iZXI+NzU5OTwvcmVj
LW51bWJlcj48cHVibGlzaGVyPlJvdXRsZWRnZTwvcHVibGlzaGVyPjxsYXN0LXVwZGF0ZWQtZGF0
ZSBmb3JtYXQ9InV0YyI+MTUzMDg3MDg5ODwvbGFzdC11cGRhdGVkLWRhdGU+PGVsZWN0cm9uaWMt
cmVzb3VyY2UtbnVtPjEwLjEwODAvMTM1NDk4MzkuMjAxNi4xMjMzNTI3PC9lbGVjdHJvbmljLXJl
c291cmNlLW51bT48dm9sdW1lPjIyPC92b2x1bWU+PC9yZWNvcmQ+PC9DaXRlPjxDaXRlPjxBdXRo
b3I+S29yeWFraW5hPC9BdXRob3I+PFllYXI+MjAxNTwvWWVhcj48SURUZXh0PlVuaXZlcnNpdGll
cyZhcG9zOyBUaGlyZCBNaXNzaW9uIEFjdGl2aXRpdGVzOiBDaGFsbGVuZ2VzIHRvIEV4dGVuZGlu
ZyBCb3VuZGFyaWVzPC9JRFRleHQ+PHJlY29yZD48aXNibj45NDYzMDAxNzg2PC9pc2JuPjx0aXRs
ZXM+PHRpdGxlPlVuaXZlcnNpdGllcyZhcG9zOyBUaGlyZCBNaXNzaW9uIEFjdGl2aXRpdGVzOiBD
aGFsbGVuZ2VzIHRvIEV4dGVuZGluZyBCb3VuZGFyaWVzPC90aXRsZT48c2Vjb25kYXJ5LXRpdGxl
PlRoZSBUcmFuc2Zvcm1hdGlvbiBvZiBVbml2ZXJzaXR5IEluc3RpdHV0aW9uYWwgYW5kIE9yZ2Fu
aXphdGlvbmFsIEJvdW5kYXJpZXM6IE9yZ2FuaXphdGlvbmFsIEJvdW5kYXJpZXM8L3NlY29uZGFy
eS10aXRsZT48L3RpdGxlcz48Y29udHJpYnV0b3JzPjxhdXRob3JzPjxhdXRob3I+S29yeWFraW5h
LCBUYXR5YW5hPC9hdXRob3I+PGF1dGhvcj5TYXJyaWNvLCBDbGF1ZGlhPC9hdXRob3I+PGF1dGhv
cj5UZWl4ZWlyYSwgUGVkcm88L2F1dGhvcj48L2F1dGhvcnM+PC9jb250cmlidXRvcnM+PGFkZGVk
LWRhdGUgZm9ybWF0PSJ1dGMiPjE1MjI0ODUyODY8L2FkZGVkLWRhdGU+PHB1Yi1sb2NhdGlvbj5S
b3R0ZXJkYW08L3B1Yi1sb2NhdGlvbj48cmVmLXR5cGUgbmFtZT0iQm9vayBTZWN0aW9uIj41PC9y
ZWYtdHlwZT48ZGF0ZXM+PHllYXI+MjAxNTwveWVhcj48L2RhdGVzPjxyZWMtbnVtYmVyPjc0Mzg8
L3JlYy1udW1iZXI+PHB1Ymxpc2hlcj5TZW5zZTwvcHVibGlzaGVyPjxsYXN0LXVwZGF0ZWQtZGF0
ZSBmb3JtYXQ9InV0YyI+MTUyMjQ4NTY1NDwvbGFzdC11cGRhdGVkLWRhdGU+PGNvbnRyaWJ1dG9y
cz48c2Vjb25kYXJ5LWF1dGhvcnM+PGF1dGhvcj5QcmltZXJpLCBFbWlsaWE8L2F1dGhvcj48YXV0
aG9yPlJlYWxlLCBFbWFudWVsYTwvYXV0aG9yPjwvc2Vjb25kYXJ5LWF1dGhvcnM+PC9jb250cmli
dXRvcnM+PC9yZWNvcmQ+PC9DaXRlPjxDaXRlPjxBdXRob3I+QmVjazwvQXV0aG9yPjxZZWFyPjIw
MDU8L1llYXI+PElEVGV4dD5UaGUgYXNzYXVsdCBvbiB0aGUgcHJvZmVzc2lvbnMgYW5kIHRoZSBy
ZXN0cnVjdHVyaW5nIG9mIGFjYWRlbWljIGFuZCBwcm9mZXNzaW9uYWwgaWRlbnRpdGllczogYSBC
ZXJuc3RlaW5pYW4gYW5hbHlzaXM8L0lEVGV4dD48cmVjb3JkPjx1cmxzPjxyZWxhdGVkLXVybHM+
PHVybD5odHRwOi8vZHguZG9pLm9yZy8xMC4xMDgwLzAxNDI1NjkwNDIwMDAyOTQxNjU8L3VybD48
L3JlbGF0ZWQtdXJscz48L3VybHM+PGlzYm4+MDE0Mi01NjkyPC9pc2JuPjx0aXRsZXM+PHRpdGxl
PlRoZSBhc3NhdWx0IG9uIHRoZSBwcm9mZXNzaW9ucyBhbmQgdGhlIHJlc3RydWN0dXJpbmcgb2Yg
YWNhZGVtaWMgYW5kIHByb2Zlc3Npb25hbCBpZGVudGl0aWVzOiBhIEJlcm5zdGVpbmlhbiBhbmFs
eXNpczwvdGl0bGU+PHNlY29uZGFyeS10aXRsZT5Ccml0aXNoIEpvdXJuYWwgb2YgU29jaW9sb2d5
IG9mIEVkdWNhdGlvbjwvc2Vjb25kYXJ5LXRpdGxlPjwvdGl0bGVzPjxwYWdlcz4xODMtMTk3PC9w
YWdlcz48dXJscz48cGRmLXVybHM+PHVybD5maWxlOi8vL0M6L1VzZXJzL2VsaWVsXzAwMC9Eb2N1
bWVudHMvQWNhZGVtaWMvUGhEL0JlY2sgJmFtcDsgWW91bmcgLSBCZXJuc3RlbiBhY2FkZW1pYyBw
cm9mZXNzaW9ucy5wZGY8L3VybD48L3BkZi11cmxzPjwvdXJscz48bnVtYmVyPjI8L251bWJlcj48
Y29udHJpYnV0b3JzPjxhdXRob3JzPjxhdXRob3I+QmVjaywgSm9objwvYXV0aG9yPjxhdXRob3I+
WW91bmcsIE1pY2hhZWwgRi4gRC48L2F1dGhvcj48L2F1dGhvcnM+PC9jb250cmlidXRvcnM+PGFk
ZGVkLWRhdGUgZm9ybWF0PSJ1dGMiPjE0NTI3MDQ0MjM8L2FkZGVkLWRhdGU+PHJlZi10eXBlIG5h
bWU9IkpvdXJuYWwgQXJ0aWNsZSI+MTc8L3JlZi10eXBlPjxkYXRlcz48eWVhcj4yMDA1PC95ZWFy
PjwvZGF0ZXM+PHJlYy1udW1iZXI+Mzc8L3JlYy1udW1iZXI+PGxhc3QtdXBkYXRlZC1kYXRlIGZv
cm1hdD0idXRjIj4xNDY5MjE1NDY4PC9sYXN0LXVwZGF0ZWQtZGF0ZT48ZWxlY3Ryb25pYy1yZXNv
dXJjZS1udW0+MTAuMTA4MC8wMTQyNTY5MDQyMDAwMjk0MTY1PC9lbGVjdHJvbmljLXJlc291cmNl
LW51bT48dm9sdW1lPjI2PC92b2x1bWU+PC9yZWNvcmQ+PC9DaXRlPjxDaXRlPjxBdXRob3I+QmVy
bnN0ZWluPC9BdXRob3I+PFllYXI+MjAwMDwvWWVhcj48SURUZXh0PlBlZGFnb2d5LCBzeW1ib2xp
YyBjb250cm9sLCBhbmQgaWRlbnRpdHk6IFRoZW9yeSwgcmVzZWFyY2gsIGNyaXRpcXVlPC9JRFRl
eHQ+PHJlY29yZD48aXNibj4wODQ3Njk1NzZYPC9pc2JuPjx0aXRsZXM+PHRpdGxlPlBlZGFnb2d5
LCBzeW1ib2xpYyBjb250cm9sLCBhbmQgaWRlbnRpdHk6IFRoZW9yeSwgcmVzZWFyY2gsIGNyaXRp
cXVlPC90aXRsZT48L3RpdGxlcz48bnVtYmVyPjQ8L251bWJlcj48Y29udHJpYnV0b3JzPjxhdXRo
b3JzPjxhdXRob3I+QmVybnN0ZWluLCBCYXNpbDwvYXV0aG9yPjwvYXV0aG9ycz48L2NvbnRyaWJ1
dG9ycz48ZWRpdGlvbj4ybmQ8L2VkaXRpb24+PGFkZGVkLWRhdGUgZm9ybWF0PSJ1dGMiPjE0NTI3
MDc4NTU8L2FkZGVkLWRhdGU+PHB1Yi1sb2NhdGlvbj5PeGZvcmQ8L3B1Yi1sb2NhdGlvbj48cmVm
LXR5cGUgbmFtZT0iQm9vayI+NjwvcmVmLXR5cGU+PGRhdGVzPjx5ZWFyPjIwMDA8L3llYXI+PC9k
YXRlcz48cmVjLW51bWJlcj4xODU8L3JlYy1udW1iZXI+PHB1Ymxpc2hlcj5Sb3dtYW4gJmFtcDsg
TGl0dGxlZmllbGQ8L3B1Ymxpc2hlcj48bGFzdC11cGRhdGVkLWRhdGUgZm9ybWF0PSJ1dGMiPjE0
Nzc3NjY4MDg8L2xhc3QtdXBkYXRlZC1kYXRlPjwvcmVjb3JkPjwvQ2l0ZT48Q2l0ZT48QXV0aG9y
PlByaW1lcmk8L0F1dGhvcj48WWVhcj4yMDE1PC9ZZWFyPjxJRFRleHQ+VGhlIFRyYW5zZm9ybWF0
aW9uIG9mIFVuaXZlcnNpdHkgSW5zdGl0dXRpb25hbCBhbmQgT3JnYW5pemF0aW9uYWwgQm91bmRh
cmllczogT3JnYW5pemF0aW9uYWwgQm91bmRhcmllczwvSURUZXh0PjxyZWNvcmQ+PHVybHM+PHJl
bGF0ZWQtdXJscz48dXJsPmh0dHBzOi8vYm9va3MuZ29vZ2xlLmNvLnVrL2Jvb2tzP2lkPTlzRGZD
Z0FBUUJBSjwvdXJsPjwvcmVsYXRlZC11cmxzPjwvdXJscz48aXNibj45Nzg5NDYzMDAxNzg2PC9p
c2JuPjx0aXRsZXM+PHRpdGxlPlRoZSBUcmFuc2Zvcm1hdGlvbiBvZiBVbml2ZXJzaXR5IEluc3Rp
dHV0aW9uYWwgYW5kIE9yZ2FuaXphdGlvbmFsIEJvdW5kYXJpZXM6IE9yZ2FuaXphdGlvbmFsIEJv
dW5kYXJpZXM8L3RpdGxlPjwvdGl0bGVzPjxjb250cmlidXRvcnM+PGF1dGhvcnM+PGF1dGhvcj5Q
cmltZXJpLCBFbWlsaWE8L2F1dGhvcj48YXV0aG9yPlJlYWxlLCBFbWFudWVsYTwvYXV0aG9yPjwv
YXV0aG9ycz48L2NvbnRyaWJ1dG9ycz48YWRkZWQtZGF0ZSBmb3JtYXQ9InV0YyI+MTUzMjEwNDUw
NTwvYWRkZWQtZGF0ZT48cHViLWxvY2F0aW9uPlJvdHRlcmRhbTwvcHViLWxvY2F0aW9uPjxyZWYt
dHlwZSBuYW1lPSJFZGl0ZWQgQm9vayI+Mjg8L3JlZi10eXBlPjxkYXRlcz48eWVhcj4yMDE1PC95
ZWFyPjwvZGF0ZXM+PHJlYy1udW1iZXI+NzYxOTwvcmVjLW51bWJlcj48cHVibGlzaGVyPlNlbnNl
IFB1Ymxpc2hlcnM8L3B1Ymxpc2hlcj48bGFzdC11cGRhdGVkLWRhdGUgZm9ybWF0PSJ1dGMiPjE1
MzIxMDQ4NjE8L2xhc3QtdXBkYXRlZC1kYXRlPjwvcmVjb3JkPjwvQ2l0ZT48Q2l0ZT48QXV0aG9y
PkJhcm5ldHQ8L0F1dGhvcj48WWVhcj4yMDE3PC9ZZWFyPjxJRFRleHQ+VGhlIEVjb2xvZ2ljYWwg
VW5pdmVyc2l0eTogQSBGZWFzaWJsZSBVdG9waWE8L0lEVGV4dD48UHJlZml4PmZvciBleGFtcGxl
YCwgQmFjZXZpY2AsIDIwMTdgLCAyMDE4YDsgPC9QcmVmaXg+PHJlY29yZD48dXJscz48cmVsYXRl
ZC11cmxzPjx1cmw+aHR0cHM6Ly93d3cuYW1hem9uLmNvLnVrL0Vjb2xvZ2ljYWwtVW5pdmVyc2l0
eS1GZWFzaWJsZS1VdG9waWEtZWJvb2svZHAvQjA3NkRGNEM5SC9yZWY9dG1tX2tpbl9zd2F0Y2hf
MD9fZW5jb2Rpbmc9VVRGOCZhbXA7cWlkPSZhbXA7c3I9PC91cmw+PC9yZWxhdGVkLXVybHM+PC91
cmxzPjx0aXRsZXM+PHRpdGxlPlRoZSBFY29sb2dpY2FsIFVuaXZlcnNpdHk6IEEgRmVhc2libGUg
VXRvcGlhPC90aXRsZT48L3RpdGxlcz48Y29udHJpYnV0b3JzPjxhdXRob3JzPjxhdXRob3I+QmFy
bmV0dCwgUm9uYWxkPC9hdXRob3I+PC9hdXRob3JzPjwvY29udHJpYnV0b3JzPjxhZGRlZC1kYXRl
IGZvcm1hdD0idXRjIj4xNTIwMDAxOTc5PC9hZGRlZC1kYXRlPjxwdWItbG9jYXRpb24+TG9uZG9u
PC9wdWItbG9jYXRpb24+PHJlZi10eXBlIG5hbWU9IkJvb2siPjY8L3JlZi10eXBlPjxkYXRlcz48
eWVhcj4yMDE3PC95ZWFyPjwvZGF0ZXM+PHJlYy1udW1iZXI+NzM3NzwvcmVjLW51bWJlcj48cHVi
bGlzaGVyPlJvdXRsZWRnZTwvcHVibGlzaGVyPjxsYXN0LXVwZGF0ZWQtZGF0ZSBmb3JtYXQ9InV0
YyI+MTUyMDAwMjE0NzwvbGFzdC11cGRhdGVkLWRhdGU+PC9yZWNvcmQ+PC9DaXRlPjxDaXRlPjxB
dXRob3I+SGF0YWtlbmFrYTwvQXV0aG9yPjxZZWFyPjIwMDQ8L1llYXI+PElEVGV4dD5Vbml2ZXJz
aXR5LUluZHVzdHJ5IFBhcnRuZXJzaGlwcyBpbiBNSVQsIENhbWJyaWRnZSwgYW5kIFRva3lvOiBT
dG9yeXRlbGxpbmcgQWNyb3NzIEJvdW5kYXJpZXM8L0lEVGV4dD48cmVjb3JkPjx1cmxzPjxyZWxh
dGVkLXVybHM+PHVybD5odHRwczovL2Jvb2tzLmdvb2dsZS5jby51ay9ib29rcz9pZD1HN21UQWdB
QVFCQUo8L3VybD48L3JlbGF0ZWQtdXJscz48L3VybHM+PGlzYm4+OTc4MTEzNTkzODY0MjwvaXNi
bj48dGl0bGVzPjx0aXRsZT5Vbml2ZXJzaXR5LUluZHVzdHJ5IFBhcnRuZXJzaGlwcyBpbiBNSVQs
IENhbWJyaWRnZSwgYW5kIFRva3lvOiBTdG9yeXRlbGxpbmcgQWNyb3NzIEJvdW5kYXJpZXM8L3Rp
dGxlPjwvdGl0bGVzPjxjb250cmlidXRvcnM+PGF1dGhvcnM+PGF1dGhvcj5IYXRha2VuYWthLCBT
LjwvYXV0aG9yPjwvYXV0aG9ycz48L2NvbnRyaWJ1dG9ycz48YWRkZWQtZGF0ZSBmb3JtYXQ9InV0
YyI+MTUzMjM2Mjk5MjwvYWRkZWQtZGF0ZT48cHViLWxvY2F0aW9uPk5ldyBZb3JrPC9wdWItbG9j
YXRpb24+PHJlZi10eXBlIG5hbWU9IkJvb2siPjY8L3JlZi10eXBlPjxkYXRlcz48eWVhcj4yMDA0
PC95ZWFyPjwvZGF0ZXM+PHJlYy1udW1iZXI+NzYyMTwvcmVjLW51bWJlcj48cHVibGlzaGVyPlRh
eWxvciAmYW1wOyBGcmFuY2lzPC9wdWJsaXNoZXI+PGxhc3QtdXBkYXRlZC1kYXRlIGZvcm1hdD0i
dXRjIj4xNTMyMzY4MDc3PC9sYXN0LXVwZGF0ZWQtZGF0ZT48L3JlY29yZD48L0NpdGU+PENpdGU+
PEF1dGhvcj5NY05pZTwvQXV0aG9yPjxZZWFyPjIwMTY8L1llYXI+PElEVGV4dD5JbXByb3Zpbmcg
dGhlIHB1YmxpYyB2YWx1ZSBvZiBzY2llbmNlOiBBIHR5cG9sb2d5IHRvIGluZm9ybSBkaXNjdXNz
aW9uLCBkZXNpZ24gYW5kIGltcGxlbWVudGF0aW9uIG9mIHJlc2VhcmNoPC9JRFRleHQ+PHJlY29y
ZD48dXJscz48cmVsYXRlZC11cmxzPjx1cmw+aHR0cHM6Ly93d3cuc2NvcHVzLmNvbS9pbndhcmQv
cmVjb3JkLnVyaT9laWQ9Mi1zMi4wLTg0OTU5NDMxOTI0JmFtcDtwYXJ0bmVySUQ9NDAmYW1wO21k
NT02ZTRmYzAxZDE5ZDFiNjFiMDkwODRlNmQ2YWEyNDRkYjwvdXJsPjwvcmVsYXRlZC11cmxzPjwv
dXJscz48d29yay10eXBlPkFydGljbGU8L3dvcmstdHlwZT48dGl0bGVzPjx0aXRsZT5JbXByb3Zp
bmcgdGhlIHB1YmxpYyB2YWx1ZSBvZiBzY2llbmNlOiBBIHR5cG9sb2d5IHRvIGluZm9ybSBkaXNj
dXNzaW9uLCBkZXNpZ24gYW5kIGltcGxlbWVudGF0aW9uIG9mIHJlc2VhcmNoPC90aXRsZT48c2Vj
b25kYXJ5LXRpdGxlPlJlc2VhcmNoIFBvbGljeTwvc2Vjb25kYXJ5LXRpdGxlPjwvdGl0bGVzPjxw
YWdlcz44ODQtODk1PC9wYWdlcz48bnVtYmVyPjQ8L251bWJlcj48Y29udHJpYnV0b3JzPjxhdXRo
b3JzPjxhdXRob3I+TWNOaWUsIEUuIEMuPC9hdXRob3I+PGF1dGhvcj5QYXJyaXMsIEEuPC9hdXRo
b3I+PGF1dGhvcj5TYXJld2l0eiwgRC48L2F1dGhvcj48L2F1dGhvcnM+PC9jb250cmlidXRvcnM+
PGFkZGVkLWRhdGUgZm9ybWF0PSJ1dGMiPjE0NzM3MDQ4Mzc8L2FkZGVkLWRhdGU+PHJlZi10eXBl
IG5hbWU9IkpvdXJuYWwgQXJ0aWNsZSI+MTc8L3JlZi10eXBlPjxkYXRlcz48eWVhcj4yMDE2PC95
ZWFyPjwvZGF0ZXM+PHJlYy1udW1iZXI+MzQ4NDwvcmVjLW51bWJlcj48bGFzdC11cGRhdGVkLWRh
dGUgZm9ybWF0PSJ1dGMiPjE0NzM3MDQ4Mzc8L2xhc3QtdXBkYXRlZC1kYXRlPjxlbGVjdHJvbmlj
LXJlc291cmNlLW51bT4xMC4xMDE2L2oucmVzcG9sLjIwMTYuMDEuMDA0PC9lbGVjdHJvbmljLXJl
c291cmNlLW51bT48dm9sdW1lPjQ1PC92b2x1bWU+PHJlbW90ZS1kYXRhYmFzZS1uYW1lPlNjb3B1
czwvcmVtb3RlLWRhdGFiYXNlLW5hbWU+PC9yZWNvcmQ+PC9DaXRlPjxDaXRlPjxBdXRob3I+Q2xh
cms8L0F1dGhvcj48WWVhcj4yMDE2PC9ZZWFyPjxJRFRleHQ+Qm91bmRhcnkgd29yayBmb3Igc3Vz
dGFpbmFibGUgZGV2ZWxvcG1lbnQ6IE5hdHVyYWwgcmVzb3VyY2UgbWFuYWdlbWVudCBhdCB0aGUg
Q29uc3VsdGF0aXZlIEdyb3VwIG9uIEludGVybmF0aW9uYWwgQWdyaWN1bHR1cmFsIFJlc2VhcmNo
IChDR0lBUik8L0lEVGV4dD48cmVjb3JkPjxrZXl3b3Jkcz48a2V5d29yZD5TY2llbmNlcyAoR2Vu
ZXJhbCk8L2tleXdvcmQ+PC9rZXl3b3Jkcz48aXNibj4wMDI3LTg0MjQ8L2lzYm4+PHRpdGxlcz48
dGl0bGU+Qm91bmRhcnkgd29yayBmb3Igc3VzdGFpbmFibGUgZGV2ZWxvcG1lbnQ6IE5hdHVyYWwg
cmVzb3VyY2UgbWFuYWdlbWVudCBhdCB0aGUgQ29uc3VsdGF0aXZlIEdyb3VwIG9uIEludGVybmF0
aW9uYWwgQWdyaWN1bHR1cmFsIFJlc2VhcmNoIChDR0lBUik8L3RpdGxlPjxzZWNvbmRhcnktdGl0
bGU+UHJvY2VlZGluZ3Mgb2YgdGhlIE5hdGlvbmFsIEFjYWRlbXkgb2YgU2NpZW5jZXM8L3NlY29u
ZGFyeS10aXRsZT48L3RpdGxlcz48cGFnZXM+NDYxNTwvcGFnZXM+PG51bWJlcj4xNzwvbnVtYmVy
Pjxjb250cmlidXRvcnM+PGF1dGhvcnM+PGF1dGhvcj5DbGFyaywgVy4gQy48L2F1dGhvcj48YXV0
aG9yPlRvbWljaCwgVC4gUC48L2F1dGhvcj48YXV0aG9yPnZhbiBOb29yZHdpamssIE0uPC9hdXRo
b3I+PGF1dGhvcj5HdXN0b24sIEQuPC9hdXRob3I+PGF1dGhvcj5DYXRhY3V0YW4sIEQuPC9hdXRo
b3I+PGF1dGhvcj5EaWNrc29uLCBOLiBNLjwvYXV0aG9yPjxhdXRob3I+TWNuaWUsIEUuPC9hdXRo
b3I+PC9hdXRob3JzPjwvY29udHJpYnV0b3JzPjxhZGRlZC1kYXRlIGZvcm1hdD0idXRjIj4xNTMy
NDM3OTk4PC9hZGRlZC1kYXRlPjxyZWYtdHlwZSBuYW1lPSJKb3VybmFsIEFydGljbGUiPjE3PC9y
ZWYtdHlwZT48ZGF0ZXM+PHllYXI+MjAxNjwveWVhcj48L2RhdGVzPjxyZWMtbnVtYmVyPjc2MjQ8
L3JlYy1udW1iZXI+PGxhc3QtdXBkYXRlZC1kYXRlIGZvcm1hdD0idXRjIj4xNTMyNDM4MjU4PC9s
YXN0LXVwZGF0ZWQtZGF0ZT48ZWxlY3Ryb25pYy1yZXNvdXJjZS1udW0+MTAuMTA3My9wbmFzLjA5
MDAyMzExMDg8L2VsZWN0cm9uaWMtcmVzb3VyY2UtbnVtPjx2b2x1bWU+MTEzPC92b2x1bWU+PC9y
ZWNvcmQ+PC9DaXRlPjxDaXRlIEV4Y2x1ZGVBdXRoPSIxIiBFeGNsdWRlWWVhcj0iMSI+PEF1dGhv
cj5CYWNldmljPC9BdXRob3I+PFllYXI+MjAxNzwvWWVhcj48SURUZXh0PkJleW9uZCB0aGUgVGhp
cmQgTWlzc2lvbjogVG93YXJkIGFuIEFjdG9yLUJhc2VkIEFjY291bnQgb2YgVW5pdmVyc2l0aWVz
JmFwb3M7IFJlbGF0aW9uc2hpcCB3aXRoIFNvY2lldHk8L0lEVGV4dD48cmVjb3JkPjxrZXl3b3Jk
cz48a2V5d29yZD5OZW9saWJlcmFsaXNtPC9rZXl3b3JkPjxrZXl3b3JkPk5lby1saWJlcmFsaXNt
PC9rZXl3b3JkPjxrZXl3b3JkPkxpYmVyYWxpc208L2tleXdvcmQ+PC9rZXl3b3Jkcz48dGl0bGVz
Pjx0aXRsZT5CZXlvbmQgdGhlIFRoaXJkIE1pc3Npb246IFRvd2FyZCBhbiBBY3Rvci1CYXNlZCBB
Y2NvdW50IG9mIFVuaXZlcnNpdGllcyZhcG9zOyBSZWxhdGlvbnNoaXAgd2l0aCBTb2NpZXR5PC90
aXRsZT48c2Vjb25kYXJ5LXRpdGxlPlVuaXZlcnNpdGllcyBpbiB0aGXCoCBuZW9saWJlcmFsIMKg
ZXJhIDogYWNhZGVtaWMgY3VsdHVyZXMgYW5kIGNyaXRpY2FsIHBlcnNwZWN0aXZlczwvc2Vjb25k
YXJ5LXRpdGxlPjwvdGl0bGVzPjxjb250cmlidXRvcnM+PGF1dGhvcnM+PGF1dGhvcj5CYWNldmlj
LCBKYW5hPC9hdXRob3I+PC9hdXRob3JzPjwvY29udHJpYnV0b3JzPjxhZGRlZC1kYXRlIGZvcm1h
dD0idXRjIj4xNTQxNTE0NDA4PC9hZGRlZC1kYXRlPjxwdWItbG9jYXRpb24+TG9uZG9uPC9wdWIt
bG9jYXRpb24+PHJlZi10eXBlIG5hbWU9IkJvb2sgU2VjdGlvbiI+NTwvcmVmLXR5cGU+PGRhdGVz
Pjx5ZWFyPjIwMTc8L3llYXI+PC9kYXRlcz48cmVjLW51bWJlcj43Njc2PC9yZWMtbnVtYmVyPjxw
dWJsaXNoZXI+UGFsZ3JhdmUgTWFjbWlsbGFuPC9wdWJsaXNoZXI+PGxhc3QtdXBkYXRlZC1kYXRl
IGZvcm1hdD0idXRjIj4xNTQxNTE0NTI3PC9sYXN0LXVwZGF0ZWQtZGF0ZT48Y29udHJpYnV0b3Jz
PjxzZWNvbmRhcnktYXV0aG9ycz48YXV0aG9yPkVyZ3XMiGwsIEhha2FuPC9hdXRob3I+PGF1dGhv
cj5Db3PMp2FyLCBTaW10ZW48L2F1dGhvcj48L3NlY29uZGFyeS1hdXRob3JzPjwvY29udHJpYnV0
b3JzPjwvcmVjb3JkPjwvQ2l0ZT48Q2l0ZSBFeGNsdWRlQXV0aD0iMSIgRXhjbHVkZVllYXI9IjEi
PjxBdXRob3I+QmFjZXZpYzwvQXV0aG9yPjxZZWFyPjIwMTg8L1llYXI+PElEVGV4dD5XaXRoIG9y
IHdpdGhvdXQgVT8gQXNzZW1ibGFnZSB0aGVvcnkgYW5kIChkZSl0ZXJyaXRvcmlhbGlzaW5nIHRo
ZSB1bml2ZXJzaXR5PC9JRFRleHQ+PHJlY29yZD48a2V5d29yZHM+PGtleXdvcmQ+QXJ0aWNsZTwv
a2V5d29yZD48a2V5d29yZD5Vbml2ZXJzaXRpZXM8L2tleXdvcmQ+PGtleXdvcmQ+QXNzZW1ibGFn
ZSBUaGVvcnk8L2tleXdvcmQ+PGtleXdvcmQ+VW5idW5kbGluZzwva2V5d29yZD48a2V5d29yZD5U
ZXJyaXRvcmlhbGlzYXRpb248L2tleXdvcmQ+PGtleXdvcmQ+U29jaWFsIE1lZGlhPC9rZXl3b3Jk
PjxrZXl3b3JkPkFjYWRlbWljIEZyZWVkb208L2tleXdvcmQ+PC9rZXl3b3Jkcz48aXNibj4xNDc2
LTc3MjQ8L2lzYm4+PHRpdGxlcz48dGl0bGU+V2l0aCBvciB3aXRob3V0IFU/IEFzc2VtYmxhZ2Ug
dGhlb3J5IGFuZCAoZGUpdGVycml0b3JpYWxpc2luZyB0aGUgdW5pdmVyc2l0eTwvdGl0bGU+PHNl
Y29uZGFyeS10aXRsZT5HbG9iYWxpc2F0aW9uLCBTb2NpZXRpZXMgYW5kIEVkdWNhdGlvbjwvc2Vj
b25kYXJ5LXRpdGxlPjwvdGl0bGVzPjxwYWdlcz4xLTE0PC9wYWdlcz48Y29udHJpYnV0b3JzPjxh
dXRob3JzPjxhdXRob3I+QmFjZXZpYywgSmFuYTwvYXV0aG9yPjwvYXV0aG9ycz48L2NvbnRyaWJ1
dG9ycz48YWRkZWQtZGF0ZSBmb3JtYXQ9InV0YyI+MTU0MTUxNDA4MDwvYWRkZWQtZGF0ZT48cmVm
LXR5cGUgbmFtZT0iSm91cm5hbCBBcnRpY2xlIj4xNzwvcmVmLXR5cGU+PGRhdGVzPjx5ZWFyPjIw
MTg8L3llYXI+PC9kYXRlcz48cmVjLW51bWJlcj43Njc1PC9yZWMtbnVtYmVyPjxwdWJsaXNoZXI+
Um91dGxlZGdlPC9wdWJsaXNoZXI+PGxhc3QtdXBkYXRlZC1kYXRlIGZvcm1hdD0idXRjIj4xNTQx
NTE0MDgwPC9sYXN0LXVwZGF0ZWQtZGF0ZT48ZWxlY3Ryb25pYy1yZXNvdXJjZS1udW0+MTAuMTA4
MC8xNDc2NzcyNC4yMDE4LjE0OTgzMjM8L2VsZWN0cm9uaWMtcmVzb3VyY2UtbnVtPjwvcmVjb3Jk
PjwvQ2l0ZT48Q2l0ZT48QXV0aG9yPlppbWFuPC9BdXRob3I+PFllYXI+MTk5MTwvWWVhcj48SURU
ZXh0PkFjYWRlbWljIFNjaWVuY2UgYXMgYSBTeXN0ZW0gb2YgTWFya2V0czwvSURUZXh0PjxyZWNv
cmQ+PGlzYm4+MDk1MS01MjI0PC9pc2JuPjx0aXRsZXM+PHRpdGxlPkFjYWRlbWljIFNjaWVuY2Ug
YXMgYSBTeXN0ZW0gb2YgTWFya2V0czwvdGl0bGU+PHNlY29uZGFyeS10aXRsZT5IaWdoZXIgRWR1
Y2F0aW9uIFF1YXJ0ZXJseTwvc2Vjb25kYXJ5LXRpdGxlPjwvdGl0bGVzPjxwYWdlcz40MS02MTwv
cGFnZXM+PG51bWJlcj4xPC9udW1iZXI+PGNvbnRyaWJ1dG9ycz48YXV0aG9ycz48YXV0aG9yPlpp
bWFuLCBKLiBNLjwvYXV0aG9yPjwvYXV0aG9ycz48L2NvbnRyaWJ1dG9ycz48YWRkZWQtZGF0ZSBm
b3JtYXQ9InV0YyI+MTUyOTA4Mjc4NjwvYWRkZWQtZGF0ZT48cHViLWxvY2F0aW9uPk94Zm9yZCwg
VUs8L3B1Yi1sb2NhdGlvbj48cmVmLXR5cGUgbmFtZT0iSm91cm5hbCBBcnRpY2xlIj4xNzwvcmVm
LXR5cGU+PGRhdGVzPjx5ZWFyPjE5OTE8L3llYXI+PC9kYXRlcz48cmVjLW51bWJlcj43NTU2PC9y
ZWMtbnVtYmVyPjxsYXN0LXVwZGF0ZWQtZGF0ZSBmb3JtYXQ9InV0YyI+MTUyOTA4Mjg0ODwvbGFz
dC11cGRhdGVkLWRhdGU+PGVsZWN0cm9uaWMtcmVzb3VyY2UtbnVtPjEwLjExMTEvai4xNDY4LTIy
NzMuMTk5MS50YjAxNTU1Lng8L2VsZWN0cm9uaWMtcmVzb3VyY2UtbnVtPjx2b2x1bWU+NDU8L3Zv
bHVtZT48L3JlY29yZD48L0NpdGU+PENpdGU+PEF1dGhvcj5WYWtrdXJpPC9BdXRob3I+PFllYXI+
MjAwNDwvWWVhcj48SURUZXh0Pkluc3RpdHV0aW9uYWwgQ2hhbmdlIG9mIFVuaXZlcnNpdGllcyBh
cyBhIFByb2JsZW0gb2YgRXZvbHZpbmcgQm91bmRhcmllczwvSURUZXh0PjxyZWNvcmQ+PGlzYm4+
MDk1Mi04NzMzPC9pc2JuPjx0aXRsZXM+PHRpdGxlPkluc3RpdHV0aW9uYWwgQ2hhbmdlIG9mIFVu
aXZlcnNpdGllcyBhcyBhIFByb2JsZW0gb2YgRXZvbHZpbmcgQm91bmRhcmllczwvdGl0bGU+PHNl
Y29uZGFyeS10aXRsZT5IaWdoZXIgZWR1Y2F0aW9uIHBvbGljeS48L3NlY29uZGFyeS10aXRsZT48
L3RpdGxlcz48cGFnZXM+Mjg3LTMwOTwvcGFnZXM+PG51bWJlcj4zPC9udW1iZXI+PGNvbnRyaWJ1
dG9ycz48YXV0aG9ycz48YXV0aG9yPlZha2t1cmksIEphcm1vPC9hdXRob3I+PC9hdXRob3JzPjwv
Y29udHJpYnV0b3JzPjxhZGRlZC1kYXRlIGZvcm1hdD0idXRjIj4xNTQ4NjgzMjgyPC9hZGRlZC1k
YXRlPjxwdWItbG9jYXRpb24+T3hmb3JkIDs8L3B1Yi1sb2NhdGlvbj48cmVmLXR5cGUgbmFtZT0i
Sm91cm5hbCBBcnRpY2xlIj4xNzwvcmVmLXR5cGU+PGRhdGVzPjx5ZWFyPjIwMDQ8L3llYXI+PC9k
YXRlcz48cmVjLW51bWJlcj43Njk5PC9yZWMtbnVtYmVyPjxsYXN0LXVwZGF0ZWQtZGF0ZSBmb3Jt
YXQ9InV0YyI+MTU0ODY4MzI4MjwvbGFzdC11cGRhdGVkLWRhdGU+PGVsZWN0cm9uaWMtcmVzb3Vy
Y2UtbnVtPjEwLjEwNTcvcGFsZ3JhdmUuaGVwLjgzMDAwNTY8L2VsZWN0cm9uaWMtcmVzb3VyY2Ut
bnVtPjx2b2x1bWU+MTc8L3ZvbHVtZT48L3JlY29yZD48L0NpdGU+PENpdGU+PEF1dGhvcj5XaGl0
bGV5PC9BdXRob3I+PFllYXI+MjAwMDwvWWVhcj48SURUZXh0PlRoZSBpbnRlbGxlY3R1YWwgYW5k
IHNvY2lhbCBvcmdhbml6YXRpb24gb2YgdGhlIHNjaWVuY2VzPC9JRFRleHQ+PHJlY29yZD48a2V5
d29yZHM+PGtleXdvcmQ+U2NpZW5jZSAtLSBQaGlsb3NvcGh5PC9rZXl3b3JkPjxrZXl3b3JkPlNj
aWVuY2UgLS0gUGhpbG9zb3BoeTwva2V5d29yZD48a2V5d29yZD5TY2llbmNlIC0tIFNvY2lhbCBh
c3BlY3RzPC9rZXl3b3JkPjxrZXl3b3JkPlNjaWVuY2UgLS0gU29jaWFsIGFzcGVjdHM8L2tleXdv
cmQ+PGtleXdvcmQ+U2NpZW5jZSBhbmQgc29jaWV0eTwva2V5d29yZD48a2V5d29yZD5Tb2Npb2xv
Z3kgb2Ygc2NpZW5jZTwva2V5d29yZD48a2V5d29yZD5Ob3JtYWwgc2NpZW5jZTwva2V5d29yZD48
a2V5d29yZD5QaGlsb3NvcGh5IG9mIHNjaWVuY2U8L2tleXdvcmQ+PC9rZXl3b3Jkcz48dGl0bGVz
Pjx0aXRsZT5UaGUgaW50ZWxsZWN0dWFsIGFuZCBzb2NpYWwgb3JnYW5pemF0aW9uIG9mIHRoZSBz
Y2llbmNlczwvdGl0bGU+PC90aXRsZXM+PGNvbnRyaWJ1dG9ycz48YXV0aG9ycz48YXV0aG9yPldo
aXRsZXksIFJpY2hhcmQ8L2F1dGhvcj48L2F1dGhvcnM+PC9jb250cmlidXRvcnM+PGVkaXRpb24+
Mm5kPC9lZGl0aW9uPjxhZGRlZC1kYXRlIGZvcm1hdD0idXRjIj4xNDg1MjAyOTYxPC9hZGRlZC1k
YXRlPjxwdWItbG9jYXRpb24+T3hmb3JkPC9wdWItbG9jYXRpb24+PHJlZi10eXBlIG5hbWU9IkJv
b2siPjY8L3JlZi10eXBlPjxkYXRlcz48eWVhcj4yMDAwPC95ZWFyPjwvZGF0ZXM+PHJlYy1udW1i
ZXI+NjQ5MTwvcmVjLW51bWJlcj48cHVibGlzaGVyPk94Zm9yZCBVbml2ZXJzaXR5IFByZXNzPC9w
dWJsaXNoZXI+PGxhc3QtdXBkYXRlZC1kYXRlIGZvcm1hdD0idXRjIj4xNTQ4Njg0OTY2PC9sYXN0
LXVwZGF0ZWQtZGF0ZT48L3JlY29yZD48L0NpdGU+PENpdGU+PEF1dGhvcj5TYXRhw7hlbjwvQXV0
aG9yPjxZZWFyPjIwMTg8L1llYXI+PElEVGV4dD5UcmFuc2Zvcm1pbmcgdGhlIOKAnCBUaGlyZCBN
aXNzaW9u4oCdIGluIE5vcndlZ2lhbiBIaWdoZXIgRWR1Y2F0aW9uIEluc3RpdHV0aW9uczogQSBC
b3VuZGFyeSBPYmplY3QgVGhlb3J5IEFwcHJvYWNoPC9JRFRleHQ+PHJlY29yZD48a2V5d29yZHM+
PGtleXdvcmQ+QXJ0aWNsZTwva2V5d29yZD48a2V5d29yZD5IaWdoZXIgRWR1Y2F0aW9uPC9rZXl3
b3JkPjxrZXl3b3JkPkJvdW5kYXJ5IE9iamVjdHM8L2tleXdvcmQ+PGtleXdvcmQ+VGhpcmQgTWlz
c2lvbjwva2V5d29yZD48a2V5d29yZD5TdHJhdGVnaWMgUGxhbm5pbmc8L2tleXdvcmQ+PC9rZXl3
b3Jkcz48aXNibj4wMDMxLTM4MzE8L2lzYm4+PHRpdGxlcz48dGl0bGU+VHJhbnNmb3JtaW5nIHRo
ZSDigJwgVGhpcmQgTWlzc2lvbuKAnSBpbiBOb3J3ZWdpYW4gSGlnaGVyIEVkdWNhdGlvbiBJbnN0
aXR1dGlvbnM6IEEgQm91bmRhcnkgT2JqZWN0IFRoZW9yeSBBcHByb2FjaDwvdGl0bGU+PHNlY29u
ZGFyeS10aXRsZT5TY2FuZGluYXZpYW4gSm91cm5hbCBvZiBFZHVjYXRpb25hbCBSZXNlYXJjaDwv
c2Vjb25kYXJ5LXRpdGxlPjwvdGl0bGVzPjxwYWdlcz41Mi02NzwvcGFnZXM+PG51bWJlcj4xPC9u
dW1iZXI+PGNvbnRyaWJ1dG9ycz48YXV0aG9ycz48YXV0aG9yPlNhdGHDuGVuLCBIb2duZSBMZXLD
uHk8L2F1dGhvcj48L2F1dGhvcnM+PC9jb250cmlidXRvcnM+PGFkZGVkLWRhdGUgZm9ybWF0PSJ1
dGMiPjE1NDg5NjQ1Nzc8L2FkZGVkLWRhdGU+PHJlZi10eXBlIG5hbWU9IkpvdXJuYWwgQXJ0aWNs
ZSI+MTc8L3JlZi10eXBlPjxkYXRlcz48eWVhcj4yMDE4PC95ZWFyPjwvZGF0ZXM+PHJlYy1udW1i
ZXI+NzcwOTwvcmVjLW51bWJlcj48cHVibGlzaGVyPlJvdXRsZWRnZTwvcHVibGlzaGVyPjxsYXN0
LXVwZGF0ZWQtZGF0ZSBmb3JtYXQ9InV0YyI+MTU0ODk2NDU3NzwvbGFzdC11cGRhdGVkLWRhdGU+
PGVsZWN0cm9uaWMtcmVzb3VyY2UtbnVtPjEwLjEwODAvMDAzMTM4MzEuMjAxNi4xMjEyMjUzPC9l
bGVjdHJvbmljLXJlc291cmNlLW51bT48dm9sdW1lPjYyPC92b2x1bWU+PC9yZWNvcmQ+PC9DaXRl
PjxDaXRlPjxBdXRob3I+U2xhdWdodGVyPC9BdXRob3I+PFllYXI+MjAwNDwvWWVhcj48SURUZXh0
PkJvdW5kYXJpZXMgYW5kIFF1YW5kYXJpZXM6IEhvdyBQcm9mZXNzb3JzIE5lZ290aWF0ZSBNYXJr
ZXQgUmVsYXRpb25zPC9JRFRleHQ+PHJlY29yZD48a2V5d29yZHM+PGtleXdvcmQ+U2Nob29sIEJ1
c2luZXNzIFJlbGF0aW9uc2hpcDwva2V5d29yZD48a2V5d29yZD5QYXJ0bmVyc2hpcHMgaW4gRWR1
Y2F0aW9uPC9rZXl3b3JkPjxrZXl3b3JkPkNvbGxlZ2UgRmFjdWx0eTwva2V5d29yZD48a2V5d29y
ZD5BZG1pbmlzdHJhdG9yczwva2V5d29yZD48a2V5d29yZD5Db2xsZWdlIEFkbWluaXN0cmF0aW9u
PC9rZXl3b3JkPjxrZXl3b3JkPkRhdGFiYXNlczwva2V5d29yZD48a2V5d29yZD5JbnRlcnZpZXdz
PC9rZXl3b3JkPjxrZXl3b3JkPkVuZ2luZWVyaW5nPC9rZXl3b3JkPjxrZXl3b3JkPlNjaWVuY2Vz
PC9rZXl3b3JkPjxrZXl3b3JkPkhpZ2hlciBFZHVjYXRpb248L2tleXdvcmQ+PC9rZXl3b3Jkcz48
aXNibj4wMTYyLTU3NDg8L2lzYm4+PHRpdGxlcz48dGl0bGU+Qm91bmRhcmllcyBhbmQgUXVhbmRh
cmllczogSG93IFByb2Zlc3NvcnMgTmVnb3RpYXRlIE1hcmtldCBSZWxhdGlvbnM8L3RpdGxlPjxz
ZWNvbmRhcnktdGl0bGU+UmV2aWV3IG9mIEhpZ2hlciBFZHVjYXRpb248L3NlY29uZGFyeS10aXRs
ZT48L3RpdGxlcz48cGFnZXM+MTI5LTE2NTwvcGFnZXM+PG51bWJlcj4xPC9udW1iZXI+PGNvbnRy
aWJ1dG9ycz48YXV0aG9ycz48YXV0aG9yPlNsYXVnaHRlciwgU2hlaWxhPC9hdXRob3I+PGF1dGhv
cj5BcmNoZXJkLCBDeW50aGlhIEpvYW48L2F1dGhvcj48YXV0aG9yPkNhbXBiZWxsLCBUZXJlc2Eg
SS4gRC48L2F1dGhvcj48L2F1dGhvcnM+PC9jb250cmlidXRvcnM+PGFkZGVkLWRhdGUgZm9ybWF0
PSJ1dGMiPjE1NDk5ODk5MDc8L2FkZGVkLWRhdGU+PHJlZi10eXBlIG5hbWU9IkpvdXJuYWwgQXJ0
aWNsZSI+MTc8L3JlZi10eXBlPjxkYXRlcz48eWVhcj4yMDA0PC95ZWFyPjwvZGF0ZXM+PHJlYy1u
dW1iZXI+NzczNTwvcmVjLW51bWJlcj48bGFzdC11cGRhdGVkLWRhdGUgZm9ybWF0PSJ1dGMiPjE1
NDk5ODk5MDc8L2xhc3QtdXBkYXRlZC1kYXRlPjxlbGVjdHJvbmljLXJlc291cmNlLW51bT4xMC4x
MzUzL3JoZS4yMDA0LjAwMzI8L2VsZWN0cm9uaWMtcmVzb3VyY2UtbnVtPjx2b2x1bWU+Mjg8L3Zv
bHVtZT48L3JlY29yZD48L0NpdGU+PENpdGU+PEF1dGhvcj5OaWNrb2xhaTwvQXV0aG9yPjxZZWFy
PjIwMTI8L1llYXI+PElEVGV4dD5DYW4gYSBLbm93bGVkZ2UgU2FuY3R1YXJ5IGFsc28gYmUgYW4g
RWNvbm9taWMgRW5naW5lPyBUaGUgTWFya2V0aXphdGlvbiBvZiBIaWdoZXIgRWR1Y2F0aW9uIGFz
IEluc3RpdHV0aW9uYWwgQm91bmRhcnkgV29yazwvSURUZXh0PjxyZWNvcmQ+PGtleXdvcmRzPjxr
ZXl3b3JkPkhpZ2hlciBFZHVjYXRpb248L2tleXdvcmQ+PGtleXdvcmQ+S25vd2xlZGdlPC9rZXl3
b3JkPjxrZXl3b3JkPkNvbGxlZ2UgU3R1ZGVudHM8L2tleXdvcmQ+PGtleXdvcmQ+TGVhcm5pbmc8
L2tleXdvcmQ+PGtleXdvcmQ+U3R1ZGVudHM8L2tleXdvcmQ+PGtleXdvcmQ+TWFya2V0czwva2V5
d29yZD48a2V5d29yZD5WYWx1ZXM8L2tleXdvcmQ+PGtleXdvcmQ+T3JnYW5pemF0aW9uYWwgU3Ry
dWN0dXJlPC9rZXl3b3JkPjxrZXl3b3JkPkN1bHR1cmFsIEdyb3Vwczwva2V5d29yZD48a2V5d29y
ZD5Db21wbGV4IE9yZ2FuaXphdGlvbjwva2V5d29yZD48a2V5d29yZD5CdXJlYXVjcmF0aWMgU3Ry
dWN0dXJlL09yZ2FuaXphdGlvbmFsIFNvY2lvbG9neTwva2V5d29yZD48a2V5d29yZD5BcnRpY2xl
PC9rZXl3b3JkPjwva2V5d29yZHM+PGlzYm4+MTc1MS05MDIwPC9pc2JuPjx0aXRsZXM+PHRpdGxl
PkNhbiBhIEtub3dsZWRnZSBTYW5jdHVhcnkgYWxzbyBiZSBhbiBFY29ub21pYyBFbmdpbmU/IFRo
ZSBNYXJrZXRpemF0aW9uIG9mIEhpZ2hlciBFZHVjYXRpb24gYXMgSW5zdGl0dXRpb25hbCBCb3Vu
ZGFyeSBXb3JrPC90aXRsZT48L3RpdGxlcz48cGFnZXM+MjA1LTIxODwvcGFnZXM+PGNvbnRyaWJ1
dG9ycz48YXV0aG9ycz48YXV0aG9yPk5pY2tvbGFpLCBEYW5pZWwgSC48L2F1dGhvcj48YXV0aG9y
PkhvZmZtYW4sIFN0ZXZlIEcuPC9hdXRob3I+PGF1dGhvcj5UcmF1dG5lciwgTWFyeSBOZWxsPC9h
dXRob3I+PC9hdXRob3JzPjwvY29udHJpYnV0b3JzPjxhZGRlZC1kYXRlIGZvcm1hdD0idXRjIj4x
NTIzMzc0MDc0PC9hZGRlZC1kYXRlPjxwdWItbG9jYXRpb24+T3hmb3JkLCBVSzwvcHViLWxvY2F0
aW9uPjxyZWYtdHlwZSBuYW1lPSJHZW5lcmljIj4xMzwvcmVmLXR5cGU+PGRhdGVzPjx5ZWFyPjIw
MTI8L3llYXI+PC9kYXRlcz48cmVjLW51bWJlcj43NDcwPC9yZWMtbnVtYmVyPjxsYXN0LXVwZGF0
ZWQtZGF0ZSBmb3JtYXQ9InV0YyI+MTUyMzM3NDA3NDwvbGFzdC11cGRhdGVkLWRhdGU+PGVsZWN0
cm9uaWMtcmVzb3VyY2UtbnVtPjEwLjExMTEvai4xNzUxLTkwMjAuMjAxMS4wMDQ0OS54PC9lbGVj
dHJvbmljLXJlc291cmNlLW51bT48dm9sdW1lPjY8L3ZvbHVtZT48L3JlY29yZD48L0NpdGU+PENp
dGU+PEF1dGhvcj5QYXdsZXk8L0F1dGhvcj48WWVhcj4yMDEyPC9ZZWFyPjxJRFRleHQ+RW5naW5l
ZXJpbmcgZmFjdWx0eSBkcmF3aW5nIHRoZSBsaW5lOiBhIHRheG9ub215IG9mIGJvdW5kYXJ5IHdv
cmsgaW4gYWNhZGVtaWMgZW5naW5lZXJpbmc8L0lEVGV4dD48cmVjb3JkPjxrZXl3b3Jkcz48a2V5
d29yZD5Cb3VuZGFyeSBUYXhvbm9teTwva2V5d29yZD48a2V5d29yZD5Cb3VuZGFyeSBXb3JrPC9r
ZXl3b3JkPjxrZXl3b3JkPkJvdW5kYXJ5IE1hcmtlcnM8L2tleXdvcmQ+PGtleXdvcmQ+RW5naW5l
ZXJpbmcgRmFjdWx0eSBNZW1iZXJzPC9rZXl3b3JkPjwva2V5d29yZHM+PGlzYm4+MTkzNy04NjI5
PC9pc2JuPjx0aXRsZXM+PHRpdGxlPkVuZ2luZWVyaW5nIGZhY3VsdHkgZHJhd2luZyB0aGUgbGlu
ZTogYSB0YXhvbm9teSBvZiBib3VuZGFyeSB3b3JrIGluIGFjYWRlbWljIGVuZ2luZWVyaW5nPC90
aXRsZT48c2Vjb25kYXJ5LXRpdGxlPkVuZ2luZWVyaW5nIFN0dWRpZXM8L3NlY29uZGFyeS10aXRs
ZT48L3RpdGxlcz48cGFnZXM+MTQ1LTE2OTwvcGFnZXM+PG51bWJlcj4yPC9udW1iZXI+PGNvbnRy
aWJ1dG9ycz48YXV0aG9ycz48YXV0aG9yPlBhd2xleSwgQWxpY2UgTC48L2F1dGhvcj48L2F1dGhv
cnM+PC9jb250cmlidXRvcnM+PGFkZGVkLWRhdGUgZm9ybWF0PSJ1dGMiPjE1MjMzNzQzNDM8L2Fk
ZGVkLWRhdGU+PHJlZi10eXBlIG5hbWU9IkpvdXJuYWwgQXJ0aWNsZSI+MTc8L3JlZi10eXBlPjxk
YXRlcz48eWVhcj4yMDEyPC95ZWFyPjwvZGF0ZXM+PHJlYy1udW1iZXI+NzQ3MTwvcmVjLW51bWJl
cj48cHVibGlzaGVyPlRheWxvciAmYW1wOyBGcmFuY2lzPC9wdWJsaXNoZXI+PGxhc3QtdXBkYXRl
ZC1kYXRlIGZvcm1hdD0idXRjIj4xNTIzMzc0MzQzPC9sYXN0LXVwZGF0ZWQtZGF0ZT48ZWxlY3Ry
b25pYy1yZXNvdXJjZS1udW0+MTAuMTA4MC8xOTM3ODYyOS4yMDEyLjY4NzAwMDwvZWxlY3Ryb25p
Yy1yZXNvdXJjZS1udW0+PHZvbHVtZT40PC92b2x1bWU+PC9yZWNvcmQ+PC9DaXRlPjwvRW5kTm90
ZT5=
</w:fldData>
        </w:fldChar>
      </w:r>
      <w:r>
        <w:instrText xml:space="preserve"> ADDIN EN.CITE.DATA </w:instrText>
      </w:r>
      <w:r>
        <w:fldChar w:fldCharType="end"/>
      </w:r>
      <w:r w:rsidRPr="003F4F75">
        <w:fldChar w:fldCharType="separate"/>
      </w:r>
      <w:r>
        <w:rPr>
          <w:noProof/>
        </w:rPr>
        <w:t>(for example, Bacevic, 2017, 2018; Barnett, 2017; Beck &amp; Young, 2005; Bernstein, 2000; W. C. Clark et al., 2016; Hatakenaka, 2004; Koryakina, Sarrico, &amp; Teixeira, 2015; May &amp; Perry, 2013b, 2017; McNie, Parris, &amp; Sarewitz, 2016; Nickolai, Hoffman, &amp; Trautner, 2012; Pawley, 2012; Primeri &amp; Reale, 2015; Sataøen, 2018; Slaughter, Archerd, &amp; Campbell, 2004; Vakkuri, 2004; Whitley, 2000; Wright, 2016; Ziman, 1991)</w:t>
      </w:r>
      <w:r w:rsidRPr="003F4F75">
        <w:fldChar w:fldCharType="end"/>
      </w:r>
      <w:r w:rsidRPr="003F4F75">
        <w:t>.</w:t>
      </w:r>
      <w:r>
        <w:rPr>
          <w:sz w:val="24"/>
          <w:szCs w:val="24"/>
        </w:rPr>
        <w:t xml:space="preserve"> </w:t>
      </w:r>
    </w:p>
  </w:footnote>
  <w:footnote w:id="2">
    <w:p w14:paraId="0901499B" w14:textId="5FAAC351" w:rsidR="00883B69" w:rsidRDefault="00883B69">
      <w:pPr>
        <w:pStyle w:val="FootnoteText"/>
      </w:pPr>
      <w:r>
        <w:rPr>
          <w:rStyle w:val="FootnoteReference"/>
        </w:rPr>
        <w:footnoteRef/>
      </w:r>
      <w:r>
        <w:t xml:space="preserve"> </w:t>
      </w:r>
      <w:r w:rsidRPr="00772201">
        <w:rPr>
          <w:sz w:val="18"/>
          <w:szCs w:val="18"/>
        </w:rPr>
        <w:t>There have been some quite important technical changes implemented for REF2021, but I will not discuss these in any detail here.</w:t>
      </w:r>
    </w:p>
  </w:footnote>
  <w:footnote w:id="3">
    <w:p w14:paraId="699175C2" w14:textId="77777777" w:rsidR="00883B69" w:rsidRPr="00CD73E7" w:rsidRDefault="00883B69" w:rsidP="00FD7CF3">
      <w:pPr>
        <w:pStyle w:val="FootnoteText"/>
        <w:rPr>
          <w:sz w:val="18"/>
          <w:szCs w:val="18"/>
        </w:rPr>
      </w:pPr>
      <w:r w:rsidRPr="00CD73E7">
        <w:rPr>
          <w:rStyle w:val="FootnoteReference"/>
          <w:sz w:val="18"/>
          <w:szCs w:val="18"/>
        </w:rPr>
        <w:footnoteRef/>
      </w:r>
      <w:r w:rsidRPr="00CD73E7">
        <w:rPr>
          <w:sz w:val="18"/>
          <w:szCs w:val="18"/>
        </w:rPr>
        <w:t xml:space="preserve"> The actual Impact rating</w:t>
      </w:r>
      <w:r>
        <w:rPr>
          <w:sz w:val="18"/>
          <w:szCs w:val="18"/>
        </w:rPr>
        <w:t xml:space="preserve"> is</w:t>
      </w:r>
      <w:r w:rsidRPr="00CD73E7">
        <w:rPr>
          <w:sz w:val="18"/>
          <w:szCs w:val="18"/>
        </w:rPr>
        <w:t xml:space="preserve"> based on a judgement about the ‘reach’ and ‘significance’ of the impact, rather than on the perceived quality of the underpinning research, although there is a requirement that all research underpinning an Impact Case Study must be of a quality equating to at least a 2* Output rating. </w:t>
      </w:r>
    </w:p>
  </w:footnote>
  <w:footnote w:id="4">
    <w:p w14:paraId="615607BE" w14:textId="77777777" w:rsidR="00883B69" w:rsidRPr="00F10AB9" w:rsidRDefault="00883B69" w:rsidP="00FD7CF3">
      <w:pPr>
        <w:pStyle w:val="FootnoteText"/>
        <w:rPr>
          <w:sz w:val="18"/>
          <w:szCs w:val="18"/>
        </w:rPr>
      </w:pPr>
      <w:r w:rsidRPr="00F10AB9">
        <w:rPr>
          <w:rStyle w:val="FootnoteReference"/>
          <w:sz w:val="18"/>
          <w:szCs w:val="18"/>
        </w:rPr>
        <w:footnoteRef/>
      </w:r>
      <w:r w:rsidRPr="00F10AB9">
        <w:rPr>
          <w:sz w:val="18"/>
          <w:szCs w:val="18"/>
        </w:rPr>
        <w:t xml:space="preserve"> The concept of use-inspired basic research is put forward by Stokes </w:t>
      </w:r>
      <w:r w:rsidRPr="00F10AB9">
        <w:rPr>
          <w:sz w:val="18"/>
          <w:szCs w:val="18"/>
        </w:rPr>
        <w:fldChar w:fldCharType="begin"/>
      </w:r>
      <w:r w:rsidRPr="00F10AB9">
        <w:rPr>
          <w:sz w:val="18"/>
          <w:szCs w:val="18"/>
        </w:rPr>
        <w:instrText xml:space="preserve"> ADDIN EN.CITE &lt;EndNote&gt;&lt;Cite ExcludeAuth="1"&gt;&lt;Author&gt;Stokes&lt;/Author&gt;&lt;Year&gt;1997&lt;/Year&gt;&lt;IDText&gt;Pasteur&amp;apos;s quadrant: Basic Science and Technological Innovation&lt;/IDText&gt;&lt;DisplayText&gt;(1997)&lt;/DisplayText&gt;&lt;record&gt;&lt;keywords&gt;&lt;keyword&gt;Technology and state -- United States&lt;/keyword&gt;&lt;keyword&gt;Research -- History&lt;/keyword&gt;&lt;keyword&gt;Paradigm (Theory of knowledge)&lt;/keyword&gt;&lt;keyword&gt;Science -- History&lt;/keyword&gt;&lt;keyword&gt;Science and state -- United States&lt;/keyword&gt;&lt;keyword&gt;Technological innovations -- History&lt;/keyword&gt;&lt;keyword&gt;g Knowledge, Theory of&lt;/keyword&gt;&lt;/keywords&gt;&lt;titles&gt;&lt;title&gt;Pasteur&amp;apos;s quadrant: Basic Science and Technological Innovation&lt;/title&gt;&lt;/titles&gt;&lt;contributors&gt;&lt;authors&gt;&lt;author&gt;Stokes, Donald E.&lt;/author&gt;&lt;/authors&gt;&lt;/contributors&gt;&lt;added-date format="utc"&gt;1463643999&lt;/added-date&gt;&lt;pub-location&gt;Washington, D.C.&lt;/pub-location&gt;&lt;ref-type name="Book"&gt;6&lt;/ref-type&gt;&lt;dates&gt;&lt;year&gt;1997&lt;/year&gt;&lt;/dates&gt;&lt;rec-number&gt;386&lt;/rec-number&gt;&lt;publisher&gt;Brookings Institution Press&lt;/publisher&gt;&lt;last-updated-date format="utc"&gt;1469215468&lt;/last-updated-date&gt;&lt;/record&gt;&lt;/Cite&gt;&lt;/EndNote&gt;</w:instrText>
      </w:r>
      <w:r w:rsidRPr="00F10AB9">
        <w:rPr>
          <w:sz w:val="18"/>
          <w:szCs w:val="18"/>
        </w:rPr>
        <w:fldChar w:fldCharType="separate"/>
      </w:r>
      <w:r w:rsidRPr="00F10AB9">
        <w:rPr>
          <w:noProof/>
          <w:sz w:val="18"/>
          <w:szCs w:val="18"/>
        </w:rPr>
        <w:t>(1997)</w:t>
      </w:r>
      <w:r w:rsidRPr="00F10AB9">
        <w:rPr>
          <w:sz w:val="18"/>
          <w:szCs w:val="18"/>
        </w:rPr>
        <w:fldChar w:fldCharType="end"/>
      </w:r>
      <w:r w:rsidRPr="00F10AB9">
        <w:rPr>
          <w:sz w:val="18"/>
          <w:szCs w:val="18"/>
        </w:rPr>
        <w:t xml:space="preserve"> in his efforts to modify the way that many, particularly in research policy discourse, define and think of the contribution and aims of research. Rejecting the traditional pair of dichotomies, in which understanding/use are the goals of basic/applied research, he pointed to Pasteur’s microbiology and Keynes’ macroeconomics as examples of his new of category of use-inspired basic research, which has since gained currency. </w:t>
      </w:r>
    </w:p>
  </w:footnote>
  <w:footnote w:id="5">
    <w:p w14:paraId="52332F27" w14:textId="77777777" w:rsidR="00883B69" w:rsidRPr="00AF0721" w:rsidRDefault="00883B69" w:rsidP="00143C50">
      <w:pPr>
        <w:pStyle w:val="FootnoteText"/>
        <w:rPr>
          <w:sz w:val="18"/>
          <w:szCs w:val="18"/>
        </w:rPr>
      </w:pPr>
      <w:r w:rsidRPr="00AF0721">
        <w:rPr>
          <w:rStyle w:val="FootnoteReference"/>
          <w:sz w:val="18"/>
          <w:szCs w:val="18"/>
        </w:rPr>
        <w:footnoteRef/>
      </w:r>
      <w:r w:rsidRPr="00AF0721">
        <w:rPr>
          <w:sz w:val="18"/>
          <w:szCs w:val="18"/>
        </w:rPr>
        <w:t xml:space="preserve"> The relationship between society, classification and knowledge is elsewhere taken up explicitly by Durkheim and Mauss </w:t>
      </w:r>
      <w:r w:rsidRPr="00AF0721">
        <w:rPr>
          <w:sz w:val="18"/>
          <w:szCs w:val="18"/>
        </w:rPr>
        <w:fldChar w:fldCharType="begin"/>
      </w:r>
      <w:r w:rsidRPr="00AF0721">
        <w:rPr>
          <w:sz w:val="18"/>
          <w:szCs w:val="18"/>
        </w:rPr>
        <w:instrText xml:space="preserve"> ADDIN EN.CITE &lt;EndNote&gt;&lt;Cite ExcludeAuth="1"&gt;&lt;Author&gt;Durkheim&lt;/Author&gt;&lt;Year&gt;1969&lt;/Year&gt;&lt;IDText&gt;Primitive Classification&lt;/IDText&gt;&lt;DisplayText&gt;(1969)&lt;/DisplayText&gt;&lt;record&gt;&lt;keywords&gt;&lt;keyword&gt;Primitive societies&lt;/keyword&gt;&lt;keyword&gt;Classification&lt;/keyword&gt;&lt;keyword&gt;Knowledge, Classification of&lt;/keyword&gt;&lt;keyword&gt;Information organization&lt;/keyword&gt;&lt;keyword&gt;Man, Primitive&lt;/keyword&gt;&lt;keyword&gt;Primitive society&lt;/keyword&gt;&lt;keyword&gt;Society, Primitive&lt;/keyword&gt;&lt;keyword&gt;Social evolution&lt;/keyword&gt;&lt;/keywords&gt;&lt;titles&gt;&lt;title&gt;Primitive Classification&lt;/title&gt;&lt;/titles&gt;&lt;contributors&gt;&lt;authors&gt;&lt;author&gt;Durkheim, Émile&lt;/author&gt;&lt;author&gt;Mauss, Marcel&lt;/author&gt;&lt;/authors&gt;&lt;/contributors&gt;&lt;edition&gt;2nd ed.&lt;/edition&gt;&lt;added-date format="utc"&gt;1530838285&lt;/added-date&gt;&lt;pub-location&gt;London&lt;/pub-location&gt;&lt;ref-type name="Book"&gt;6&lt;/ref-type&gt;&lt;dates&gt;&lt;year&gt;1969&lt;/year&gt;&lt;/dates&gt;&lt;rec-number&gt;7596&lt;/rec-number&gt;&lt;publisher&gt;Cohen and West&lt;/publisher&gt;&lt;last-updated-date format="utc"&gt;1540915139&lt;/last-updated-date&gt;&lt;/record&gt;&lt;/Cite&gt;&lt;/EndNote&gt;</w:instrText>
      </w:r>
      <w:r w:rsidRPr="00AF0721">
        <w:rPr>
          <w:sz w:val="18"/>
          <w:szCs w:val="18"/>
        </w:rPr>
        <w:fldChar w:fldCharType="separate"/>
      </w:r>
      <w:r w:rsidRPr="00AF0721">
        <w:rPr>
          <w:noProof/>
          <w:sz w:val="18"/>
          <w:szCs w:val="18"/>
        </w:rPr>
        <w:t>(1969)</w:t>
      </w:r>
      <w:r w:rsidRPr="00AF0721">
        <w:rPr>
          <w:sz w:val="18"/>
          <w:szCs w:val="18"/>
        </w:rPr>
        <w:fldChar w:fldCharType="end"/>
      </w:r>
      <w:r w:rsidRPr="00AF0721">
        <w:rPr>
          <w:sz w:val="18"/>
          <w:szCs w:val="18"/>
        </w:rPr>
        <w:t xml:space="preserve">. As Bloor </w:t>
      </w:r>
      <w:r w:rsidRPr="00AF0721">
        <w:rPr>
          <w:sz w:val="18"/>
          <w:szCs w:val="18"/>
        </w:rPr>
        <w:fldChar w:fldCharType="begin"/>
      </w:r>
      <w:r w:rsidRPr="00AF0721">
        <w:rPr>
          <w:sz w:val="18"/>
          <w:szCs w:val="18"/>
        </w:rPr>
        <w:instrText xml:space="preserve"> ADDIN EN.CITE &lt;EndNote&gt;&lt;Cite ExcludeAuth="1"&gt;&lt;Author&gt;Bloor&lt;/Author&gt;&lt;Year&gt;2005&lt;/Year&gt;&lt;IDText&gt;Durkheim and Mauss Revisited: Classification and the Sociology of Knowledge&lt;/IDText&gt;&lt;DisplayText&gt;(2005)&lt;/DisplayText&gt;&lt;record&gt;&lt;keywords&gt;&lt;keyword&gt;Sociology of Knowledge&lt;/keyword&gt;&lt;keyword&gt;Classification&lt;/keyword&gt;&lt;keyword&gt;Durkheim, Emile&lt;/keyword&gt;&lt;keyword&gt;Theoretical Problems&lt;/keyword&gt;&lt;keyword&gt;Sociological Research&lt;/keyword&gt;&lt;keyword&gt;Sociology of Knowledge&lt;/keyword&gt;&lt;keyword&gt;Sociology of Knowledge&lt;/keyword&gt;&lt;keyword&gt;Bookitem&lt;/keyword&gt;&lt;/keywords&gt;&lt;titles&gt;&lt;title&gt;Durkheim and Mauss Revisited: Classification and the Sociology of Knowledge&lt;/title&gt;&lt;/titles&gt;&lt;pages&gt;67-92&lt;/pages&gt;&lt;contributors&gt;&lt;authors&gt;&lt;author&gt;Bloor, David&lt;/author&gt;&lt;/authors&gt;&lt;/contributors&gt;&lt;added-date format="utc"&gt;1540911460&lt;/added-date&gt;&lt;ref-type name="Book Section"&gt;5&lt;/ref-type&gt;&lt;dates&gt;&lt;year&gt;2005&lt;/year&gt;&lt;/dates&gt;&lt;rec-number&gt;7673&lt;/rec-number&gt;&lt;last-updated-date format="utc"&gt;1540911847&lt;/last-updated-date&gt;&lt;contributors&gt;&lt;secondary-authors&gt;&lt;author&gt;Levine, D.N.&lt;/author&gt;&lt;author&gt;Stehr, N.&lt;/author&gt;&lt;author&gt;Meja, M.&lt;/author&gt;&lt;/secondary-authors&gt;&lt;/contributors&gt;&lt;/record&gt;&lt;/Cite&gt;&lt;/EndNote&gt;</w:instrText>
      </w:r>
      <w:r w:rsidRPr="00AF0721">
        <w:rPr>
          <w:sz w:val="18"/>
          <w:szCs w:val="18"/>
        </w:rPr>
        <w:fldChar w:fldCharType="separate"/>
      </w:r>
      <w:r w:rsidRPr="00AF0721">
        <w:rPr>
          <w:noProof/>
          <w:sz w:val="18"/>
          <w:szCs w:val="18"/>
        </w:rPr>
        <w:t>(2005)</w:t>
      </w:r>
      <w:r w:rsidRPr="00AF0721">
        <w:rPr>
          <w:sz w:val="18"/>
          <w:szCs w:val="18"/>
        </w:rPr>
        <w:fldChar w:fldCharType="end"/>
      </w:r>
      <w:r w:rsidRPr="00AF0721">
        <w:rPr>
          <w:sz w:val="18"/>
          <w:szCs w:val="18"/>
        </w:rPr>
        <w:t xml:space="preserve"> summarises, they show how society is “constitutive of” </w:t>
      </w:r>
      <w:r w:rsidRPr="00AF0721">
        <w:rPr>
          <w:sz w:val="18"/>
          <w:szCs w:val="18"/>
        </w:rPr>
        <w:fldChar w:fldCharType="begin"/>
      </w:r>
      <w:r w:rsidRPr="00AF0721">
        <w:rPr>
          <w:sz w:val="18"/>
          <w:szCs w:val="18"/>
        </w:rPr>
        <w:instrText xml:space="preserve"> ADDIN EN.CITE &lt;EndNote&gt;&lt;Cite ExcludeAuth="1" ExcludeYear="1"&gt;&lt;Author&gt;Bloor&lt;/Author&gt;&lt;Year&gt;2005&lt;/Year&gt;&lt;IDText&gt;Durkheim and Mauss Revisited: Classification and the Sociology of Knowledge&lt;/IDText&gt;&lt;Pages&gt;80&lt;/Pages&gt;&lt;DisplayText&gt;(p. 80)&lt;/DisplayText&gt;&lt;record&gt;&lt;keywords&gt;&lt;keyword&gt;Sociology of Knowledge&lt;/keyword&gt;&lt;keyword&gt;Classification&lt;/keyword&gt;&lt;keyword&gt;Durkheim, Emile&lt;/keyword&gt;&lt;keyword&gt;Theoretical Problems&lt;/keyword&gt;&lt;keyword&gt;Sociological Research&lt;/keyword&gt;&lt;keyword&gt;Sociology of Knowledge&lt;/keyword&gt;&lt;keyword&gt;Sociology of Knowledge&lt;/keyword&gt;&lt;keyword&gt;Bookitem&lt;/keyword&gt;&lt;/keywords&gt;&lt;titles&gt;&lt;title&gt;Durkheim and Mauss Revisited: Classification and the Sociology of Knowledge&lt;/title&gt;&lt;/titles&gt;&lt;pages&gt;67-92&lt;/pages&gt;&lt;contributors&gt;&lt;authors&gt;&lt;author&gt;Bloor, David&lt;/author&gt;&lt;/authors&gt;&lt;/contributors&gt;&lt;added-date format="utc"&gt;1540911460&lt;/added-date&gt;&lt;ref-type name="Book Section"&gt;5&lt;/ref-type&gt;&lt;dates&gt;&lt;year&gt;2005&lt;/year&gt;&lt;/dates&gt;&lt;rec-number&gt;7673&lt;/rec-number&gt;&lt;last-updated-date format="utc"&gt;1540911847&lt;/last-updated-date&gt;&lt;contributors&gt;&lt;secondary-authors&gt;&lt;author&gt;Levine, D.N.&lt;/author&gt;&lt;author&gt;Stehr, N.&lt;/author&gt;&lt;author&gt;Meja, M.&lt;/author&gt;&lt;/secondary-authors&gt;&lt;/contributors&gt;&lt;/record&gt;&lt;/Cite&gt;&lt;/EndNote&gt;</w:instrText>
      </w:r>
      <w:r w:rsidRPr="00AF0721">
        <w:rPr>
          <w:sz w:val="18"/>
          <w:szCs w:val="18"/>
        </w:rPr>
        <w:fldChar w:fldCharType="separate"/>
      </w:r>
      <w:r w:rsidRPr="00AF0721">
        <w:rPr>
          <w:noProof/>
          <w:sz w:val="18"/>
          <w:szCs w:val="18"/>
        </w:rPr>
        <w:t>(p. 80)</w:t>
      </w:r>
      <w:r w:rsidRPr="00AF0721">
        <w:rPr>
          <w:sz w:val="18"/>
          <w:szCs w:val="18"/>
        </w:rPr>
        <w:fldChar w:fldCharType="end"/>
      </w:r>
      <w:r w:rsidRPr="00AF0721">
        <w:rPr>
          <w:sz w:val="18"/>
          <w:szCs w:val="18"/>
        </w:rPr>
        <w:t xml:space="preserve"> knowledge.</w:t>
      </w:r>
    </w:p>
  </w:footnote>
  <w:footnote w:id="6">
    <w:p w14:paraId="72FEEA06" w14:textId="05291AE3" w:rsidR="00883B69" w:rsidRPr="00167BEE" w:rsidRDefault="00883B69" w:rsidP="009928C1">
      <w:pPr>
        <w:tabs>
          <w:tab w:val="left" w:pos="1503"/>
        </w:tabs>
        <w:spacing w:after="0" w:line="240" w:lineRule="auto"/>
      </w:pPr>
      <w:r w:rsidRPr="00167BEE">
        <w:rPr>
          <w:rStyle w:val="FootnoteReference"/>
        </w:rPr>
        <w:footnoteRef/>
      </w:r>
      <w:r w:rsidRPr="00167BEE">
        <w:t xml:space="preserve"> </w:t>
      </w:r>
      <w:r w:rsidRPr="00167BEE">
        <w:rPr>
          <w:rFonts w:eastAsia="AdvTimes"/>
        </w:rPr>
        <w:t xml:space="preserve">However, even where the ‘costs’ are not directly financial, there are likely to be indirect </w:t>
      </w:r>
      <w:r>
        <w:rPr>
          <w:rFonts w:eastAsia="AdvTimes"/>
        </w:rPr>
        <w:t xml:space="preserve">financial costs of </w:t>
      </w:r>
      <w:r w:rsidRPr="00167BEE">
        <w:rPr>
          <w:rFonts w:eastAsia="AdvTimes"/>
        </w:rPr>
        <w:t>transacti</w:t>
      </w:r>
      <w:r>
        <w:rPr>
          <w:rFonts w:eastAsia="AdvTimes"/>
        </w:rPr>
        <w:t>ng</w:t>
      </w:r>
      <w:r w:rsidRPr="00167BEE">
        <w:rPr>
          <w:rFonts w:eastAsia="AdvTimes"/>
        </w:rPr>
        <w:t xml:space="preserve">; attempts to quantify transaction costs across the whole US economy found that “more than 45 percent of national income was devoted to transacting” </w:t>
      </w:r>
      <w:r w:rsidRPr="00167BEE">
        <w:rPr>
          <w:rFonts w:eastAsia="AdvTimes"/>
        </w:rPr>
        <w:fldChar w:fldCharType="begin"/>
      </w:r>
      <w:r w:rsidRPr="00167BEE">
        <w:rPr>
          <w:rFonts w:eastAsia="AdvTimes"/>
        </w:rPr>
        <w:instrText xml:space="preserve"> ADDIN EN.CITE &lt;EndNote&gt;&lt;Cite&gt;&lt;Author&gt;North&lt;/Author&gt;&lt;Year&gt;1990&lt;/Year&gt;&lt;IDText&gt;Institutions, Institutional Change and Economic Performance&lt;/IDText&gt;&lt;Pages&gt;28&lt;/Pages&gt;&lt;DisplayText&gt;(D. C. North, 1990, p. 28)&lt;/DisplayText&gt;&lt;record&gt;&lt;keywords&gt;&lt;keyword&gt;Institutional economics&lt;/keyword&gt;&lt;keyword&gt;Organisational change&lt;/keyword&gt;&lt;keyword&gt;Economic development&lt;/keyword&gt;&lt;keyword&gt;Institutional economics&lt;/keyword&gt;&lt;keyword&gt;Organizational change&lt;/keyword&gt;&lt;keyword&gt;Economic development&lt;/keyword&gt;&lt;keyword&gt;Economics&lt;/keyword&gt;&lt;keyword&gt;Economics&lt;/keyword&gt;&lt;keyword&gt;Development, Economic&lt;/keyword&gt;&lt;keyword&gt;Economic growth&lt;/keyword&gt;&lt;keyword&gt;Growth, Economic&lt;/keyword&gt;&lt;keyword&gt;Economic policy&lt;/keyword&gt;&lt;keyword&gt;Economics&lt;/keyword&gt;&lt;keyword&gt;Statics and dynamics (Social sciences)&lt;/keyword&gt;&lt;keyword&gt;Development economics&lt;/keyword&gt;&lt;keyword&gt;Resource curse&lt;/keyword&gt;&lt;keyword&gt;Development, Economic&lt;/keyword&gt;&lt;keyword&gt;Economic growth&lt;/keyword&gt;&lt;keyword&gt;Growth, Economic&lt;/keyword&gt;&lt;keyword&gt;Economic policy&lt;/keyword&gt;&lt;keyword&gt;Economics&lt;/keyword&gt;&lt;keyword&gt;Statics and dynamics (Social sciences)&lt;/keyword&gt;&lt;keyword&gt;Development economics&lt;/keyword&gt;&lt;keyword&gt;Resource curse&lt;/keyword&gt;&lt;keyword&gt;Change, Organizational&lt;/keyword&gt;&lt;keyword&gt;Organization development&lt;/keyword&gt;&lt;keyword&gt;Organizational development&lt;/keyword&gt;&lt;keyword&gt;Organizational innovation&lt;/keyword&gt;&lt;keyword&gt;Management&lt;/keyword&gt;&lt;keyword&gt;Organization&lt;/keyword&gt;&lt;keyword&gt;Manpower planning&lt;/keyword&gt;&lt;keyword&gt;Economics&lt;/keyword&gt;&lt;/keywords&gt;&lt;titles&gt;&lt;title&gt;Institutions, Institutional Change and Economic Performance&lt;/title&gt;&lt;/titles&gt;&lt;contributors&gt;&lt;authors&gt;&lt;author&gt;North, Douglass C.&lt;/author&gt;&lt;/authors&gt;&lt;/contributors&gt;&lt;added-date format="utc"&gt;1548789710&lt;/added-date&gt;&lt;pub-location&gt;Cambridge&lt;/pub-location&gt;&lt;ref-type name="Book"&gt;6&lt;/ref-type&gt;&lt;dates&gt;&lt;year&gt;1990&lt;/year&gt;&lt;/dates&gt;&lt;rec-number&gt;7701&lt;/rec-number&gt;&lt;publisher&gt;Cambridge University Press&lt;/publisher&gt;&lt;last-updated-date format="utc"&gt;1548789767&lt;/last-updated-date&gt;&lt;/record&gt;&lt;/Cite&gt;&lt;/EndNote&gt;</w:instrText>
      </w:r>
      <w:r w:rsidRPr="00167BEE">
        <w:rPr>
          <w:rFonts w:eastAsia="AdvTimes"/>
        </w:rPr>
        <w:fldChar w:fldCharType="separate"/>
      </w:r>
      <w:r w:rsidRPr="00167BEE">
        <w:rPr>
          <w:rFonts w:eastAsia="AdvTimes"/>
          <w:noProof/>
        </w:rPr>
        <w:t>(D. C. North, 1990, p. 28)</w:t>
      </w:r>
      <w:r w:rsidRPr="00167BEE">
        <w:rPr>
          <w:rFonts w:eastAsia="AdvTimes"/>
        </w:rPr>
        <w:fldChar w:fldCharType="end"/>
      </w:r>
      <w:r w:rsidRPr="00167BEE">
        <w:rPr>
          <w:rFonts w:eastAsia="AdvTimes"/>
        </w:rPr>
        <w:t>, that is, to the institutional upkeep, auditing, regulating, etc. of transactions across all forms of organisational and sectoral boundaries.</w:t>
      </w:r>
    </w:p>
    <w:p w14:paraId="4F7B70CE" w14:textId="12F8EF3E" w:rsidR="00883B69" w:rsidRDefault="00883B69" w:rsidP="009928C1">
      <w:pPr>
        <w:pStyle w:val="FootnoteText"/>
      </w:pPr>
    </w:p>
  </w:footnote>
  <w:footnote w:id="7">
    <w:p w14:paraId="70F91D2D" w14:textId="77777777" w:rsidR="00883B69" w:rsidRPr="009E1F2D" w:rsidRDefault="00883B69" w:rsidP="00082217">
      <w:pPr>
        <w:pStyle w:val="CommentText"/>
        <w:spacing w:after="0"/>
        <w:contextualSpacing/>
        <w:rPr>
          <w:sz w:val="18"/>
          <w:szCs w:val="18"/>
        </w:rPr>
      </w:pPr>
      <w:r w:rsidRPr="009E1F2D">
        <w:rPr>
          <w:rStyle w:val="FootnoteReference"/>
          <w:sz w:val="18"/>
          <w:szCs w:val="18"/>
        </w:rPr>
        <w:footnoteRef/>
      </w:r>
      <w:r w:rsidRPr="009E1F2D">
        <w:rPr>
          <w:sz w:val="18"/>
          <w:szCs w:val="18"/>
        </w:rPr>
        <w:t xml:space="preserve"> Although Bhaskar is most commonly portrayed as the main individual founder of critical realism, differing versions do exist, as discussed by Maxwell </w:t>
      </w:r>
      <w:r w:rsidRPr="009E1F2D">
        <w:rPr>
          <w:sz w:val="18"/>
          <w:szCs w:val="18"/>
        </w:rPr>
        <w:fldChar w:fldCharType="begin"/>
      </w:r>
      <w:r w:rsidRPr="009E1F2D">
        <w:rPr>
          <w:sz w:val="18"/>
          <w:szCs w:val="18"/>
        </w:rPr>
        <w:instrText xml:space="preserve"> ADDIN EN.CITE &lt;EndNote&gt;&lt;Cite ExcludeAuth="1"&gt;&lt;Author&gt;Maxwell&lt;/Author&gt;&lt;Year&gt;2012&lt;/Year&gt;&lt;IDText&gt;A realist approach for qualitative research&lt;/IDText&gt;&lt;DisplayText&gt;(2012)&lt;/DisplayText&gt;&lt;record&gt;&lt;keywords&gt;&lt;keyword&gt;Qualitative research&lt;/keyword&gt;&lt;keyword&gt;Social sciences -- Research&lt;/keyword&gt;&lt;keyword&gt;Research -- Methodology&lt;/keyword&gt;&lt;keyword&gt;Social science research&lt;/keyword&gt;&lt;keyword&gt;Qualitative analysis (Research)&lt;/keyword&gt;&lt;keyword&gt;Qualitative methods (Research)&lt;/keyword&gt;&lt;keyword&gt;Research&lt;/keyword&gt;&lt;/keywords&gt;&lt;titles&gt;&lt;title&gt;A realist approach for qualitative research&lt;/title&gt;&lt;/titles&gt;&lt;contributors&gt;&lt;authors&gt;&lt;author&gt;Maxwell, Joseph Alex&lt;/author&gt;&lt;/authors&gt;&lt;/contributors&gt;&lt;added-date format="utc"&gt;1530655452&lt;/added-date&gt;&lt;pub-location&gt;Thousand Oaks&lt;/pub-location&gt;&lt;ref-type name="Book"&gt;6&lt;/ref-type&gt;&lt;dates&gt;&lt;year&gt;2012&lt;/year&gt;&lt;/dates&gt;&lt;rec-number&gt;7581&lt;/rec-number&gt;&lt;publisher&gt;SAGE&lt;/publisher&gt;&lt;last-updated-date format="utc"&gt;1530655670&lt;/last-updated-date&gt;&lt;/record&gt;&lt;/Cite&gt;&lt;/EndNote&gt;</w:instrText>
      </w:r>
      <w:r w:rsidRPr="009E1F2D">
        <w:rPr>
          <w:sz w:val="18"/>
          <w:szCs w:val="18"/>
        </w:rPr>
        <w:fldChar w:fldCharType="separate"/>
      </w:r>
      <w:r w:rsidRPr="009E1F2D">
        <w:rPr>
          <w:noProof/>
          <w:sz w:val="18"/>
          <w:szCs w:val="18"/>
        </w:rPr>
        <w:t>(2012)</w:t>
      </w:r>
      <w:r w:rsidRPr="009E1F2D">
        <w:rPr>
          <w:sz w:val="18"/>
          <w:szCs w:val="18"/>
        </w:rPr>
        <w:fldChar w:fldCharType="end"/>
      </w:r>
      <w:r w:rsidRPr="009E1F2D">
        <w:rPr>
          <w:sz w:val="18"/>
          <w:szCs w:val="18"/>
        </w:rPr>
        <w:t>.</w:t>
      </w:r>
    </w:p>
  </w:footnote>
  <w:footnote w:id="8">
    <w:p w14:paraId="1FE12CA7" w14:textId="77777777" w:rsidR="00883B69" w:rsidRPr="005D2666" w:rsidRDefault="00883B69" w:rsidP="00082217">
      <w:pPr>
        <w:pStyle w:val="FootnoteText"/>
        <w:contextualSpacing/>
        <w:rPr>
          <w:sz w:val="22"/>
          <w:szCs w:val="22"/>
        </w:rPr>
      </w:pPr>
      <w:r w:rsidRPr="009E1F2D">
        <w:rPr>
          <w:rStyle w:val="FootnoteReference"/>
          <w:sz w:val="18"/>
          <w:szCs w:val="18"/>
        </w:rPr>
        <w:footnoteRef/>
      </w:r>
      <w:r w:rsidRPr="009E1F2D">
        <w:rPr>
          <w:sz w:val="18"/>
          <w:szCs w:val="18"/>
        </w:rPr>
        <w:t xml:space="preserve"> The insight that “it is the nature of objects that determines their cognitive possibilities for us” </w:t>
      </w:r>
      <w:r w:rsidRPr="009E1F2D">
        <w:rPr>
          <w:sz w:val="18"/>
          <w:szCs w:val="18"/>
        </w:rPr>
        <w:fldChar w:fldCharType="begin"/>
      </w:r>
      <w:r w:rsidRPr="009E1F2D">
        <w:rPr>
          <w:sz w:val="18"/>
          <w:szCs w:val="18"/>
        </w:rPr>
        <w:instrText xml:space="preserve"> ADDIN EN.CITE &lt;EndNote&gt;&lt;Cite&gt;&lt;Author&gt;Bhaskar&lt;/Author&gt;&lt;Year&gt;1998&lt;/Year&gt;&lt;IDText&gt;The possibility of naturalism: a philosophical critique of the contemporary human sciences&lt;/IDText&gt;&lt;Pages&gt;27&lt;/Pages&gt;&lt;DisplayText&gt;(Bhaskar, 1998b, p. 27)&lt;/DisplayText&gt;&lt;record&gt;&lt;keywords&gt;&lt;keyword&gt;Naturalism&lt;/keyword&gt;&lt;keyword&gt;Science -- Philosophy&lt;/keyword&gt;&lt;keyword&gt;Social sciences -- Philosophy&lt;/keyword&gt;&lt;keyword&gt;Electronic books&lt;/keyword&gt;&lt;/keywords&gt;&lt;titles&gt;&lt;title&gt;The possibility of naturalism: a philosophical critique of the contemporary human sciences&lt;/title&gt;&lt;/titles&gt;&lt;contributors&gt;&lt;authors&gt;&lt;author&gt;Bhaskar, Roy&lt;/author&gt;&lt;/authors&gt;&lt;/contributors&gt;&lt;edition&gt;3rd&lt;/edition&gt;&lt;added-date format="utc"&gt;1452809758&lt;/added-date&gt;&lt;pub-location&gt;London&lt;/pub-location&gt;&lt;ref-type name="Book"&gt;6&lt;/ref-type&gt;&lt;dates&gt;&lt;year&gt;1998&lt;/year&gt;&lt;/dates&gt;&lt;rec-number&gt;204&lt;/rec-number&gt;&lt;publisher&gt;Routledge&lt;/publisher&gt;&lt;last-updated-date format="utc"&gt;1469215468&lt;/last-updated-date&gt;&lt;/record&gt;&lt;/Cite&gt;&lt;/EndNote&gt;</w:instrText>
      </w:r>
      <w:r w:rsidRPr="009E1F2D">
        <w:rPr>
          <w:sz w:val="18"/>
          <w:szCs w:val="18"/>
        </w:rPr>
        <w:fldChar w:fldCharType="separate"/>
      </w:r>
      <w:r w:rsidRPr="009E1F2D">
        <w:rPr>
          <w:noProof/>
          <w:sz w:val="18"/>
          <w:szCs w:val="18"/>
        </w:rPr>
        <w:t>(Bhaskar, 1998b, p. 27)</w:t>
      </w:r>
      <w:r w:rsidRPr="009E1F2D">
        <w:rPr>
          <w:sz w:val="18"/>
          <w:szCs w:val="18"/>
        </w:rPr>
        <w:fldChar w:fldCharType="end"/>
      </w:r>
      <w:r w:rsidRPr="009E1F2D">
        <w:rPr>
          <w:sz w:val="18"/>
          <w:szCs w:val="18"/>
        </w:rPr>
        <w:t xml:space="preserve"> – which Bhaskar initially applies to the possibility of our knowledge of society itself – also underpins Young’s (2008) theory of disciplinary knowledge. Critical realist philosophy thus fundamentally, albeit sometimes indirectly, influences my understanding of the notions of knowledge and disciplinarity.</w:t>
      </w:r>
      <w:r w:rsidRPr="005D2666">
        <w:rPr>
          <w:sz w:val="22"/>
          <w:szCs w:val="22"/>
        </w:rPr>
        <w:t xml:space="preserve">  </w:t>
      </w:r>
    </w:p>
  </w:footnote>
  <w:footnote w:id="9">
    <w:p w14:paraId="52D40BCB" w14:textId="12745950" w:rsidR="00883B69" w:rsidRPr="009B7F17" w:rsidRDefault="00883B69" w:rsidP="00986877">
      <w:pPr>
        <w:pStyle w:val="FootnoteText"/>
        <w:rPr>
          <w:sz w:val="18"/>
          <w:szCs w:val="18"/>
        </w:rPr>
      </w:pPr>
      <w:r w:rsidRPr="009B7F17">
        <w:rPr>
          <w:rStyle w:val="FootnoteReference"/>
          <w:sz w:val="18"/>
          <w:szCs w:val="18"/>
        </w:rPr>
        <w:footnoteRef/>
      </w:r>
      <w:r w:rsidRPr="009B7F17">
        <w:rPr>
          <w:sz w:val="18"/>
          <w:szCs w:val="18"/>
        </w:rPr>
        <w:t xml:space="preserve"> </w:t>
      </w:r>
      <w:r w:rsidRPr="00076C5E">
        <w:rPr>
          <w:rFonts w:eastAsia="Times New Roman"/>
          <w:sz w:val="18"/>
          <w:szCs w:val="18"/>
        </w:rPr>
        <w:t xml:space="preserve">Maximum variation sampling has been used in other research and theory-building contexts which are both theoretically and empirically close to my own. For example: B.R. Clark </w:t>
      </w:r>
      <w:r w:rsidRPr="00076C5E">
        <w:rPr>
          <w:rFonts w:eastAsia="Times New Roman"/>
          <w:sz w:val="18"/>
          <w:szCs w:val="18"/>
        </w:rPr>
        <w:fldChar w:fldCharType="begin"/>
      </w:r>
      <w:r w:rsidRPr="00076C5E">
        <w:rPr>
          <w:rFonts w:eastAsia="Times New Roman"/>
          <w:sz w:val="18"/>
          <w:szCs w:val="18"/>
        </w:rPr>
        <w:instrText xml:space="preserve"> ADDIN EN.CITE &lt;EndNote&gt;&lt;Cite ExcludeAuth="1"&gt;&lt;Author&gt;Clark&lt;/Author&gt;&lt;Year&gt;1983&lt;/Year&gt;&lt;IDText&gt;The higher education system: academic organisation in cross-national perspective&lt;/IDText&gt;&lt;DisplayText&gt;(1983)&lt;/DisplayText&gt;&lt;record&gt;&lt;keywords&gt;&lt;keyword&gt;Education, Higher&lt;/keyword&gt;&lt;keyword&gt;Education, Higher&lt;/keyword&gt;&lt;keyword&gt;Higher education Comparative studies&lt;/keyword&gt;&lt;/keywords&gt;&lt;titles&gt;&lt;title&gt;The higher education system: academic organisation in cross-national perspective&lt;/title&gt;&lt;/titles&gt;&lt;contributors&gt;&lt;authors&gt;&lt;author&gt;Clark, Burton R.&lt;/author&gt;&lt;/authors&gt;&lt;/contributors&gt;&lt;added-date format="utc"&gt;1458139548&lt;/added-date&gt;&lt;pub-location&gt;London&lt;/pub-location&gt;&lt;ref-type name="Book"&gt;6&lt;/ref-type&gt;&lt;dates&gt;&lt;year&gt;1983&lt;/year&gt;&lt;/dates&gt;&lt;rec-number&gt;294&lt;/rec-number&gt;&lt;publisher&gt;University of California Press&lt;/publisher&gt;&lt;last-updated-date format="utc"&gt;1470996932&lt;/last-updated-date&gt;&lt;/record&gt;&lt;/Cite&gt;&lt;/EndNote&gt;</w:instrText>
      </w:r>
      <w:r w:rsidRPr="00076C5E">
        <w:rPr>
          <w:rFonts w:eastAsia="Times New Roman"/>
          <w:sz w:val="18"/>
          <w:szCs w:val="18"/>
        </w:rPr>
        <w:fldChar w:fldCharType="separate"/>
      </w:r>
      <w:r w:rsidRPr="00076C5E">
        <w:rPr>
          <w:rFonts w:eastAsia="Times New Roman"/>
          <w:noProof/>
          <w:sz w:val="18"/>
          <w:szCs w:val="18"/>
        </w:rPr>
        <w:t>(1983)</w:t>
      </w:r>
      <w:r w:rsidRPr="00076C5E">
        <w:rPr>
          <w:rFonts w:eastAsia="Times New Roman"/>
          <w:sz w:val="18"/>
          <w:szCs w:val="18"/>
        </w:rPr>
        <w:fldChar w:fldCharType="end"/>
      </w:r>
      <w:r w:rsidRPr="00076C5E">
        <w:rPr>
          <w:rFonts w:eastAsia="Times New Roman"/>
          <w:sz w:val="18"/>
          <w:szCs w:val="18"/>
        </w:rPr>
        <w:t xml:space="preserve"> explores the range of ways in which national systems of higher education can be organised and co-ordinated by applying maximum variation to his comparative sample of different national systems; Cantwell </w:t>
      </w:r>
      <w:r w:rsidRPr="00076C5E">
        <w:rPr>
          <w:rFonts w:eastAsia="Times New Roman"/>
          <w:sz w:val="18"/>
          <w:szCs w:val="18"/>
        </w:rPr>
        <w:fldChar w:fldCharType="begin"/>
      </w:r>
      <w:r w:rsidRPr="00076C5E">
        <w:rPr>
          <w:rFonts w:eastAsia="Times New Roman"/>
          <w:sz w:val="18"/>
          <w:szCs w:val="18"/>
        </w:rPr>
        <w:instrText xml:space="preserve"> ADDIN EN.CITE &lt;EndNote&gt;&lt;Cite ExcludeAuth="1"&gt;&lt;Author&gt;Cantwell&lt;/Author&gt;&lt;Year&gt;2015&lt;/Year&gt;&lt;IDText&gt;Laboratory Management, Academic Production, and the Building Blocks of Academic Capitalism&lt;/IDText&gt;&lt;DisplayText&gt;(2015)&lt;/DisplayText&gt;&lt;record&gt;&lt;keywords&gt;&lt;keyword&gt;Research Universities&lt;/keyword&gt;&lt;keyword&gt;Laboratories&lt;/keyword&gt;&lt;keyword&gt;Social Systems&lt;/keyword&gt;&lt;keyword&gt;Social Theories&lt;/keyword&gt;&lt;keyword&gt;Qualitative Research&lt;/keyword&gt;&lt;/keywords&gt;&lt;isbn&gt;0018-1560&lt;/isbn&gt;&lt;titles&gt;&lt;title&gt;Laboratory Management, Academic Production, and the Building Blocks of Academic Capitalism&lt;/title&gt;&lt;secondary-title&gt;Higher Education: The International Journal of Higher Education Research&lt;/secondary-title&gt;&lt;/titles&gt;&lt;pages&gt;487-502&lt;/pages&gt;&lt;number&gt;3&lt;/number&gt;&lt;contributors&gt;&lt;authors&gt;&lt;author&gt;Cantwell, Brendan&lt;/author&gt;&lt;/authors&gt;&lt;/contributors&gt;&lt;added-date format="utc"&gt;1455906389&lt;/added-date&gt;&lt;ref-type name="Journal Article"&gt;17&lt;/ref-type&gt;&lt;dates&gt;&lt;year&gt;2015&lt;/year&gt;&lt;/dates&gt;&lt;rec-number&gt;242&lt;/rec-number&gt;&lt;last-updated-date format="utc"&gt;1469215468&lt;/last-updated-date&gt;&lt;electronic-resource-num&gt;10.1007/s10734-014-9851-9&lt;/electronic-resource-num&gt;&lt;volume&gt;70&lt;/volume&gt;&lt;/record&gt;&lt;/Cite&gt;&lt;/EndNote&gt;</w:instrText>
      </w:r>
      <w:r w:rsidRPr="00076C5E">
        <w:rPr>
          <w:rFonts w:eastAsia="Times New Roman"/>
          <w:sz w:val="18"/>
          <w:szCs w:val="18"/>
        </w:rPr>
        <w:fldChar w:fldCharType="separate"/>
      </w:r>
      <w:r w:rsidRPr="00076C5E">
        <w:rPr>
          <w:rFonts w:eastAsia="Times New Roman"/>
          <w:noProof/>
          <w:sz w:val="18"/>
          <w:szCs w:val="18"/>
        </w:rPr>
        <w:t>(2015)</w:t>
      </w:r>
      <w:r w:rsidRPr="00076C5E">
        <w:rPr>
          <w:rFonts w:eastAsia="Times New Roman"/>
          <w:sz w:val="18"/>
          <w:szCs w:val="18"/>
        </w:rPr>
        <w:fldChar w:fldCharType="end"/>
      </w:r>
      <w:r w:rsidRPr="00076C5E">
        <w:rPr>
          <w:rFonts w:eastAsia="Times New Roman"/>
          <w:sz w:val="18"/>
          <w:szCs w:val="18"/>
        </w:rPr>
        <w:t xml:space="preserve"> investigates the different strategies used by laboratory managers in US universities of varying levels of prestige and research intensity; Bernstein’s </w:t>
      </w:r>
      <w:r w:rsidRPr="00076C5E">
        <w:rPr>
          <w:rFonts w:eastAsia="Times New Roman"/>
          <w:sz w:val="18"/>
          <w:szCs w:val="18"/>
        </w:rPr>
        <w:fldChar w:fldCharType="begin"/>
      </w:r>
      <w:r w:rsidRPr="00076C5E">
        <w:rPr>
          <w:rFonts w:eastAsia="Times New Roman"/>
          <w:sz w:val="18"/>
          <w:szCs w:val="18"/>
        </w:rPr>
        <w:instrText xml:space="preserve"> ADDIN EN.CITE &lt;EndNote&gt;&lt;Cite ExcludeAuth="1"&gt;&lt;Author&gt;Bernstein&lt;/Author&gt;&lt;Year&gt;2000&lt;/Year&gt;&lt;IDText&gt;Pedagogy, symbolic control, and identity: Theory, research, critique&lt;/IDText&gt;&lt;DisplayText&gt;(2000)&lt;/DisplayText&gt;&lt;record&gt;&lt;isbn&gt;084769576X&lt;/isbn&gt;&lt;titles&gt;&lt;title&gt;Pedagogy, symbolic control, and identity: Theory, research, critique&lt;/title&gt;&lt;/titles&gt;&lt;number&gt;4&lt;/number&gt;&lt;contributors&gt;&lt;authors&gt;&lt;author&gt;Bernstein, Basil&lt;/author&gt;&lt;/authors&gt;&lt;/contributors&gt;&lt;edition&gt;2nd&lt;/edition&gt;&lt;added-date format="utc"&gt;1452707855&lt;/added-date&gt;&lt;pub-location&gt;Oxford&lt;/pub-location&gt;&lt;ref-type name="Book"&gt;6&lt;/ref-type&gt;&lt;dates&gt;&lt;year&gt;2000&lt;/year&gt;&lt;/dates&gt;&lt;rec-number&gt;185&lt;/rec-number&gt;&lt;publisher&gt;Rowman &amp;amp; Littlefield&lt;/publisher&gt;&lt;last-updated-date format="utc"&gt;1477766808&lt;/last-updated-date&gt;&lt;/record&gt;&lt;/Cite&gt;&lt;/EndNote&gt;</w:instrText>
      </w:r>
      <w:r w:rsidRPr="00076C5E">
        <w:rPr>
          <w:rFonts w:eastAsia="Times New Roman"/>
          <w:sz w:val="18"/>
          <w:szCs w:val="18"/>
        </w:rPr>
        <w:fldChar w:fldCharType="separate"/>
      </w:r>
      <w:r w:rsidRPr="00076C5E">
        <w:rPr>
          <w:rFonts w:eastAsia="Times New Roman"/>
          <w:noProof/>
          <w:sz w:val="18"/>
          <w:szCs w:val="18"/>
        </w:rPr>
        <w:t>(2000)</w:t>
      </w:r>
      <w:r w:rsidRPr="00076C5E">
        <w:rPr>
          <w:rFonts w:eastAsia="Times New Roman"/>
          <w:sz w:val="18"/>
          <w:szCs w:val="18"/>
        </w:rPr>
        <w:fldChar w:fldCharType="end"/>
      </w:r>
      <w:r w:rsidRPr="00076C5E">
        <w:rPr>
          <w:rFonts w:eastAsia="Times New Roman"/>
          <w:sz w:val="18"/>
          <w:szCs w:val="18"/>
        </w:rPr>
        <w:t xml:space="preserve"> research reveals variations in identity-formation in various knowledge-based contexts (i.e. teaching, learning, research); lastly, Greenhalgh and Fahy (2015), in their multiple case study of approaches to impact in community health research, “selected a maximum variety sample to illustrate the full breadth of research designs and approaches to impact” (p. 3)</w:t>
      </w:r>
      <w:r>
        <w:rPr>
          <w:rFonts w:eastAsia="Times New Roman"/>
          <w:sz w:val="18"/>
          <w:szCs w:val="18"/>
        </w:rPr>
        <w:t xml:space="preserve">. </w:t>
      </w:r>
    </w:p>
  </w:footnote>
  <w:footnote w:id="10">
    <w:p w14:paraId="1B0706C8" w14:textId="5F8FAD92" w:rsidR="00883B69" w:rsidRDefault="00883B69" w:rsidP="00585F2E">
      <w:pPr>
        <w:pStyle w:val="FootnoteText"/>
      </w:pPr>
      <w:r w:rsidRPr="00CD73E7">
        <w:rPr>
          <w:rStyle w:val="FootnoteReference"/>
          <w:sz w:val="18"/>
          <w:szCs w:val="18"/>
        </w:rPr>
        <w:footnoteRef/>
      </w:r>
      <w:r w:rsidRPr="00CD73E7">
        <w:rPr>
          <w:sz w:val="18"/>
          <w:szCs w:val="18"/>
        </w:rPr>
        <w:t xml:space="preserve"> </w:t>
      </w:r>
      <w:r w:rsidRPr="00CD73E7">
        <w:rPr>
          <w:rFonts w:eastAsia="Times New Roman"/>
          <w:sz w:val="18"/>
          <w:szCs w:val="18"/>
        </w:rPr>
        <w:t xml:space="preserve">I am not suggesting that Basic research cannot also have applied implication or goals, or that scientists in these disciplines do not conduct applied </w:t>
      </w:r>
      <w:r w:rsidRPr="00CD73E7">
        <w:rPr>
          <w:rFonts w:asciiTheme="majorBidi" w:eastAsia="Times New Roman" w:hAnsiTheme="majorBidi" w:cstheme="majorBidi"/>
          <w:sz w:val="18"/>
          <w:szCs w:val="18"/>
        </w:rPr>
        <w:t xml:space="preserve">research; nor that Applied research cannot raise new challenges for basic science or, in some circumstance, directly advance fundamental understanding </w:t>
      </w:r>
      <w:r w:rsidRPr="00CD73E7">
        <w:rPr>
          <w:rFonts w:asciiTheme="majorBidi" w:hAnsiTheme="majorBidi" w:cstheme="majorBidi"/>
          <w:sz w:val="18"/>
          <w:szCs w:val="18"/>
        </w:rPr>
        <w:fldChar w:fldCharType="begin">
          <w:fldData xml:space="preserve">PEVuZE5vdGU+PENpdGU+PEF1dGhvcj5TdG9rZXM8L0F1dGhvcj48WWVhcj4xOTk3PC9ZZWFyPjxJ
RFRleHQ+UGFzdGV1ciZhcG9zO3MgcXVhZHJhbnQ6IEJhc2ljIFNjaWVuY2UgYW5kIFRlY2hub2xv
Z2ljYWwgSW5ub3ZhdGlvbjwvSURUZXh0PjxEaXNwbGF5VGV4dD4oU3Rva2VzLCAxOTk3OyBaaW1h
biwgMjAwNS8xOTk0KTwvRGlzcGxheVRleHQ+PHJlY29yZD48a2V5d29yZHM+PGtleXdvcmQ+VGVj
aG5vbG9neSBhbmQgc3RhdGUgLS0gVW5pdGVkIFN0YXRlczwva2V5d29yZD48a2V5d29yZD5SZXNl
YXJjaCAtLSBIaXN0b3J5PC9rZXl3b3JkPjxrZXl3b3JkPlBhcmFkaWdtIChUaGVvcnkgb2Yga25v
d2xlZGdlKTwva2V5d29yZD48a2V5d29yZD5TY2llbmNlIC0tIEhpc3Rvcnk8L2tleXdvcmQ+PGtl
eXdvcmQ+U2NpZW5jZSBhbmQgc3RhdGUgLS0gVW5pdGVkIFN0YXRlczwva2V5d29yZD48a2V5d29y
ZD5UZWNobm9sb2dpY2FsIGlubm92YXRpb25zIC0tIEhpc3Rvcnk8L2tleXdvcmQ+PGtleXdvcmQ+
ZyBLbm93bGVkZ2UsIFRoZW9yeSBvZjwva2V5d29yZD48L2tleXdvcmRzPjx0aXRsZXM+PHRpdGxl
PlBhc3RldXImYXBvcztzIHF1YWRyYW50OiBCYXNpYyBTY2llbmNlIGFuZCBUZWNobm9sb2dpY2Fs
IElubm92YXRpb248L3RpdGxlPjwvdGl0bGVzPjxjb250cmlidXRvcnM+PGF1dGhvcnM+PGF1dGhv
cj5TdG9rZXMsIERvbmFsZCBFLjwvYXV0aG9yPjwvYXV0aG9ycz48L2NvbnRyaWJ1dG9ycz48YWRk
ZWQtZGF0ZSBmb3JtYXQ9InV0YyI+MTQ2MzY0Mzk5OTwvYWRkZWQtZGF0ZT48cHViLWxvY2F0aW9u
Pldhc2hpbmd0b24sIEQuQy48L3B1Yi1sb2NhdGlvbj48cmVmLXR5cGUgbmFtZT0iQm9vayI+Njwv
cmVmLXR5cGU+PGRhdGVzPjx5ZWFyPjE5OTc8L3llYXI+PC9kYXRlcz48cmVjLW51bWJlcj4zODY8
L3JlYy1udW1iZXI+PHB1Ymxpc2hlcj5Ccm9va2luZ3MgSW5zdGl0dXRpb24gUHJlc3M8L3B1Ymxp
c2hlcj48bGFzdC11cGRhdGVkLWRhdGUgZm9ybWF0PSJ1dGMiPjE0NjkyMTU0Njg8L2xhc3QtdXBk
YXRlZC1kYXRlPjwvcmVjb3JkPjwvQ2l0ZT48Q2l0ZT48QXV0aG9yPlppbWFuPC9BdXRob3I+PFll
YXI+MjAwNS8xOTk0PC9ZZWFyPjxJRFRleHQ+UHJvbWV0aGV1cyBib3VuZDogc2NpZW5jZSBpbiBh
IGR5bmFtaWMgc3RlYWR5IHN0YXRlPC9JRFRleHQ+PHJlY29yZD48a2V5d29yZHM+PGtleXdvcmQ+
U2NpZW5jZSBhbmQgc3RhdGU8L2tleXdvcmQ+PGtleXdvcmQ+U2NpZW5jZSAtLSBTb2NpYWwgYXNw
ZWN0czwva2V5d29yZD48a2V5d29yZD5SZXNlYXJjaCAtLSBNYW5hZ2VtZW50PC9rZXl3b3JkPjxr
ZXl3b3JkPlJlc2VhcmNoIG1hbmFnZW1lbnQ8L2tleXdvcmQ+PGtleXdvcmQ+U2NpZW5jZSBhbmQg
c29jaWV0eTwva2V5d29yZD48a2V5d29yZD5Tb2Npb2xvZ3kgb2Ygc2NpZW5jZTwva2V5d29yZD48
a2V5d29yZD5TY2llbmNlIC0tIEdvdmVybm1lbnQgcG9saWN5PC9rZXl3b3JkPjxrZXl3b3JkPlNj
aWVuY2UgcG9saWN5PC9rZXl3b3JkPjxrZXl3b3JkPlN0YXRlIGFuZCBzY2llbmNlPC9rZXl3b3Jk
PjxrZXl3b3JkPmcgU3RhdGUsIFRoZTwva2V5d29yZD48L2tleXdvcmRzPjx0aXRsZXM+PHRpdGxl
PlByb21ldGhldXMgYm91bmQ6IHNjaWVuY2UgaW4gYSBkeW5hbWljIHN0ZWFkeSBzdGF0ZTwvdGl0
bGU+PC90aXRsZXM+PGNvbnRyaWJ1dG9ycz48YXV0aG9ycz48YXV0aG9yPlppbWFuLCBKLiBNLjwv
YXV0aG9yPjwvYXV0aG9ycz48L2NvbnRyaWJ1dG9ycz48YWRkZWQtZGF0ZSBmb3JtYXQ9InV0YyI+
MTQ2MzA2MzcxODwvYWRkZWQtZGF0ZT48cHViLWxvY2F0aW9uPkNhbWJyaWRnZTwvcHViLWxvY2F0
aW9uPjxyZWYtdHlwZSBuYW1lPSJCb29rIj42PC9yZWYtdHlwZT48ZGF0ZXM+PHllYXI+MjAwNS8x
OTk0PC95ZWFyPjwvZGF0ZXM+PHJlYy1udW1iZXI+MzgyPC9yZWMtbnVtYmVyPjxwdWJsaXNoZXI+
Q2FtYnJpZGdlIFVuaXZlcnNpdHkgUHJlc3M8L3B1Ymxpc2hlcj48bGFzdC11cGRhdGVkLWRhdGUg
Zm9ybWF0PSJ1dGMiPjE0NzUzMTkzNDQ8L2xhc3QtdXBkYXRlZC1kYXRlPjwvcmVjb3JkPjwvQ2l0
ZT48L0VuZE5vdGU+
</w:fldData>
        </w:fldChar>
      </w:r>
      <w:r w:rsidRPr="00CD73E7">
        <w:rPr>
          <w:rFonts w:asciiTheme="majorBidi" w:hAnsiTheme="majorBidi" w:cstheme="majorBidi"/>
          <w:sz w:val="18"/>
          <w:szCs w:val="18"/>
        </w:rPr>
        <w:instrText xml:space="preserve"> ADDIN EN.CITE </w:instrText>
      </w:r>
      <w:r w:rsidRPr="00CD73E7">
        <w:rPr>
          <w:rFonts w:asciiTheme="majorBidi" w:hAnsiTheme="majorBidi" w:cstheme="majorBidi"/>
          <w:sz w:val="18"/>
          <w:szCs w:val="18"/>
        </w:rPr>
        <w:fldChar w:fldCharType="begin">
          <w:fldData xml:space="preserve">PEVuZE5vdGU+PENpdGU+PEF1dGhvcj5TdG9rZXM8L0F1dGhvcj48WWVhcj4xOTk3PC9ZZWFyPjxJ
RFRleHQ+UGFzdGV1ciZhcG9zO3MgcXVhZHJhbnQ6IEJhc2ljIFNjaWVuY2UgYW5kIFRlY2hub2xv
Z2ljYWwgSW5ub3ZhdGlvbjwvSURUZXh0PjxEaXNwbGF5VGV4dD4oU3Rva2VzLCAxOTk3OyBaaW1h
biwgMjAwNS8xOTk0KTwvRGlzcGxheVRleHQ+PHJlY29yZD48a2V5d29yZHM+PGtleXdvcmQ+VGVj
aG5vbG9neSBhbmQgc3RhdGUgLS0gVW5pdGVkIFN0YXRlczwva2V5d29yZD48a2V5d29yZD5SZXNl
YXJjaCAtLSBIaXN0b3J5PC9rZXl3b3JkPjxrZXl3b3JkPlBhcmFkaWdtIChUaGVvcnkgb2Yga25v
d2xlZGdlKTwva2V5d29yZD48a2V5d29yZD5TY2llbmNlIC0tIEhpc3Rvcnk8L2tleXdvcmQ+PGtl
eXdvcmQ+U2NpZW5jZSBhbmQgc3RhdGUgLS0gVW5pdGVkIFN0YXRlczwva2V5d29yZD48a2V5d29y
ZD5UZWNobm9sb2dpY2FsIGlubm92YXRpb25zIC0tIEhpc3Rvcnk8L2tleXdvcmQ+PGtleXdvcmQ+
ZyBLbm93bGVkZ2UsIFRoZW9yeSBvZjwva2V5d29yZD48L2tleXdvcmRzPjx0aXRsZXM+PHRpdGxl
PlBhc3RldXImYXBvcztzIHF1YWRyYW50OiBCYXNpYyBTY2llbmNlIGFuZCBUZWNobm9sb2dpY2Fs
IElubm92YXRpb248L3RpdGxlPjwvdGl0bGVzPjxjb250cmlidXRvcnM+PGF1dGhvcnM+PGF1dGhv
cj5TdG9rZXMsIERvbmFsZCBFLjwvYXV0aG9yPjwvYXV0aG9ycz48L2NvbnRyaWJ1dG9ycz48YWRk
ZWQtZGF0ZSBmb3JtYXQ9InV0YyI+MTQ2MzY0Mzk5OTwvYWRkZWQtZGF0ZT48cHViLWxvY2F0aW9u
Pldhc2hpbmd0b24sIEQuQy48L3B1Yi1sb2NhdGlvbj48cmVmLXR5cGUgbmFtZT0iQm9vayI+Njwv
cmVmLXR5cGU+PGRhdGVzPjx5ZWFyPjE5OTc8L3llYXI+PC9kYXRlcz48cmVjLW51bWJlcj4zODY8
L3JlYy1udW1iZXI+PHB1Ymxpc2hlcj5Ccm9va2luZ3MgSW5zdGl0dXRpb24gUHJlc3M8L3B1Ymxp
c2hlcj48bGFzdC11cGRhdGVkLWRhdGUgZm9ybWF0PSJ1dGMiPjE0NjkyMTU0Njg8L2xhc3QtdXBk
YXRlZC1kYXRlPjwvcmVjb3JkPjwvQ2l0ZT48Q2l0ZT48QXV0aG9yPlppbWFuPC9BdXRob3I+PFll
YXI+MjAwNS8xOTk0PC9ZZWFyPjxJRFRleHQ+UHJvbWV0aGV1cyBib3VuZDogc2NpZW5jZSBpbiBh
IGR5bmFtaWMgc3RlYWR5IHN0YXRlPC9JRFRleHQ+PHJlY29yZD48a2V5d29yZHM+PGtleXdvcmQ+
U2NpZW5jZSBhbmQgc3RhdGU8L2tleXdvcmQ+PGtleXdvcmQ+U2NpZW5jZSAtLSBTb2NpYWwgYXNw
ZWN0czwva2V5d29yZD48a2V5d29yZD5SZXNlYXJjaCAtLSBNYW5hZ2VtZW50PC9rZXl3b3JkPjxr
ZXl3b3JkPlJlc2VhcmNoIG1hbmFnZW1lbnQ8L2tleXdvcmQ+PGtleXdvcmQ+U2NpZW5jZSBhbmQg
c29jaWV0eTwva2V5d29yZD48a2V5d29yZD5Tb2Npb2xvZ3kgb2Ygc2NpZW5jZTwva2V5d29yZD48
a2V5d29yZD5TY2llbmNlIC0tIEdvdmVybm1lbnQgcG9saWN5PC9rZXl3b3JkPjxrZXl3b3JkPlNj
aWVuY2UgcG9saWN5PC9rZXl3b3JkPjxrZXl3b3JkPlN0YXRlIGFuZCBzY2llbmNlPC9rZXl3b3Jk
PjxrZXl3b3JkPmcgU3RhdGUsIFRoZTwva2V5d29yZD48L2tleXdvcmRzPjx0aXRsZXM+PHRpdGxl
PlByb21ldGhldXMgYm91bmQ6IHNjaWVuY2UgaW4gYSBkeW5hbWljIHN0ZWFkeSBzdGF0ZTwvdGl0
bGU+PC90aXRsZXM+PGNvbnRyaWJ1dG9ycz48YXV0aG9ycz48YXV0aG9yPlppbWFuLCBKLiBNLjwv
YXV0aG9yPjwvYXV0aG9ycz48L2NvbnRyaWJ1dG9ycz48YWRkZWQtZGF0ZSBmb3JtYXQ9InV0YyI+
MTQ2MzA2MzcxODwvYWRkZWQtZGF0ZT48cHViLWxvY2F0aW9uPkNhbWJyaWRnZTwvcHViLWxvY2F0
aW9uPjxyZWYtdHlwZSBuYW1lPSJCb29rIj42PC9yZWYtdHlwZT48ZGF0ZXM+PHllYXI+MjAwNS8x
OTk0PC95ZWFyPjwvZGF0ZXM+PHJlYy1udW1iZXI+MzgyPC9yZWMtbnVtYmVyPjxwdWJsaXNoZXI+
Q2FtYnJpZGdlIFVuaXZlcnNpdHkgUHJlc3M8L3B1Ymxpc2hlcj48bGFzdC11cGRhdGVkLWRhdGUg
Zm9ybWF0PSJ1dGMiPjE0NzUzMTkzNDQ8L2xhc3QtdXBkYXRlZC1kYXRlPjwvcmVjb3JkPjwvQ2l0
ZT48L0VuZE5vdGU+
</w:fldData>
        </w:fldChar>
      </w:r>
      <w:r w:rsidRPr="00CD73E7">
        <w:rPr>
          <w:rFonts w:asciiTheme="majorBidi" w:hAnsiTheme="majorBidi" w:cstheme="majorBidi"/>
          <w:sz w:val="18"/>
          <w:szCs w:val="18"/>
        </w:rPr>
        <w:instrText xml:space="preserve"> ADDIN EN.CITE.DATA </w:instrText>
      </w:r>
      <w:r w:rsidRPr="00CD73E7">
        <w:rPr>
          <w:rFonts w:asciiTheme="majorBidi" w:hAnsiTheme="majorBidi" w:cstheme="majorBidi"/>
          <w:sz w:val="18"/>
          <w:szCs w:val="18"/>
        </w:rPr>
      </w:r>
      <w:r w:rsidRPr="00CD73E7">
        <w:rPr>
          <w:rFonts w:asciiTheme="majorBidi" w:hAnsiTheme="majorBidi" w:cstheme="majorBidi"/>
          <w:sz w:val="18"/>
          <w:szCs w:val="18"/>
        </w:rPr>
        <w:fldChar w:fldCharType="end"/>
      </w:r>
      <w:r w:rsidRPr="00CD73E7">
        <w:rPr>
          <w:rFonts w:asciiTheme="majorBidi" w:eastAsia="Times New Roman" w:hAnsiTheme="majorBidi" w:cstheme="majorBidi"/>
          <w:sz w:val="18"/>
          <w:szCs w:val="18"/>
        </w:rPr>
      </w:r>
      <w:r w:rsidRPr="00CD73E7">
        <w:rPr>
          <w:rFonts w:asciiTheme="majorBidi" w:eastAsia="Times New Roman" w:hAnsiTheme="majorBidi" w:cstheme="majorBidi"/>
          <w:sz w:val="18"/>
          <w:szCs w:val="18"/>
        </w:rPr>
        <w:fldChar w:fldCharType="separate"/>
      </w:r>
      <w:r w:rsidRPr="00CD73E7">
        <w:rPr>
          <w:rFonts w:asciiTheme="majorBidi" w:hAnsiTheme="majorBidi" w:cstheme="majorBidi"/>
          <w:noProof/>
          <w:sz w:val="18"/>
          <w:szCs w:val="18"/>
        </w:rPr>
        <w:t>(Stokes, 1997; Ziman, 2005/1994)</w:t>
      </w:r>
      <w:r w:rsidRPr="00CD73E7">
        <w:rPr>
          <w:rFonts w:asciiTheme="majorBidi" w:hAnsiTheme="majorBidi" w:cstheme="majorBidi"/>
          <w:sz w:val="18"/>
          <w:szCs w:val="18"/>
        </w:rPr>
        <w:fldChar w:fldCharType="end"/>
      </w:r>
      <w:r w:rsidRPr="00CD73E7">
        <w:rPr>
          <w:rFonts w:asciiTheme="majorBidi" w:hAnsiTheme="majorBidi" w:cstheme="majorBidi"/>
          <w:sz w:val="18"/>
          <w:szCs w:val="18"/>
        </w:rPr>
        <w:t>.</w:t>
      </w:r>
      <w:r>
        <w:rPr>
          <w:rFonts w:asciiTheme="majorBidi" w:hAnsiTheme="majorBidi" w:cstheme="majorBidi"/>
          <w:sz w:val="18"/>
          <w:szCs w:val="18"/>
        </w:rPr>
        <w:t xml:space="preserve"> </w:t>
      </w:r>
    </w:p>
  </w:footnote>
  <w:footnote w:id="11">
    <w:p w14:paraId="1506EF74" w14:textId="03F3A856" w:rsidR="00883B69" w:rsidRDefault="00883B69" w:rsidP="00082217">
      <w:pPr>
        <w:pStyle w:val="FootnoteText"/>
      </w:pPr>
      <w:r w:rsidRPr="00C022E4">
        <w:rPr>
          <w:rStyle w:val="FootnoteReference"/>
          <w:sz w:val="18"/>
          <w:szCs w:val="18"/>
        </w:rPr>
        <w:footnoteRef/>
      </w:r>
      <w:r w:rsidRPr="00C022E4">
        <w:rPr>
          <w:sz w:val="18"/>
          <w:szCs w:val="18"/>
        </w:rPr>
        <w:t xml:space="preserve"> I have removed the names of the institutions from this table so as not to draw attention to the individual</w:t>
      </w:r>
      <w:r>
        <w:rPr>
          <w:sz w:val="18"/>
          <w:szCs w:val="18"/>
        </w:rPr>
        <w:t xml:space="preserve"> universities here,</w:t>
      </w:r>
      <w:r w:rsidRPr="00C022E4">
        <w:rPr>
          <w:sz w:val="18"/>
          <w:szCs w:val="18"/>
        </w:rPr>
        <w:t xml:space="preserve"> but rather to focus on what is important about their contexts in relation to my study. However, the institutions are not anonymised in this study</w:t>
      </w:r>
      <w:r>
        <w:rPr>
          <w:sz w:val="18"/>
          <w:szCs w:val="18"/>
        </w:rPr>
        <w:t xml:space="preserve">, and are named elsewhere in this thesis. </w:t>
      </w:r>
    </w:p>
  </w:footnote>
  <w:footnote w:id="12">
    <w:p w14:paraId="461CE492" w14:textId="77777777" w:rsidR="00883B69" w:rsidRPr="001B7B04" w:rsidRDefault="00883B69" w:rsidP="00082217">
      <w:pPr>
        <w:pStyle w:val="FootnoteText"/>
        <w:rPr>
          <w:sz w:val="18"/>
          <w:szCs w:val="18"/>
        </w:rPr>
      </w:pPr>
      <w:r w:rsidRPr="001B7B04">
        <w:rPr>
          <w:rStyle w:val="FootnoteReference"/>
          <w:sz w:val="18"/>
          <w:szCs w:val="18"/>
        </w:rPr>
        <w:footnoteRef/>
      </w:r>
      <w:r w:rsidRPr="001B7B04">
        <w:rPr>
          <w:sz w:val="18"/>
          <w:szCs w:val="18"/>
        </w:rPr>
        <w:t xml:space="preserve"> </w:t>
      </w:r>
      <w:r w:rsidRPr="001B7B04">
        <w:rPr>
          <w:iCs/>
          <w:sz w:val="18"/>
          <w:szCs w:val="18"/>
        </w:rPr>
        <w:t>Environment Templates provide valuable information about the context in which the research is conducted, the departmental structure, its place in the wider institution, its approach to collaborations, and its role in supporting and engaging students, all of which will be relevant to my analysis.</w:t>
      </w:r>
    </w:p>
  </w:footnote>
  <w:footnote w:id="13">
    <w:p w14:paraId="1B4B80D6" w14:textId="187D00B7" w:rsidR="00883B69" w:rsidRPr="00AB4F5E" w:rsidRDefault="00883B69" w:rsidP="00082217">
      <w:pPr>
        <w:pStyle w:val="FootnoteText"/>
        <w:rPr>
          <w:sz w:val="18"/>
          <w:szCs w:val="18"/>
        </w:rPr>
      </w:pPr>
      <w:r w:rsidRPr="00AB4F5E">
        <w:rPr>
          <w:rStyle w:val="FootnoteReference"/>
          <w:sz w:val="18"/>
          <w:szCs w:val="18"/>
        </w:rPr>
        <w:footnoteRef/>
      </w:r>
      <w:r w:rsidRPr="00AB4F5E">
        <w:rPr>
          <w:sz w:val="18"/>
          <w:szCs w:val="18"/>
        </w:rPr>
        <w:t xml:space="preserve"> </w:t>
      </w:r>
      <w:r w:rsidRPr="00AB4F5E">
        <w:rPr>
          <w:iCs/>
          <w:sz w:val="18"/>
          <w:szCs w:val="18"/>
        </w:rPr>
        <w:t xml:space="preserve">Appendix </w:t>
      </w:r>
      <w:r>
        <w:rPr>
          <w:iCs/>
          <w:sz w:val="18"/>
          <w:szCs w:val="18"/>
        </w:rPr>
        <w:t>B</w:t>
      </w:r>
      <w:r w:rsidRPr="00AB4F5E">
        <w:rPr>
          <w:iCs/>
          <w:sz w:val="18"/>
          <w:szCs w:val="18"/>
        </w:rPr>
        <w:t xml:space="preserve"> gives an indicative interview schedule, but it should be noted that the conversations were designed to be relatively open and free-flowing, and that they were partly tailored to each individual.</w:t>
      </w:r>
    </w:p>
  </w:footnote>
  <w:footnote w:id="14">
    <w:p w14:paraId="743BFC4B" w14:textId="1AC73C5C" w:rsidR="00883B69" w:rsidRDefault="00883B69">
      <w:pPr>
        <w:pStyle w:val="FootnoteText"/>
      </w:pPr>
      <w:r>
        <w:rPr>
          <w:rStyle w:val="FootnoteReference"/>
        </w:rPr>
        <w:footnoteRef/>
      </w:r>
      <w:r>
        <w:t xml:space="preserve"> See Appendix E for the original typology.</w:t>
      </w:r>
    </w:p>
  </w:footnote>
  <w:footnote w:id="15">
    <w:p w14:paraId="0D2F42A2" w14:textId="77777777" w:rsidR="00883B69" w:rsidRPr="0041730F" w:rsidRDefault="00883B69" w:rsidP="00DE3159">
      <w:pPr>
        <w:spacing w:after="0" w:line="240" w:lineRule="auto"/>
      </w:pPr>
      <w:r w:rsidRPr="0041730F">
        <w:rPr>
          <w:rStyle w:val="FootnoteReference"/>
        </w:rPr>
        <w:footnoteRef/>
      </w:r>
      <w:r w:rsidRPr="0041730F">
        <w:t xml:space="preserve">Indeed, the concepts of ‘knowledge’ and ‘narrative’ are etymologically linked through the Latin root, </w:t>
      </w:r>
      <w:r w:rsidRPr="0041730F">
        <w:rPr>
          <w:i/>
        </w:rPr>
        <w:t xml:space="preserve">gna- </w:t>
      </w:r>
      <w:r w:rsidRPr="0041730F">
        <w:t>(</w:t>
      </w:r>
      <w:r w:rsidRPr="0041730F">
        <w:rPr>
          <w:i/>
        </w:rPr>
        <w:t>gnarus</w:t>
      </w:r>
      <w:r w:rsidRPr="0041730F">
        <w:t xml:space="preserve">, </w:t>
      </w:r>
      <w:r w:rsidRPr="0041730F">
        <w:rPr>
          <w:i/>
        </w:rPr>
        <w:t>gnarare)</w:t>
      </w:r>
      <w:r w:rsidRPr="0041730F">
        <w:t xml:space="preserve">, meaning ‘a telling’, from which both English words are derived </w:t>
      </w:r>
      <w:r w:rsidRPr="0041730F">
        <w:fldChar w:fldCharType="begin">
          <w:fldData xml:space="preserve">PEVuZE5vdGU+PENpdGU+PEF1dGhvcj5CcnVuZXI8L0F1dGhvcj48WWVhcj4yMDAzPC9ZZWFyPjxJ
RFRleHQ+TWFraW5nIHN0b3JpZXM6IGxhdywgbGl0ZXJhdHVyZSwgbGlmZTwvSURUZXh0PjxEaXNw
bGF5VGV4dD4oQnJ1bmVyLCAyMDAzOyBLdmVybmJla2sgJmFtcDsgRnJpbWFubnNzb24sIDIwMTM7
IFRvcmVsbCwgMjAwNSk8L0Rpc3BsYXlUZXh0PjxyZWNvcmQ+PGtleXdvcmRzPjxrZXl3b3JkPk5h
cnJhdGlvbiAoUmhldG9yaWMpPC9rZXl3b3JkPjxrZXl3b3JkPk5hcnJhdGlvbiAoUmhldG9yaWMp
IC0tIFBzeWNob2xvZ2ljYWwgYXNwZWN0czwva2V5d29yZD48a2V5d29yZD5MYXcgYW5kIGxpdGVy
YXR1cmU8L2tleXdvcmQ+PGtleXdvcmQ+TGl0ZXJhdHVyZSBhbmQgbGF3PC9rZXl3b3JkPjxrZXl3
b3JkPkxpdGVyYXR1cmU8L2tleXdvcmQ+PGtleXdvcmQ+TmFycmF0aXZlIChSaGV0b3JpYyk8L2tl
eXdvcmQ+PGtleXdvcmQ+TmFycmF0aXZlIHdyaXRpbmc8L2tleXdvcmQ+PGtleXdvcmQ+UmhldG9y
aWM8L2tleXdvcmQ+PGtleXdvcmQ+RGlzY291cnNlIGFuYWx5c2lzLCBOYXJyYXRpdmU8L2tleXdv
cmQ+PGtleXdvcmQ+TmFycmF0ZWVzIChSaGV0b3JpYyk8L2tleXdvcmQ+PC9rZXl3b3Jkcz48dGl0
bGVzPjx0aXRsZT5NYWtpbmcgc3RvcmllczogbGF3LCBsaXRlcmF0dXJlLCBsaWZlPC90aXRsZT48
L3RpdGxlcz48Y29udHJpYnV0b3JzPjxhdXRob3JzPjxhdXRob3I+QnJ1bmVyLCBKZXJvbWUgUy48
L2F1dGhvcj48L2F1dGhvcnM+PC9jb250cmlidXRvcnM+PGFkZGVkLWRhdGUgZm9ybWF0PSJ1dGMi
PjE1MjIxNjQxMzA8L2FkZGVkLWRhdGU+PHB1Yi1sb2NhdGlvbj5DYW1icmlkZ2UsIE1hc3MuPC9w
dWItbG9jYXRpb24+PHJlZi10eXBlIG5hbWU9IkJvb2siPjY8L3JlZi10eXBlPjxkYXRlcz48eWVh
cj4yMDAzPC95ZWFyPjwvZGF0ZXM+PHJlYy1udW1iZXI+NzQxNTwvcmVjLW51bWJlcj48cHVibGlz
aGVyPkhhcnZhcmQgVW5pdmVyc2l0eSBQcmVzczwvcHVibGlzaGVyPjxsYXN0LXVwZGF0ZWQtZGF0
ZSBmb3JtYXQ9InV0YyI+MTUyMjE2NDI0NTwvbGFzdC11cGRhdGVkLWRhdGU+PC9yZWNvcmQ+PC9D
aXRlPjxDaXRlPjxBdXRob3I+VG9yZWxsPC9BdXRob3I+PFllYXI+MjAwNTwvWWVhcj48SURUZXh0
PlRoZSBSb2xlIG9mIE5hcnJhdGlvbiBpbiBIaWdoIFN0YWtlcyBEZWNpc2lvbiBNYWtpbmc6ICZx
dW90O1RyYW5zbGF0aW5nIEtub3dpbmcgaW50byBUZWxsaW5nJnF1b3Q7PC9JRFRleHQ+PHJlY29y
ZD48aXNibj4zNTAzMDkwMjkwPC9pc2JuPjx0aXRsZXM+PHRpdGxlPlRoZSBSb2xlIG9mIE5hcnJh
dGlvbiBpbiBIaWdoIFN0YWtlcyBEZWNpc2lvbiBNYWtpbmc6ICZxdW90O1RyYW5zbGF0aW5nIEtu
b3dpbmcgaW50byBUZWxsaW5nJnF1b3Q7PC90aXRsZT48c2Vjb25kYXJ5LXRpdGxlPktub3dsZWRn
ZSBtYW5hZ2VtZW50IGFuZCBuYXJyYXRpdmVzOiBPcmdhbml6YXRpb25hbCBlZmZlY3RpdmVuZXNz
IHRocm91Z2ggc3Rvcnl0ZWxsaW5nPC9zZWNvbmRhcnktdGl0bGU+PC90aXRsZXM+PGNvbnRyaWJ1
dG9ycz48YXV0aG9ycz48YXV0aG9yPlRvcmVsbCwgQmFyYmFyYTwvYXV0aG9yPjwvYXV0aG9ycz48
L2NvbnRyaWJ1dG9ycz48YWRkZWQtZGF0ZSBmb3JtYXQ9InV0YyI+MTUyMjE2MjQ2ODwvYWRkZWQt
ZGF0ZT48cHViLWxvY2F0aW9uPkJlcmxpbjwvcHViLWxvY2F0aW9uPjxyZWYtdHlwZSBuYW1lPSJC
b29rIFNlY3Rpb24iPjU8L3JlZi10eXBlPjxkYXRlcz48eWVhcj4yMDA1PC95ZWFyPjwvZGF0ZXM+
PHJlYy1udW1iZXI+NzQxNDwvcmVjLW51bWJlcj48cHVibGlzaGVyPkVyaWNoIFNjaG1pZHQgVmVy
bGFnPC9wdWJsaXNoZXI+PGxhc3QtdXBkYXRlZC1kYXRlIGZvcm1hdD0idXRjIj4xNTIyMTYzNDM3
PC9sYXN0LXVwZGF0ZWQtZGF0ZT48Y29udHJpYnV0b3JzPjxzZWNvbmRhcnktYXV0aG9ycz48YXV0
aG9yPlNjaHJlecO2Z2csIEdlb3JnPC9hdXRob3I+PGF1dGhvcj5Lb2NoLCBKb2NoZW48L2F1dGhv
cj48L3NlY29uZGFyeS1hdXRob3JzPjwvY29udHJpYnV0b3JzPjwvcmVjb3JkPjwvQ2l0ZT48Q2l0
ZT48QXV0aG9yPkt2ZXJuYmVrazwvQXV0aG9yPjxZZWFyPjIwMTM8L1llYXI+PElEVGV4dD5OYXJy
YXRpdmU6IEEgQnJpZWYgSW50cm9kdWN0aW9uPC9JRFRleHQ+PHJlY29yZD48a2V5d29yZHM+PGtl
eXdvcmQ+UmhldG9yaWMgYW5kIENvbXBvc2l0aW9uPC9rZXl3b3JkPjxrZXl3b3JkPkRpc2NvdXJz
ZSBTdHVkaWVzPC9rZXl3b3JkPjxrZXl3b3JkPm9uIE5hcnJhdGl2ZTwva2V5d29yZD48L2tleXdv
cmRzPjxpc2JuPjAwMzEtMzgzMTwvaXNibj48dGl0bGVzPjx0aXRsZT5OYXJyYXRpdmU6IEEgQnJp
ZWYgSW50cm9kdWN0aW9uPC90aXRsZT48c2Vjb25kYXJ5LXRpdGxlPlNjYW5kaW5hdmlhbiBKb3Vy
bmFsIG9mIEVkdWNhdGlvbmFsIFJlc2VhcmNoPC9zZWNvbmRhcnktdGl0bGU+PC90aXRsZXM+PHBh
Z2VzPjEtMzwvcGFnZXM+PG51bWJlcj42PC9udW1iZXI+PGNvbnRyaWJ1dG9ycz48YXV0aG9ycz48
YXV0aG9yPkt2ZXJuYmVraywgVG9uZTwvYXV0aG9yPjxhdXRob3I+RnJpbWFubnNzb24sIEd1ZG11
bmR1ciBILjwvYXV0aG9yPjwvYXV0aG9ycz48L2NvbnRyaWJ1dG9ycz48YWRkZWQtZGF0ZSBmb3Jt
YXQ9InV0YyI+MTUyMjE3ODg0ODwvYWRkZWQtZGF0ZT48cmVmLXR5cGUgbmFtZT0iSm91cm5hbCBB
cnRpY2xlIj4xNzwvcmVmLXR5cGU+PGRhdGVzPjx5ZWFyPjIwMTM8L3llYXI+PC9kYXRlcz48cmVj
LW51bWJlcj43NDE2PC9yZWMtbnVtYmVyPjxwdWJsaXNoZXI+Um91dGxlZGdlPC9wdWJsaXNoZXI+
PGxhc3QtdXBkYXRlZC1kYXRlIGZvcm1hdD0idXRjIj4xNTIyMTc4ODQ4PC9sYXN0LXVwZGF0ZWQt
ZGF0ZT48ZWxlY3Ryb25pYy1yZXNvdXJjZS1udW0+MTAuMTA4MC8wMDMxMzgzMS4yMDEzLjc5ODgz
NjwvZWxlY3Ryb25pYy1yZXNvdXJjZS1udW0+PHZvbHVtZT41Nzwvdm9sdW1lPjwvcmVjb3JkPjwv
Q2l0ZT48L0VuZE5vdGU+AG==
</w:fldData>
        </w:fldChar>
      </w:r>
      <w:r w:rsidRPr="0041730F">
        <w:instrText xml:space="preserve"> ADDIN EN.CITE </w:instrText>
      </w:r>
      <w:r w:rsidRPr="0041730F">
        <w:fldChar w:fldCharType="begin">
          <w:fldData xml:space="preserve">PEVuZE5vdGU+PENpdGU+PEF1dGhvcj5CcnVuZXI8L0F1dGhvcj48WWVhcj4yMDAzPC9ZZWFyPjxJ
RFRleHQ+TWFraW5nIHN0b3JpZXM6IGxhdywgbGl0ZXJhdHVyZSwgbGlmZTwvSURUZXh0PjxEaXNw
bGF5VGV4dD4oQnJ1bmVyLCAyMDAzOyBLdmVybmJla2sgJmFtcDsgRnJpbWFubnNzb24sIDIwMTM7
IFRvcmVsbCwgMjAwNSk8L0Rpc3BsYXlUZXh0PjxyZWNvcmQ+PGtleXdvcmRzPjxrZXl3b3JkPk5h
cnJhdGlvbiAoUmhldG9yaWMpPC9rZXl3b3JkPjxrZXl3b3JkPk5hcnJhdGlvbiAoUmhldG9yaWMp
IC0tIFBzeWNob2xvZ2ljYWwgYXNwZWN0czwva2V5d29yZD48a2V5d29yZD5MYXcgYW5kIGxpdGVy
YXR1cmU8L2tleXdvcmQ+PGtleXdvcmQ+TGl0ZXJhdHVyZSBhbmQgbGF3PC9rZXl3b3JkPjxrZXl3
b3JkPkxpdGVyYXR1cmU8L2tleXdvcmQ+PGtleXdvcmQ+TmFycmF0aXZlIChSaGV0b3JpYyk8L2tl
eXdvcmQ+PGtleXdvcmQ+TmFycmF0aXZlIHdyaXRpbmc8L2tleXdvcmQ+PGtleXdvcmQ+UmhldG9y
aWM8L2tleXdvcmQ+PGtleXdvcmQ+RGlzY291cnNlIGFuYWx5c2lzLCBOYXJyYXRpdmU8L2tleXdv
cmQ+PGtleXdvcmQ+TmFycmF0ZWVzIChSaGV0b3JpYyk8L2tleXdvcmQ+PC9rZXl3b3Jkcz48dGl0
bGVzPjx0aXRsZT5NYWtpbmcgc3RvcmllczogbGF3LCBsaXRlcmF0dXJlLCBsaWZlPC90aXRsZT48
L3RpdGxlcz48Y29udHJpYnV0b3JzPjxhdXRob3JzPjxhdXRob3I+QnJ1bmVyLCBKZXJvbWUgUy48
L2F1dGhvcj48L2F1dGhvcnM+PC9jb250cmlidXRvcnM+PGFkZGVkLWRhdGUgZm9ybWF0PSJ1dGMi
PjE1MjIxNjQxMzA8L2FkZGVkLWRhdGU+PHB1Yi1sb2NhdGlvbj5DYW1icmlkZ2UsIE1hc3MuPC9w
dWItbG9jYXRpb24+PHJlZi10eXBlIG5hbWU9IkJvb2siPjY8L3JlZi10eXBlPjxkYXRlcz48eWVh
cj4yMDAzPC95ZWFyPjwvZGF0ZXM+PHJlYy1udW1iZXI+NzQxNTwvcmVjLW51bWJlcj48cHVibGlz
aGVyPkhhcnZhcmQgVW5pdmVyc2l0eSBQcmVzczwvcHVibGlzaGVyPjxsYXN0LXVwZGF0ZWQtZGF0
ZSBmb3JtYXQ9InV0YyI+MTUyMjE2NDI0NTwvbGFzdC11cGRhdGVkLWRhdGU+PC9yZWNvcmQ+PC9D
aXRlPjxDaXRlPjxBdXRob3I+VG9yZWxsPC9BdXRob3I+PFllYXI+MjAwNTwvWWVhcj48SURUZXh0
PlRoZSBSb2xlIG9mIE5hcnJhdGlvbiBpbiBIaWdoIFN0YWtlcyBEZWNpc2lvbiBNYWtpbmc6ICZx
dW90O1RyYW5zbGF0aW5nIEtub3dpbmcgaW50byBUZWxsaW5nJnF1b3Q7PC9JRFRleHQ+PHJlY29y
ZD48aXNibj4zNTAzMDkwMjkwPC9pc2JuPjx0aXRsZXM+PHRpdGxlPlRoZSBSb2xlIG9mIE5hcnJh
dGlvbiBpbiBIaWdoIFN0YWtlcyBEZWNpc2lvbiBNYWtpbmc6ICZxdW90O1RyYW5zbGF0aW5nIEtu
b3dpbmcgaW50byBUZWxsaW5nJnF1b3Q7PC90aXRsZT48c2Vjb25kYXJ5LXRpdGxlPktub3dsZWRn
ZSBtYW5hZ2VtZW50IGFuZCBuYXJyYXRpdmVzOiBPcmdhbml6YXRpb25hbCBlZmZlY3RpdmVuZXNz
IHRocm91Z2ggc3Rvcnl0ZWxsaW5nPC9zZWNvbmRhcnktdGl0bGU+PC90aXRsZXM+PGNvbnRyaWJ1
dG9ycz48YXV0aG9ycz48YXV0aG9yPlRvcmVsbCwgQmFyYmFyYTwvYXV0aG9yPjwvYXV0aG9ycz48
L2NvbnRyaWJ1dG9ycz48YWRkZWQtZGF0ZSBmb3JtYXQ9InV0YyI+MTUyMjE2MjQ2ODwvYWRkZWQt
ZGF0ZT48cHViLWxvY2F0aW9uPkJlcmxpbjwvcHViLWxvY2F0aW9uPjxyZWYtdHlwZSBuYW1lPSJC
b29rIFNlY3Rpb24iPjU8L3JlZi10eXBlPjxkYXRlcz48eWVhcj4yMDA1PC95ZWFyPjwvZGF0ZXM+
PHJlYy1udW1iZXI+NzQxNDwvcmVjLW51bWJlcj48cHVibGlzaGVyPkVyaWNoIFNjaG1pZHQgVmVy
bGFnPC9wdWJsaXNoZXI+PGxhc3QtdXBkYXRlZC1kYXRlIGZvcm1hdD0idXRjIj4xNTIyMTYzNDM3
PC9sYXN0LXVwZGF0ZWQtZGF0ZT48Y29udHJpYnV0b3JzPjxzZWNvbmRhcnktYXV0aG9ycz48YXV0
aG9yPlNjaHJlecO2Z2csIEdlb3JnPC9hdXRob3I+PGF1dGhvcj5Lb2NoLCBKb2NoZW48L2F1dGhv
cj48L3NlY29uZGFyeS1hdXRob3JzPjwvY29udHJpYnV0b3JzPjwvcmVjb3JkPjwvQ2l0ZT48Q2l0
ZT48QXV0aG9yPkt2ZXJuYmVrazwvQXV0aG9yPjxZZWFyPjIwMTM8L1llYXI+PElEVGV4dD5OYXJy
YXRpdmU6IEEgQnJpZWYgSW50cm9kdWN0aW9uPC9JRFRleHQ+PHJlY29yZD48a2V5d29yZHM+PGtl
eXdvcmQ+UmhldG9yaWMgYW5kIENvbXBvc2l0aW9uPC9rZXl3b3JkPjxrZXl3b3JkPkRpc2NvdXJz
ZSBTdHVkaWVzPC9rZXl3b3JkPjxrZXl3b3JkPm9uIE5hcnJhdGl2ZTwva2V5d29yZD48L2tleXdv
cmRzPjxpc2JuPjAwMzEtMzgzMTwvaXNibj48dGl0bGVzPjx0aXRsZT5OYXJyYXRpdmU6IEEgQnJp
ZWYgSW50cm9kdWN0aW9uPC90aXRsZT48c2Vjb25kYXJ5LXRpdGxlPlNjYW5kaW5hdmlhbiBKb3Vy
bmFsIG9mIEVkdWNhdGlvbmFsIFJlc2VhcmNoPC9zZWNvbmRhcnktdGl0bGU+PC90aXRsZXM+PHBh
Z2VzPjEtMzwvcGFnZXM+PG51bWJlcj42PC9udW1iZXI+PGNvbnRyaWJ1dG9ycz48YXV0aG9ycz48
YXV0aG9yPkt2ZXJuYmVraywgVG9uZTwvYXV0aG9yPjxhdXRob3I+RnJpbWFubnNzb24sIEd1ZG11
bmR1ciBILjwvYXV0aG9yPjwvYXV0aG9ycz48L2NvbnRyaWJ1dG9ycz48YWRkZWQtZGF0ZSBmb3Jt
YXQ9InV0YyI+MTUyMjE3ODg0ODwvYWRkZWQtZGF0ZT48cmVmLXR5cGUgbmFtZT0iSm91cm5hbCBB
cnRpY2xlIj4xNzwvcmVmLXR5cGU+PGRhdGVzPjx5ZWFyPjIwMTM8L3llYXI+PC9kYXRlcz48cmVj
LW51bWJlcj43NDE2PC9yZWMtbnVtYmVyPjxwdWJsaXNoZXI+Um91dGxlZGdlPC9wdWJsaXNoZXI+
PGxhc3QtdXBkYXRlZC1kYXRlIGZvcm1hdD0idXRjIj4xNTIyMTc4ODQ4PC9sYXN0LXVwZGF0ZWQt
ZGF0ZT48ZWxlY3Ryb25pYy1yZXNvdXJjZS1udW0+MTAuMTA4MC8wMDMxMzgzMS4yMDEzLjc5ODgz
NjwvZWxlY3Ryb25pYy1yZXNvdXJjZS1udW0+PHZvbHVtZT41Nzwvdm9sdW1lPjwvcmVjb3JkPjwv
Q2l0ZT48L0VuZE5vdGU+AG==
</w:fldData>
        </w:fldChar>
      </w:r>
      <w:r w:rsidRPr="0041730F">
        <w:instrText xml:space="preserve"> ADDIN EN.CITE.DATA </w:instrText>
      </w:r>
      <w:r w:rsidRPr="0041730F">
        <w:fldChar w:fldCharType="end"/>
      </w:r>
      <w:r w:rsidRPr="0041730F">
        <w:fldChar w:fldCharType="separate"/>
      </w:r>
      <w:r w:rsidRPr="0041730F">
        <w:rPr>
          <w:noProof/>
        </w:rPr>
        <w:t>(Bruner, 2003; Kvernbekk &amp; Frimannsson, 2013; Torell, 2005)</w:t>
      </w:r>
      <w:r w:rsidRPr="0041730F">
        <w:fldChar w:fldCharType="end"/>
      </w:r>
      <w:r>
        <w:t xml:space="preserve">. </w:t>
      </w:r>
    </w:p>
  </w:footnote>
  <w:footnote w:id="16">
    <w:p w14:paraId="5FFBA0ED" w14:textId="7A7B0A6F" w:rsidR="00883B69" w:rsidRPr="004F5A2C" w:rsidRDefault="00883B69">
      <w:pPr>
        <w:pStyle w:val="FootnoteText"/>
        <w:rPr>
          <w:sz w:val="18"/>
          <w:szCs w:val="18"/>
        </w:rPr>
      </w:pPr>
      <w:r w:rsidRPr="004F5A2C">
        <w:rPr>
          <w:rStyle w:val="FootnoteReference"/>
          <w:sz w:val="18"/>
          <w:szCs w:val="18"/>
        </w:rPr>
        <w:footnoteRef/>
      </w:r>
      <w:r w:rsidRPr="004F5A2C">
        <w:rPr>
          <w:sz w:val="18"/>
          <w:szCs w:val="18"/>
        </w:rPr>
        <w:t xml:space="preserve"> This aggregation is obtained by placing all typology values in</w:t>
      </w:r>
      <w:r w:rsidRPr="004F5A2C">
        <w:rPr>
          <w:sz w:val="18"/>
          <w:szCs w:val="18"/>
          <w:lang w:eastAsia="zh-TW"/>
        </w:rPr>
        <w:t xml:space="preserve"> a single spreadsheet within Microsoft Excel, with each value categorised to its specific BoR and attribute/activity. I then use Excel’s ‘sum’ and ‘average’ functions to generate the aggregate values.</w:t>
      </w:r>
    </w:p>
  </w:footnote>
  <w:footnote w:id="17">
    <w:p w14:paraId="038902F0" w14:textId="3A425FF2" w:rsidR="00883B69" w:rsidRPr="00E355DA" w:rsidRDefault="00883B69" w:rsidP="00390E79">
      <w:pPr>
        <w:pStyle w:val="FootnoteText"/>
        <w:rPr>
          <w:sz w:val="18"/>
          <w:szCs w:val="18"/>
        </w:rPr>
      </w:pPr>
      <w:r>
        <w:rPr>
          <w:rStyle w:val="FootnoteReference"/>
        </w:rPr>
        <w:footnoteRef/>
      </w:r>
      <w:r>
        <w:t xml:space="preserve"> </w:t>
      </w:r>
      <w:r>
        <w:rPr>
          <w:sz w:val="18"/>
          <w:szCs w:val="18"/>
        </w:rPr>
        <w:t>I am not suggesting that all instances of ‘outreach’ in my sample were homogenous, but only indicating that I have not examined or drawn on this heterogeneity in my analysis.</w:t>
      </w:r>
    </w:p>
  </w:footnote>
  <w:footnote w:id="18">
    <w:p w14:paraId="4EDB5219" w14:textId="00D69561" w:rsidR="00883B69" w:rsidRPr="00F10AB9" w:rsidRDefault="00883B69">
      <w:pPr>
        <w:pStyle w:val="FootnoteText"/>
        <w:rPr>
          <w:sz w:val="18"/>
          <w:szCs w:val="18"/>
        </w:rPr>
      </w:pPr>
      <w:r w:rsidRPr="00F10AB9">
        <w:rPr>
          <w:rStyle w:val="FootnoteReference"/>
          <w:sz w:val="18"/>
          <w:szCs w:val="18"/>
        </w:rPr>
        <w:footnoteRef/>
      </w:r>
      <w:r w:rsidRPr="00F10AB9">
        <w:rPr>
          <w:sz w:val="18"/>
          <w:szCs w:val="18"/>
        </w:rPr>
        <w:t xml:space="preserve"> Note that this table only counts each boundary transaction once per BoR, so each boundary transaction can only receive a maximum frequency of nineteen (as there were n=19 BoRs sampled). However, in practice, some BoRs exhibited the same type of boundary transaction more than once. </w:t>
      </w:r>
    </w:p>
  </w:footnote>
  <w:footnote w:id="19">
    <w:p w14:paraId="4468663C" w14:textId="16055F18" w:rsidR="00883B69" w:rsidRPr="00F10AB9" w:rsidRDefault="00883B69">
      <w:pPr>
        <w:pStyle w:val="FootnoteText"/>
        <w:rPr>
          <w:sz w:val="18"/>
          <w:szCs w:val="18"/>
        </w:rPr>
      </w:pPr>
      <w:r w:rsidRPr="00F10AB9">
        <w:rPr>
          <w:rStyle w:val="FootnoteReference"/>
          <w:sz w:val="18"/>
          <w:szCs w:val="18"/>
        </w:rPr>
        <w:footnoteRef/>
      </w:r>
      <w:r w:rsidRPr="00F10AB9">
        <w:rPr>
          <w:sz w:val="18"/>
          <w:szCs w:val="18"/>
        </w:rPr>
        <w:t xml:space="preserve"> Note that the three ‘phases’ are all grounded on key landmarks internal to each individual BoR, so that ‘Phase 1’ in one BoR may not be strictly comparable to ‘Phase 1’ in another. However, almost all BoRs did exhibit an increase in typology value from earliest to latest phases, and this finding is captured in the averages presented here.</w:t>
      </w:r>
    </w:p>
  </w:footnote>
  <w:footnote w:id="20">
    <w:p w14:paraId="13B30CD9" w14:textId="77777777" w:rsidR="00883B69" w:rsidRPr="00F10AB9" w:rsidRDefault="00883B69" w:rsidP="000C305E">
      <w:pPr>
        <w:pStyle w:val="FootnoteText"/>
        <w:rPr>
          <w:sz w:val="18"/>
          <w:szCs w:val="18"/>
        </w:rPr>
      </w:pPr>
      <w:r w:rsidRPr="00F10AB9">
        <w:rPr>
          <w:rStyle w:val="FootnoteReference"/>
          <w:sz w:val="18"/>
          <w:szCs w:val="18"/>
        </w:rPr>
        <w:footnoteRef/>
      </w:r>
      <w:r w:rsidRPr="00F10AB9">
        <w:rPr>
          <w:sz w:val="18"/>
          <w:szCs w:val="18"/>
        </w:rPr>
        <w:t xml:space="preserve"> See </w:t>
      </w:r>
      <w:hyperlink r:id="rId1" w:history="1">
        <w:r w:rsidRPr="00F10AB9">
          <w:rPr>
            <w:rStyle w:val="Hyperlink"/>
            <w:sz w:val="18"/>
            <w:szCs w:val="18"/>
          </w:rPr>
          <w:t>https://www.nhs.uk/conditions/ssri-antidepressants/side-effects/</w:t>
        </w:r>
      </w:hyperlink>
      <w:r w:rsidRPr="00F10AB9">
        <w:rPr>
          <w:sz w:val="18"/>
          <w:szCs w:val="18"/>
        </w:rPr>
        <w:t xml:space="preserve"> </w:t>
      </w:r>
    </w:p>
  </w:footnote>
  <w:footnote w:id="21">
    <w:p w14:paraId="5A7A5B5A" w14:textId="1C0924FA" w:rsidR="00883B69" w:rsidRPr="00F10AB9" w:rsidRDefault="00883B69">
      <w:pPr>
        <w:pStyle w:val="FootnoteText"/>
        <w:rPr>
          <w:sz w:val="18"/>
          <w:szCs w:val="18"/>
        </w:rPr>
      </w:pPr>
      <w:r w:rsidRPr="00F10AB9">
        <w:rPr>
          <w:rStyle w:val="FootnoteReference"/>
          <w:sz w:val="18"/>
          <w:szCs w:val="18"/>
        </w:rPr>
        <w:footnoteRef/>
      </w:r>
      <w:r w:rsidRPr="00F10AB9">
        <w:rPr>
          <w:sz w:val="18"/>
          <w:szCs w:val="18"/>
        </w:rPr>
        <w:t xml:space="preserve"> QUILL website available at </w:t>
      </w:r>
      <w:hyperlink r:id="rId2" w:history="1">
        <w:r w:rsidRPr="00F10AB9">
          <w:rPr>
            <w:rStyle w:val="Hyperlink"/>
            <w:sz w:val="18"/>
            <w:szCs w:val="18"/>
          </w:rPr>
          <w:t>https://www.qub.ac.uk/schools/SchoolofChemistryandChemicalEngineering/Research/QUILL/</w:t>
        </w:r>
      </w:hyperlink>
      <w:r w:rsidRPr="00F10AB9">
        <w:rPr>
          <w:sz w:val="18"/>
          <w:szCs w:val="18"/>
        </w:rPr>
        <w:t xml:space="preserve"> (accessed 19 January 2017).  </w:t>
      </w:r>
    </w:p>
  </w:footnote>
  <w:footnote w:id="22">
    <w:p w14:paraId="2CCF004B" w14:textId="77777777" w:rsidR="00883B69" w:rsidRPr="00F10AB9" w:rsidRDefault="00883B69" w:rsidP="00C93C80">
      <w:pPr>
        <w:pStyle w:val="FootnoteText"/>
        <w:rPr>
          <w:sz w:val="18"/>
          <w:szCs w:val="18"/>
        </w:rPr>
      </w:pPr>
      <w:r w:rsidRPr="00F10AB9">
        <w:rPr>
          <w:rStyle w:val="FootnoteReference"/>
          <w:sz w:val="18"/>
          <w:szCs w:val="18"/>
        </w:rPr>
        <w:footnoteRef/>
      </w:r>
      <w:r w:rsidRPr="00F10AB9">
        <w:rPr>
          <w:sz w:val="18"/>
          <w:szCs w:val="18"/>
        </w:rPr>
        <w:t xml:space="preserve"> QUILL’s pre-history involves nearly two decades of scientific research and argumentation, much of which went against prevailing mainstream scientific opinion, preferences and priorities. The individual mainly responsible for founding QUILL wrote about his earlier rejection of research council funding in 1982 to investigate the potential industrial application of ionic liquids </w:t>
      </w:r>
      <w:r w:rsidRPr="00F10AB9">
        <w:rPr>
          <w:sz w:val="18"/>
          <w:szCs w:val="18"/>
        </w:rPr>
        <w:fldChar w:fldCharType="begin"/>
      </w:r>
      <w:r w:rsidRPr="00F10AB9">
        <w:rPr>
          <w:sz w:val="18"/>
          <w:szCs w:val="18"/>
        </w:rPr>
        <w:instrText xml:space="preserve"> ADDIN EN.CITE &lt;EndNote&gt;&lt;Cite&gt;&lt;Author&gt;Seddon&lt;/Author&gt;&lt;Year&gt;1997&lt;/Year&gt;&lt;IDText&gt;Ionic Liquids for Clean Technology&lt;/IDText&gt;&lt;DisplayText&gt;(Seddon, 1997)&lt;/DisplayText&gt;&lt;record&gt;&lt;keywords&gt;&lt;keyword&gt;Ionic Liquids&lt;/keyword&gt;&lt;keyword&gt;Molten Salts&lt;/keyword&gt;&lt;keyword&gt;Clean Technology&lt;/keyword&gt;&lt;keyword&gt;Clean Synthesis&lt;/keyword&gt;&lt;keyword&gt;Neoteric Solvents&lt;/keyword&gt;&lt;keyword&gt;ChloroaluminatesIii&lt;/keyword&gt;&lt;/keywords&gt;&lt;isbn&gt;0268-2575&lt;/isbn&gt;&lt;titles&gt;&lt;title&gt;Ionic Liquids for Clean Technology&lt;/title&gt;&lt;/titles&gt;&lt;pages&gt;351-356&lt;/pages&gt;&lt;contributors&gt;&lt;authors&gt;&lt;author&gt;Seddon, Kenneth R.&lt;/author&gt;&lt;/authors&gt;&lt;/contributors&gt;&lt;added-date format="utc"&gt;1495046016&lt;/added-date&gt;&lt;pub-location&gt;Chichester, UK&lt;/pub-location&gt;&lt;ref-type name="Generic"&gt;13&lt;/ref-type&gt;&lt;dates&gt;&lt;year&gt;1997&lt;/year&gt;&lt;/dates&gt;&lt;rec-number&gt;6999&lt;/rec-number&gt;&lt;last-updated-date format="utc"&gt;1495046087&lt;/last-updated-date&gt;&lt;electronic-resource-num&gt;10.1002/(SICI)1097-4660(199704)68:4&amp;amp;lt;351::AID-JCTB613&amp;amp;gt;3.0.CO;2-4&lt;/electronic-resource-num&gt;&lt;volume&gt;68&lt;/volume&gt;&lt;/record&gt;&lt;/Cite&gt;&lt;/EndNote&gt;</w:instrText>
      </w:r>
      <w:r w:rsidRPr="00F10AB9">
        <w:rPr>
          <w:sz w:val="18"/>
          <w:szCs w:val="18"/>
        </w:rPr>
        <w:fldChar w:fldCharType="separate"/>
      </w:r>
      <w:r w:rsidRPr="00F10AB9">
        <w:rPr>
          <w:noProof/>
          <w:sz w:val="18"/>
          <w:szCs w:val="18"/>
        </w:rPr>
        <w:t>(Seddon, 1997)</w:t>
      </w:r>
      <w:r w:rsidRPr="00F10AB9">
        <w:rPr>
          <w:sz w:val="18"/>
          <w:szCs w:val="18"/>
        </w:rPr>
        <w:fldChar w:fldCharType="end"/>
      </w:r>
      <w:r w:rsidRPr="00F10AB9">
        <w:rPr>
          <w:sz w:val="18"/>
          <w:szCs w:val="18"/>
        </w:rPr>
        <w:t xml:space="preserve">: the first referee “stated that the systems were far too complicated, and therefore would never have any application”, the second “that the systems were far too simple, and the work was not worth doing”, and the third appeared to respond to the wrong proposal </w:t>
      </w:r>
      <w:r w:rsidRPr="00F10AB9">
        <w:rPr>
          <w:sz w:val="18"/>
          <w:szCs w:val="18"/>
        </w:rPr>
        <w:fldChar w:fldCharType="begin"/>
      </w:r>
      <w:r w:rsidRPr="00F10AB9">
        <w:rPr>
          <w:sz w:val="18"/>
          <w:szCs w:val="18"/>
        </w:rPr>
        <w:instrText xml:space="preserve"> ADDIN EN.CITE &lt;EndNote&gt;&lt;Cite ExcludeAuth="1" ExcludeYear="1"&gt;&lt;Author&gt;Seddon&lt;/Author&gt;&lt;Year&gt;1997&lt;/Year&gt;&lt;IDText&gt;Ionic Liquids for Clean Technology&lt;/IDText&gt;&lt;Pages&gt;351&lt;/Pages&gt;&lt;DisplayText&gt;(p. 351)&lt;/DisplayText&gt;&lt;record&gt;&lt;keywords&gt;&lt;keyword&gt;Ionic Liquids&lt;/keyword&gt;&lt;keyword&gt;Molten Salts&lt;/keyword&gt;&lt;keyword&gt;Clean Technology&lt;/keyword&gt;&lt;keyword&gt;Clean Synthesis&lt;/keyword&gt;&lt;keyword&gt;Neoteric Solvents&lt;/keyword&gt;&lt;keyword&gt;ChloroaluminatesIii&lt;/keyword&gt;&lt;/keywords&gt;&lt;isbn&gt;0268-2575&lt;/isbn&gt;&lt;titles&gt;&lt;title&gt;Ionic Liquids for Clean Technology&lt;/title&gt;&lt;/titles&gt;&lt;pages&gt;351-356&lt;/pages&gt;&lt;contributors&gt;&lt;authors&gt;&lt;author&gt;Seddon, Kenneth R.&lt;/author&gt;&lt;/authors&gt;&lt;/contributors&gt;&lt;added-date format="utc"&gt;1495046016&lt;/added-date&gt;&lt;pub-location&gt;Chichester, UK&lt;/pub-location&gt;&lt;ref-type name="Generic"&gt;13&lt;/ref-type&gt;&lt;dates&gt;&lt;year&gt;1997&lt;/year&gt;&lt;/dates&gt;&lt;rec-number&gt;6999&lt;/rec-number&gt;&lt;last-updated-date format="utc"&gt;1495046087&lt;/last-updated-date&gt;&lt;electronic-resource-num&gt;10.1002/(SICI)1097-4660(199704)68:4&amp;amp;lt;351::AID-JCTB613&amp;amp;gt;3.0.CO;2-4&lt;/electronic-resource-num&gt;&lt;volume&gt;68&lt;/volume&gt;&lt;/record&gt;&lt;/Cite&gt;&lt;/EndNote&gt;</w:instrText>
      </w:r>
      <w:r w:rsidRPr="00F10AB9">
        <w:rPr>
          <w:sz w:val="18"/>
          <w:szCs w:val="18"/>
        </w:rPr>
        <w:fldChar w:fldCharType="separate"/>
      </w:r>
      <w:r w:rsidRPr="00F10AB9">
        <w:rPr>
          <w:noProof/>
          <w:sz w:val="18"/>
          <w:szCs w:val="18"/>
        </w:rPr>
        <w:t>(p. 351)</w:t>
      </w:r>
      <w:r w:rsidRPr="00F10AB9">
        <w:rPr>
          <w:sz w:val="18"/>
          <w:szCs w:val="18"/>
        </w:rPr>
        <w:fldChar w:fldCharType="end"/>
      </w:r>
      <w:r w:rsidRPr="00F10AB9">
        <w:rPr>
          <w:sz w:val="18"/>
          <w:szCs w:val="18"/>
        </w:rPr>
        <w:t xml:space="preserve">. And fifteen years later, only two years before the establishment of QUILL, he was still experiencing scepticism, rhetorically opening his paper by asking: “Ionic liquids? Neoteric solvents? Molten salts for clean technology and catalysis? Are you serious?? Well, yes, I am serious” </w:t>
      </w:r>
      <w:r w:rsidRPr="00F10AB9">
        <w:rPr>
          <w:sz w:val="18"/>
          <w:szCs w:val="18"/>
        </w:rPr>
        <w:fldChar w:fldCharType="begin"/>
      </w:r>
      <w:r w:rsidRPr="00F10AB9">
        <w:rPr>
          <w:sz w:val="18"/>
          <w:szCs w:val="18"/>
        </w:rPr>
        <w:instrText xml:space="preserve"> ADDIN EN.CITE &lt;EndNote&gt;&lt;Cite&gt;&lt;Author&gt;Seddon&lt;/Author&gt;&lt;Year&gt;1997&lt;/Year&gt;&lt;IDText&gt;Ionic Liquids for Clean Technology&lt;/IDText&gt;&lt;Pages&gt;351&lt;/Pages&gt;&lt;DisplayText&gt;(Seddon, 1997, p. 351)&lt;/DisplayText&gt;&lt;record&gt;&lt;keywords&gt;&lt;keyword&gt;Ionic Liquids&lt;/keyword&gt;&lt;keyword&gt;Molten Salts&lt;/keyword&gt;&lt;keyword&gt;Clean Technology&lt;/keyword&gt;&lt;keyword&gt;Clean Synthesis&lt;/keyword&gt;&lt;keyword&gt;Neoteric Solvents&lt;/keyword&gt;&lt;keyword&gt;ChloroaluminatesIii&lt;/keyword&gt;&lt;/keywords&gt;&lt;isbn&gt;0268-2575&lt;/isbn&gt;&lt;titles&gt;&lt;title&gt;Ionic Liquids for Clean Technology&lt;/title&gt;&lt;/titles&gt;&lt;pages&gt;351-356&lt;/pages&gt;&lt;contributors&gt;&lt;authors&gt;&lt;author&gt;Seddon, Kenneth R.&lt;/author&gt;&lt;/authors&gt;&lt;/contributors&gt;&lt;added-date format="utc"&gt;1495046016&lt;/added-date&gt;&lt;pub-location&gt;Chichester, UK&lt;/pub-location&gt;&lt;ref-type name="Generic"&gt;13&lt;/ref-type&gt;&lt;dates&gt;&lt;year&gt;1997&lt;/year&gt;&lt;/dates&gt;&lt;rec-number&gt;6999&lt;/rec-number&gt;&lt;last-updated-date format="utc"&gt;1495046087&lt;/last-updated-date&gt;&lt;electronic-resource-num&gt;10.1002/(SICI)1097-4660(199704)68:4&amp;amp;lt;351::AID-JCTB613&amp;amp;gt;3.0.CO;2-4&lt;/electronic-resource-num&gt;&lt;volume&gt;68&lt;/volume&gt;&lt;/record&gt;&lt;/Cite&gt;&lt;/EndNote&gt;</w:instrText>
      </w:r>
      <w:r w:rsidRPr="00F10AB9">
        <w:rPr>
          <w:sz w:val="18"/>
          <w:szCs w:val="18"/>
        </w:rPr>
        <w:fldChar w:fldCharType="separate"/>
      </w:r>
      <w:r w:rsidRPr="00F10AB9">
        <w:rPr>
          <w:noProof/>
          <w:sz w:val="18"/>
          <w:szCs w:val="18"/>
        </w:rPr>
        <w:t>(Seddon, 1997, p. 351)</w:t>
      </w:r>
      <w:r w:rsidRPr="00F10AB9">
        <w:rPr>
          <w:sz w:val="18"/>
          <w:szCs w:val="18"/>
        </w:rPr>
        <w:fldChar w:fldCharType="end"/>
      </w:r>
      <w:r w:rsidRPr="00F10AB9">
        <w:rPr>
          <w:sz w:val="18"/>
          <w:szCs w:val="18"/>
        </w:rPr>
        <w:t>.</w:t>
      </w:r>
    </w:p>
  </w:footnote>
  <w:footnote w:id="23">
    <w:p w14:paraId="3FEC74B8" w14:textId="07D5EB41" w:rsidR="00883B69" w:rsidRPr="00F10AB9" w:rsidRDefault="00883B69">
      <w:pPr>
        <w:pStyle w:val="FootnoteText"/>
        <w:rPr>
          <w:sz w:val="18"/>
          <w:szCs w:val="18"/>
        </w:rPr>
      </w:pPr>
      <w:r w:rsidRPr="00F10AB9">
        <w:rPr>
          <w:rStyle w:val="FootnoteReference"/>
          <w:sz w:val="18"/>
          <w:szCs w:val="18"/>
        </w:rPr>
        <w:footnoteRef/>
      </w:r>
      <w:r w:rsidRPr="00F10AB9">
        <w:rPr>
          <w:sz w:val="18"/>
          <w:szCs w:val="18"/>
        </w:rPr>
        <w:t xml:space="preserve"> See for example </w:t>
      </w:r>
      <w:hyperlink r:id="rId3" w:history="1">
        <w:r w:rsidRPr="00F10AB9">
          <w:rPr>
            <w:rStyle w:val="Hyperlink"/>
            <w:sz w:val="18"/>
            <w:szCs w:val="18"/>
          </w:rPr>
          <w:t>http://www.chromoscope.net/</w:t>
        </w:r>
      </w:hyperlink>
      <w:r w:rsidRPr="00F10AB9">
        <w:rPr>
          <w:sz w:val="18"/>
          <w:szCs w:val="18"/>
        </w:rPr>
        <w:t xml:space="preserve"> and </w:t>
      </w:r>
      <w:hyperlink r:id="rId4" w:history="1">
        <w:r w:rsidRPr="00F10AB9">
          <w:rPr>
            <w:rStyle w:val="Hyperlink"/>
            <w:sz w:val="18"/>
            <w:szCs w:val="18"/>
          </w:rPr>
          <w:t>http://herschel.cf.ac.uk/</w:t>
        </w:r>
      </w:hyperlink>
      <w:r w:rsidRPr="00F10AB9">
        <w:rPr>
          <w:sz w:val="18"/>
          <w:szCs w:val="18"/>
        </w:rPr>
        <w:t xml:space="preserve">. </w:t>
      </w:r>
    </w:p>
  </w:footnote>
  <w:footnote w:id="24">
    <w:p w14:paraId="4DFA0090" w14:textId="224E3D48" w:rsidR="00883B69" w:rsidRPr="00F10AB9" w:rsidRDefault="00883B69">
      <w:pPr>
        <w:pStyle w:val="FootnoteText"/>
        <w:rPr>
          <w:sz w:val="18"/>
          <w:szCs w:val="18"/>
        </w:rPr>
      </w:pPr>
      <w:r w:rsidRPr="00F10AB9">
        <w:rPr>
          <w:rStyle w:val="FootnoteReference"/>
          <w:sz w:val="18"/>
          <w:szCs w:val="18"/>
        </w:rPr>
        <w:footnoteRef/>
      </w:r>
      <w:r w:rsidRPr="00F10AB9">
        <w:rPr>
          <w:sz w:val="18"/>
          <w:szCs w:val="18"/>
        </w:rPr>
        <w:t xml:space="preserve"> The term ‘token’ scientist expresses the respondent’s opinion that he may have only been invited to the discussion to add scientific credibility, but that he may not in fact have been influential in shaping policy decisions. </w:t>
      </w:r>
    </w:p>
  </w:footnote>
  <w:footnote w:id="25">
    <w:p w14:paraId="4EC10D51" w14:textId="77777777" w:rsidR="00883B69" w:rsidRPr="009A7438" w:rsidRDefault="00883B69" w:rsidP="00BE2BE6">
      <w:pPr>
        <w:spacing w:after="0" w:line="240" w:lineRule="auto"/>
        <w:contextualSpacing/>
        <w:rPr>
          <w:sz w:val="24"/>
          <w:szCs w:val="24"/>
        </w:rPr>
      </w:pPr>
      <w:r>
        <w:rPr>
          <w:rStyle w:val="FootnoteReference"/>
        </w:rPr>
        <w:footnoteRef/>
      </w:r>
      <w:r>
        <w:t xml:space="preserve"> </w:t>
      </w:r>
      <w:r w:rsidRPr="009A7438">
        <w:t>I acknowledge that academic identity is a contested term and one that has not been the conceptual focus of this thesis. Therefore, I do not aim to make general claims about academic identity, apart from to note that a particular conceptualisation of academic identity helps to explain the boundary-transacting experiences associated with several BoRs studied.</w:t>
      </w:r>
      <w:r>
        <w:rPr>
          <w:sz w:val="24"/>
          <w:szCs w:val="24"/>
        </w:rPr>
        <w:t xml:space="preserve"> </w:t>
      </w:r>
    </w:p>
  </w:footnote>
  <w:footnote w:id="26">
    <w:p w14:paraId="3DC645C7" w14:textId="7E9EE6DA" w:rsidR="00883B69" w:rsidRDefault="00883B69">
      <w:pPr>
        <w:pStyle w:val="FootnoteText"/>
      </w:pPr>
      <w:r>
        <w:rPr>
          <w:rStyle w:val="FootnoteReference"/>
        </w:rPr>
        <w:footnoteRef/>
      </w:r>
      <w:r>
        <w:t xml:space="preserve"> </w:t>
      </w:r>
      <w:r w:rsidRPr="00775AB1">
        <w:rPr>
          <w:sz w:val="18"/>
          <w:szCs w:val="18"/>
        </w:rPr>
        <w:t xml:space="preserve">The recent </w:t>
      </w:r>
      <w:r>
        <w:rPr>
          <w:sz w:val="18"/>
          <w:szCs w:val="18"/>
        </w:rPr>
        <w:t xml:space="preserve">news </w:t>
      </w:r>
      <w:r w:rsidRPr="00775AB1">
        <w:rPr>
          <w:sz w:val="18"/>
          <w:szCs w:val="18"/>
        </w:rPr>
        <w:t xml:space="preserve">around the funding of </w:t>
      </w:r>
      <w:r>
        <w:rPr>
          <w:sz w:val="18"/>
          <w:szCs w:val="18"/>
        </w:rPr>
        <w:t xml:space="preserve">the </w:t>
      </w:r>
      <w:r w:rsidRPr="00775AB1">
        <w:rPr>
          <w:sz w:val="18"/>
          <w:szCs w:val="18"/>
        </w:rPr>
        <w:t>Massachusetts Institute of Technology</w:t>
      </w:r>
      <w:r>
        <w:rPr>
          <w:sz w:val="18"/>
          <w:szCs w:val="18"/>
        </w:rPr>
        <w:t>’s</w:t>
      </w:r>
      <w:r w:rsidRPr="00775AB1">
        <w:rPr>
          <w:sz w:val="18"/>
          <w:szCs w:val="18"/>
        </w:rPr>
        <w:t xml:space="preserve"> ‘Media Lab’ is perhaps an example of how the integrity of </w:t>
      </w:r>
      <w:r>
        <w:rPr>
          <w:sz w:val="18"/>
          <w:szCs w:val="18"/>
        </w:rPr>
        <w:t>‘academic boundaries’ of</w:t>
      </w:r>
      <w:r w:rsidRPr="00775AB1">
        <w:rPr>
          <w:sz w:val="18"/>
          <w:szCs w:val="18"/>
        </w:rPr>
        <w:t xml:space="preserve"> even the most powerful academic institutions </w:t>
      </w:r>
      <w:r>
        <w:rPr>
          <w:sz w:val="18"/>
          <w:szCs w:val="18"/>
        </w:rPr>
        <w:t>is at risk in the context of a sector increasingly driven by external sources of power. Media Lab’s funding model rests mainly on a corporate sponsorship basis, whereby sponsors are entitled to shape the broad themes of research, and profit from intellectual property. Its</w:t>
      </w:r>
      <w:r w:rsidRPr="00E273C4">
        <w:rPr>
          <w:sz w:val="18"/>
          <w:szCs w:val="18"/>
        </w:rPr>
        <w:t xml:space="preserve"> director recently resigned due to revelations about one of its sources of funding (</w:t>
      </w:r>
      <w:hyperlink r:id="rId5" w:history="1">
        <w:r w:rsidRPr="00E273C4">
          <w:rPr>
            <w:rStyle w:val="Hyperlink"/>
            <w:sz w:val="18"/>
            <w:szCs w:val="18"/>
          </w:rPr>
          <w:t>https://www.theguardian.com/commentisfree/2019/sep/14/how-mit-was-complicit-in-allowing-jeffrey-epstein-to-launder-his-reputation</w:t>
        </w:r>
      </w:hyperlink>
      <w:r>
        <w:rPr>
          <w:sz w:val="18"/>
          <w:szCs w:val="18"/>
        </w:rPr>
        <w:t>, accessed 22 September 2019</w:t>
      </w:r>
      <w:r w:rsidRPr="00E273C4">
        <w:rPr>
          <w:sz w:val="18"/>
          <w:szCs w:val="18"/>
        </w:rPr>
        <w:t>).</w:t>
      </w:r>
    </w:p>
  </w:footnote>
  <w:footnote w:id="27">
    <w:p w14:paraId="151DCF6B" w14:textId="77777777" w:rsidR="00883B69" w:rsidRPr="00F10AB9" w:rsidRDefault="00883B69" w:rsidP="00272012">
      <w:pPr>
        <w:pStyle w:val="FootnoteText"/>
        <w:rPr>
          <w:sz w:val="18"/>
          <w:szCs w:val="18"/>
        </w:rPr>
      </w:pPr>
      <w:r w:rsidRPr="00F10AB9">
        <w:rPr>
          <w:rStyle w:val="FootnoteReference"/>
          <w:sz w:val="18"/>
          <w:szCs w:val="18"/>
        </w:rPr>
        <w:footnoteRef/>
      </w:r>
      <w:r w:rsidRPr="00F10AB9">
        <w:rPr>
          <w:sz w:val="18"/>
          <w:szCs w:val="18"/>
        </w:rPr>
        <w:t xml:space="preserve">  This precise wording is used in both </w:t>
      </w:r>
      <w:r w:rsidRPr="00F10AB9">
        <w:rPr>
          <w:i/>
          <w:sz w:val="18"/>
          <w:szCs w:val="18"/>
        </w:rPr>
        <w:t xml:space="preserve">Materials Science and Technology </w:t>
      </w:r>
      <w:r w:rsidRPr="00F10AB9">
        <w:rPr>
          <w:sz w:val="18"/>
          <w:szCs w:val="18"/>
        </w:rPr>
        <w:t xml:space="preserve">and </w:t>
      </w:r>
      <w:r w:rsidRPr="00F10AB9">
        <w:rPr>
          <w:i/>
          <w:sz w:val="18"/>
          <w:szCs w:val="18"/>
        </w:rPr>
        <w:t>ISIJ International</w:t>
      </w:r>
      <w:r w:rsidRPr="00F10AB9">
        <w:rPr>
          <w:sz w:val="18"/>
          <w:szCs w:val="18"/>
        </w:rPr>
        <w:t>, where Phase 1 &amp; 2 research was published.</w:t>
      </w:r>
    </w:p>
  </w:footnote>
  <w:footnote w:id="28">
    <w:p w14:paraId="33AAF006" w14:textId="77777777" w:rsidR="00883B69" w:rsidRPr="00F10AB9" w:rsidRDefault="00883B69" w:rsidP="00272012">
      <w:pPr>
        <w:pStyle w:val="FootnoteText"/>
        <w:rPr>
          <w:sz w:val="18"/>
          <w:szCs w:val="18"/>
        </w:rPr>
      </w:pPr>
      <w:r w:rsidRPr="00F10AB9">
        <w:rPr>
          <w:rStyle w:val="FootnoteReference"/>
          <w:sz w:val="18"/>
          <w:szCs w:val="18"/>
        </w:rPr>
        <w:footnoteRef/>
      </w:r>
      <w:r w:rsidRPr="00F10AB9">
        <w:rPr>
          <w:sz w:val="18"/>
          <w:szCs w:val="18"/>
        </w:rPr>
        <w:t xml:space="preserve"> This is from the ‘Scope of Journal’ statement for </w:t>
      </w:r>
      <w:r w:rsidRPr="00F10AB9">
        <w:rPr>
          <w:i/>
          <w:sz w:val="18"/>
          <w:szCs w:val="18"/>
        </w:rPr>
        <w:t>Science and Technology of Advanced Materials</w:t>
      </w:r>
      <w:r w:rsidRPr="00F10AB9">
        <w:rPr>
          <w:sz w:val="18"/>
          <w:szCs w:val="18"/>
        </w:rPr>
        <w:t>.</w:t>
      </w:r>
    </w:p>
  </w:footnote>
  <w:footnote w:id="29">
    <w:p w14:paraId="3FC6D9D7" w14:textId="38541ADE" w:rsidR="00883B69" w:rsidRPr="00F10AB9" w:rsidRDefault="00883B69" w:rsidP="00272012">
      <w:pPr>
        <w:pStyle w:val="FootnoteText"/>
        <w:rPr>
          <w:sz w:val="18"/>
          <w:szCs w:val="18"/>
        </w:rPr>
      </w:pPr>
      <w:r w:rsidRPr="00F10AB9">
        <w:rPr>
          <w:rStyle w:val="FootnoteReference"/>
          <w:sz w:val="18"/>
          <w:szCs w:val="18"/>
        </w:rPr>
        <w:footnoteRef/>
      </w:r>
      <w:r w:rsidRPr="00F10AB9">
        <w:rPr>
          <w:sz w:val="18"/>
          <w:szCs w:val="18"/>
        </w:rPr>
        <w:t xml:space="preserve"> This expression is taken from the University of Sheffield’s ‘Environment Template’ document (p.1), part of its REF2014 submission to Unit of Assessment 14. This document is among the 34</w:t>
      </w:r>
      <w:r>
        <w:rPr>
          <w:sz w:val="18"/>
          <w:szCs w:val="18"/>
        </w:rPr>
        <w:t>5</w:t>
      </w:r>
      <w:r w:rsidRPr="00F10AB9">
        <w:rPr>
          <w:sz w:val="18"/>
          <w:szCs w:val="18"/>
        </w:rPr>
        <w:t xml:space="preserve"> I draw on for data analysis, and the full reference is provided in Appendix C. It mirrors the idea of “fundamental technology” put forward by the OECD (CERI, 1982, p. 144).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0284"/>
    <w:multiLevelType w:val="hybridMultilevel"/>
    <w:tmpl w:val="AC7CAD38"/>
    <w:lvl w:ilvl="0" w:tplc="991E8B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EE3B72"/>
    <w:multiLevelType w:val="hybridMultilevel"/>
    <w:tmpl w:val="EA56AB4E"/>
    <w:lvl w:ilvl="0" w:tplc="08090017">
      <w:start w:val="1"/>
      <w:numFmt w:val="lowerLetter"/>
      <w:lvlText w:val="%1)"/>
      <w:lvlJc w:val="left"/>
      <w:pPr>
        <w:ind w:left="360" w:hanging="360"/>
      </w:pPr>
      <w:rPr>
        <w:rFonts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EA5B6C"/>
    <w:multiLevelType w:val="hybridMultilevel"/>
    <w:tmpl w:val="EA56AB4E"/>
    <w:lvl w:ilvl="0" w:tplc="08090017">
      <w:start w:val="1"/>
      <w:numFmt w:val="lowerLetter"/>
      <w:lvlText w:val="%1)"/>
      <w:lvlJc w:val="left"/>
      <w:pPr>
        <w:ind w:left="360" w:hanging="360"/>
      </w:pPr>
      <w:rPr>
        <w:rFonts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2530BF"/>
    <w:multiLevelType w:val="hybridMultilevel"/>
    <w:tmpl w:val="951847F4"/>
    <w:lvl w:ilvl="0" w:tplc="8814C6CE">
      <w:start w:val="1"/>
      <w:numFmt w:val="bullet"/>
      <w:lvlText w:val="-"/>
      <w:lvlJc w:val="left"/>
      <w:pPr>
        <w:ind w:left="360" w:hanging="360"/>
      </w:pPr>
      <w:rPr>
        <w:rFonts w:ascii="Times New Roman" w:eastAsiaTheme="minorHAnsi" w:hAnsi="Times New Roman" w:cs="Times New Roman"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6519FF"/>
    <w:multiLevelType w:val="hybridMultilevel"/>
    <w:tmpl w:val="EA56AB4E"/>
    <w:lvl w:ilvl="0" w:tplc="08090017">
      <w:start w:val="1"/>
      <w:numFmt w:val="lowerLetter"/>
      <w:lvlText w:val="%1)"/>
      <w:lvlJc w:val="left"/>
      <w:pPr>
        <w:ind w:left="360" w:hanging="360"/>
      </w:pPr>
      <w:rPr>
        <w:rFonts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D45E7A"/>
    <w:multiLevelType w:val="hybridMultilevel"/>
    <w:tmpl w:val="9D6EFE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3D6A44"/>
    <w:multiLevelType w:val="hybridMultilevel"/>
    <w:tmpl w:val="FF946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F53E30"/>
    <w:multiLevelType w:val="hybridMultilevel"/>
    <w:tmpl w:val="EA56AB4E"/>
    <w:lvl w:ilvl="0" w:tplc="08090017">
      <w:start w:val="1"/>
      <w:numFmt w:val="lowerLetter"/>
      <w:lvlText w:val="%1)"/>
      <w:lvlJc w:val="left"/>
      <w:pPr>
        <w:ind w:left="360" w:hanging="360"/>
      </w:pPr>
      <w:rPr>
        <w:rFonts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782F9C"/>
    <w:multiLevelType w:val="hybridMultilevel"/>
    <w:tmpl w:val="73B686E6"/>
    <w:lvl w:ilvl="0" w:tplc="0809000F">
      <w:start w:val="1"/>
      <w:numFmt w:val="decimal"/>
      <w:lvlText w:val="%1."/>
      <w:lvlJc w:val="left"/>
      <w:pPr>
        <w:ind w:left="360" w:hanging="360"/>
      </w:pPr>
      <w:rPr>
        <w:rFonts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B11219"/>
    <w:multiLevelType w:val="hybridMultilevel"/>
    <w:tmpl w:val="EA56AB4E"/>
    <w:lvl w:ilvl="0" w:tplc="08090017">
      <w:start w:val="1"/>
      <w:numFmt w:val="lowerLetter"/>
      <w:lvlText w:val="%1)"/>
      <w:lvlJc w:val="left"/>
      <w:pPr>
        <w:ind w:left="360" w:hanging="360"/>
      </w:pPr>
      <w:rPr>
        <w:rFonts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1B1471"/>
    <w:multiLevelType w:val="hybridMultilevel"/>
    <w:tmpl w:val="E49487EC"/>
    <w:lvl w:ilvl="0" w:tplc="8814C6CE">
      <w:start w:val="1"/>
      <w:numFmt w:val="bullet"/>
      <w:lvlText w:val="-"/>
      <w:lvlJc w:val="left"/>
      <w:pPr>
        <w:ind w:left="360" w:hanging="360"/>
      </w:pPr>
      <w:rPr>
        <w:rFonts w:ascii="Times New Roman" w:eastAsiaTheme="minorHAnsi" w:hAnsi="Times New Roman" w:cs="Times New Roman"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78471A"/>
    <w:multiLevelType w:val="hybridMultilevel"/>
    <w:tmpl w:val="EA56AB4E"/>
    <w:lvl w:ilvl="0" w:tplc="08090017">
      <w:start w:val="1"/>
      <w:numFmt w:val="lowerLetter"/>
      <w:lvlText w:val="%1)"/>
      <w:lvlJc w:val="left"/>
      <w:pPr>
        <w:ind w:left="360" w:hanging="360"/>
      </w:pPr>
      <w:rPr>
        <w:rFonts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784C35"/>
    <w:multiLevelType w:val="hybridMultilevel"/>
    <w:tmpl w:val="EA56AB4E"/>
    <w:lvl w:ilvl="0" w:tplc="08090017">
      <w:start w:val="1"/>
      <w:numFmt w:val="lowerLetter"/>
      <w:lvlText w:val="%1)"/>
      <w:lvlJc w:val="left"/>
      <w:pPr>
        <w:ind w:left="360" w:hanging="360"/>
      </w:pPr>
      <w:rPr>
        <w:rFonts w:hint="default"/>
      </w:rPr>
    </w:lvl>
    <w:lvl w:ilvl="1" w:tplc="8814C6CE">
      <w:start w:val="1"/>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0"/>
  </w:num>
  <w:num w:numId="5">
    <w:abstractNumId w:val="11"/>
  </w:num>
  <w:num w:numId="6">
    <w:abstractNumId w:val="7"/>
  </w:num>
  <w:num w:numId="7">
    <w:abstractNumId w:val="9"/>
  </w:num>
  <w:num w:numId="8">
    <w:abstractNumId w:val="4"/>
  </w:num>
  <w:num w:numId="9">
    <w:abstractNumId w:val="10"/>
  </w:num>
  <w:num w:numId="10">
    <w:abstractNumId w:val="13"/>
  </w:num>
  <w:num w:numId="11">
    <w:abstractNumId w:val="12"/>
  </w:num>
  <w:num w:numId="12">
    <w:abstractNumId w:val="1"/>
  </w:num>
  <w:num w:numId="13">
    <w:abstractNumId w:val="2"/>
  </w:num>
  <w:num w:numId="1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D24F8"/>
    <w:rsid w:val="000002EE"/>
    <w:rsid w:val="00000335"/>
    <w:rsid w:val="0000051D"/>
    <w:rsid w:val="00000613"/>
    <w:rsid w:val="000006B4"/>
    <w:rsid w:val="000006E9"/>
    <w:rsid w:val="00000772"/>
    <w:rsid w:val="00000800"/>
    <w:rsid w:val="00000A92"/>
    <w:rsid w:val="00000B3D"/>
    <w:rsid w:val="00000D12"/>
    <w:rsid w:val="00000FA2"/>
    <w:rsid w:val="00000FC7"/>
    <w:rsid w:val="00001001"/>
    <w:rsid w:val="000010C8"/>
    <w:rsid w:val="0000111E"/>
    <w:rsid w:val="00001237"/>
    <w:rsid w:val="00001307"/>
    <w:rsid w:val="00001626"/>
    <w:rsid w:val="00001AC1"/>
    <w:rsid w:val="00001AFF"/>
    <w:rsid w:val="00001CAE"/>
    <w:rsid w:val="00001D05"/>
    <w:rsid w:val="00001D7A"/>
    <w:rsid w:val="00001E7D"/>
    <w:rsid w:val="0000200A"/>
    <w:rsid w:val="00002110"/>
    <w:rsid w:val="00002204"/>
    <w:rsid w:val="00002313"/>
    <w:rsid w:val="000023D7"/>
    <w:rsid w:val="0000271F"/>
    <w:rsid w:val="00002852"/>
    <w:rsid w:val="00002AAD"/>
    <w:rsid w:val="00002C68"/>
    <w:rsid w:val="00002DB4"/>
    <w:rsid w:val="00002DBE"/>
    <w:rsid w:val="00002DE4"/>
    <w:rsid w:val="00002F29"/>
    <w:rsid w:val="00002F43"/>
    <w:rsid w:val="00002F4C"/>
    <w:rsid w:val="000032AF"/>
    <w:rsid w:val="00003D85"/>
    <w:rsid w:val="00003DE8"/>
    <w:rsid w:val="000040D3"/>
    <w:rsid w:val="00004114"/>
    <w:rsid w:val="00004125"/>
    <w:rsid w:val="00004309"/>
    <w:rsid w:val="0000435B"/>
    <w:rsid w:val="0000454B"/>
    <w:rsid w:val="0000469B"/>
    <w:rsid w:val="000048C0"/>
    <w:rsid w:val="00004922"/>
    <w:rsid w:val="0000498F"/>
    <w:rsid w:val="00004A2E"/>
    <w:rsid w:val="00004B0F"/>
    <w:rsid w:val="00004B49"/>
    <w:rsid w:val="00004C31"/>
    <w:rsid w:val="00004D01"/>
    <w:rsid w:val="00004E53"/>
    <w:rsid w:val="00004F6B"/>
    <w:rsid w:val="00005083"/>
    <w:rsid w:val="00005212"/>
    <w:rsid w:val="000055A0"/>
    <w:rsid w:val="0000587D"/>
    <w:rsid w:val="00005DA8"/>
    <w:rsid w:val="00005DBE"/>
    <w:rsid w:val="000060BE"/>
    <w:rsid w:val="00006229"/>
    <w:rsid w:val="0000625C"/>
    <w:rsid w:val="00006274"/>
    <w:rsid w:val="00006447"/>
    <w:rsid w:val="000065BC"/>
    <w:rsid w:val="00006781"/>
    <w:rsid w:val="0000680A"/>
    <w:rsid w:val="000069CE"/>
    <w:rsid w:val="00006BFB"/>
    <w:rsid w:val="00006CC1"/>
    <w:rsid w:val="00006EAF"/>
    <w:rsid w:val="00006F32"/>
    <w:rsid w:val="00006F38"/>
    <w:rsid w:val="00006F57"/>
    <w:rsid w:val="00007050"/>
    <w:rsid w:val="00007354"/>
    <w:rsid w:val="00007392"/>
    <w:rsid w:val="00007470"/>
    <w:rsid w:val="000074AE"/>
    <w:rsid w:val="0000753E"/>
    <w:rsid w:val="000075A8"/>
    <w:rsid w:val="000075D4"/>
    <w:rsid w:val="00007B5E"/>
    <w:rsid w:val="00007D9F"/>
    <w:rsid w:val="000100F3"/>
    <w:rsid w:val="0001010C"/>
    <w:rsid w:val="00010217"/>
    <w:rsid w:val="000103F4"/>
    <w:rsid w:val="000106E9"/>
    <w:rsid w:val="00010800"/>
    <w:rsid w:val="00010A42"/>
    <w:rsid w:val="00010DE6"/>
    <w:rsid w:val="00011596"/>
    <w:rsid w:val="00011613"/>
    <w:rsid w:val="000116E0"/>
    <w:rsid w:val="00011742"/>
    <w:rsid w:val="0001183D"/>
    <w:rsid w:val="0001184A"/>
    <w:rsid w:val="000118CD"/>
    <w:rsid w:val="00011979"/>
    <w:rsid w:val="00011AF0"/>
    <w:rsid w:val="00011B5D"/>
    <w:rsid w:val="00011D68"/>
    <w:rsid w:val="00011E23"/>
    <w:rsid w:val="00011EEF"/>
    <w:rsid w:val="00012169"/>
    <w:rsid w:val="00012251"/>
    <w:rsid w:val="0001226E"/>
    <w:rsid w:val="000122F9"/>
    <w:rsid w:val="00012836"/>
    <w:rsid w:val="00012878"/>
    <w:rsid w:val="0001291A"/>
    <w:rsid w:val="00012974"/>
    <w:rsid w:val="00012A00"/>
    <w:rsid w:val="00012DDC"/>
    <w:rsid w:val="00012E73"/>
    <w:rsid w:val="00012F3E"/>
    <w:rsid w:val="00012F9F"/>
    <w:rsid w:val="0001349D"/>
    <w:rsid w:val="00013588"/>
    <w:rsid w:val="0001360D"/>
    <w:rsid w:val="00013702"/>
    <w:rsid w:val="00013780"/>
    <w:rsid w:val="0001379D"/>
    <w:rsid w:val="000138CE"/>
    <w:rsid w:val="00013D2E"/>
    <w:rsid w:val="00013D88"/>
    <w:rsid w:val="00013DC0"/>
    <w:rsid w:val="000140E8"/>
    <w:rsid w:val="00014294"/>
    <w:rsid w:val="00014580"/>
    <w:rsid w:val="00014A12"/>
    <w:rsid w:val="00014CD7"/>
    <w:rsid w:val="00014DF4"/>
    <w:rsid w:val="00014F53"/>
    <w:rsid w:val="00015030"/>
    <w:rsid w:val="000151E5"/>
    <w:rsid w:val="000151FB"/>
    <w:rsid w:val="000153CD"/>
    <w:rsid w:val="000154E1"/>
    <w:rsid w:val="00015781"/>
    <w:rsid w:val="000157A8"/>
    <w:rsid w:val="000157BB"/>
    <w:rsid w:val="00015861"/>
    <w:rsid w:val="00015C4B"/>
    <w:rsid w:val="00015C7E"/>
    <w:rsid w:val="00015F20"/>
    <w:rsid w:val="00016013"/>
    <w:rsid w:val="000160B9"/>
    <w:rsid w:val="000161F7"/>
    <w:rsid w:val="0001627C"/>
    <w:rsid w:val="00016734"/>
    <w:rsid w:val="000168BA"/>
    <w:rsid w:val="000169A4"/>
    <w:rsid w:val="000169C8"/>
    <w:rsid w:val="00016A80"/>
    <w:rsid w:val="00016AB5"/>
    <w:rsid w:val="00016B6D"/>
    <w:rsid w:val="00016B98"/>
    <w:rsid w:val="00016CFE"/>
    <w:rsid w:val="00016D1D"/>
    <w:rsid w:val="00016DEB"/>
    <w:rsid w:val="00016E37"/>
    <w:rsid w:val="00016E38"/>
    <w:rsid w:val="00016F65"/>
    <w:rsid w:val="00017220"/>
    <w:rsid w:val="000172A6"/>
    <w:rsid w:val="00017317"/>
    <w:rsid w:val="00017444"/>
    <w:rsid w:val="000178A4"/>
    <w:rsid w:val="000178C8"/>
    <w:rsid w:val="0001791D"/>
    <w:rsid w:val="000179C5"/>
    <w:rsid w:val="00017AED"/>
    <w:rsid w:val="00017BFA"/>
    <w:rsid w:val="00017E25"/>
    <w:rsid w:val="00017E33"/>
    <w:rsid w:val="00020190"/>
    <w:rsid w:val="000203E5"/>
    <w:rsid w:val="000203E6"/>
    <w:rsid w:val="0002041C"/>
    <w:rsid w:val="00020504"/>
    <w:rsid w:val="000209DF"/>
    <w:rsid w:val="00020E21"/>
    <w:rsid w:val="00020F81"/>
    <w:rsid w:val="00020F8A"/>
    <w:rsid w:val="00020F8F"/>
    <w:rsid w:val="00020FA6"/>
    <w:rsid w:val="00020FB2"/>
    <w:rsid w:val="00021219"/>
    <w:rsid w:val="0002125A"/>
    <w:rsid w:val="00021486"/>
    <w:rsid w:val="00021560"/>
    <w:rsid w:val="00021812"/>
    <w:rsid w:val="0002188D"/>
    <w:rsid w:val="00021998"/>
    <w:rsid w:val="00021DE6"/>
    <w:rsid w:val="000221B0"/>
    <w:rsid w:val="00022295"/>
    <w:rsid w:val="000222E2"/>
    <w:rsid w:val="000223AD"/>
    <w:rsid w:val="00022481"/>
    <w:rsid w:val="00022487"/>
    <w:rsid w:val="0002248F"/>
    <w:rsid w:val="00022596"/>
    <w:rsid w:val="0002263E"/>
    <w:rsid w:val="0002271E"/>
    <w:rsid w:val="0002288D"/>
    <w:rsid w:val="00022947"/>
    <w:rsid w:val="00022AE8"/>
    <w:rsid w:val="00022B7F"/>
    <w:rsid w:val="00022BF4"/>
    <w:rsid w:val="00022CB5"/>
    <w:rsid w:val="00022D67"/>
    <w:rsid w:val="00022DEB"/>
    <w:rsid w:val="00023149"/>
    <w:rsid w:val="00023322"/>
    <w:rsid w:val="00023376"/>
    <w:rsid w:val="00023411"/>
    <w:rsid w:val="00023561"/>
    <w:rsid w:val="000238C4"/>
    <w:rsid w:val="00023AC2"/>
    <w:rsid w:val="00023BB3"/>
    <w:rsid w:val="00023E75"/>
    <w:rsid w:val="000243C5"/>
    <w:rsid w:val="00024464"/>
    <w:rsid w:val="00024554"/>
    <w:rsid w:val="000245C9"/>
    <w:rsid w:val="0002467C"/>
    <w:rsid w:val="0002496B"/>
    <w:rsid w:val="000249B5"/>
    <w:rsid w:val="000249FF"/>
    <w:rsid w:val="00024C6D"/>
    <w:rsid w:val="00024CF5"/>
    <w:rsid w:val="00024D6E"/>
    <w:rsid w:val="0002513D"/>
    <w:rsid w:val="000252C0"/>
    <w:rsid w:val="00025475"/>
    <w:rsid w:val="00025588"/>
    <w:rsid w:val="00025A88"/>
    <w:rsid w:val="00025F4D"/>
    <w:rsid w:val="00026049"/>
    <w:rsid w:val="0002610B"/>
    <w:rsid w:val="00026294"/>
    <w:rsid w:val="00026455"/>
    <w:rsid w:val="00026566"/>
    <w:rsid w:val="00026604"/>
    <w:rsid w:val="00026734"/>
    <w:rsid w:val="00026A4F"/>
    <w:rsid w:val="000270BF"/>
    <w:rsid w:val="000271E4"/>
    <w:rsid w:val="00027203"/>
    <w:rsid w:val="000273F2"/>
    <w:rsid w:val="000274B7"/>
    <w:rsid w:val="0002778F"/>
    <w:rsid w:val="00027AC2"/>
    <w:rsid w:val="00027AE3"/>
    <w:rsid w:val="00027CAA"/>
    <w:rsid w:val="00027D55"/>
    <w:rsid w:val="00027EB2"/>
    <w:rsid w:val="00030161"/>
    <w:rsid w:val="000305E4"/>
    <w:rsid w:val="00030871"/>
    <w:rsid w:val="000308D2"/>
    <w:rsid w:val="000309A2"/>
    <w:rsid w:val="00030D23"/>
    <w:rsid w:val="0003108B"/>
    <w:rsid w:val="00031096"/>
    <w:rsid w:val="000310A8"/>
    <w:rsid w:val="000310D9"/>
    <w:rsid w:val="0003115A"/>
    <w:rsid w:val="00031269"/>
    <w:rsid w:val="000318FF"/>
    <w:rsid w:val="00031917"/>
    <w:rsid w:val="00031CD2"/>
    <w:rsid w:val="00031CD5"/>
    <w:rsid w:val="00031D03"/>
    <w:rsid w:val="00031D5D"/>
    <w:rsid w:val="00031E43"/>
    <w:rsid w:val="00031E68"/>
    <w:rsid w:val="00032456"/>
    <w:rsid w:val="0003257B"/>
    <w:rsid w:val="000325DE"/>
    <w:rsid w:val="00032886"/>
    <w:rsid w:val="00032922"/>
    <w:rsid w:val="00032CCB"/>
    <w:rsid w:val="00032E03"/>
    <w:rsid w:val="00032F12"/>
    <w:rsid w:val="0003348C"/>
    <w:rsid w:val="000337CF"/>
    <w:rsid w:val="0003382A"/>
    <w:rsid w:val="0003396D"/>
    <w:rsid w:val="00033C2A"/>
    <w:rsid w:val="00033C94"/>
    <w:rsid w:val="00033C9C"/>
    <w:rsid w:val="00033EDE"/>
    <w:rsid w:val="00034018"/>
    <w:rsid w:val="00034047"/>
    <w:rsid w:val="0003434F"/>
    <w:rsid w:val="000347A4"/>
    <w:rsid w:val="00034A2A"/>
    <w:rsid w:val="00034A98"/>
    <w:rsid w:val="00034B10"/>
    <w:rsid w:val="00034C4F"/>
    <w:rsid w:val="00034D12"/>
    <w:rsid w:val="0003507B"/>
    <w:rsid w:val="00035360"/>
    <w:rsid w:val="00035607"/>
    <w:rsid w:val="00035779"/>
    <w:rsid w:val="00035A29"/>
    <w:rsid w:val="00035D3C"/>
    <w:rsid w:val="00035F48"/>
    <w:rsid w:val="000360D9"/>
    <w:rsid w:val="000361DB"/>
    <w:rsid w:val="0003640E"/>
    <w:rsid w:val="000364D9"/>
    <w:rsid w:val="000366B4"/>
    <w:rsid w:val="0003674F"/>
    <w:rsid w:val="000368C4"/>
    <w:rsid w:val="000368F7"/>
    <w:rsid w:val="000368FB"/>
    <w:rsid w:val="0003697E"/>
    <w:rsid w:val="00036ADE"/>
    <w:rsid w:val="00036C6F"/>
    <w:rsid w:val="00036D5E"/>
    <w:rsid w:val="00036F70"/>
    <w:rsid w:val="000373A7"/>
    <w:rsid w:val="000373B0"/>
    <w:rsid w:val="00037462"/>
    <w:rsid w:val="000374F8"/>
    <w:rsid w:val="00037609"/>
    <w:rsid w:val="0003783F"/>
    <w:rsid w:val="000379C4"/>
    <w:rsid w:val="00037C22"/>
    <w:rsid w:val="00037D85"/>
    <w:rsid w:val="00037DC4"/>
    <w:rsid w:val="00037FC7"/>
    <w:rsid w:val="00037FFD"/>
    <w:rsid w:val="0004006F"/>
    <w:rsid w:val="000400F5"/>
    <w:rsid w:val="0004020B"/>
    <w:rsid w:val="00040305"/>
    <w:rsid w:val="00040354"/>
    <w:rsid w:val="000406A1"/>
    <w:rsid w:val="00040916"/>
    <w:rsid w:val="00040950"/>
    <w:rsid w:val="000409E2"/>
    <w:rsid w:val="00040B1E"/>
    <w:rsid w:val="00040B75"/>
    <w:rsid w:val="00040DE4"/>
    <w:rsid w:val="00040FC1"/>
    <w:rsid w:val="0004103A"/>
    <w:rsid w:val="0004108E"/>
    <w:rsid w:val="000410E4"/>
    <w:rsid w:val="00041727"/>
    <w:rsid w:val="00041763"/>
    <w:rsid w:val="000417AF"/>
    <w:rsid w:val="00041947"/>
    <w:rsid w:val="00041BB7"/>
    <w:rsid w:val="00041D9B"/>
    <w:rsid w:val="00041DAE"/>
    <w:rsid w:val="00041E2E"/>
    <w:rsid w:val="00041FE8"/>
    <w:rsid w:val="0004206F"/>
    <w:rsid w:val="000421EE"/>
    <w:rsid w:val="000421F1"/>
    <w:rsid w:val="00042465"/>
    <w:rsid w:val="000425E8"/>
    <w:rsid w:val="0004260F"/>
    <w:rsid w:val="00042795"/>
    <w:rsid w:val="00042979"/>
    <w:rsid w:val="00042A46"/>
    <w:rsid w:val="00042BC9"/>
    <w:rsid w:val="00042C1A"/>
    <w:rsid w:val="0004307A"/>
    <w:rsid w:val="000430B6"/>
    <w:rsid w:val="00043156"/>
    <w:rsid w:val="00043267"/>
    <w:rsid w:val="000433AE"/>
    <w:rsid w:val="00043517"/>
    <w:rsid w:val="000435C0"/>
    <w:rsid w:val="0004361E"/>
    <w:rsid w:val="0004364F"/>
    <w:rsid w:val="000437B2"/>
    <w:rsid w:val="00043857"/>
    <w:rsid w:val="00043989"/>
    <w:rsid w:val="00043A3D"/>
    <w:rsid w:val="00043BEB"/>
    <w:rsid w:val="00043D0E"/>
    <w:rsid w:val="00043D2F"/>
    <w:rsid w:val="00043F6F"/>
    <w:rsid w:val="0004415A"/>
    <w:rsid w:val="00044188"/>
    <w:rsid w:val="000441F3"/>
    <w:rsid w:val="00044364"/>
    <w:rsid w:val="000443AC"/>
    <w:rsid w:val="000443B4"/>
    <w:rsid w:val="0004460B"/>
    <w:rsid w:val="0004469C"/>
    <w:rsid w:val="000447DB"/>
    <w:rsid w:val="000447DD"/>
    <w:rsid w:val="000448AF"/>
    <w:rsid w:val="000449C8"/>
    <w:rsid w:val="00044EB9"/>
    <w:rsid w:val="00045016"/>
    <w:rsid w:val="00045070"/>
    <w:rsid w:val="00045140"/>
    <w:rsid w:val="0004518E"/>
    <w:rsid w:val="00045496"/>
    <w:rsid w:val="00045790"/>
    <w:rsid w:val="0004597A"/>
    <w:rsid w:val="00045ACB"/>
    <w:rsid w:val="00045BA7"/>
    <w:rsid w:val="00045BCB"/>
    <w:rsid w:val="00045BE1"/>
    <w:rsid w:val="00045DAB"/>
    <w:rsid w:val="00045EBF"/>
    <w:rsid w:val="000462DB"/>
    <w:rsid w:val="00046346"/>
    <w:rsid w:val="00046570"/>
    <w:rsid w:val="000466C7"/>
    <w:rsid w:val="000466EC"/>
    <w:rsid w:val="0004684A"/>
    <w:rsid w:val="000468A2"/>
    <w:rsid w:val="000468FC"/>
    <w:rsid w:val="0004698D"/>
    <w:rsid w:val="00046A96"/>
    <w:rsid w:val="00046C0A"/>
    <w:rsid w:val="00046D89"/>
    <w:rsid w:val="00046D95"/>
    <w:rsid w:val="00046EFC"/>
    <w:rsid w:val="00046F7F"/>
    <w:rsid w:val="00046FEB"/>
    <w:rsid w:val="0004715A"/>
    <w:rsid w:val="0004747B"/>
    <w:rsid w:val="0004752E"/>
    <w:rsid w:val="000475C3"/>
    <w:rsid w:val="000475E0"/>
    <w:rsid w:val="00047667"/>
    <w:rsid w:val="000476AD"/>
    <w:rsid w:val="0004786B"/>
    <w:rsid w:val="00047945"/>
    <w:rsid w:val="00047AB2"/>
    <w:rsid w:val="00047AE6"/>
    <w:rsid w:val="00047B4C"/>
    <w:rsid w:val="00047C09"/>
    <w:rsid w:val="00047D37"/>
    <w:rsid w:val="00047E51"/>
    <w:rsid w:val="00047FCF"/>
    <w:rsid w:val="00050094"/>
    <w:rsid w:val="000500B4"/>
    <w:rsid w:val="00050169"/>
    <w:rsid w:val="00050445"/>
    <w:rsid w:val="00050573"/>
    <w:rsid w:val="00050663"/>
    <w:rsid w:val="00050727"/>
    <w:rsid w:val="00050805"/>
    <w:rsid w:val="000509C7"/>
    <w:rsid w:val="00050CD4"/>
    <w:rsid w:val="00050D7B"/>
    <w:rsid w:val="00050DD2"/>
    <w:rsid w:val="00051182"/>
    <w:rsid w:val="000512B5"/>
    <w:rsid w:val="000513FE"/>
    <w:rsid w:val="000514D9"/>
    <w:rsid w:val="000514E7"/>
    <w:rsid w:val="000514FA"/>
    <w:rsid w:val="000517D3"/>
    <w:rsid w:val="00051D58"/>
    <w:rsid w:val="00051F38"/>
    <w:rsid w:val="00051F74"/>
    <w:rsid w:val="00052395"/>
    <w:rsid w:val="000523DC"/>
    <w:rsid w:val="0005256A"/>
    <w:rsid w:val="00052C9C"/>
    <w:rsid w:val="00052D76"/>
    <w:rsid w:val="00053116"/>
    <w:rsid w:val="0005319F"/>
    <w:rsid w:val="000532DE"/>
    <w:rsid w:val="0005342E"/>
    <w:rsid w:val="0005370F"/>
    <w:rsid w:val="000538A3"/>
    <w:rsid w:val="00053906"/>
    <w:rsid w:val="00053B61"/>
    <w:rsid w:val="00053BB1"/>
    <w:rsid w:val="00053C7D"/>
    <w:rsid w:val="00053EA8"/>
    <w:rsid w:val="00053ED2"/>
    <w:rsid w:val="00054233"/>
    <w:rsid w:val="0005469C"/>
    <w:rsid w:val="000548C0"/>
    <w:rsid w:val="000548DB"/>
    <w:rsid w:val="00054A25"/>
    <w:rsid w:val="00054EAA"/>
    <w:rsid w:val="00055030"/>
    <w:rsid w:val="000550F0"/>
    <w:rsid w:val="000551A6"/>
    <w:rsid w:val="000551AE"/>
    <w:rsid w:val="000551B2"/>
    <w:rsid w:val="000552FD"/>
    <w:rsid w:val="00055372"/>
    <w:rsid w:val="0005555A"/>
    <w:rsid w:val="00055954"/>
    <w:rsid w:val="00055A44"/>
    <w:rsid w:val="00055AF0"/>
    <w:rsid w:val="00055B73"/>
    <w:rsid w:val="00055BF2"/>
    <w:rsid w:val="00055EFA"/>
    <w:rsid w:val="0005608C"/>
    <w:rsid w:val="0005623F"/>
    <w:rsid w:val="0005630C"/>
    <w:rsid w:val="0005637B"/>
    <w:rsid w:val="000563FA"/>
    <w:rsid w:val="000567D9"/>
    <w:rsid w:val="00056871"/>
    <w:rsid w:val="00056905"/>
    <w:rsid w:val="00056953"/>
    <w:rsid w:val="00056A54"/>
    <w:rsid w:val="00056B6F"/>
    <w:rsid w:val="000570DE"/>
    <w:rsid w:val="000572AD"/>
    <w:rsid w:val="00057325"/>
    <w:rsid w:val="00057895"/>
    <w:rsid w:val="00057A4D"/>
    <w:rsid w:val="00057B5C"/>
    <w:rsid w:val="00057BD7"/>
    <w:rsid w:val="00057D02"/>
    <w:rsid w:val="00057F74"/>
    <w:rsid w:val="0006003C"/>
    <w:rsid w:val="00060042"/>
    <w:rsid w:val="00060090"/>
    <w:rsid w:val="000600CE"/>
    <w:rsid w:val="000600F4"/>
    <w:rsid w:val="000603DD"/>
    <w:rsid w:val="000604CD"/>
    <w:rsid w:val="0006053F"/>
    <w:rsid w:val="000605FE"/>
    <w:rsid w:val="000608A0"/>
    <w:rsid w:val="00060A21"/>
    <w:rsid w:val="00060AF6"/>
    <w:rsid w:val="00060C09"/>
    <w:rsid w:val="00060F0D"/>
    <w:rsid w:val="000610EB"/>
    <w:rsid w:val="00061183"/>
    <w:rsid w:val="000611FF"/>
    <w:rsid w:val="00061230"/>
    <w:rsid w:val="00061460"/>
    <w:rsid w:val="000614FA"/>
    <w:rsid w:val="0006153F"/>
    <w:rsid w:val="000616F5"/>
    <w:rsid w:val="000617D1"/>
    <w:rsid w:val="00061991"/>
    <w:rsid w:val="000619D0"/>
    <w:rsid w:val="00061B3D"/>
    <w:rsid w:val="00061C34"/>
    <w:rsid w:val="00061C7B"/>
    <w:rsid w:val="00061D94"/>
    <w:rsid w:val="00061E47"/>
    <w:rsid w:val="00061E95"/>
    <w:rsid w:val="00062032"/>
    <w:rsid w:val="00062124"/>
    <w:rsid w:val="000621B3"/>
    <w:rsid w:val="000623E9"/>
    <w:rsid w:val="00062511"/>
    <w:rsid w:val="00062820"/>
    <w:rsid w:val="000628D9"/>
    <w:rsid w:val="00062A17"/>
    <w:rsid w:val="00062AE9"/>
    <w:rsid w:val="00062BFB"/>
    <w:rsid w:val="00062F49"/>
    <w:rsid w:val="0006311E"/>
    <w:rsid w:val="0006313D"/>
    <w:rsid w:val="000632AC"/>
    <w:rsid w:val="00063361"/>
    <w:rsid w:val="00063564"/>
    <w:rsid w:val="000635DA"/>
    <w:rsid w:val="000637DD"/>
    <w:rsid w:val="0006386F"/>
    <w:rsid w:val="000638E2"/>
    <w:rsid w:val="000639FA"/>
    <w:rsid w:val="00063CD6"/>
    <w:rsid w:val="00063DA6"/>
    <w:rsid w:val="00063E45"/>
    <w:rsid w:val="000640E4"/>
    <w:rsid w:val="0006425C"/>
    <w:rsid w:val="0006426B"/>
    <w:rsid w:val="000642BB"/>
    <w:rsid w:val="00064338"/>
    <w:rsid w:val="000643A7"/>
    <w:rsid w:val="0006440F"/>
    <w:rsid w:val="0006449A"/>
    <w:rsid w:val="00064500"/>
    <w:rsid w:val="000647A4"/>
    <w:rsid w:val="000647A6"/>
    <w:rsid w:val="00064B07"/>
    <w:rsid w:val="00064B6D"/>
    <w:rsid w:val="00064BC3"/>
    <w:rsid w:val="00064F1C"/>
    <w:rsid w:val="00064F63"/>
    <w:rsid w:val="0006517E"/>
    <w:rsid w:val="000651F9"/>
    <w:rsid w:val="00065257"/>
    <w:rsid w:val="0006537D"/>
    <w:rsid w:val="000653D8"/>
    <w:rsid w:val="00065468"/>
    <w:rsid w:val="00065538"/>
    <w:rsid w:val="000657E1"/>
    <w:rsid w:val="000657F3"/>
    <w:rsid w:val="000657FD"/>
    <w:rsid w:val="00065918"/>
    <w:rsid w:val="0006595B"/>
    <w:rsid w:val="00065A36"/>
    <w:rsid w:val="00065BD1"/>
    <w:rsid w:val="00066035"/>
    <w:rsid w:val="000660C9"/>
    <w:rsid w:val="000661AD"/>
    <w:rsid w:val="00066339"/>
    <w:rsid w:val="00066355"/>
    <w:rsid w:val="0006644A"/>
    <w:rsid w:val="000664E3"/>
    <w:rsid w:val="0006658F"/>
    <w:rsid w:val="0006678C"/>
    <w:rsid w:val="00066830"/>
    <w:rsid w:val="0006688F"/>
    <w:rsid w:val="00066AD0"/>
    <w:rsid w:val="00066C71"/>
    <w:rsid w:val="00066E34"/>
    <w:rsid w:val="0006704B"/>
    <w:rsid w:val="000671A1"/>
    <w:rsid w:val="000671D5"/>
    <w:rsid w:val="0006745A"/>
    <w:rsid w:val="00067668"/>
    <w:rsid w:val="00067748"/>
    <w:rsid w:val="00067819"/>
    <w:rsid w:val="000679EE"/>
    <w:rsid w:val="00067C21"/>
    <w:rsid w:val="00067D0D"/>
    <w:rsid w:val="00067D63"/>
    <w:rsid w:val="00067D80"/>
    <w:rsid w:val="00067F10"/>
    <w:rsid w:val="00067F41"/>
    <w:rsid w:val="0007003E"/>
    <w:rsid w:val="000701FB"/>
    <w:rsid w:val="000703F0"/>
    <w:rsid w:val="00070619"/>
    <w:rsid w:val="0007074B"/>
    <w:rsid w:val="00070757"/>
    <w:rsid w:val="00070852"/>
    <w:rsid w:val="00070E79"/>
    <w:rsid w:val="00070E92"/>
    <w:rsid w:val="00070EB8"/>
    <w:rsid w:val="00071059"/>
    <w:rsid w:val="0007140A"/>
    <w:rsid w:val="00071496"/>
    <w:rsid w:val="00071581"/>
    <w:rsid w:val="00071670"/>
    <w:rsid w:val="000719D0"/>
    <w:rsid w:val="00071B1B"/>
    <w:rsid w:val="00071DD6"/>
    <w:rsid w:val="00071E87"/>
    <w:rsid w:val="00071EC9"/>
    <w:rsid w:val="00071F19"/>
    <w:rsid w:val="00071F99"/>
    <w:rsid w:val="00072637"/>
    <w:rsid w:val="00072AF6"/>
    <w:rsid w:val="00072BF9"/>
    <w:rsid w:val="00072CDB"/>
    <w:rsid w:val="00072CEC"/>
    <w:rsid w:val="00072E08"/>
    <w:rsid w:val="00072F4E"/>
    <w:rsid w:val="00073061"/>
    <w:rsid w:val="000731A5"/>
    <w:rsid w:val="000732D5"/>
    <w:rsid w:val="00073317"/>
    <w:rsid w:val="000733D6"/>
    <w:rsid w:val="0007349C"/>
    <w:rsid w:val="000734C9"/>
    <w:rsid w:val="00073523"/>
    <w:rsid w:val="0007356E"/>
    <w:rsid w:val="00073745"/>
    <w:rsid w:val="00073842"/>
    <w:rsid w:val="00073971"/>
    <w:rsid w:val="000739B3"/>
    <w:rsid w:val="00073B6C"/>
    <w:rsid w:val="00073C49"/>
    <w:rsid w:val="000740E9"/>
    <w:rsid w:val="00074315"/>
    <w:rsid w:val="0007440E"/>
    <w:rsid w:val="000745C1"/>
    <w:rsid w:val="000746E3"/>
    <w:rsid w:val="00074746"/>
    <w:rsid w:val="00074759"/>
    <w:rsid w:val="0007491F"/>
    <w:rsid w:val="00074A78"/>
    <w:rsid w:val="00074F35"/>
    <w:rsid w:val="000754C0"/>
    <w:rsid w:val="000754DE"/>
    <w:rsid w:val="00075D40"/>
    <w:rsid w:val="0007600B"/>
    <w:rsid w:val="0007607C"/>
    <w:rsid w:val="00076092"/>
    <w:rsid w:val="000761BC"/>
    <w:rsid w:val="0007657A"/>
    <w:rsid w:val="000766EE"/>
    <w:rsid w:val="00076730"/>
    <w:rsid w:val="00076978"/>
    <w:rsid w:val="00076999"/>
    <w:rsid w:val="00076AAB"/>
    <w:rsid w:val="00076BD0"/>
    <w:rsid w:val="00076C12"/>
    <w:rsid w:val="00076C5E"/>
    <w:rsid w:val="00076ECA"/>
    <w:rsid w:val="00076F79"/>
    <w:rsid w:val="00077317"/>
    <w:rsid w:val="0007731B"/>
    <w:rsid w:val="00077456"/>
    <w:rsid w:val="000775D1"/>
    <w:rsid w:val="00077804"/>
    <w:rsid w:val="00077AA5"/>
    <w:rsid w:val="00077C8C"/>
    <w:rsid w:val="00077D6B"/>
    <w:rsid w:val="00077E4B"/>
    <w:rsid w:val="00077FB3"/>
    <w:rsid w:val="00080040"/>
    <w:rsid w:val="00080188"/>
    <w:rsid w:val="000804F7"/>
    <w:rsid w:val="000806DB"/>
    <w:rsid w:val="00080714"/>
    <w:rsid w:val="000807BE"/>
    <w:rsid w:val="00080959"/>
    <w:rsid w:val="000809DD"/>
    <w:rsid w:val="00080A74"/>
    <w:rsid w:val="00080ABC"/>
    <w:rsid w:val="00080AFC"/>
    <w:rsid w:val="00080B78"/>
    <w:rsid w:val="00080BA3"/>
    <w:rsid w:val="00080D3D"/>
    <w:rsid w:val="00080D51"/>
    <w:rsid w:val="0008126F"/>
    <w:rsid w:val="00081294"/>
    <w:rsid w:val="00081380"/>
    <w:rsid w:val="000816E8"/>
    <w:rsid w:val="00081850"/>
    <w:rsid w:val="000818D7"/>
    <w:rsid w:val="00081BA8"/>
    <w:rsid w:val="00082217"/>
    <w:rsid w:val="00082318"/>
    <w:rsid w:val="00082429"/>
    <w:rsid w:val="00082718"/>
    <w:rsid w:val="0008280E"/>
    <w:rsid w:val="000828F2"/>
    <w:rsid w:val="0008299B"/>
    <w:rsid w:val="00082A38"/>
    <w:rsid w:val="00082B34"/>
    <w:rsid w:val="00082B7E"/>
    <w:rsid w:val="00082C0D"/>
    <w:rsid w:val="00082D82"/>
    <w:rsid w:val="00082FC0"/>
    <w:rsid w:val="00082FFF"/>
    <w:rsid w:val="000830C4"/>
    <w:rsid w:val="0008343E"/>
    <w:rsid w:val="0008344E"/>
    <w:rsid w:val="00083461"/>
    <w:rsid w:val="000834C7"/>
    <w:rsid w:val="00083577"/>
    <w:rsid w:val="00083742"/>
    <w:rsid w:val="00083783"/>
    <w:rsid w:val="00083A7F"/>
    <w:rsid w:val="00083B18"/>
    <w:rsid w:val="00083B22"/>
    <w:rsid w:val="00083D7E"/>
    <w:rsid w:val="00083D84"/>
    <w:rsid w:val="00083E84"/>
    <w:rsid w:val="00083F14"/>
    <w:rsid w:val="00084083"/>
    <w:rsid w:val="0008424E"/>
    <w:rsid w:val="0008435E"/>
    <w:rsid w:val="00084381"/>
    <w:rsid w:val="000845C3"/>
    <w:rsid w:val="000845CA"/>
    <w:rsid w:val="00084627"/>
    <w:rsid w:val="00084693"/>
    <w:rsid w:val="0008472F"/>
    <w:rsid w:val="000849F6"/>
    <w:rsid w:val="00084A5E"/>
    <w:rsid w:val="00084C63"/>
    <w:rsid w:val="00084EA1"/>
    <w:rsid w:val="00084EA2"/>
    <w:rsid w:val="00084F24"/>
    <w:rsid w:val="00085034"/>
    <w:rsid w:val="0008516F"/>
    <w:rsid w:val="0008537E"/>
    <w:rsid w:val="000854E3"/>
    <w:rsid w:val="00085780"/>
    <w:rsid w:val="000857E5"/>
    <w:rsid w:val="00085AE2"/>
    <w:rsid w:val="00085EA8"/>
    <w:rsid w:val="00085F0E"/>
    <w:rsid w:val="00085FA5"/>
    <w:rsid w:val="0008619E"/>
    <w:rsid w:val="0008621B"/>
    <w:rsid w:val="00086252"/>
    <w:rsid w:val="00086416"/>
    <w:rsid w:val="000867F4"/>
    <w:rsid w:val="00086834"/>
    <w:rsid w:val="00086864"/>
    <w:rsid w:val="0008687D"/>
    <w:rsid w:val="00086A22"/>
    <w:rsid w:val="00086C10"/>
    <w:rsid w:val="00086C3E"/>
    <w:rsid w:val="00086CB2"/>
    <w:rsid w:val="00086DBF"/>
    <w:rsid w:val="00086E15"/>
    <w:rsid w:val="000875DC"/>
    <w:rsid w:val="00087679"/>
    <w:rsid w:val="00087749"/>
    <w:rsid w:val="00087835"/>
    <w:rsid w:val="00087A9B"/>
    <w:rsid w:val="00087FA2"/>
    <w:rsid w:val="00087FBE"/>
    <w:rsid w:val="00090047"/>
    <w:rsid w:val="000900AE"/>
    <w:rsid w:val="00090178"/>
    <w:rsid w:val="000901C9"/>
    <w:rsid w:val="0009031A"/>
    <w:rsid w:val="00090382"/>
    <w:rsid w:val="00090A28"/>
    <w:rsid w:val="00090AD8"/>
    <w:rsid w:val="00090C06"/>
    <w:rsid w:val="00090E55"/>
    <w:rsid w:val="0009128E"/>
    <w:rsid w:val="000912DC"/>
    <w:rsid w:val="00091323"/>
    <w:rsid w:val="0009148A"/>
    <w:rsid w:val="0009161F"/>
    <w:rsid w:val="0009171A"/>
    <w:rsid w:val="00091822"/>
    <w:rsid w:val="00091939"/>
    <w:rsid w:val="000919A3"/>
    <w:rsid w:val="00091B2B"/>
    <w:rsid w:val="00091EFC"/>
    <w:rsid w:val="00091FE6"/>
    <w:rsid w:val="0009222D"/>
    <w:rsid w:val="00092286"/>
    <w:rsid w:val="00092444"/>
    <w:rsid w:val="000924B0"/>
    <w:rsid w:val="000924E7"/>
    <w:rsid w:val="000925E1"/>
    <w:rsid w:val="00092649"/>
    <w:rsid w:val="00092742"/>
    <w:rsid w:val="000929F9"/>
    <w:rsid w:val="00092A37"/>
    <w:rsid w:val="00092ADC"/>
    <w:rsid w:val="00092E55"/>
    <w:rsid w:val="00092E98"/>
    <w:rsid w:val="000930B5"/>
    <w:rsid w:val="000930B7"/>
    <w:rsid w:val="00093448"/>
    <w:rsid w:val="0009399D"/>
    <w:rsid w:val="000939AA"/>
    <w:rsid w:val="00093D79"/>
    <w:rsid w:val="00093DDA"/>
    <w:rsid w:val="000941A0"/>
    <w:rsid w:val="000942B0"/>
    <w:rsid w:val="000946ED"/>
    <w:rsid w:val="000949B3"/>
    <w:rsid w:val="000949B5"/>
    <w:rsid w:val="00094C1E"/>
    <w:rsid w:val="00094C9B"/>
    <w:rsid w:val="00094ECA"/>
    <w:rsid w:val="00095180"/>
    <w:rsid w:val="000951C3"/>
    <w:rsid w:val="000955C6"/>
    <w:rsid w:val="00095666"/>
    <w:rsid w:val="0009582A"/>
    <w:rsid w:val="00095BF6"/>
    <w:rsid w:val="00095E46"/>
    <w:rsid w:val="00096044"/>
    <w:rsid w:val="000963AF"/>
    <w:rsid w:val="000968C1"/>
    <w:rsid w:val="00096A0B"/>
    <w:rsid w:val="00096A31"/>
    <w:rsid w:val="00096B05"/>
    <w:rsid w:val="00096CE3"/>
    <w:rsid w:val="00096D55"/>
    <w:rsid w:val="00096F58"/>
    <w:rsid w:val="00096F7E"/>
    <w:rsid w:val="00096FFD"/>
    <w:rsid w:val="00097006"/>
    <w:rsid w:val="0009703D"/>
    <w:rsid w:val="000972A9"/>
    <w:rsid w:val="000972F1"/>
    <w:rsid w:val="000973B0"/>
    <w:rsid w:val="000973B1"/>
    <w:rsid w:val="000974DC"/>
    <w:rsid w:val="0009758B"/>
    <w:rsid w:val="0009773B"/>
    <w:rsid w:val="00097899"/>
    <w:rsid w:val="0009791E"/>
    <w:rsid w:val="000A0469"/>
    <w:rsid w:val="000A0486"/>
    <w:rsid w:val="000A0504"/>
    <w:rsid w:val="000A060C"/>
    <w:rsid w:val="000A062E"/>
    <w:rsid w:val="000A0720"/>
    <w:rsid w:val="000A07CE"/>
    <w:rsid w:val="000A0909"/>
    <w:rsid w:val="000A0990"/>
    <w:rsid w:val="000A0A4B"/>
    <w:rsid w:val="000A0F32"/>
    <w:rsid w:val="000A105B"/>
    <w:rsid w:val="000A1129"/>
    <w:rsid w:val="000A114D"/>
    <w:rsid w:val="000A11B9"/>
    <w:rsid w:val="000A1311"/>
    <w:rsid w:val="000A13AA"/>
    <w:rsid w:val="000A14FB"/>
    <w:rsid w:val="000A15B9"/>
    <w:rsid w:val="000A1692"/>
    <w:rsid w:val="000A16E2"/>
    <w:rsid w:val="000A1874"/>
    <w:rsid w:val="000A1C39"/>
    <w:rsid w:val="000A1C93"/>
    <w:rsid w:val="000A1D39"/>
    <w:rsid w:val="000A1DAB"/>
    <w:rsid w:val="000A1FC8"/>
    <w:rsid w:val="000A2205"/>
    <w:rsid w:val="000A2384"/>
    <w:rsid w:val="000A2496"/>
    <w:rsid w:val="000A24B8"/>
    <w:rsid w:val="000A2623"/>
    <w:rsid w:val="000A26E7"/>
    <w:rsid w:val="000A286F"/>
    <w:rsid w:val="000A28EA"/>
    <w:rsid w:val="000A28F0"/>
    <w:rsid w:val="000A2CB1"/>
    <w:rsid w:val="000A2CEC"/>
    <w:rsid w:val="000A2FCA"/>
    <w:rsid w:val="000A3015"/>
    <w:rsid w:val="000A3476"/>
    <w:rsid w:val="000A34D1"/>
    <w:rsid w:val="000A350E"/>
    <w:rsid w:val="000A35FF"/>
    <w:rsid w:val="000A36D7"/>
    <w:rsid w:val="000A3988"/>
    <w:rsid w:val="000A3AE0"/>
    <w:rsid w:val="000A3BB5"/>
    <w:rsid w:val="000A3C43"/>
    <w:rsid w:val="000A3CCD"/>
    <w:rsid w:val="000A3F0D"/>
    <w:rsid w:val="000A42B3"/>
    <w:rsid w:val="000A4418"/>
    <w:rsid w:val="000A467D"/>
    <w:rsid w:val="000A4983"/>
    <w:rsid w:val="000A49F2"/>
    <w:rsid w:val="000A4B92"/>
    <w:rsid w:val="000A4BFA"/>
    <w:rsid w:val="000A4D39"/>
    <w:rsid w:val="000A4E11"/>
    <w:rsid w:val="000A4EA8"/>
    <w:rsid w:val="000A5396"/>
    <w:rsid w:val="000A5499"/>
    <w:rsid w:val="000A54A8"/>
    <w:rsid w:val="000A582A"/>
    <w:rsid w:val="000A5A2C"/>
    <w:rsid w:val="000A5CFF"/>
    <w:rsid w:val="000A5D86"/>
    <w:rsid w:val="000A5ECE"/>
    <w:rsid w:val="000A6113"/>
    <w:rsid w:val="000A62C5"/>
    <w:rsid w:val="000A62DC"/>
    <w:rsid w:val="000A62F3"/>
    <w:rsid w:val="000A6436"/>
    <w:rsid w:val="000A644C"/>
    <w:rsid w:val="000A6819"/>
    <w:rsid w:val="000A693A"/>
    <w:rsid w:val="000A696F"/>
    <w:rsid w:val="000A69D5"/>
    <w:rsid w:val="000A6A2C"/>
    <w:rsid w:val="000A6CEB"/>
    <w:rsid w:val="000A6D27"/>
    <w:rsid w:val="000A6E75"/>
    <w:rsid w:val="000A7294"/>
    <w:rsid w:val="000A72DA"/>
    <w:rsid w:val="000A7767"/>
    <w:rsid w:val="000A7768"/>
    <w:rsid w:val="000A7ACD"/>
    <w:rsid w:val="000A7E74"/>
    <w:rsid w:val="000B04B5"/>
    <w:rsid w:val="000B0635"/>
    <w:rsid w:val="000B0657"/>
    <w:rsid w:val="000B06E0"/>
    <w:rsid w:val="000B0788"/>
    <w:rsid w:val="000B07BC"/>
    <w:rsid w:val="000B0E42"/>
    <w:rsid w:val="000B0FF6"/>
    <w:rsid w:val="000B107B"/>
    <w:rsid w:val="000B131C"/>
    <w:rsid w:val="000B1456"/>
    <w:rsid w:val="000B14D4"/>
    <w:rsid w:val="000B1549"/>
    <w:rsid w:val="000B15C1"/>
    <w:rsid w:val="000B15CE"/>
    <w:rsid w:val="000B1753"/>
    <w:rsid w:val="000B1978"/>
    <w:rsid w:val="000B1A69"/>
    <w:rsid w:val="000B1B89"/>
    <w:rsid w:val="000B1C5C"/>
    <w:rsid w:val="000B1C83"/>
    <w:rsid w:val="000B228F"/>
    <w:rsid w:val="000B2367"/>
    <w:rsid w:val="000B2420"/>
    <w:rsid w:val="000B25EE"/>
    <w:rsid w:val="000B26A2"/>
    <w:rsid w:val="000B2776"/>
    <w:rsid w:val="000B28C0"/>
    <w:rsid w:val="000B28C7"/>
    <w:rsid w:val="000B2B52"/>
    <w:rsid w:val="000B2BD7"/>
    <w:rsid w:val="000B2C07"/>
    <w:rsid w:val="000B2EBC"/>
    <w:rsid w:val="000B2EC5"/>
    <w:rsid w:val="000B2F16"/>
    <w:rsid w:val="000B2F68"/>
    <w:rsid w:val="000B2F73"/>
    <w:rsid w:val="000B317A"/>
    <w:rsid w:val="000B32A8"/>
    <w:rsid w:val="000B32D5"/>
    <w:rsid w:val="000B339E"/>
    <w:rsid w:val="000B3499"/>
    <w:rsid w:val="000B34ED"/>
    <w:rsid w:val="000B35DC"/>
    <w:rsid w:val="000B3696"/>
    <w:rsid w:val="000B36F9"/>
    <w:rsid w:val="000B37CE"/>
    <w:rsid w:val="000B37FE"/>
    <w:rsid w:val="000B387D"/>
    <w:rsid w:val="000B4018"/>
    <w:rsid w:val="000B44E3"/>
    <w:rsid w:val="000B4613"/>
    <w:rsid w:val="000B4622"/>
    <w:rsid w:val="000B498C"/>
    <w:rsid w:val="000B4AD0"/>
    <w:rsid w:val="000B4BEF"/>
    <w:rsid w:val="000B4EC1"/>
    <w:rsid w:val="000B51C7"/>
    <w:rsid w:val="000B54E8"/>
    <w:rsid w:val="000B5C0B"/>
    <w:rsid w:val="000B5D66"/>
    <w:rsid w:val="000B5DC0"/>
    <w:rsid w:val="000B5E9C"/>
    <w:rsid w:val="000B5FE2"/>
    <w:rsid w:val="000B5FED"/>
    <w:rsid w:val="000B6390"/>
    <w:rsid w:val="000B65CD"/>
    <w:rsid w:val="000B66FE"/>
    <w:rsid w:val="000B670E"/>
    <w:rsid w:val="000B6729"/>
    <w:rsid w:val="000B67CD"/>
    <w:rsid w:val="000B6908"/>
    <w:rsid w:val="000B6A7D"/>
    <w:rsid w:val="000B6AE7"/>
    <w:rsid w:val="000B6B3F"/>
    <w:rsid w:val="000B6C6E"/>
    <w:rsid w:val="000B6CDB"/>
    <w:rsid w:val="000B6CFB"/>
    <w:rsid w:val="000B6D5D"/>
    <w:rsid w:val="000B6FA6"/>
    <w:rsid w:val="000B706B"/>
    <w:rsid w:val="000B717E"/>
    <w:rsid w:val="000B7302"/>
    <w:rsid w:val="000B73C6"/>
    <w:rsid w:val="000B7462"/>
    <w:rsid w:val="000B766F"/>
    <w:rsid w:val="000B7685"/>
    <w:rsid w:val="000B76BC"/>
    <w:rsid w:val="000B78E8"/>
    <w:rsid w:val="000B7BAF"/>
    <w:rsid w:val="000B7BE7"/>
    <w:rsid w:val="000B7F16"/>
    <w:rsid w:val="000B7FDF"/>
    <w:rsid w:val="000B7FF8"/>
    <w:rsid w:val="000C00FA"/>
    <w:rsid w:val="000C0285"/>
    <w:rsid w:val="000C053C"/>
    <w:rsid w:val="000C05AE"/>
    <w:rsid w:val="000C0779"/>
    <w:rsid w:val="000C07A3"/>
    <w:rsid w:val="000C07F8"/>
    <w:rsid w:val="000C0AA0"/>
    <w:rsid w:val="000C0CAE"/>
    <w:rsid w:val="000C0E1F"/>
    <w:rsid w:val="000C0E4F"/>
    <w:rsid w:val="000C0E66"/>
    <w:rsid w:val="000C0EB4"/>
    <w:rsid w:val="000C0FB8"/>
    <w:rsid w:val="000C1070"/>
    <w:rsid w:val="000C10C3"/>
    <w:rsid w:val="000C147F"/>
    <w:rsid w:val="000C1722"/>
    <w:rsid w:val="000C1880"/>
    <w:rsid w:val="000C1D47"/>
    <w:rsid w:val="000C1ED6"/>
    <w:rsid w:val="000C2116"/>
    <w:rsid w:val="000C216C"/>
    <w:rsid w:val="000C2509"/>
    <w:rsid w:val="000C26DD"/>
    <w:rsid w:val="000C2C7B"/>
    <w:rsid w:val="000C2C94"/>
    <w:rsid w:val="000C2CB4"/>
    <w:rsid w:val="000C2D32"/>
    <w:rsid w:val="000C2D44"/>
    <w:rsid w:val="000C2EF9"/>
    <w:rsid w:val="000C2FC1"/>
    <w:rsid w:val="000C305E"/>
    <w:rsid w:val="000C334C"/>
    <w:rsid w:val="000C34D4"/>
    <w:rsid w:val="000C34DF"/>
    <w:rsid w:val="000C34FC"/>
    <w:rsid w:val="000C36D3"/>
    <w:rsid w:val="000C36E2"/>
    <w:rsid w:val="000C3E07"/>
    <w:rsid w:val="000C3F50"/>
    <w:rsid w:val="000C4398"/>
    <w:rsid w:val="000C4691"/>
    <w:rsid w:val="000C4700"/>
    <w:rsid w:val="000C49FD"/>
    <w:rsid w:val="000C4A28"/>
    <w:rsid w:val="000C4B51"/>
    <w:rsid w:val="000C4DFA"/>
    <w:rsid w:val="000C4E25"/>
    <w:rsid w:val="000C4F22"/>
    <w:rsid w:val="000C4FDD"/>
    <w:rsid w:val="000C5307"/>
    <w:rsid w:val="000C56B1"/>
    <w:rsid w:val="000C5702"/>
    <w:rsid w:val="000C5A40"/>
    <w:rsid w:val="000C5A67"/>
    <w:rsid w:val="000C5B4E"/>
    <w:rsid w:val="000C5B63"/>
    <w:rsid w:val="000C5D69"/>
    <w:rsid w:val="000C62D6"/>
    <w:rsid w:val="000C6347"/>
    <w:rsid w:val="000C6801"/>
    <w:rsid w:val="000C68E7"/>
    <w:rsid w:val="000C6ADF"/>
    <w:rsid w:val="000C6D02"/>
    <w:rsid w:val="000C6E37"/>
    <w:rsid w:val="000C7072"/>
    <w:rsid w:val="000C7416"/>
    <w:rsid w:val="000C7510"/>
    <w:rsid w:val="000C766E"/>
    <w:rsid w:val="000C7A83"/>
    <w:rsid w:val="000C7DAC"/>
    <w:rsid w:val="000D0234"/>
    <w:rsid w:val="000D03DD"/>
    <w:rsid w:val="000D06A6"/>
    <w:rsid w:val="000D06B5"/>
    <w:rsid w:val="000D080A"/>
    <w:rsid w:val="000D08A3"/>
    <w:rsid w:val="000D09C3"/>
    <w:rsid w:val="000D09E4"/>
    <w:rsid w:val="000D0D4E"/>
    <w:rsid w:val="000D0E67"/>
    <w:rsid w:val="000D0F88"/>
    <w:rsid w:val="000D0FF2"/>
    <w:rsid w:val="000D119F"/>
    <w:rsid w:val="000D1232"/>
    <w:rsid w:val="000D1281"/>
    <w:rsid w:val="000D12CC"/>
    <w:rsid w:val="000D14E0"/>
    <w:rsid w:val="000D1562"/>
    <w:rsid w:val="000D160F"/>
    <w:rsid w:val="000D164B"/>
    <w:rsid w:val="000D1A5E"/>
    <w:rsid w:val="000D1AD1"/>
    <w:rsid w:val="000D1EE6"/>
    <w:rsid w:val="000D1FA6"/>
    <w:rsid w:val="000D21B3"/>
    <w:rsid w:val="000D221F"/>
    <w:rsid w:val="000D223D"/>
    <w:rsid w:val="000D23CA"/>
    <w:rsid w:val="000D23CB"/>
    <w:rsid w:val="000D243A"/>
    <w:rsid w:val="000D24F0"/>
    <w:rsid w:val="000D2585"/>
    <w:rsid w:val="000D2591"/>
    <w:rsid w:val="000D2AD4"/>
    <w:rsid w:val="000D2BE9"/>
    <w:rsid w:val="000D2FDE"/>
    <w:rsid w:val="000D30E6"/>
    <w:rsid w:val="000D3177"/>
    <w:rsid w:val="000D318A"/>
    <w:rsid w:val="000D3362"/>
    <w:rsid w:val="000D370F"/>
    <w:rsid w:val="000D38AF"/>
    <w:rsid w:val="000D39F3"/>
    <w:rsid w:val="000D3A19"/>
    <w:rsid w:val="000D3AD4"/>
    <w:rsid w:val="000D3CFB"/>
    <w:rsid w:val="000D4046"/>
    <w:rsid w:val="000D404E"/>
    <w:rsid w:val="000D40FF"/>
    <w:rsid w:val="000D456E"/>
    <w:rsid w:val="000D45A4"/>
    <w:rsid w:val="000D469B"/>
    <w:rsid w:val="000D47D3"/>
    <w:rsid w:val="000D4936"/>
    <w:rsid w:val="000D4B96"/>
    <w:rsid w:val="000D4E9F"/>
    <w:rsid w:val="000D4EE4"/>
    <w:rsid w:val="000D4EF4"/>
    <w:rsid w:val="000D5107"/>
    <w:rsid w:val="000D5295"/>
    <w:rsid w:val="000D53B0"/>
    <w:rsid w:val="000D53DE"/>
    <w:rsid w:val="000D53F8"/>
    <w:rsid w:val="000D55BB"/>
    <w:rsid w:val="000D55E6"/>
    <w:rsid w:val="000D5918"/>
    <w:rsid w:val="000D5CE5"/>
    <w:rsid w:val="000D5D6A"/>
    <w:rsid w:val="000D5E4B"/>
    <w:rsid w:val="000D5FA3"/>
    <w:rsid w:val="000D61A9"/>
    <w:rsid w:val="000D64E0"/>
    <w:rsid w:val="000D6576"/>
    <w:rsid w:val="000D65A8"/>
    <w:rsid w:val="000D66BF"/>
    <w:rsid w:val="000D6A61"/>
    <w:rsid w:val="000D6A67"/>
    <w:rsid w:val="000D6BB2"/>
    <w:rsid w:val="000D6C56"/>
    <w:rsid w:val="000D6CA9"/>
    <w:rsid w:val="000D6CBE"/>
    <w:rsid w:val="000D6D91"/>
    <w:rsid w:val="000D7001"/>
    <w:rsid w:val="000D7005"/>
    <w:rsid w:val="000D7032"/>
    <w:rsid w:val="000D705A"/>
    <w:rsid w:val="000D7288"/>
    <w:rsid w:val="000D7364"/>
    <w:rsid w:val="000D7454"/>
    <w:rsid w:val="000D7568"/>
    <w:rsid w:val="000D7748"/>
    <w:rsid w:val="000D77BF"/>
    <w:rsid w:val="000D7832"/>
    <w:rsid w:val="000D7B77"/>
    <w:rsid w:val="000D7D72"/>
    <w:rsid w:val="000D7E92"/>
    <w:rsid w:val="000D7EBD"/>
    <w:rsid w:val="000D7EC2"/>
    <w:rsid w:val="000D7FC1"/>
    <w:rsid w:val="000E00B2"/>
    <w:rsid w:val="000E00CC"/>
    <w:rsid w:val="000E02C7"/>
    <w:rsid w:val="000E0779"/>
    <w:rsid w:val="000E07AF"/>
    <w:rsid w:val="000E07C7"/>
    <w:rsid w:val="000E09DD"/>
    <w:rsid w:val="000E0C94"/>
    <w:rsid w:val="000E0FB5"/>
    <w:rsid w:val="000E1042"/>
    <w:rsid w:val="000E1060"/>
    <w:rsid w:val="000E10DE"/>
    <w:rsid w:val="000E169E"/>
    <w:rsid w:val="000E16D7"/>
    <w:rsid w:val="000E1750"/>
    <w:rsid w:val="000E1D77"/>
    <w:rsid w:val="000E201F"/>
    <w:rsid w:val="000E202F"/>
    <w:rsid w:val="000E209F"/>
    <w:rsid w:val="000E21D6"/>
    <w:rsid w:val="000E21E0"/>
    <w:rsid w:val="000E225A"/>
    <w:rsid w:val="000E25A2"/>
    <w:rsid w:val="000E25E3"/>
    <w:rsid w:val="000E26EB"/>
    <w:rsid w:val="000E291A"/>
    <w:rsid w:val="000E2D77"/>
    <w:rsid w:val="000E3076"/>
    <w:rsid w:val="000E307D"/>
    <w:rsid w:val="000E307F"/>
    <w:rsid w:val="000E30E3"/>
    <w:rsid w:val="000E31D9"/>
    <w:rsid w:val="000E3345"/>
    <w:rsid w:val="000E3509"/>
    <w:rsid w:val="000E372E"/>
    <w:rsid w:val="000E38B3"/>
    <w:rsid w:val="000E3998"/>
    <w:rsid w:val="000E3E94"/>
    <w:rsid w:val="000E3FC3"/>
    <w:rsid w:val="000E4033"/>
    <w:rsid w:val="000E475E"/>
    <w:rsid w:val="000E4813"/>
    <w:rsid w:val="000E4AB4"/>
    <w:rsid w:val="000E4C35"/>
    <w:rsid w:val="000E4C47"/>
    <w:rsid w:val="000E4D1B"/>
    <w:rsid w:val="000E4DB7"/>
    <w:rsid w:val="000E4DEC"/>
    <w:rsid w:val="000E4EDC"/>
    <w:rsid w:val="000E4EF1"/>
    <w:rsid w:val="000E4FD4"/>
    <w:rsid w:val="000E51DD"/>
    <w:rsid w:val="000E522A"/>
    <w:rsid w:val="000E532E"/>
    <w:rsid w:val="000E54FB"/>
    <w:rsid w:val="000E5503"/>
    <w:rsid w:val="000E555B"/>
    <w:rsid w:val="000E58E2"/>
    <w:rsid w:val="000E59E0"/>
    <w:rsid w:val="000E5ADC"/>
    <w:rsid w:val="000E614B"/>
    <w:rsid w:val="000E6466"/>
    <w:rsid w:val="000E65B3"/>
    <w:rsid w:val="000E665A"/>
    <w:rsid w:val="000E666C"/>
    <w:rsid w:val="000E6836"/>
    <w:rsid w:val="000E694F"/>
    <w:rsid w:val="000E6B86"/>
    <w:rsid w:val="000E6BC6"/>
    <w:rsid w:val="000E6BD3"/>
    <w:rsid w:val="000E6C5B"/>
    <w:rsid w:val="000E6F8D"/>
    <w:rsid w:val="000E7114"/>
    <w:rsid w:val="000E7450"/>
    <w:rsid w:val="000E751F"/>
    <w:rsid w:val="000E7547"/>
    <w:rsid w:val="000E75EA"/>
    <w:rsid w:val="000E76C1"/>
    <w:rsid w:val="000E76CB"/>
    <w:rsid w:val="000E7704"/>
    <w:rsid w:val="000E788D"/>
    <w:rsid w:val="000E794C"/>
    <w:rsid w:val="000E7BC8"/>
    <w:rsid w:val="000E7C4E"/>
    <w:rsid w:val="000E7DFE"/>
    <w:rsid w:val="000E7F14"/>
    <w:rsid w:val="000E7F9B"/>
    <w:rsid w:val="000E7FE7"/>
    <w:rsid w:val="000F005A"/>
    <w:rsid w:val="000F033E"/>
    <w:rsid w:val="000F03E6"/>
    <w:rsid w:val="000F0674"/>
    <w:rsid w:val="000F0856"/>
    <w:rsid w:val="000F0A1F"/>
    <w:rsid w:val="000F0C5B"/>
    <w:rsid w:val="000F0D1A"/>
    <w:rsid w:val="000F105F"/>
    <w:rsid w:val="000F12D5"/>
    <w:rsid w:val="000F15A1"/>
    <w:rsid w:val="000F15C1"/>
    <w:rsid w:val="000F1632"/>
    <w:rsid w:val="000F1729"/>
    <w:rsid w:val="000F1A38"/>
    <w:rsid w:val="000F1A9E"/>
    <w:rsid w:val="000F28FF"/>
    <w:rsid w:val="000F2CA1"/>
    <w:rsid w:val="000F2DE5"/>
    <w:rsid w:val="000F2F86"/>
    <w:rsid w:val="000F3147"/>
    <w:rsid w:val="000F33E8"/>
    <w:rsid w:val="000F340F"/>
    <w:rsid w:val="000F3621"/>
    <w:rsid w:val="000F378A"/>
    <w:rsid w:val="000F3868"/>
    <w:rsid w:val="000F3B6B"/>
    <w:rsid w:val="000F3CA0"/>
    <w:rsid w:val="000F3D2C"/>
    <w:rsid w:val="000F4144"/>
    <w:rsid w:val="000F41E7"/>
    <w:rsid w:val="000F437B"/>
    <w:rsid w:val="000F4460"/>
    <w:rsid w:val="000F47F9"/>
    <w:rsid w:val="000F4A1F"/>
    <w:rsid w:val="000F4AF7"/>
    <w:rsid w:val="000F4D66"/>
    <w:rsid w:val="000F5339"/>
    <w:rsid w:val="000F534B"/>
    <w:rsid w:val="000F5380"/>
    <w:rsid w:val="000F57E0"/>
    <w:rsid w:val="000F5A55"/>
    <w:rsid w:val="000F5DD8"/>
    <w:rsid w:val="000F5EAE"/>
    <w:rsid w:val="000F5FEC"/>
    <w:rsid w:val="000F6190"/>
    <w:rsid w:val="000F62B7"/>
    <w:rsid w:val="000F631B"/>
    <w:rsid w:val="000F673E"/>
    <w:rsid w:val="000F68B6"/>
    <w:rsid w:val="000F6ACB"/>
    <w:rsid w:val="000F6AE1"/>
    <w:rsid w:val="000F6C04"/>
    <w:rsid w:val="000F6C83"/>
    <w:rsid w:val="000F6D25"/>
    <w:rsid w:val="000F6FFF"/>
    <w:rsid w:val="000F707E"/>
    <w:rsid w:val="000F7171"/>
    <w:rsid w:val="000F71BD"/>
    <w:rsid w:val="000F71E6"/>
    <w:rsid w:val="000F7435"/>
    <w:rsid w:val="000F74CD"/>
    <w:rsid w:val="000F7673"/>
    <w:rsid w:val="000F7E7C"/>
    <w:rsid w:val="000F7F25"/>
    <w:rsid w:val="000F7F42"/>
    <w:rsid w:val="000F7FE6"/>
    <w:rsid w:val="0010017F"/>
    <w:rsid w:val="001002E7"/>
    <w:rsid w:val="0010068D"/>
    <w:rsid w:val="001008F9"/>
    <w:rsid w:val="00100C22"/>
    <w:rsid w:val="00100CF5"/>
    <w:rsid w:val="00100D17"/>
    <w:rsid w:val="00100E48"/>
    <w:rsid w:val="0010123D"/>
    <w:rsid w:val="00101467"/>
    <w:rsid w:val="001015D5"/>
    <w:rsid w:val="00101624"/>
    <w:rsid w:val="001016BA"/>
    <w:rsid w:val="001019D0"/>
    <w:rsid w:val="00101A71"/>
    <w:rsid w:val="00101B3E"/>
    <w:rsid w:val="00101B70"/>
    <w:rsid w:val="00101BAB"/>
    <w:rsid w:val="00101CBB"/>
    <w:rsid w:val="00101CDA"/>
    <w:rsid w:val="00102052"/>
    <w:rsid w:val="00102245"/>
    <w:rsid w:val="001024B5"/>
    <w:rsid w:val="00102692"/>
    <w:rsid w:val="00102768"/>
    <w:rsid w:val="0010294D"/>
    <w:rsid w:val="00102B6D"/>
    <w:rsid w:val="00102C9D"/>
    <w:rsid w:val="00102E66"/>
    <w:rsid w:val="001030FB"/>
    <w:rsid w:val="0010311B"/>
    <w:rsid w:val="001034A4"/>
    <w:rsid w:val="0010375A"/>
    <w:rsid w:val="001039AB"/>
    <w:rsid w:val="001039D0"/>
    <w:rsid w:val="00103ACD"/>
    <w:rsid w:val="00103BCB"/>
    <w:rsid w:val="00103CC2"/>
    <w:rsid w:val="00103E4C"/>
    <w:rsid w:val="00103E7D"/>
    <w:rsid w:val="00103F5C"/>
    <w:rsid w:val="00103FDA"/>
    <w:rsid w:val="001040AB"/>
    <w:rsid w:val="001040EA"/>
    <w:rsid w:val="001040FC"/>
    <w:rsid w:val="0010411C"/>
    <w:rsid w:val="0010425E"/>
    <w:rsid w:val="00104625"/>
    <w:rsid w:val="001048FE"/>
    <w:rsid w:val="00104AE3"/>
    <w:rsid w:val="00104C2D"/>
    <w:rsid w:val="00104C63"/>
    <w:rsid w:val="00104C99"/>
    <w:rsid w:val="00104DBE"/>
    <w:rsid w:val="00104E80"/>
    <w:rsid w:val="00104E8A"/>
    <w:rsid w:val="0010504D"/>
    <w:rsid w:val="0010509B"/>
    <w:rsid w:val="0010528A"/>
    <w:rsid w:val="00105667"/>
    <w:rsid w:val="00105744"/>
    <w:rsid w:val="001058E1"/>
    <w:rsid w:val="001058EE"/>
    <w:rsid w:val="00105A87"/>
    <w:rsid w:val="00105FFB"/>
    <w:rsid w:val="0010607D"/>
    <w:rsid w:val="00106376"/>
    <w:rsid w:val="00106660"/>
    <w:rsid w:val="00106696"/>
    <w:rsid w:val="001067E3"/>
    <w:rsid w:val="001068AD"/>
    <w:rsid w:val="00106C16"/>
    <w:rsid w:val="00106D5C"/>
    <w:rsid w:val="00106E00"/>
    <w:rsid w:val="00106F64"/>
    <w:rsid w:val="00106FD9"/>
    <w:rsid w:val="001073EA"/>
    <w:rsid w:val="00107401"/>
    <w:rsid w:val="001074EC"/>
    <w:rsid w:val="00107509"/>
    <w:rsid w:val="0010753C"/>
    <w:rsid w:val="00107807"/>
    <w:rsid w:val="00107847"/>
    <w:rsid w:val="001078BC"/>
    <w:rsid w:val="00107BBD"/>
    <w:rsid w:val="00107D3B"/>
    <w:rsid w:val="00110093"/>
    <w:rsid w:val="0011017E"/>
    <w:rsid w:val="00110279"/>
    <w:rsid w:val="001102B7"/>
    <w:rsid w:val="001102F3"/>
    <w:rsid w:val="001102F5"/>
    <w:rsid w:val="0011040A"/>
    <w:rsid w:val="00110644"/>
    <w:rsid w:val="00110844"/>
    <w:rsid w:val="00110A35"/>
    <w:rsid w:val="00110A7E"/>
    <w:rsid w:val="00110B05"/>
    <w:rsid w:val="00110C85"/>
    <w:rsid w:val="00110DCB"/>
    <w:rsid w:val="0011108D"/>
    <w:rsid w:val="00111161"/>
    <w:rsid w:val="00111269"/>
    <w:rsid w:val="00111282"/>
    <w:rsid w:val="001115DA"/>
    <w:rsid w:val="0011161A"/>
    <w:rsid w:val="0011183A"/>
    <w:rsid w:val="00111954"/>
    <w:rsid w:val="00111D79"/>
    <w:rsid w:val="00111E3A"/>
    <w:rsid w:val="00111E48"/>
    <w:rsid w:val="00111F2C"/>
    <w:rsid w:val="00112140"/>
    <w:rsid w:val="0011223A"/>
    <w:rsid w:val="001123FE"/>
    <w:rsid w:val="00112608"/>
    <w:rsid w:val="00112737"/>
    <w:rsid w:val="00112A7B"/>
    <w:rsid w:val="00112BCD"/>
    <w:rsid w:val="00112C7F"/>
    <w:rsid w:val="00112D05"/>
    <w:rsid w:val="00112D2E"/>
    <w:rsid w:val="00112E25"/>
    <w:rsid w:val="00112E89"/>
    <w:rsid w:val="00112E93"/>
    <w:rsid w:val="00112FD7"/>
    <w:rsid w:val="001134BE"/>
    <w:rsid w:val="00113512"/>
    <w:rsid w:val="00113A51"/>
    <w:rsid w:val="00113BDF"/>
    <w:rsid w:val="00113FED"/>
    <w:rsid w:val="0011424E"/>
    <w:rsid w:val="00114422"/>
    <w:rsid w:val="00114698"/>
    <w:rsid w:val="001148B0"/>
    <w:rsid w:val="00114E75"/>
    <w:rsid w:val="001150DA"/>
    <w:rsid w:val="00115213"/>
    <w:rsid w:val="001154B2"/>
    <w:rsid w:val="00115717"/>
    <w:rsid w:val="00115858"/>
    <w:rsid w:val="001159FD"/>
    <w:rsid w:val="00115A2D"/>
    <w:rsid w:val="00115A4D"/>
    <w:rsid w:val="00115BB9"/>
    <w:rsid w:val="00115E5C"/>
    <w:rsid w:val="00115E6D"/>
    <w:rsid w:val="00115F2E"/>
    <w:rsid w:val="00115F6F"/>
    <w:rsid w:val="00116176"/>
    <w:rsid w:val="001165E4"/>
    <w:rsid w:val="00116652"/>
    <w:rsid w:val="001169D6"/>
    <w:rsid w:val="00116C32"/>
    <w:rsid w:val="00116E40"/>
    <w:rsid w:val="0011703F"/>
    <w:rsid w:val="001170FA"/>
    <w:rsid w:val="001171D0"/>
    <w:rsid w:val="001171D9"/>
    <w:rsid w:val="00117508"/>
    <w:rsid w:val="001176D1"/>
    <w:rsid w:val="001177C7"/>
    <w:rsid w:val="00117BD6"/>
    <w:rsid w:val="00117C6E"/>
    <w:rsid w:val="00117DB1"/>
    <w:rsid w:val="00117F0C"/>
    <w:rsid w:val="001200FE"/>
    <w:rsid w:val="0012029F"/>
    <w:rsid w:val="001202AA"/>
    <w:rsid w:val="001204D0"/>
    <w:rsid w:val="001206CD"/>
    <w:rsid w:val="001206E8"/>
    <w:rsid w:val="00120901"/>
    <w:rsid w:val="00120938"/>
    <w:rsid w:val="00120AC9"/>
    <w:rsid w:val="00120C99"/>
    <w:rsid w:val="00120D36"/>
    <w:rsid w:val="00120D69"/>
    <w:rsid w:val="001210D6"/>
    <w:rsid w:val="001212AA"/>
    <w:rsid w:val="0012150A"/>
    <w:rsid w:val="001215A4"/>
    <w:rsid w:val="0012164A"/>
    <w:rsid w:val="00121855"/>
    <w:rsid w:val="00121B3C"/>
    <w:rsid w:val="00121BEB"/>
    <w:rsid w:val="00121E5F"/>
    <w:rsid w:val="00121FFB"/>
    <w:rsid w:val="0012231A"/>
    <w:rsid w:val="00122356"/>
    <w:rsid w:val="00122394"/>
    <w:rsid w:val="001223AA"/>
    <w:rsid w:val="001223C2"/>
    <w:rsid w:val="001224EB"/>
    <w:rsid w:val="00122759"/>
    <w:rsid w:val="001228DD"/>
    <w:rsid w:val="00122909"/>
    <w:rsid w:val="00122A45"/>
    <w:rsid w:val="00122B59"/>
    <w:rsid w:val="00122B91"/>
    <w:rsid w:val="00122C1D"/>
    <w:rsid w:val="00122C81"/>
    <w:rsid w:val="00122D89"/>
    <w:rsid w:val="00122DB1"/>
    <w:rsid w:val="00122F0D"/>
    <w:rsid w:val="00123078"/>
    <w:rsid w:val="00123082"/>
    <w:rsid w:val="001234AE"/>
    <w:rsid w:val="00123543"/>
    <w:rsid w:val="0012355C"/>
    <w:rsid w:val="001235E8"/>
    <w:rsid w:val="00123973"/>
    <w:rsid w:val="00123A4B"/>
    <w:rsid w:val="00123BD4"/>
    <w:rsid w:val="00123DE7"/>
    <w:rsid w:val="00123F00"/>
    <w:rsid w:val="00123F26"/>
    <w:rsid w:val="00123F4A"/>
    <w:rsid w:val="00124037"/>
    <w:rsid w:val="001241E8"/>
    <w:rsid w:val="001242BA"/>
    <w:rsid w:val="0012471D"/>
    <w:rsid w:val="001248AA"/>
    <w:rsid w:val="00124EF6"/>
    <w:rsid w:val="00125063"/>
    <w:rsid w:val="00125101"/>
    <w:rsid w:val="0012521A"/>
    <w:rsid w:val="001252EA"/>
    <w:rsid w:val="00125395"/>
    <w:rsid w:val="001253BB"/>
    <w:rsid w:val="001253C8"/>
    <w:rsid w:val="0012542E"/>
    <w:rsid w:val="001255F1"/>
    <w:rsid w:val="001256D1"/>
    <w:rsid w:val="00125857"/>
    <w:rsid w:val="00125948"/>
    <w:rsid w:val="00125A67"/>
    <w:rsid w:val="00125ADE"/>
    <w:rsid w:val="00125C41"/>
    <w:rsid w:val="00125CA8"/>
    <w:rsid w:val="00125EF1"/>
    <w:rsid w:val="00125F6D"/>
    <w:rsid w:val="00125FF9"/>
    <w:rsid w:val="001262D4"/>
    <w:rsid w:val="00126382"/>
    <w:rsid w:val="0012650E"/>
    <w:rsid w:val="00126D11"/>
    <w:rsid w:val="00126EB6"/>
    <w:rsid w:val="00127075"/>
    <w:rsid w:val="0012724C"/>
    <w:rsid w:val="00127263"/>
    <w:rsid w:val="0012731A"/>
    <w:rsid w:val="001274BE"/>
    <w:rsid w:val="001276B7"/>
    <w:rsid w:val="001277AE"/>
    <w:rsid w:val="0012782D"/>
    <w:rsid w:val="0012785C"/>
    <w:rsid w:val="0012787C"/>
    <w:rsid w:val="001278B7"/>
    <w:rsid w:val="00127989"/>
    <w:rsid w:val="00127C58"/>
    <w:rsid w:val="00127DA9"/>
    <w:rsid w:val="00127E35"/>
    <w:rsid w:val="0013005E"/>
    <w:rsid w:val="0013039E"/>
    <w:rsid w:val="00130483"/>
    <w:rsid w:val="00130550"/>
    <w:rsid w:val="0013057E"/>
    <w:rsid w:val="00130A84"/>
    <w:rsid w:val="00130AF0"/>
    <w:rsid w:val="00130B98"/>
    <w:rsid w:val="00130C74"/>
    <w:rsid w:val="00130E60"/>
    <w:rsid w:val="00130F29"/>
    <w:rsid w:val="00131078"/>
    <w:rsid w:val="001310F7"/>
    <w:rsid w:val="0013126A"/>
    <w:rsid w:val="0013148B"/>
    <w:rsid w:val="001314D0"/>
    <w:rsid w:val="001314F2"/>
    <w:rsid w:val="00131688"/>
    <w:rsid w:val="0013178F"/>
    <w:rsid w:val="00131846"/>
    <w:rsid w:val="0013188F"/>
    <w:rsid w:val="00131BD4"/>
    <w:rsid w:val="00131DC8"/>
    <w:rsid w:val="00132072"/>
    <w:rsid w:val="0013214F"/>
    <w:rsid w:val="001322D7"/>
    <w:rsid w:val="001324AC"/>
    <w:rsid w:val="00132522"/>
    <w:rsid w:val="001325AF"/>
    <w:rsid w:val="00132614"/>
    <w:rsid w:val="00132B20"/>
    <w:rsid w:val="00132DA6"/>
    <w:rsid w:val="00132E68"/>
    <w:rsid w:val="00133178"/>
    <w:rsid w:val="001331C5"/>
    <w:rsid w:val="00133227"/>
    <w:rsid w:val="0013376F"/>
    <w:rsid w:val="00133842"/>
    <w:rsid w:val="0013387F"/>
    <w:rsid w:val="001339FE"/>
    <w:rsid w:val="00133A8A"/>
    <w:rsid w:val="00133AE0"/>
    <w:rsid w:val="00133B3D"/>
    <w:rsid w:val="00133B48"/>
    <w:rsid w:val="00133BAB"/>
    <w:rsid w:val="00133F84"/>
    <w:rsid w:val="00134040"/>
    <w:rsid w:val="0013413D"/>
    <w:rsid w:val="00134248"/>
    <w:rsid w:val="00134289"/>
    <w:rsid w:val="001344C9"/>
    <w:rsid w:val="001344E8"/>
    <w:rsid w:val="001345C7"/>
    <w:rsid w:val="001345FB"/>
    <w:rsid w:val="00134701"/>
    <w:rsid w:val="0013487A"/>
    <w:rsid w:val="00134A14"/>
    <w:rsid w:val="00134A1F"/>
    <w:rsid w:val="00134A24"/>
    <w:rsid w:val="00134D09"/>
    <w:rsid w:val="00134FB3"/>
    <w:rsid w:val="001350D0"/>
    <w:rsid w:val="0013513F"/>
    <w:rsid w:val="00135653"/>
    <w:rsid w:val="00135687"/>
    <w:rsid w:val="001356CF"/>
    <w:rsid w:val="001357EB"/>
    <w:rsid w:val="00135B57"/>
    <w:rsid w:val="00135D56"/>
    <w:rsid w:val="00135F38"/>
    <w:rsid w:val="00136055"/>
    <w:rsid w:val="001361B5"/>
    <w:rsid w:val="001367AD"/>
    <w:rsid w:val="0013697B"/>
    <w:rsid w:val="00136A4C"/>
    <w:rsid w:val="00136A81"/>
    <w:rsid w:val="00136B69"/>
    <w:rsid w:val="00136BF8"/>
    <w:rsid w:val="00136DA1"/>
    <w:rsid w:val="00136F72"/>
    <w:rsid w:val="001372AB"/>
    <w:rsid w:val="001379B5"/>
    <w:rsid w:val="00137A80"/>
    <w:rsid w:val="00137A90"/>
    <w:rsid w:val="00137B74"/>
    <w:rsid w:val="00137CD5"/>
    <w:rsid w:val="00137DF1"/>
    <w:rsid w:val="00137FF2"/>
    <w:rsid w:val="00137FF5"/>
    <w:rsid w:val="00137FF9"/>
    <w:rsid w:val="00140197"/>
    <w:rsid w:val="00140443"/>
    <w:rsid w:val="0014049E"/>
    <w:rsid w:val="001404E8"/>
    <w:rsid w:val="0014065B"/>
    <w:rsid w:val="001409CB"/>
    <w:rsid w:val="00140B2A"/>
    <w:rsid w:val="00140D4D"/>
    <w:rsid w:val="00140D74"/>
    <w:rsid w:val="00140F81"/>
    <w:rsid w:val="001410D8"/>
    <w:rsid w:val="0014135B"/>
    <w:rsid w:val="001413C8"/>
    <w:rsid w:val="00141437"/>
    <w:rsid w:val="00141549"/>
    <w:rsid w:val="0014167F"/>
    <w:rsid w:val="001418CC"/>
    <w:rsid w:val="00141994"/>
    <w:rsid w:val="00141E9D"/>
    <w:rsid w:val="00141EFD"/>
    <w:rsid w:val="00141F45"/>
    <w:rsid w:val="00142140"/>
    <w:rsid w:val="00142370"/>
    <w:rsid w:val="001423A7"/>
    <w:rsid w:val="001423FD"/>
    <w:rsid w:val="00142536"/>
    <w:rsid w:val="00142735"/>
    <w:rsid w:val="001427AD"/>
    <w:rsid w:val="001427DE"/>
    <w:rsid w:val="00142881"/>
    <w:rsid w:val="001429C5"/>
    <w:rsid w:val="00142B73"/>
    <w:rsid w:val="00142B7A"/>
    <w:rsid w:val="00142BAE"/>
    <w:rsid w:val="00142D5D"/>
    <w:rsid w:val="00142D72"/>
    <w:rsid w:val="00142F4A"/>
    <w:rsid w:val="0014301D"/>
    <w:rsid w:val="001431F0"/>
    <w:rsid w:val="00143A2F"/>
    <w:rsid w:val="00143BB2"/>
    <w:rsid w:val="00143C30"/>
    <w:rsid w:val="00143C50"/>
    <w:rsid w:val="00143E2F"/>
    <w:rsid w:val="001440E2"/>
    <w:rsid w:val="001442A2"/>
    <w:rsid w:val="00144916"/>
    <w:rsid w:val="00144973"/>
    <w:rsid w:val="00144AA4"/>
    <w:rsid w:val="00144C10"/>
    <w:rsid w:val="00144E6C"/>
    <w:rsid w:val="00144EBA"/>
    <w:rsid w:val="00144EE2"/>
    <w:rsid w:val="001451B8"/>
    <w:rsid w:val="001451F2"/>
    <w:rsid w:val="00145567"/>
    <w:rsid w:val="00145610"/>
    <w:rsid w:val="00145BC4"/>
    <w:rsid w:val="00145D35"/>
    <w:rsid w:val="00146163"/>
    <w:rsid w:val="0014621B"/>
    <w:rsid w:val="001463B8"/>
    <w:rsid w:val="00146B41"/>
    <w:rsid w:val="00146CB9"/>
    <w:rsid w:val="00146D1D"/>
    <w:rsid w:val="00146D5B"/>
    <w:rsid w:val="00146E11"/>
    <w:rsid w:val="00146E3E"/>
    <w:rsid w:val="00146EB9"/>
    <w:rsid w:val="00146F4C"/>
    <w:rsid w:val="0014724F"/>
    <w:rsid w:val="001472CD"/>
    <w:rsid w:val="00147326"/>
    <w:rsid w:val="0014734E"/>
    <w:rsid w:val="00147413"/>
    <w:rsid w:val="001475FC"/>
    <w:rsid w:val="00147690"/>
    <w:rsid w:val="001477A9"/>
    <w:rsid w:val="00147C50"/>
    <w:rsid w:val="00147CA7"/>
    <w:rsid w:val="00147E60"/>
    <w:rsid w:val="0015025C"/>
    <w:rsid w:val="00150332"/>
    <w:rsid w:val="0015034F"/>
    <w:rsid w:val="001505FF"/>
    <w:rsid w:val="0015085F"/>
    <w:rsid w:val="00150A67"/>
    <w:rsid w:val="00150A8C"/>
    <w:rsid w:val="00150C55"/>
    <w:rsid w:val="00150E1E"/>
    <w:rsid w:val="00150EA8"/>
    <w:rsid w:val="00150F2C"/>
    <w:rsid w:val="0015107C"/>
    <w:rsid w:val="001515DC"/>
    <w:rsid w:val="00151748"/>
    <w:rsid w:val="0015178A"/>
    <w:rsid w:val="001517AA"/>
    <w:rsid w:val="00151877"/>
    <w:rsid w:val="00151A68"/>
    <w:rsid w:val="00151EB8"/>
    <w:rsid w:val="00152074"/>
    <w:rsid w:val="0015213C"/>
    <w:rsid w:val="00152183"/>
    <w:rsid w:val="0015234D"/>
    <w:rsid w:val="00152441"/>
    <w:rsid w:val="001524BE"/>
    <w:rsid w:val="00152670"/>
    <w:rsid w:val="00152784"/>
    <w:rsid w:val="001527F8"/>
    <w:rsid w:val="0015280F"/>
    <w:rsid w:val="001529C6"/>
    <w:rsid w:val="00152A66"/>
    <w:rsid w:val="00152B19"/>
    <w:rsid w:val="00152C5A"/>
    <w:rsid w:val="00152D07"/>
    <w:rsid w:val="001530BD"/>
    <w:rsid w:val="001531F3"/>
    <w:rsid w:val="00153202"/>
    <w:rsid w:val="00153370"/>
    <w:rsid w:val="001533DE"/>
    <w:rsid w:val="0015371C"/>
    <w:rsid w:val="001538CC"/>
    <w:rsid w:val="001538F9"/>
    <w:rsid w:val="00153A69"/>
    <w:rsid w:val="00153ABD"/>
    <w:rsid w:val="00153B4F"/>
    <w:rsid w:val="00154310"/>
    <w:rsid w:val="001543C4"/>
    <w:rsid w:val="00154699"/>
    <w:rsid w:val="00154BDF"/>
    <w:rsid w:val="00154EC5"/>
    <w:rsid w:val="0015536C"/>
    <w:rsid w:val="00155475"/>
    <w:rsid w:val="001559C3"/>
    <w:rsid w:val="00155A1A"/>
    <w:rsid w:val="00155B5D"/>
    <w:rsid w:val="00155BA4"/>
    <w:rsid w:val="00155DE3"/>
    <w:rsid w:val="001561A0"/>
    <w:rsid w:val="001562E5"/>
    <w:rsid w:val="0015632F"/>
    <w:rsid w:val="0015637B"/>
    <w:rsid w:val="00156519"/>
    <w:rsid w:val="00156876"/>
    <w:rsid w:val="00156898"/>
    <w:rsid w:val="00156CAB"/>
    <w:rsid w:val="00157036"/>
    <w:rsid w:val="001570E0"/>
    <w:rsid w:val="00157171"/>
    <w:rsid w:val="00157A05"/>
    <w:rsid w:val="00157B7D"/>
    <w:rsid w:val="001603FB"/>
    <w:rsid w:val="001604C7"/>
    <w:rsid w:val="00160634"/>
    <w:rsid w:val="00160648"/>
    <w:rsid w:val="001608CE"/>
    <w:rsid w:val="00160A30"/>
    <w:rsid w:val="00160A52"/>
    <w:rsid w:val="00160C27"/>
    <w:rsid w:val="00160E0F"/>
    <w:rsid w:val="00160E7A"/>
    <w:rsid w:val="00161028"/>
    <w:rsid w:val="0016104D"/>
    <w:rsid w:val="001610C8"/>
    <w:rsid w:val="0016133A"/>
    <w:rsid w:val="001613A9"/>
    <w:rsid w:val="001613C4"/>
    <w:rsid w:val="001614F8"/>
    <w:rsid w:val="001615F6"/>
    <w:rsid w:val="00161676"/>
    <w:rsid w:val="001616BD"/>
    <w:rsid w:val="0016172A"/>
    <w:rsid w:val="001619EC"/>
    <w:rsid w:val="00161A8D"/>
    <w:rsid w:val="00161AFE"/>
    <w:rsid w:val="00161CC9"/>
    <w:rsid w:val="00161CEA"/>
    <w:rsid w:val="00161DD9"/>
    <w:rsid w:val="00161FA8"/>
    <w:rsid w:val="001622F6"/>
    <w:rsid w:val="00162453"/>
    <w:rsid w:val="001624C7"/>
    <w:rsid w:val="00162506"/>
    <w:rsid w:val="001627A1"/>
    <w:rsid w:val="00162A5A"/>
    <w:rsid w:val="00162B28"/>
    <w:rsid w:val="00162C54"/>
    <w:rsid w:val="00162FB9"/>
    <w:rsid w:val="00162FDA"/>
    <w:rsid w:val="00163181"/>
    <w:rsid w:val="0016330A"/>
    <w:rsid w:val="001633E1"/>
    <w:rsid w:val="00163552"/>
    <w:rsid w:val="00163851"/>
    <w:rsid w:val="00163A9B"/>
    <w:rsid w:val="00163B31"/>
    <w:rsid w:val="00163BB2"/>
    <w:rsid w:val="00163C26"/>
    <w:rsid w:val="00163E16"/>
    <w:rsid w:val="00164088"/>
    <w:rsid w:val="001640EC"/>
    <w:rsid w:val="0016415F"/>
    <w:rsid w:val="001641CC"/>
    <w:rsid w:val="001641D2"/>
    <w:rsid w:val="001641D8"/>
    <w:rsid w:val="00164236"/>
    <w:rsid w:val="001642CE"/>
    <w:rsid w:val="001642D1"/>
    <w:rsid w:val="001645FB"/>
    <w:rsid w:val="001648A3"/>
    <w:rsid w:val="00164962"/>
    <w:rsid w:val="00164C98"/>
    <w:rsid w:val="00164E6F"/>
    <w:rsid w:val="0016501F"/>
    <w:rsid w:val="00165199"/>
    <w:rsid w:val="00165371"/>
    <w:rsid w:val="00165520"/>
    <w:rsid w:val="001657D9"/>
    <w:rsid w:val="00165808"/>
    <w:rsid w:val="0016586E"/>
    <w:rsid w:val="001659F5"/>
    <w:rsid w:val="00165BE4"/>
    <w:rsid w:val="00165CFB"/>
    <w:rsid w:val="00165DD3"/>
    <w:rsid w:val="0016600F"/>
    <w:rsid w:val="0016614B"/>
    <w:rsid w:val="001661A4"/>
    <w:rsid w:val="00166244"/>
    <w:rsid w:val="00166305"/>
    <w:rsid w:val="00166309"/>
    <w:rsid w:val="00166408"/>
    <w:rsid w:val="001664D7"/>
    <w:rsid w:val="001665A7"/>
    <w:rsid w:val="0016684F"/>
    <w:rsid w:val="00166924"/>
    <w:rsid w:val="0016694B"/>
    <w:rsid w:val="00166ADA"/>
    <w:rsid w:val="00166D67"/>
    <w:rsid w:val="0016715A"/>
    <w:rsid w:val="00167226"/>
    <w:rsid w:val="00167315"/>
    <w:rsid w:val="00167344"/>
    <w:rsid w:val="00167461"/>
    <w:rsid w:val="00167640"/>
    <w:rsid w:val="00167720"/>
    <w:rsid w:val="00167880"/>
    <w:rsid w:val="001678EF"/>
    <w:rsid w:val="001679E4"/>
    <w:rsid w:val="00167AF2"/>
    <w:rsid w:val="00167BEE"/>
    <w:rsid w:val="00167C17"/>
    <w:rsid w:val="00167CFB"/>
    <w:rsid w:val="00167D5B"/>
    <w:rsid w:val="00167D86"/>
    <w:rsid w:val="00167E21"/>
    <w:rsid w:val="00167F73"/>
    <w:rsid w:val="00170088"/>
    <w:rsid w:val="00170124"/>
    <w:rsid w:val="001702E6"/>
    <w:rsid w:val="00170501"/>
    <w:rsid w:val="00170730"/>
    <w:rsid w:val="00170A29"/>
    <w:rsid w:val="00170A7B"/>
    <w:rsid w:val="00170B08"/>
    <w:rsid w:val="00170B0D"/>
    <w:rsid w:val="00171121"/>
    <w:rsid w:val="001711DC"/>
    <w:rsid w:val="001718B3"/>
    <w:rsid w:val="001718B4"/>
    <w:rsid w:val="00171C63"/>
    <w:rsid w:val="00171C8E"/>
    <w:rsid w:val="00171D7E"/>
    <w:rsid w:val="00171DC0"/>
    <w:rsid w:val="00171E0A"/>
    <w:rsid w:val="00171EFC"/>
    <w:rsid w:val="00172143"/>
    <w:rsid w:val="00172171"/>
    <w:rsid w:val="001721E7"/>
    <w:rsid w:val="0017238E"/>
    <w:rsid w:val="001723BB"/>
    <w:rsid w:val="00172826"/>
    <w:rsid w:val="00172862"/>
    <w:rsid w:val="001728BE"/>
    <w:rsid w:val="001729B4"/>
    <w:rsid w:val="00172B6F"/>
    <w:rsid w:val="00172DFB"/>
    <w:rsid w:val="0017301A"/>
    <w:rsid w:val="001733CC"/>
    <w:rsid w:val="00173547"/>
    <w:rsid w:val="001737D0"/>
    <w:rsid w:val="00173A09"/>
    <w:rsid w:val="00173A1B"/>
    <w:rsid w:val="00173B6A"/>
    <w:rsid w:val="00173CE2"/>
    <w:rsid w:val="00173D11"/>
    <w:rsid w:val="001743AE"/>
    <w:rsid w:val="001743CA"/>
    <w:rsid w:val="00174889"/>
    <w:rsid w:val="001748C4"/>
    <w:rsid w:val="00174AD2"/>
    <w:rsid w:val="00174CFE"/>
    <w:rsid w:val="00174D27"/>
    <w:rsid w:val="0017539B"/>
    <w:rsid w:val="001757E7"/>
    <w:rsid w:val="001758A3"/>
    <w:rsid w:val="0017597E"/>
    <w:rsid w:val="00175A84"/>
    <w:rsid w:val="00175C62"/>
    <w:rsid w:val="00175E02"/>
    <w:rsid w:val="00175FB2"/>
    <w:rsid w:val="00176019"/>
    <w:rsid w:val="001760A4"/>
    <w:rsid w:val="00176152"/>
    <w:rsid w:val="00176163"/>
    <w:rsid w:val="001762F3"/>
    <w:rsid w:val="001763CA"/>
    <w:rsid w:val="00176923"/>
    <w:rsid w:val="00176932"/>
    <w:rsid w:val="00176A09"/>
    <w:rsid w:val="00176A60"/>
    <w:rsid w:val="00176CD4"/>
    <w:rsid w:val="00176CD5"/>
    <w:rsid w:val="00176D98"/>
    <w:rsid w:val="00176E40"/>
    <w:rsid w:val="001770CB"/>
    <w:rsid w:val="0017721A"/>
    <w:rsid w:val="00177762"/>
    <w:rsid w:val="0017792C"/>
    <w:rsid w:val="00177982"/>
    <w:rsid w:val="00177B11"/>
    <w:rsid w:val="00177B1B"/>
    <w:rsid w:val="00177FF1"/>
    <w:rsid w:val="001800FF"/>
    <w:rsid w:val="0018099B"/>
    <w:rsid w:val="00180A4B"/>
    <w:rsid w:val="00180B0A"/>
    <w:rsid w:val="00180B2B"/>
    <w:rsid w:val="00180B2C"/>
    <w:rsid w:val="00180B6C"/>
    <w:rsid w:val="001810E8"/>
    <w:rsid w:val="00181382"/>
    <w:rsid w:val="001814BD"/>
    <w:rsid w:val="001816BD"/>
    <w:rsid w:val="001816D9"/>
    <w:rsid w:val="00181783"/>
    <w:rsid w:val="001817FD"/>
    <w:rsid w:val="00181A05"/>
    <w:rsid w:val="00181A18"/>
    <w:rsid w:val="00181DB6"/>
    <w:rsid w:val="00181E15"/>
    <w:rsid w:val="00181E2D"/>
    <w:rsid w:val="001821DB"/>
    <w:rsid w:val="001822E9"/>
    <w:rsid w:val="001829AA"/>
    <w:rsid w:val="001829DA"/>
    <w:rsid w:val="001829DF"/>
    <w:rsid w:val="00182BDA"/>
    <w:rsid w:val="00182C75"/>
    <w:rsid w:val="00182CAD"/>
    <w:rsid w:val="00182CF4"/>
    <w:rsid w:val="00182D9C"/>
    <w:rsid w:val="00183228"/>
    <w:rsid w:val="0018330E"/>
    <w:rsid w:val="00183338"/>
    <w:rsid w:val="001833C1"/>
    <w:rsid w:val="00183481"/>
    <w:rsid w:val="00183556"/>
    <w:rsid w:val="00183751"/>
    <w:rsid w:val="00183811"/>
    <w:rsid w:val="00183A36"/>
    <w:rsid w:val="00183A6D"/>
    <w:rsid w:val="00183EC3"/>
    <w:rsid w:val="00184137"/>
    <w:rsid w:val="00184371"/>
    <w:rsid w:val="0018457E"/>
    <w:rsid w:val="0018461B"/>
    <w:rsid w:val="00184650"/>
    <w:rsid w:val="0018488F"/>
    <w:rsid w:val="00184B99"/>
    <w:rsid w:val="00184D2A"/>
    <w:rsid w:val="00184EB2"/>
    <w:rsid w:val="00184F34"/>
    <w:rsid w:val="0018545C"/>
    <w:rsid w:val="001854B5"/>
    <w:rsid w:val="00185547"/>
    <w:rsid w:val="001857C4"/>
    <w:rsid w:val="0018585D"/>
    <w:rsid w:val="001858A7"/>
    <w:rsid w:val="001859B7"/>
    <w:rsid w:val="00185A44"/>
    <w:rsid w:val="00185ABD"/>
    <w:rsid w:val="00185AE2"/>
    <w:rsid w:val="00185B61"/>
    <w:rsid w:val="00185BD6"/>
    <w:rsid w:val="00185E16"/>
    <w:rsid w:val="00185EC5"/>
    <w:rsid w:val="00185F93"/>
    <w:rsid w:val="00186235"/>
    <w:rsid w:val="0018630A"/>
    <w:rsid w:val="001864B2"/>
    <w:rsid w:val="0018656C"/>
    <w:rsid w:val="001865AF"/>
    <w:rsid w:val="00186645"/>
    <w:rsid w:val="001869E3"/>
    <w:rsid w:val="00186A05"/>
    <w:rsid w:val="00186C1D"/>
    <w:rsid w:val="00186CB4"/>
    <w:rsid w:val="001870CA"/>
    <w:rsid w:val="00187130"/>
    <w:rsid w:val="001871BE"/>
    <w:rsid w:val="00187257"/>
    <w:rsid w:val="0018729E"/>
    <w:rsid w:val="001872C3"/>
    <w:rsid w:val="00187597"/>
    <w:rsid w:val="001875DE"/>
    <w:rsid w:val="00187BD3"/>
    <w:rsid w:val="00187BF9"/>
    <w:rsid w:val="00187D91"/>
    <w:rsid w:val="00187E48"/>
    <w:rsid w:val="00187F81"/>
    <w:rsid w:val="0019013E"/>
    <w:rsid w:val="001901E4"/>
    <w:rsid w:val="0019032D"/>
    <w:rsid w:val="001906F5"/>
    <w:rsid w:val="00190873"/>
    <w:rsid w:val="00190A60"/>
    <w:rsid w:val="00190D11"/>
    <w:rsid w:val="00190E49"/>
    <w:rsid w:val="00190F6A"/>
    <w:rsid w:val="00191047"/>
    <w:rsid w:val="0019132D"/>
    <w:rsid w:val="001917C9"/>
    <w:rsid w:val="00191826"/>
    <w:rsid w:val="00191A86"/>
    <w:rsid w:val="00191B5A"/>
    <w:rsid w:val="00192066"/>
    <w:rsid w:val="0019206F"/>
    <w:rsid w:val="0019257F"/>
    <w:rsid w:val="00192606"/>
    <w:rsid w:val="001928F9"/>
    <w:rsid w:val="00192DBF"/>
    <w:rsid w:val="00192ECD"/>
    <w:rsid w:val="00192EFD"/>
    <w:rsid w:val="0019305A"/>
    <w:rsid w:val="00193209"/>
    <w:rsid w:val="00193213"/>
    <w:rsid w:val="00193410"/>
    <w:rsid w:val="001935B5"/>
    <w:rsid w:val="001935C5"/>
    <w:rsid w:val="0019372A"/>
    <w:rsid w:val="00193A13"/>
    <w:rsid w:val="00193A1E"/>
    <w:rsid w:val="00193BC7"/>
    <w:rsid w:val="00193C50"/>
    <w:rsid w:val="00193CE8"/>
    <w:rsid w:val="00194377"/>
    <w:rsid w:val="001943A6"/>
    <w:rsid w:val="00194429"/>
    <w:rsid w:val="001946C4"/>
    <w:rsid w:val="00194875"/>
    <w:rsid w:val="00194997"/>
    <w:rsid w:val="00194DF9"/>
    <w:rsid w:val="00195161"/>
    <w:rsid w:val="0019518B"/>
    <w:rsid w:val="00195587"/>
    <w:rsid w:val="0019558B"/>
    <w:rsid w:val="001955F4"/>
    <w:rsid w:val="001956AB"/>
    <w:rsid w:val="00195713"/>
    <w:rsid w:val="00195A5A"/>
    <w:rsid w:val="00195BDF"/>
    <w:rsid w:val="00196141"/>
    <w:rsid w:val="001963A6"/>
    <w:rsid w:val="00196516"/>
    <w:rsid w:val="0019668F"/>
    <w:rsid w:val="00196A15"/>
    <w:rsid w:val="00196A79"/>
    <w:rsid w:val="00196B2D"/>
    <w:rsid w:val="00196E2B"/>
    <w:rsid w:val="00196E77"/>
    <w:rsid w:val="001972DE"/>
    <w:rsid w:val="001976C4"/>
    <w:rsid w:val="0019779D"/>
    <w:rsid w:val="00197839"/>
    <w:rsid w:val="0019788A"/>
    <w:rsid w:val="00197A83"/>
    <w:rsid w:val="00197BD8"/>
    <w:rsid w:val="00197C33"/>
    <w:rsid w:val="00197DD0"/>
    <w:rsid w:val="001A00CE"/>
    <w:rsid w:val="001A017B"/>
    <w:rsid w:val="001A023A"/>
    <w:rsid w:val="001A034F"/>
    <w:rsid w:val="001A03F7"/>
    <w:rsid w:val="001A0430"/>
    <w:rsid w:val="001A0461"/>
    <w:rsid w:val="001A04E2"/>
    <w:rsid w:val="001A05FA"/>
    <w:rsid w:val="001A0832"/>
    <w:rsid w:val="001A0B86"/>
    <w:rsid w:val="001A0CAD"/>
    <w:rsid w:val="001A0CD0"/>
    <w:rsid w:val="001A0CEB"/>
    <w:rsid w:val="001A0F0A"/>
    <w:rsid w:val="001A107C"/>
    <w:rsid w:val="001A1105"/>
    <w:rsid w:val="001A135B"/>
    <w:rsid w:val="001A1417"/>
    <w:rsid w:val="001A1450"/>
    <w:rsid w:val="001A1738"/>
    <w:rsid w:val="001A1876"/>
    <w:rsid w:val="001A1B32"/>
    <w:rsid w:val="001A1B4C"/>
    <w:rsid w:val="001A1B6C"/>
    <w:rsid w:val="001A1C5D"/>
    <w:rsid w:val="001A1E65"/>
    <w:rsid w:val="001A1F40"/>
    <w:rsid w:val="001A1F6E"/>
    <w:rsid w:val="001A23B5"/>
    <w:rsid w:val="001A23C1"/>
    <w:rsid w:val="001A241C"/>
    <w:rsid w:val="001A24B0"/>
    <w:rsid w:val="001A24EA"/>
    <w:rsid w:val="001A26CB"/>
    <w:rsid w:val="001A282F"/>
    <w:rsid w:val="001A2984"/>
    <w:rsid w:val="001A29C3"/>
    <w:rsid w:val="001A2A52"/>
    <w:rsid w:val="001A3047"/>
    <w:rsid w:val="001A30D6"/>
    <w:rsid w:val="001A3220"/>
    <w:rsid w:val="001A339D"/>
    <w:rsid w:val="001A3414"/>
    <w:rsid w:val="001A3580"/>
    <w:rsid w:val="001A3621"/>
    <w:rsid w:val="001A3675"/>
    <w:rsid w:val="001A369D"/>
    <w:rsid w:val="001A37CA"/>
    <w:rsid w:val="001A39BB"/>
    <w:rsid w:val="001A3BEE"/>
    <w:rsid w:val="001A3C55"/>
    <w:rsid w:val="001A3FC8"/>
    <w:rsid w:val="001A4024"/>
    <w:rsid w:val="001A4095"/>
    <w:rsid w:val="001A4129"/>
    <w:rsid w:val="001A421B"/>
    <w:rsid w:val="001A423B"/>
    <w:rsid w:val="001A4344"/>
    <w:rsid w:val="001A435F"/>
    <w:rsid w:val="001A4383"/>
    <w:rsid w:val="001A452A"/>
    <w:rsid w:val="001A464F"/>
    <w:rsid w:val="001A4760"/>
    <w:rsid w:val="001A4902"/>
    <w:rsid w:val="001A49A3"/>
    <w:rsid w:val="001A4C9E"/>
    <w:rsid w:val="001A4CF9"/>
    <w:rsid w:val="001A53BF"/>
    <w:rsid w:val="001A54E1"/>
    <w:rsid w:val="001A55DF"/>
    <w:rsid w:val="001A5762"/>
    <w:rsid w:val="001A5978"/>
    <w:rsid w:val="001A59EE"/>
    <w:rsid w:val="001A5CAA"/>
    <w:rsid w:val="001A64EB"/>
    <w:rsid w:val="001A6520"/>
    <w:rsid w:val="001A65BB"/>
    <w:rsid w:val="001A6866"/>
    <w:rsid w:val="001A689A"/>
    <w:rsid w:val="001A6A37"/>
    <w:rsid w:val="001A6B8D"/>
    <w:rsid w:val="001A6C49"/>
    <w:rsid w:val="001A6E67"/>
    <w:rsid w:val="001A6EB7"/>
    <w:rsid w:val="001A6FC9"/>
    <w:rsid w:val="001A6FCE"/>
    <w:rsid w:val="001A7178"/>
    <w:rsid w:val="001A71A7"/>
    <w:rsid w:val="001A73AF"/>
    <w:rsid w:val="001A74F7"/>
    <w:rsid w:val="001A755A"/>
    <w:rsid w:val="001A767A"/>
    <w:rsid w:val="001A770E"/>
    <w:rsid w:val="001A771C"/>
    <w:rsid w:val="001A7738"/>
    <w:rsid w:val="001A7855"/>
    <w:rsid w:val="001A7910"/>
    <w:rsid w:val="001A7991"/>
    <w:rsid w:val="001A7BB1"/>
    <w:rsid w:val="001A7CAD"/>
    <w:rsid w:val="001A7E98"/>
    <w:rsid w:val="001A7EC8"/>
    <w:rsid w:val="001A7FCA"/>
    <w:rsid w:val="001B00F6"/>
    <w:rsid w:val="001B0142"/>
    <w:rsid w:val="001B01AE"/>
    <w:rsid w:val="001B025A"/>
    <w:rsid w:val="001B02EF"/>
    <w:rsid w:val="001B03F4"/>
    <w:rsid w:val="001B05FF"/>
    <w:rsid w:val="001B06B3"/>
    <w:rsid w:val="001B0C10"/>
    <w:rsid w:val="001B0F17"/>
    <w:rsid w:val="001B0FC5"/>
    <w:rsid w:val="001B11AF"/>
    <w:rsid w:val="001B13F4"/>
    <w:rsid w:val="001B1540"/>
    <w:rsid w:val="001B1627"/>
    <w:rsid w:val="001B1660"/>
    <w:rsid w:val="001B1667"/>
    <w:rsid w:val="001B170C"/>
    <w:rsid w:val="001B19EA"/>
    <w:rsid w:val="001B1A2F"/>
    <w:rsid w:val="001B1AF4"/>
    <w:rsid w:val="001B1F4B"/>
    <w:rsid w:val="001B1FAD"/>
    <w:rsid w:val="001B20C2"/>
    <w:rsid w:val="001B21B0"/>
    <w:rsid w:val="001B22F4"/>
    <w:rsid w:val="001B2503"/>
    <w:rsid w:val="001B2828"/>
    <w:rsid w:val="001B2868"/>
    <w:rsid w:val="001B2881"/>
    <w:rsid w:val="001B2AE8"/>
    <w:rsid w:val="001B2B2A"/>
    <w:rsid w:val="001B2C5B"/>
    <w:rsid w:val="001B2DE9"/>
    <w:rsid w:val="001B30B6"/>
    <w:rsid w:val="001B30E8"/>
    <w:rsid w:val="001B324C"/>
    <w:rsid w:val="001B32E9"/>
    <w:rsid w:val="001B3677"/>
    <w:rsid w:val="001B396A"/>
    <w:rsid w:val="001B3C32"/>
    <w:rsid w:val="001B3E99"/>
    <w:rsid w:val="001B3EE9"/>
    <w:rsid w:val="001B3F8E"/>
    <w:rsid w:val="001B41C8"/>
    <w:rsid w:val="001B45AA"/>
    <w:rsid w:val="001B45BE"/>
    <w:rsid w:val="001B46B8"/>
    <w:rsid w:val="001B4926"/>
    <w:rsid w:val="001B49E7"/>
    <w:rsid w:val="001B4A19"/>
    <w:rsid w:val="001B4A88"/>
    <w:rsid w:val="001B4AFA"/>
    <w:rsid w:val="001B4B95"/>
    <w:rsid w:val="001B4CC4"/>
    <w:rsid w:val="001B4F50"/>
    <w:rsid w:val="001B507D"/>
    <w:rsid w:val="001B50BE"/>
    <w:rsid w:val="001B5122"/>
    <w:rsid w:val="001B5125"/>
    <w:rsid w:val="001B52BB"/>
    <w:rsid w:val="001B532A"/>
    <w:rsid w:val="001B54C5"/>
    <w:rsid w:val="001B56A8"/>
    <w:rsid w:val="001B570D"/>
    <w:rsid w:val="001B571D"/>
    <w:rsid w:val="001B5804"/>
    <w:rsid w:val="001B5B5C"/>
    <w:rsid w:val="001B5DA6"/>
    <w:rsid w:val="001B5E41"/>
    <w:rsid w:val="001B5F5C"/>
    <w:rsid w:val="001B5F69"/>
    <w:rsid w:val="001B6015"/>
    <w:rsid w:val="001B621D"/>
    <w:rsid w:val="001B62F6"/>
    <w:rsid w:val="001B6474"/>
    <w:rsid w:val="001B6578"/>
    <w:rsid w:val="001B671A"/>
    <w:rsid w:val="001B6A71"/>
    <w:rsid w:val="001B6B52"/>
    <w:rsid w:val="001B6D1A"/>
    <w:rsid w:val="001B6EE2"/>
    <w:rsid w:val="001B6F15"/>
    <w:rsid w:val="001B6FCE"/>
    <w:rsid w:val="001B7162"/>
    <w:rsid w:val="001B7213"/>
    <w:rsid w:val="001B73C1"/>
    <w:rsid w:val="001B7533"/>
    <w:rsid w:val="001B759B"/>
    <w:rsid w:val="001B7715"/>
    <w:rsid w:val="001B775C"/>
    <w:rsid w:val="001B7987"/>
    <w:rsid w:val="001B7AA0"/>
    <w:rsid w:val="001B7F08"/>
    <w:rsid w:val="001B7F1F"/>
    <w:rsid w:val="001B7FA5"/>
    <w:rsid w:val="001C0051"/>
    <w:rsid w:val="001C0318"/>
    <w:rsid w:val="001C0349"/>
    <w:rsid w:val="001C04D4"/>
    <w:rsid w:val="001C053E"/>
    <w:rsid w:val="001C0540"/>
    <w:rsid w:val="001C0639"/>
    <w:rsid w:val="001C0647"/>
    <w:rsid w:val="001C068B"/>
    <w:rsid w:val="001C07A5"/>
    <w:rsid w:val="001C085E"/>
    <w:rsid w:val="001C08FA"/>
    <w:rsid w:val="001C0925"/>
    <w:rsid w:val="001C097A"/>
    <w:rsid w:val="001C0ABF"/>
    <w:rsid w:val="001C0B7B"/>
    <w:rsid w:val="001C0BFE"/>
    <w:rsid w:val="001C0C1B"/>
    <w:rsid w:val="001C0EB0"/>
    <w:rsid w:val="001C0FDD"/>
    <w:rsid w:val="001C1141"/>
    <w:rsid w:val="001C1178"/>
    <w:rsid w:val="001C1301"/>
    <w:rsid w:val="001C15E7"/>
    <w:rsid w:val="001C16E6"/>
    <w:rsid w:val="001C1782"/>
    <w:rsid w:val="001C19ED"/>
    <w:rsid w:val="001C1CB6"/>
    <w:rsid w:val="001C1E8E"/>
    <w:rsid w:val="001C1F91"/>
    <w:rsid w:val="001C1FD4"/>
    <w:rsid w:val="001C2318"/>
    <w:rsid w:val="001C2327"/>
    <w:rsid w:val="001C2481"/>
    <w:rsid w:val="001C24A2"/>
    <w:rsid w:val="001C24B0"/>
    <w:rsid w:val="001C24EC"/>
    <w:rsid w:val="001C269D"/>
    <w:rsid w:val="001C27EF"/>
    <w:rsid w:val="001C27F7"/>
    <w:rsid w:val="001C2806"/>
    <w:rsid w:val="001C298A"/>
    <w:rsid w:val="001C29D6"/>
    <w:rsid w:val="001C2B37"/>
    <w:rsid w:val="001C2CAB"/>
    <w:rsid w:val="001C2E2F"/>
    <w:rsid w:val="001C2EF6"/>
    <w:rsid w:val="001C365D"/>
    <w:rsid w:val="001C3F73"/>
    <w:rsid w:val="001C4008"/>
    <w:rsid w:val="001C43FA"/>
    <w:rsid w:val="001C466F"/>
    <w:rsid w:val="001C486C"/>
    <w:rsid w:val="001C486D"/>
    <w:rsid w:val="001C4AA8"/>
    <w:rsid w:val="001C4B65"/>
    <w:rsid w:val="001C4B90"/>
    <w:rsid w:val="001C4D66"/>
    <w:rsid w:val="001C4DCA"/>
    <w:rsid w:val="001C4EA1"/>
    <w:rsid w:val="001C4EDE"/>
    <w:rsid w:val="001C4F1A"/>
    <w:rsid w:val="001C4F68"/>
    <w:rsid w:val="001C511A"/>
    <w:rsid w:val="001C538E"/>
    <w:rsid w:val="001C54D0"/>
    <w:rsid w:val="001C55EA"/>
    <w:rsid w:val="001C59EF"/>
    <w:rsid w:val="001C5A1B"/>
    <w:rsid w:val="001C5C34"/>
    <w:rsid w:val="001C5CC7"/>
    <w:rsid w:val="001C5DBB"/>
    <w:rsid w:val="001C5E5B"/>
    <w:rsid w:val="001C5FC6"/>
    <w:rsid w:val="001C6231"/>
    <w:rsid w:val="001C6402"/>
    <w:rsid w:val="001C65B4"/>
    <w:rsid w:val="001C65F3"/>
    <w:rsid w:val="001C67E4"/>
    <w:rsid w:val="001C6876"/>
    <w:rsid w:val="001C6A35"/>
    <w:rsid w:val="001C6AB7"/>
    <w:rsid w:val="001C6AC5"/>
    <w:rsid w:val="001C6C16"/>
    <w:rsid w:val="001C6DC3"/>
    <w:rsid w:val="001C6EDD"/>
    <w:rsid w:val="001C7440"/>
    <w:rsid w:val="001C7457"/>
    <w:rsid w:val="001C78A0"/>
    <w:rsid w:val="001C78F6"/>
    <w:rsid w:val="001C7A44"/>
    <w:rsid w:val="001C7E2F"/>
    <w:rsid w:val="001C7E30"/>
    <w:rsid w:val="001C7ED9"/>
    <w:rsid w:val="001C7EFC"/>
    <w:rsid w:val="001C7FF3"/>
    <w:rsid w:val="001D00F3"/>
    <w:rsid w:val="001D0104"/>
    <w:rsid w:val="001D023B"/>
    <w:rsid w:val="001D02CD"/>
    <w:rsid w:val="001D03E9"/>
    <w:rsid w:val="001D046E"/>
    <w:rsid w:val="001D0480"/>
    <w:rsid w:val="001D0504"/>
    <w:rsid w:val="001D0877"/>
    <w:rsid w:val="001D09BF"/>
    <w:rsid w:val="001D0A5B"/>
    <w:rsid w:val="001D0B62"/>
    <w:rsid w:val="001D0BA2"/>
    <w:rsid w:val="001D0DE2"/>
    <w:rsid w:val="001D0EBB"/>
    <w:rsid w:val="001D1167"/>
    <w:rsid w:val="001D11B9"/>
    <w:rsid w:val="001D1294"/>
    <w:rsid w:val="001D12CD"/>
    <w:rsid w:val="001D13C0"/>
    <w:rsid w:val="001D13C4"/>
    <w:rsid w:val="001D14DC"/>
    <w:rsid w:val="001D15CD"/>
    <w:rsid w:val="001D15EC"/>
    <w:rsid w:val="001D167C"/>
    <w:rsid w:val="001D18B8"/>
    <w:rsid w:val="001D19C6"/>
    <w:rsid w:val="001D1BF1"/>
    <w:rsid w:val="001D1D70"/>
    <w:rsid w:val="001D1DEC"/>
    <w:rsid w:val="001D1E67"/>
    <w:rsid w:val="001D218F"/>
    <w:rsid w:val="001D2226"/>
    <w:rsid w:val="001D27F6"/>
    <w:rsid w:val="001D295E"/>
    <w:rsid w:val="001D2AB3"/>
    <w:rsid w:val="001D2B26"/>
    <w:rsid w:val="001D2BB7"/>
    <w:rsid w:val="001D2C63"/>
    <w:rsid w:val="001D2EF4"/>
    <w:rsid w:val="001D2F61"/>
    <w:rsid w:val="001D30FB"/>
    <w:rsid w:val="001D3122"/>
    <w:rsid w:val="001D34FA"/>
    <w:rsid w:val="001D36A0"/>
    <w:rsid w:val="001D36BF"/>
    <w:rsid w:val="001D3742"/>
    <w:rsid w:val="001D38AF"/>
    <w:rsid w:val="001D3A2E"/>
    <w:rsid w:val="001D3BB5"/>
    <w:rsid w:val="001D3C11"/>
    <w:rsid w:val="001D3CC6"/>
    <w:rsid w:val="001D3E0A"/>
    <w:rsid w:val="001D4163"/>
    <w:rsid w:val="001D41E6"/>
    <w:rsid w:val="001D4216"/>
    <w:rsid w:val="001D4355"/>
    <w:rsid w:val="001D44CE"/>
    <w:rsid w:val="001D48B6"/>
    <w:rsid w:val="001D4DBA"/>
    <w:rsid w:val="001D4F70"/>
    <w:rsid w:val="001D571B"/>
    <w:rsid w:val="001D5785"/>
    <w:rsid w:val="001D58B5"/>
    <w:rsid w:val="001D59DD"/>
    <w:rsid w:val="001D5C00"/>
    <w:rsid w:val="001D5DEF"/>
    <w:rsid w:val="001D5E5F"/>
    <w:rsid w:val="001D5E86"/>
    <w:rsid w:val="001D5FEB"/>
    <w:rsid w:val="001D629F"/>
    <w:rsid w:val="001D63D9"/>
    <w:rsid w:val="001D63DB"/>
    <w:rsid w:val="001D646B"/>
    <w:rsid w:val="001D66B6"/>
    <w:rsid w:val="001D6811"/>
    <w:rsid w:val="001D6853"/>
    <w:rsid w:val="001D6AE1"/>
    <w:rsid w:val="001D6B2D"/>
    <w:rsid w:val="001D6BD2"/>
    <w:rsid w:val="001D6C49"/>
    <w:rsid w:val="001D6CE7"/>
    <w:rsid w:val="001D6D15"/>
    <w:rsid w:val="001D6D93"/>
    <w:rsid w:val="001D6E0F"/>
    <w:rsid w:val="001D6FF7"/>
    <w:rsid w:val="001D76DB"/>
    <w:rsid w:val="001D7868"/>
    <w:rsid w:val="001D7A38"/>
    <w:rsid w:val="001D7A5F"/>
    <w:rsid w:val="001D7B5C"/>
    <w:rsid w:val="001D7BF1"/>
    <w:rsid w:val="001D7D47"/>
    <w:rsid w:val="001E076E"/>
    <w:rsid w:val="001E0808"/>
    <w:rsid w:val="001E080C"/>
    <w:rsid w:val="001E0869"/>
    <w:rsid w:val="001E0B0F"/>
    <w:rsid w:val="001E0D46"/>
    <w:rsid w:val="001E0E5D"/>
    <w:rsid w:val="001E0E72"/>
    <w:rsid w:val="001E109B"/>
    <w:rsid w:val="001E12C7"/>
    <w:rsid w:val="001E1375"/>
    <w:rsid w:val="001E1656"/>
    <w:rsid w:val="001E167B"/>
    <w:rsid w:val="001E1798"/>
    <w:rsid w:val="001E1AE9"/>
    <w:rsid w:val="001E1AF2"/>
    <w:rsid w:val="001E1B8D"/>
    <w:rsid w:val="001E1C9C"/>
    <w:rsid w:val="001E1D47"/>
    <w:rsid w:val="001E1E78"/>
    <w:rsid w:val="001E2035"/>
    <w:rsid w:val="001E210E"/>
    <w:rsid w:val="001E2252"/>
    <w:rsid w:val="001E2275"/>
    <w:rsid w:val="001E22E4"/>
    <w:rsid w:val="001E2356"/>
    <w:rsid w:val="001E2373"/>
    <w:rsid w:val="001E2391"/>
    <w:rsid w:val="001E260D"/>
    <w:rsid w:val="001E276B"/>
    <w:rsid w:val="001E29ED"/>
    <w:rsid w:val="001E2ACD"/>
    <w:rsid w:val="001E2B19"/>
    <w:rsid w:val="001E2F8A"/>
    <w:rsid w:val="001E3084"/>
    <w:rsid w:val="001E3229"/>
    <w:rsid w:val="001E358C"/>
    <w:rsid w:val="001E35D4"/>
    <w:rsid w:val="001E3965"/>
    <w:rsid w:val="001E3968"/>
    <w:rsid w:val="001E3B04"/>
    <w:rsid w:val="001E3F0F"/>
    <w:rsid w:val="001E40ED"/>
    <w:rsid w:val="001E40F7"/>
    <w:rsid w:val="001E4162"/>
    <w:rsid w:val="001E4478"/>
    <w:rsid w:val="001E47C3"/>
    <w:rsid w:val="001E482B"/>
    <w:rsid w:val="001E4943"/>
    <w:rsid w:val="001E4960"/>
    <w:rsid w:val="001E4A9F"/>
    <w:rsid w:val="001E4CFD"/>
    <w:rsid w:val="001E4D39"/>
    <w:rsid w:val="001E4D9B"/>
    <w:rsid w:val="001E4E3B"/>
    <w:rsid w:val="001E50BF"/>
    <w:rsid w:val="001E5320"/>
    <w:rsid w:val="001E5327"/>
    <w:rsid w:val="001E537A"/>
    <w:rsid w:val="001E5386"/>
    <w:rsid w:val="001E552E"/>
    <w:rsid w:val="001E5562"/>
    <w:rsid w:val="001E56AC"/>
    <w:rsid w:val="001E5913"/>
    <w:rsid w:val="001E5B6F"/>
    <w:rsid w:val="001E5CA0"/>
    <w:rsid w:val="001E5CEF"/>
    <w:rsid w:val="001E5DD4"/>
    <w:rsid w:val="001E5EE5"/>
    <w:rsid w:val="001E6028"/>
    <w:rsid w:val="001E622A"/>
    <w:rsid w:val="001E6815"/>
    <w:rsid w:val="001E6B79"/>
    <w:rsid w:val="001E6C17"/>
    <w:rsid w:val="001E6C3A"/>
    <w:rsid w:val="001E6EE8"/>
    <w:rsid w:val="001E7338"/>
    <w:rsid w:val="001E73BA"/>
    <w:rsid w:val="001E7436"/>
    <w:rsid w:val="001E76FE"/>
    <w:rsid w:val="001E79EB"/>
    <w:rsid w:val="001E7B27"/>
    <w:rsid w:val="001E7BB0"/>
    <w:rsid w:val="001F0215"/>
    <w:rsid w:val="001F0324"/>
    <w:rsid w:val="001F0371"/>
    <w:rsid w:val="001F0A6C"/>
    <w:rsid w:val="001F0C61"/>
    <w:rsid w:val="001F0D00"/>
    <w:rsid w:val="001F0D39"/>
    <w:rsid w:val="001F0D4D"/>
    <w:rsid w:val="001F0D6D"/>
    <w:rsid w:val="001F0DDA"/>
    <w:rsid w:val="001F0DEC"/>
    <w:rsid w:val="001F10D6"/>
    <w:rsid w:val="001F11EC"/>
    <w:rsid w:val="001F129F"/>
    <w:rsid w:val="001F147A"/>
    <w:rsid w:val="001F14CD"/>
    <w:rsid w:val="001F17D4"/>
    <w:rsid w:val="001F19D8"/>
    <w:rsid w:val="001F1B16"/>
    <w:rsid w:val="001F1F64"/>
    <w:rsid w:val="001F23D9"/>
    <w:rsid w:val="001F24C8"/>
    <w:rsid w:val="001F258E"/>
    <w:rsid w:val="001F2623"/>
    <w:rsid w:val="001F2973"/>
    <w:rsid w:val="001F29B0"/>
    <w:rsid w:val="001F2B1C"/>
    <w:rsid w:val="001F2B66"/>
    <w:rsid w:val="001F2C23"/>
    <w:rsid w:val="001F2E01"/>
    <w:rsid w:val="001F2F3A"/>
    <w:rsid w:val="001F302D"/>
    <w:rsid w:val="001F3206"/>
    <w:rsid w:val="001F3459"/>
    <w:rsid w:val="001F34DB"/>
    <w:rsid w:val="001F34EA"/>
    <w:rsid w:val="001F360D"/>
    <w:rsid w:val="001F3B7E"/>
    <w:rsid w:val="001F3D9D"/>
    <w:rsid w:val="001F3DAE"/>
    <w:rsid w:val="001F4025"/>
    <w:rsid w:val="001F4071"/>
    <w:rsid w:val="001F4186"/>
    <w:rsid w:val="001F41EE"/>
    <w:rsid w:val="001F4381"/>
    <w:rsid w:val="001F4820"/>
    <w:rsid w:val="001F484A"/>
    <w:rsid w:val="001F4995"/>
    <w:rsid w:val="001F4B06"/>
    <w:rsid w:val="001F4C1E"/>
    <w:rsid w:val="001F562C"/>
    <w:rsid w:val="001F5678"/>
    <w:rsid w:val="001F56F9"/>
    <w:rsid w:val="001F5A49"/>
    <w:rsid w:val="001F5B64"/>
    <w:rsid w:val="001F5DB2"/>
    <w:rsid w:val="001F5DBF"/>
    <w:rsid w:val="001F5E17"/>
    <w:rsid w:val="001F5FBA"/>
    <w:rsid w:val="001F61F8"/>
    <w:rsid w:val="001F626C"/>
    <w:rsid w:val="001F633B"/>
    <w:rsid w:val="001F63AA"/>
    <w:rsid w:val="001F66A7"/>
    <w:rsid w:val="001F6ACE"/>
    <w:rsid w:val="001F6B6C"/>
    <w:rsid w:val="001F6C9A"/>
    <w:rsid w:val="001F6CBD"/>
    <w:rsid w:val="001F6D62"/>
    <w:rsid w:val="001F6DE4"/>
    <w:rsid w:val="001F6DEA"/>
    <w:rsid w:val="001F6EC9"/>
    <w:rsid w:val="001F7215"/>
    <w:rsid w:val="001F746C"/>
    <w:rsid w:val="001F7490"/>
    <w:rsid w:val="001F796F"/>
    <w:rsid w:val="001F7A18"/>
    <w:rsid w:val="001F7AF7"/>
    <w:rsid w:val="001F7C94"/>
    <w:rsid w:val="001F7EC6"/>
    <w:rsid w:val="002000F5"/>
    <w:rsid w:val="0020011E"/>
    <w:rsid w:val="0020019D"/>
    <w:rsid w:val="002001A2"/>
    <w:rsid w:val="00200209"/>
    <w:rsid w:val="002004CE"/>
    <w:rsid w:val="0020053F"/>
    <w:rsid w:val="002005E3"/>
    <w:rsid w:val="002006D8"/>
    <w:rsid w:val="00200884"/>
    <w:rsid w:val="00200B91"/>
    <w:rsid w:val="00200C95"/>
    <w:rsid w:val="002013EF"/>
    <w:rsid w:val="00201440"/>
    <w:rsid w:val="00201501"/>
    <w:rsid w:val="002015A1"/>
    <w:rsid w:val="002016FA"/>
    <w:rsid w:val="00201829"/>
    <w:rsid w:val="002018AB"/>
    <w:rsid w:val="0020195D"/>
    <w:rsid w:val="0020198E"/>
    <w:rsid w:val="00201994"/>
    <w:rsid w:val="00201B16"/>
    <w:rsid w:val="00201B65"/>
    <w:rsid w:val="00201BB9"/>
    <w:rsid w:val="00201E02"/>
    <w:rsid w:val="00201F54"/>
    <w:rsid w:val="002020D4"/>
    <w:rsid w:val="00202173"/>
    <w:rsid w:val="0020220C"/>
    <w:rsid w:val="002022C7"/>
    <w:rsid w:val="002023EF"/>
    <w:rsid w:val="002023F6"/>
    <w:rsid w:val="00202400"/>
    <w:rsid w:val="002024F7"/>
    <w:rsid w:val="00202635"/>
    <w:rsid w:val="0020278D"/>
    <w:rsid w:val="00202AC8"/>
    <w:rsid w:val="00202B8E"/>
    <w:rsid w:val="00202CCB"/>
    <w:rsid w:val="00202DC6"/>
    <w:rsid w:val="0020305A"/>
    <w:rsid w:val="00203067"/>
    <w:rsid w:val="00203254"/>
    <w:rsid w:val="00203624"/>
    <w:rsid w:val="00203789"/>
    <w:rsid w:val="002039A7"/>
    <w:rsid w:val="00203B5C"/>
    <w:rsid w:val="00203CFE"/>
    <w:rsid w:val="00204087"/>
    <w:rsid w:val="002041A5"/>
    <w:rsid w:val="002041D6"/>
    <w:rsid w:val="002041EE"/>
    <w:rsid w:val="00204388"/>
    <w:rsid w:val="0020438C"/>
    <w:rsid w:val="002043BB"/>
    <w:rsid w:val="002045DA"/>
    <w:rsid w:val="00204660"/>
    <w:rsid w:val="00204BA2"/>
    <w:rsid w:val="00204DD3"/>
    <w:rsid w:val="002050E3"/>
    <w:rsid w:val="002051CD"/>
    <w:rsid w:val="002051ED"/>
    <w:rsid w:val="00205348"/>
    <w:rsid w:val="002054E3"/>
    <w:rsid w:val="0020587A"/>
    <w:rsid w:val="00205A2C"/>
    <w:rsid w:val="00205B62"/>
    <w:rsid w:val="00205CEB"/>
    <w:rsid w:val="00205F28"/>
    <w:rsid w:val="00205F8C"/>
    <w:rsid w:val="0020603E"/>
    <w:rsid w:val="002060F6"/>
    <w:rsid w:val="00206535"/>
    <w:rsid w:val="00206599"/>
    <w:rsid w:val="002068AE"/>
    <w:rsid w:val="002068BE"/>
    <w:rsid w:val="00206ABF"/>
    <w:rsid w:val="00206CB6"/>
    <w:rsid w:val="00206DD6"/>
    <w:rsid w:val="0020704E"/>
    <w:rsid w:val="002074DC"/>
    <w:rsid w:val="002074EE"/>
    <w:rsid w:val="0020765A"/>
    <w:rsid w:val="002078AB"/>
    <w:rsid w:val="00207931"/>
    <w:rsid w:val="002079CC"/>
    <w:rsid w:val="00207A4D"/>
    <w:rsid w:val="00207B25"/>
    <w:rsid w:val="00207BD9"/>
    <w:rsid w:val="00207C8F"/>
    <w:rsid w:val="00207E60"/>
    <w:rsid w:val="00210179"/>
    <w:rsid w:val="0021048F"/>
    <w:rsid w:val="002104F8"/>
    <w:rsid w:val="0021058D"/>
    <w:rsid w:val="00210779"/>
    <w:rsid w:val="002107DF"/>
    <w:rsid w:val="00210859"/>
    <w:rsid w:val="00210A23"/>
    <w:rsid w:val="00210BAF"/>
    <w:rsid w:val="00210BB9"/>
    <w:rsid w:val="00210E3D"/>
    <w:rsid w:val="00210ED2"/>
    <w:rsid w:val="0021116A"/>
    <w:rsid w:val="002111BC"/>
    <w:rsid w:val="002111F9"/>
    <w:rsid w:val="002113C2"/>
    <w:rsid w:val="0021188C"/>
    <w:rsid w:val="002118A3"/>
    <w:rsid w:val="00211A3F"/>
    <w:rsid w:val="00211D32"/>
    <w:rsid w:val="00211D51"/>
    <w:rsid w:val="00211FA4"/>
    <w:rsid w:val="00211FE6"/>
    <w:rsid w:val="00212102"/>
    <w:rsid w:val="002121AA"/>
    <w:rsid w:val="002121F1"/>
    <w:rsid w:val="002129CD"/>
    <w:rsid w:val="00212BE7"/>
    <w:rsid w:val="00212D2B"/>
    <w:rsid w:val="00212EF5"/>
    <w:rsid w:val="00212F23"/>
    <w:rsid w:val="00212F62"/>
    <w:rsid w:val="002130A8"/>
    <w:rsid w:val="00213361"/>
    <w:rsid w:val="0021352D"/>
    <w:rsid w:val="00213967"/>
    <w:rsid w:val="0021396F"/>
    <w:rsid w:val="00213A75"/>
    <w:rsid w:val="00213E9E"/>
    <w:rsid w:val="00214005"/>
    <w:rsid w:val="002140B5"/>
    <w:rsid w:val="0021417F"/>
    <w:rsid w:val="002142E1"/>
    <w:rsid w:val="0021465C"/>
    <w:rsid w:val="002147C1"/>
    <w:rsid w:val="00214869"/>
    <w:rsid w:val="0021488D"/>
    <w:rsid w:val="00214945"/>
    <w:rsid w:val="002149EE"/>
    <w:rsid w:val="00214CD0"/>
    <w:rsid w:val="00214D2D"/>
    <w:rsid w:val="0021501A"/>
    <w:rsid w:val="00215145"/>
    <w:rsid w:val="00215240"/>
    <w:rsid w:val="002153FE"/>
    <w:rsid w:val="002154B8"/>
    <w:rsid w:val="002154BF"/>
    <w:rsid w:val="00215676"/>
    <w:rsid w:val="002156D4"/>
    <w:rsid w:val="00215BCE"/>
    <w:rsid w:val="00215F1A"/>
    <w:rsid w:val="00215FDD"/>
    <w:rsid w:val="00216270"/>
    <w:rsid w:val="002162DB"/>
    <w:rsid w:val="00216800"/>
    <w:rsid w:val="00216869"/>
    <w:rsid w:val="00216961"/>
    <w:rsid w:val="0021696C"/>
    <w:rsid w:val="00216A01"/>
    <w:rsid w:val="00216A2F"/>
    <w:rsid w:val="00216A53"/>
    <w:rsid w:val="00216BA9"/>
    <w:rsid w:val="00216BD4"/>
    <w:rsid w:val="00216C95"/>
    <w:rsid w:val="00216D2A"/>
    <w:rsid w:val="00216DF8"/>
    <w:rsid w:val="0021712E"/>
    <w:rsid w:val="00217226"/>
    <w:rsid w:val="0021722B"/>
    <w:rsid w:val="002174FF"/>
    <w:rsid w:val="00217720"/>
    <w:rsid w:val="0021787F"/>
    <w:rsid w:val="002179C3"/>
    <w:rsid w:val="00217CDD"/>
    <w:rsid w:val="00217D2A"/>
    <w:rsid w:val="00217D2C"/>
    <w:rsid w:val="00217E64"/>
    <w:rsid w:val="00220343"/>
    <w:rsid w:val="002203D6"/>
    <w:rsid w:val="00220475"/>
    <w:rsid w:val="00220519"/>
    <w:rsid w:val="00220531"/>
    <w:rsid w:val="002205E6"/>
    <w:rsid w:val="002205ED"/>
    <w:rsid w:val="002209E5"/>
    <w:rsid w:val="00220A03"/>
    <w:rsid w:val="00220B83"/>
    <w:rsid w:val="00220CE8"/>
    <w:rsid w:val="00220CFB"/>
    <w:rsid w:val="00220D98"/>
    <w:rsid w:val="00221164"/>
    <w:rsid w:val="002211F5"/>
    <w:rsid w:val="0022125B"/>
    <w:rsid w:val="002212BB"/>
    <w:rsid w:val="0022154F"/>
    <w:rsid w:val="0022176E"/>
    <w:rsid w:val="002217B1"/>
    <w:rsid w:val="00221911"/>
    <w:rsid w:val="0022192B"/>
    <w:rsid w:val="002219AE"/>
    <w:rsid w:val="00221B47"/>
    <w:rsid w:val="00221C53"/>
    <w:rsid w:val="00221ECA"/>
    <w:rsid w:val="00221F82"/>
    <w:rsid w:val="00221F83"/>
    <w:rsid w:val="00222235"/>
    <w:rsid w:val="00222266"/>
    <w:rsid w:val="00222347"/>
    <w:rsid w:val="002224C4"/>
    <w:rsid w:val="002229AF"/>
    <w:rsid w:val="00222A3C"/>
    <w:rsid w:val="00222BC0"/>
    <w:rsid w:val="00222C03"/>
    <w:rsid w:val="00222CFD"/>
    <w:rsid w:val="00222D4C"/>
    <w:rsid w:val="00222D74"/>
    <w:rsid w:val="00222D99"/>
    <w:rsid w:val="00222F62"/>
    <w:rsid w:val="002230E0"/>
    <w:rsid w:val="002230F8"/>
    <w:rsid w:val="0022354B"/>
    <w:rsid w:val="00223609"/>
    <w:rsid w:val="00223664"/>
    <w:rsid w:val="0022377B"/>
    <w:rsid w:val="00223EFC"/>
    <w:rsid w:val="00223FB5"/>
    <w:rsid w:val="00223FC7"/>
    <w:rsid w:val="002240B4"/>
    <w:rsid w:val="0022421B"/>
    <w:rsid w:val="0022426B"/>
    <w:rsid w:val="00224392"/>
    <w:rsid w:val="002243D7"/>
    <w:rsid w:val="002247ED"/>
    <w:rsid w:val="00224BDD"/>
    <w:rsid w:val="00224C28"/>
    <w:rsid w:val="002251AF"/>
    <w:rsid w:val="0022543F"/>
    <w:rsid w:val="00225446"/>
    <w:rsid w:val="0022570F"/>
    <w:rsid w:val="002257AC"/>
    <w:rsid w:val="00225805"/>
    <w:rsid w:val="00225AB7"/>
    <w:rsid w:val="00225ADC"/>
    <w:rsid w:val="00225BE6"/>
    <w:rsid w:val="00225C52"/>
    <w:rsid w:val="00225E22"/>
    <w:rsid w:val="00225E87"/>
    <w:rsid w:val="0022600F"/>
    <w:rsid w:val="0022637F"/>
    <w:rsid w:val="0022648F"/>
    <w:rsid w:val="002266A8"/>
    <w:rsid w:val="002266EF"/>
    <w:rsid w:val="002266F3"/>
    <w:rsid w:val="0022674D"/>
    <w:rsid w:val="00226D95"/>
    <w:rsid w:val="00226E6E"/>
    <w:rsid w:val="00226EBD"/>
    <w:rsid w:val="00226F1B"/>
    <w:rsid w:val="0022703F"/>
    <w:rsid w:val="00227049"/>
    <w:rsid w:val="002270F9"/>
    <w:rsid w:val="0022743A"/>
    <w:rsid w:val="00227567"/>
    <w:rsid w:val="0022771A"/>
    <w:rsid w:val="00227785"/>
    <w:rsid w:val="0022786E"/>
    <w:rsid w:val="002278F4"/>
    <w:rsid w:val="00227A9C"/>
    <w:rsid w:val="00227ABE"/>
    <w:rsid w:val="00227B1D"/>
    <w:rsid w:val="00227D69"/>
    <w:rsid w:val="00227D74"/>
    <w:rsid w:val="002300BE"/>
    <w:rsid w:val="002301B8"/>
    <w:rsid w:val="00230329"/>
    <w:rsid w:val="00230533"/>
    <w:rsid w:val="00230867"/>
    <w:rsid w:val="002308D4"/>
    <w:rsid w:val="002308EF"/>
    <w:rsid w:val="00230B0E"/>
    <w:rsid w:val="00230B3C"/>
    <w:rsid w:val="00230DD7"/>
    <w:rsid w:val="00230E68"/>
    <w:rsid w:val="00230F78"/>
    <w:rsid w:val="00230FCC"/>
    <w:rsid w:val="00231008"/>
    <w:rsid w:val="00231571"/>
    <w:rsid w:val="0023180A"/>
    <w:rsid w:val="00231E03"/>
    <w:rsid w:val="00231E2A"/>
    <w:rsid w:val="002321F6"/>
    <w:rsid w:val="00232301"/>
    <w:rsid w:val="002323F3"/>
    <w:rsid w:val="00232402"/>
    <w:rsid w:val="00232449"/>
    <w:rsid w:val="00232482"/>
    <w:rsid w:val="00232531"/>
    <w:rsid w:val="002327A4"/>
    <w:rsid w:val="002327A9"/>
    <w:rsid w:val="002327F9"/>
    <w:rsid w:val="00232915"/>
    <w:rsid w:val="002329EF"/>
    <w:rsid w:val="00232A71"/>
    <w:rsid w:val="00232B2F"/>
    <w:rsid w:val="00232EC3"/>
    <w:rsid w:val="00232F5D"/>
    <w:rsid w:val="00233012"/>
    <w:rsid w:val="002331A6"/>
    <w:rsid w:val="002332A0"/>
    <w:rsid w:val="0023378F"/>
    <w:rsid w:val="002337B2"/>
    <w:rsid w:val="00233984"/>
    <w:rsid w:val="0023398C"/>
    <w:rsid w:val="00233A6D"/>
    <w:rsid w:val="00233D87"/>
    <w:rsid w:val="00233DF7"/>
    <w:rsid w:val="00233F96"/>
    <w:rsid w:val="00234122"/>
    <w:rsid w:val="002341C6"/>
    <w:rsid w:val="002341CC"/>
    <w:rsid w:val="002341E2"/>
    <w:rsid w:val="00234221"/>
    <w:rsid w:val="002346DC"/>
    <w:rsid w:val="00234722"/>
    <w:rsid w:val="00234886"/>
    <w:rsid w:val="0023488C"/>
    <w:rsid w:val="00234A89"/>
    <w:rsid w:val="00234D4B"/>
    <w:rsid w:val="00234D73"/>
    <w:rsid w:val="00234EB5"/>
    <w:rsid w:val="00234EF5"/>
    <w:rsid w:val="002350DD"/>
    <w:rsid w:val="002350F1"/>
    <w:rsid w:val="00235111"/>
    <w:rsid w:val="00235291"/>
    <w:rsid w:val="00235307"/>
    <w:rsid w:val="00235366"/>
    <w:rsid w:val="002355CD"/>
    <w:rsid w:val="00235784"/>
    <w:rsid w:val="002358E0"/>
    <w:rsid w:val="00235A34"/>
    <w:rsid w:val="00235B6E"/>
    <w:rsid w:val="00235CC6"/>
    <w:rsid w:val="00235CE4"/>
    <w:rsid w:val="00235D7B"/>
    <w:rsid w:val="002363F6"/>
    <w:rsid w:val="0023668C"/>
    <w:rsid w:val="0023696B"/>
    <w:rsid w:val="002369C8"/>
    <w:rsid w:val="00236C26"/>
    <w:rsid w:val="00236C29"/>
    <w:rsid w:val="00236C31"/>
    <w:rsid w:val="00236D63"/>
    <w:rsid w:val="00236E28"/>
    <w:rsid w:val="00236F00"/>
    <w:rsid w:val="0023700E"/>
    <w:rsid w:val="0023706C"/>
    <w:rsid w:val="00237119"/>
    <w:rsid w:val="002371CD"/>
    <w:rsid w:val="00237283"/>
    <w:rsid w:val="002373A5"/>
    <w:rsid w:val="0023743E"/>
    <w:rsid w:val="0023760F"/>
    <w:rsid w:val="00237686"/>
    <w:rsid w:val="00237747"/>
    <w:rsid w:val="00237822"/>
    <w:rsid w:val="00237A3B"/>
    <w:rsid w:val="00237A47"/>
    <w:rsid w:val="00237AB2"/>
    <w:rsid w:val="00237B6A"/>
    <w:rsid w:val="00237C79"/>
    <w:rsid w:val="00237CD8"/>
    <w:rsid w:val="00237F65"/>
    <w:rsid w:val="002402D3"/>
    <w:rsid w:val="00240346"/>
    <w:rsid w:val="002407B7"/>
    <w:rsid w:val="002408CB"/>
    <w:rsid w:val="00240B62"/>
    <w:rsid w:val="00240BF4"/>
    <w:rsid w:val="00240EDD"/>
    <w:rsid w:val="0024123F"/>
    <w:rsid w:val="00241259"/>
    <w:rsid w:val="00241410"/>
    <w:rsid w:val="00241566"/>
    <w:rsid w:val="002416E7"/>
    <w:rsid w:val="0024170F"/>
    <w:rsid w:val="0024188B"/>
    <w:rsid w:val="00241896"/>
    <w:rsid w:val="00241C9D"/>
    <w:rsid w:val="00241DAE"/>
    <w:rsid w:val="00241DC5"/>
    <w:rsid w:val="00241E22"/>
    <w:rsid w:val="00241ED1"/>
    <w:rsid w:val="00241F2C"/>
    <w:rsid w:val="0024214E"/>
    <w:rsid w:val="00242589"/>
    <w:rsid w:val="002425A0"/>
    <w:rsid w:val="00242770"/>
    <w:rsid w:val="00242A80"/>
    <w:rsid w:val="00242A81"/>
    <w:rsid w:val="00242C62"/>
    <w:rsid w:val="00242DE1"/>
    <w:rsid w:val="002431D8"/>
    <w:rsid w:val="0024333E"/>
    <w:rsid w:val="00243440"/>
    <w:rsid w:val="00243670"/>
    <w:rsid w:val="0024391E"/>
    <w:rsid w:val="00243978"/>
    <w:rsid w:val="00243D70"/>
    <w:rsid w:val="00243F04"/>
    <w:rsid w:val="00244524"/>
    <w:rsid w:val="00244931"/>
    <w:rsid w:val="00244A52"/>
    <w:rsid w:val="00244A75"/>
    <w:rsid w:val="00244AF4"/>
    <w:rsid w:val="00244BB6"/>
    <w:rsid w:val="00244E24"/>
    <w:rsid w:val="00244F80"/>
    <w:rsid w:val="00244FC9"/>
    <w:rsid w:val="0024510B"/>
    <w:rsid w:val="0024523A"/>
    <w:rsid w:val="00245475"/>
    <w:rsid w:val="0024550A"/>
    <w:rsid w:val="002455E8"/>
    <w:rsid w:val="00245647"/>
    <w:rsid w:val="002457BD"/>
    <w:rsid w:val="002458CB"/>
    <w:rsid w:val="00245C02"/>
    <w:rsid w:val="00245C13"/>
    <w:rsid w:val="00245E27"/>
    <w:rsid w:val="00245FFF"/>
    <w:rsid w:val="00246054"/>
    <w:rsid w:val="0024606C"/>
    <w:rsid w:val="0024607D"/>
    <w:rsid w:val="00246403"/>
    <w:rsid w:val="00246483"/>
    <w:rsid w:val="002464EE"/>
    <w:rsid w:val="00246A09"/>
    <w:rsid w:val="00246D68"/>
    <w:rsid w:val="00246D7C"/>
    <w:rsid w:val="00246F01"/>
    <w:rsid w:val="00247106"/>
    <w:rsid w:val="00247216"/>
    <w:rsid w:val="002473A0"/>
    <w:rsid w:val="0024743A"/>
    <w:rsid w:val="00247574"/>
    <w:rsid w:val="002475AF"/>
    <w:rsid w:val="0024793E"/>
    <w:rsid w:val="002479B9"/>
    <w:rsid w:val="00247A45"/>
    <w:rsid w:val="00247AC5"/>
    <w:rsid w:val="00247CBC"/>
    <w:rsid w:val="00247E41"/>
    <w:rsid w:val="00250183"/>
    <w:rsid w:val="002503D3"/>
    <w:rsid w:val="0025042E"/>
    <w:rsid w:val="002504B0"/>
    <w:rsid w:val="00250508"/>
    <w:rsid w:val="00250831"/>
    <w:rsid w:val="00250AD2"/>
    <w:rsid w:val="00250B22"/>
    <w:rsid w:val="00250E1C"/>
    <w:rsid w:val="00250F14"/>
    <w:rsid w:val="002511F2"/>
    <w:rsid w:val="0025120D"/>
    <w:rsid w:val="002512B4"/>
    <w:rsid w:val="00251410"/>
    <w:rsid w:val="002516F2"/>
    <w:rsid w:val="00251799"/>
    <w:rsid w:val="00251A03"/>
    <w:rsid w:val="00251A39"/>
    <w:rsid w:val="00251D11"/>
    <w:rsid w:val="00251E56"/>
    <w:rsid w:val="00251EAA"/>
    <w:rsid w:val="002521DC"/>
    <w:rsid w:val="00252260"/>
    <w:rsid w:val="002525AA"/>
    <w:rsid w:val="002525B2"/>
    <w:rsid w:val="002527B4"/>
    <w:rsid w:val="00252938"/>
    <w:rsid w:val="0025296F"/>
    <w:rsid w:val="00252B57"/>
    <w:rsid w:val="00252C80"/>
    <w:rsid w:val="00253346"/>
    <w:rsid w:val="00253498"/>
    <w:rsid w:val="0025352F"/>
    <w:rsid w:val="002537E8"/>
    <w:rsid w:val="00253DCB"/>
    <w:rsid w:val="00253E49"/>
    <w:rsid w:val="00253F4B"/>
    <w:rsid w:val="00254068"/>
    <w:rsid w:val="00254155"/>
    <w:rsid w:val="00254399"/>
    <w:rsid w:val="002543D7"/>
    <w:rsid w:val="00254646"/>
    <w:rsid w:val="00254743"/>
    <w:rsid w:val="00254C54"/>
    <w:rsid w:val="00254C62"/>
    <w:rsid w:val="00254CFF"/>
    <w:rsid w:val="00254F80"/>
    <w:rsid w:val="00255000"/>
    <w:rsid w:val="00255094"/>
    <w:rsid w:val="002553D9"/>
    <w:rsid w:val="00255652"/>
    <w:rsid w:val="00255745"/>
    <w:rsid w:val="0025588D"/>
    <w:rsid w:val="00255D5C"/>
    <w:rsid w:val="00255E6F"/>
    <w:rsid w:val="00255F1C"/>
    <w:rsid w:val="002560CD"/>
    <w:rsid w:val="0025617B"/>
    <w:rsid w:val="00256191"/>
    <w:rsid w:val="002561AE"/>
    <w:rsid w:val="002563DE"/>
    <w:rsid w:val="00256485"/>
    <w:rsid w:val="00256651"/>
    <w:rsid w:val="00256691"/>
    <w:rsid w:val="002566B3"/>
    <w:rsid w:val="002567C9"/>
    <w:rsid w:val="00256831"/>
    <w:rsid w:val="00256889"/>
    <w:rsid w:val="002569B4"/>
    <w:rsid w:val="00256A36"/>
    <w:rsid w:val="00256ABD"/>
    <w:rsid w:val="00256E61"/>
    <w:rsid w:val="00257009"/>
    <w:rsid w:val="0025728E"/>
    <w:rsid w:val="0025738F"/>
    <w:rsid w:val="0025742D"/>
    <w:rsid w:val="0025752C"/>
    <w:rsid w:val="002576BA"/>
    <w:rsid w:val="00257708"/>
    <w:rsid w:val="002578E5"/>
    <w:rsid w:val="00257A03"/>
    <w:rsid w:val="00257F5E"/>
    <w:rsid w:val="002600AC"/>
    <w:rsid w:val="0026017A"/>
    <w:rsid w:val="002601FC"/>
    <w:rsid w:val="00260221"/>
    <w:rsid w:val="00260326"/>
    <w:rsid w:val="00260575"/>
    <w:rsid w:val="002606B9"/>
    <w:rsid w:val="0026078C"/>
    <w:rsid w:val="002607A5"/>
    <w:rsid w:val="0026091D"/>
    <w:rsid w:val="00260A0D"/>
    <w:rsid w:val="00260B4F"/>
    <w:rsid w:val="00260C1C"/>
    <w:rsid w:val="00260C47"/>
    <w:rsid w:val="00260DB5"/>
    <w:rsid w:val="00260DB8"/>
    <w:rsid w:val="00260E93"/>
    <w:rsid w:val="00260EE4"/>
    <w:rsid w:val="00261085"/>
    <w:rsid w:val="0026145A"/>
    <w:rsid w:val="0026179B"/>
    <w:rsid w:val="00261C07"/>
    <w:rsid w:val="00261C3A"/>
    <w:rsid w:val="00261CDF"/>
    <w:rsid w:val="00261D17"/>
    <w:rsid w:val="00261F6B"/>
    <w:rsid w:val="00261F94"/>
    <w:rsid w:val="00262110"/>
    <w:rsid w:val="00262356"/>
    <w:rsid w:val="0026247D"/>
    <w:rsid w:val="00262608"/>
    <w:rsid w:val="002628E7"/>
    <w:rsid w:val="00262985"/>
    <w:rsid w:val="0026298A"/>
    <w:rsid w:val="00262B3D"/>
    <w:rsid w:val="00262BA4"/>
    <w:rsid w:val="00262C95"/>
    <w:rsid w:val="00262DD5"/>
    <w:rsid w:val="00262FDB"/>
    <w:rsid w:val="0026306E"/>
    <w:rsid w:val="00263260"/>
    <w:rsid w:val="00263294"/>
    <w:rsid w:val="0026329E"/>
    <w:rsid w:val="002633DC"/>
    <w:rsid w:val="00263544"/>
    <w:rsid w:val="00263618"/>
    <w:rsid w:val="00263729"/>
    <w:rsid w:val="00263C2B"/>
    <w:rsid w:val="00263C86"/>
    <w:rsid w:val="00263D27"/>
    <w:rsid w:val="00263EDD"/>
    <w:rsid w:val="00263FE4"/>
    <w:rsid w:val="002641F2"/>
    <w:rsid w:val="002643D0"/>
    <w:rsid w:val="002643DB"/>
    <w:rsid w:val="0026447E"/>
    <w:rsid w:val="002644EC"/>
    <w:rsid w:val="002646B8"/>
    <w:rsid w:val="002649E7"/>
    <w:rsid w:val="002649F7"/>
    <w:rsid w:val="00264A33"/>
    <w:rsid w:val="00264C5F"/>
    <w:rsid w:val="00264E61"/>
    <w:rsid w:val="00264E81"/>
    <w:rsid w:val="00264EB5"/>
    <w:rsid w:val="00264ED2"/>
    <w:rsid w:val="00265105"/>
    <w:rsid w:val="002652FF"/>
    <w:rsid w:val="0026554C"/>
    <w:rsid w:val="00265644"/>
    <w:rsid w:val="0026569D"/>
    <w:rsid w:val="00265750"/>
    <w:rsid w:val="00265B5C"/>
    <w:rsid w:val="00265CB0"/>
    <w:rsid w:val="00265FF6"/>
    <w:rsid w:val="0026612C"/>
    <w:rsid w:val="0026614F"/>
    <w:rsid w:val="0026627D"/>
    <w:rsid w:val="002663D5"/>
    <w:rsid w:val="002664BF"/>
    <w:rsid w:val="002664E4"/>
    <w:rsid w:val="002664E9"/>
    <w:rsid w:val="0026652B"/>
    <w:rsid w:val="0026653C"/>
    <w:rsid w:val="002667F2"/>
    <w:rsid w:val="00266832"/>
    <w:rsid w:val="0026697F"/>
    <w:rsid w:val="00266B18"/>
    <w:rsid w:val="00266D44"/>
    <w:rsid w:val="00266E26"/>
    <w:rsid w:val="00266F55"/>
    <w:rsid w:val="002670BE"/>
    <w:rsid w:val="002670E0"/>
    <w:rsid w:val="00267170"/>
    <w:rsid w:val="0026735C"/>
    <w:rsid w:val="002674C9"/>
    <w:rsid w:val="002676F1"/>
    <w:rsid w:val="00267718"/>
    <w:rsid w:val="00267DAA"/>
    <w:rsid w:val="00267EC8"/>
    <w:rsid w:val="00267F5F"/>
    <w:rsid w:val="002700AA"/>
    <w:rsid w:val="00270387"/>
    <w:rsid w:val="002705EB"/>
    <w:rsid w:val="00270A51"/>
    <w:rsid w:val="00270D1B"/>
    <w:rsid w:val="00270DC8"/>
    <w:rsid w:val="00270EBC"/>
    <w:rsid w:val="00270EEE"/>
    <w:rsid w:val="00270F16"/>
    <w:rsid w:val="0027106A"/>
    <w:rsid w:val="002712EE"/>
    <w:rsid w:val="002713D3"/>
    <w:rsid w:val="00271489"/>
    <w:rsid w:val="002715F0"/>
    <w:rsid w:val="0027165B"/>
    <w:rsid w:val="00271716"/>
    <w:rsid w:val="00271765"/>
    <w:rsid w:val="002717DB"/>
    <w:rsid w:val="00271923"/>
    <w:rsid w:val="0027195B"/>
    <w:rsid w:val="00271AFA"/>
    <w:rsid w:val="00271B3C"/>
    <w:rsid w:val="00271C14"/>
    <w:rsid w:val="00271C5F"/>
    <w:rsid w:val="00271D0B"/>
    <w:rsid w:val="00271D1E"/>
    <w:rsid w:val="00271DEB"/>
    <w:rsid w:val="00271F10"/>
    <w:rsid w:val="00272012"/>
    <w:rsid w:val="002721D5"/>
    <w:rsid w:val="002721D6"/>
    <w:rsid w:val="002721ED"/>
    <w:rsid w:val="00272312"/>
    <w:rsid w:val="00272532"/>
    <w:rsid w:val="002726BA"/>
    <w:rsid w:val="00272876"/>
    <w:rsid w:val="002728AF"/>
    <w:rsid w:val="002729FF"/>
    <w:rsid w:val="00272B4E"/>
    <w:rsid w:val="00272CE5"/>
    <w:rsid w:val="00272D3B"/>
    <w:rsid w:val="00272E34"/>
    <w:rsid w:val="00272F52"/>
    <w:rsid w:val="00272FE7"/>
    <w:rsid w:val="00273011"/>
    <w:rsid w:val="00273101"/>
    <w:rsid w:val="002731AF"/>
    <w:rsid w:val="00273274"/>
    <w:rsid w:val="00273351"/>
    <w:rsid w:val="00273491"/>
    <w:rsid w:val="00273575"/>
    <w:rsid w:val="002735D1"/>
    <w:rsid w:val="0027363F"/>
    <w:rsid w:val="00273652"/>
    <w:rsid w:val="00273892"/>
    <w:rsid w:val="00273B1D"/>
    <w:rsid w:val="00273BC1"/>
    <w:rsid w:val="00273E41"/>
    <w:rsid w:val="00273F18"/>
    <w:rsid w:val="00274038"/>
    <w:rsid w:val="00274115"/>
    <w:rsid w:val="00274334"/>
    <w:rsid w:val="00274371"/>
    <w:rsid w:val="0027451F"/>
    <w:rsid w:val="002747A1"/>
    <w:rsid w:val="002747B7"/>
    <w:rsid w:val="00274929"/>
    <w:rsid w:val="00274984"/>
    <w:rsid w:val="002749E4"/>
    <w:rsid w:val="00274A40"/>
    <w:rsid w:val="00274ACF"/>
    <w:rsid w:val="00274BB8"/>
    <w:rsid w:val="00274C18"/>
    <w:rsid w:val="00275166"/>
    <w:rsid w:val="002751C6"/>
    <w:rsid w:val="002753E2"/>
    <w:rsid w:val="00275571"/>
    <w:rsid w:val="002755C9"/>
    <w:rsid w:val="0027581D"/>
    <w:rsid w:val="00275FCB"/>
    <w:rsid w:val="00276017"/>
    <w:rsid w:val="00276019"/>
    <w:rsid w:val="002761CD"/>
    <w:rsid w:val="002769C0"/>
    <w:rsid w:val="002769FC"/>
    <w:rsid w:val="00276B8E"/>
    <w:rsid w:val="00276E93"/>
    <w:rsid w:val="00276FFB"/>
    <w:rsid w:val="002770BE"/>
    <w:rsid w:val="0027735A"/>
    <w:rsid w:val="002775BC"/>
    <w:rsid w:val="002776C7"/>
    <w:rsid w:val="002776F8"/>
    <w:rsid w:val="00277707"/>
    <w:rsid w:val="00277754"/>
    <w:rsid w:val="002777D0"/>
    <w:rsid w:val="00277AC0"/>
    <w:rsid w:val="00277B16"/>
    <w:rsid w:val="00277BAF"/>
    <w:rsid w:val="00277CF9"/>
    <w:rsid w:val="00277E6C"/>
    <w:rsid w:val="00280217"/>
    <w:rsid w:val="00280253"/>
    <w:rsid w:val="00280280"/>
    <w:rsid w:val="002804F4"/>
    <w:rsid w:val="00280785"/>
    <w:rsid w:val="0028078E"/>
    <w:rsid w:val="0028081E"/>
    <w:rsid w:val="002809E2"/>
    <w:rsid w:val="00280AA5"/>
    <w:rsid w:val="00280C03"/>
    <w:rsid w:val="00280CFB"/>
    <w:rsid w:val="00280DA5"/>
    <w:rsid w:val="002810D8"/>
    <w:rsid w:val="0028128B"/>
    <w:rsid w:val="0028143F"/>
    <w:rsid w:val="002815FC"/>
    <w:rsid w:val="002818FB"/>
    <w:rsid w:val="00281A7D"/>
    <w:rsid w:val="00281C2E"/>
    <w:rsid w:val="0028204F"/>
    <w:rsid w:val="002821C5"/>
    <w:rsid w:val="002821CE"/>
    <w:rsid w:val="002825AD"/>
    <w:rsid w:val="00282671"/>
    <w:rsid w:val="002827F2"/>
    <w:rsid w:val="0028289F"/>
    <w:rsid w:val="00282925"/>
    <w:rsid w:val="002829C3"/>
    <w:rsid w:val="00282C72"/>
    <w:rsid w:val="00282C9A"/>
    <w:rsid w:val="00282DAD"/>
    <w:rsid w:val="00282E93"/>
    <w:rsid w:val="00282EF3"/>
    <w:rsid w:val="00282F36"/>
    <w:rsid w:val="0028315E"/>
    <w:rsid w:val="0028322D"/>
    <w:rsid w:val="00283314"/>
    <w:rsid w:val="00283411"/>
    <w:rsid w:val="00283534"/>
    <w:rsid w:val="00283586"/>
    <w:rsid w:val="00283698"/>
    <w:rsid w:val="002836C9"/>
    <w:rsid w:val="0028372B"/>
    <w:rsid w:val="0028395E"/>
    <w:rsid w:val="00283D51"/>
    <w:rsid w:val="00284017"/>
    <w:rsid w:val="00284099"/>
    <w:rsid w:val="00284197"/>
    <w:rsid w:val="0028437C"/>
    <w:rsid w:val="00284676"/>
    <w:rsid w:val="0028472A"/>
    <w:rsid w:val="00284924"/>
    <w:rsid w:val="00284A48"/>
    <w:rsid w:val="00284AAA"/>
    <w:rsid w:val="00284AF9"/>
    <w:rsid w:val="00284CA7"/>
    <w:rsid w:val="00284E56"/>
    <w:rsid w:val="0028529D"/>
    <w:rsid w:val="002852C7"/>
    <w:rsid w:val="002852E1"/>
    <w:rsid w:val="0028562D"/>
    <w:rsid w:val="0028575A"/>
    <w:rsid w:val="00285B4D"/>
    <w:rsid w:val="00285C43"/>
    <w:rsid w:val="00285CBA"/>
    <w:rsid w:val="00285D58"/>
    <w:rsid w:val="00285DF3"/>
    <w:rsid w:val="002861B2"/>
    <w:rsid w:val="0028621D"/>
    <w:rsid w:val="002862B9"/>
    <w:rsid w:val="0028683C"/>
    <w:rsid w:val="00286876"/>
    <w:rsid w:val="00286879"/>
    <w:rsid w:val="00286C5B"/>
    <w:rsid w:val="00286CB3"/>
    <w:rsid w:val="00286DF4"/>
    <w:rsid w:val="00286E31"/>
    <w:rsid w:val="00286EFD"/>
    <w:rsid w:val="00287172"/>
    <w:rsid w:val="0028735A"/>
    <w:rsid w:val="002874F9"/>
    <w:rsid w:val="00287563"/>
    <w:rsid w:val="00287B67"/>
    <w:rsid w:val="00287D0C"/>
    <w:rsid w:val="0029036C"/>
    <w:rsid w:val="0029040A"/>
    <w:rsid w:val="002906EE"/>
    <w:rsid w:val="0029074E"/>
    <w:rsid w:val="0029076E"/>
    <w:rsid w:val="00290963"/>
    <w:rsid w:val="002909DB"/>
    <w:rsid w:val="002909F2"/>
    <w:rsid w:val="002909FE"/>
    <w:rsid w:val="00290A76"/>
    <w:rsid w:val="00290CA1"/>
    <w:rsid w:val="00290D19"/>
    <w:rsid w:val="00290D29"/>
    <w:rsid w:val="00290DD1"/>
    <w:rsid w:val="00291037"/>
    <w:rsid w:val="00291276"/>
    <w:rsid w:val="002915E0"/>
    <w:rsid w:val="002918A7"/>
    <w:rsid w:val="00291A34"/>
    <w:rsid w:val="00291C1A"/>
    <w:rsid w:val="00291C66"/>
    <w:rsid w:val="00291F6E"/>
    <w:rsid w:val="00291FC0"/>
    <w:rsid w:val="0029241E"/>
    <w:rsid w:val="002924B2"/>
    <w:rsid w:val="00292773"/>
    <w:rsid w:val="002927D9"/>
    <w:rsid w:val="00292801"/>
    <w:rsid w:val="0029293A"/>
    <w:rsid w:val="00292998"/>
    <w:rsid w:val="002929C9"/>
    <w:rsid w:val="00292A8B"/>
    <w:rsid w:val="00292B53"/>
    <w:rsid w:val="00292C39"/>
    <w:rsid w:val="00292D2B"/>
    <w:rsid w:val="00292EF5"/>
    <w:rsid w:val="00292FC2"/>
    <w:rsid w:val="00293012"/>
    <w:rsid w:val="0029321A"/>
    <w:rsid w:val="00293359"/>
    <w:rsid w:val="0029348D"/>
    <w:rsid w:val="0029360F"/>
    <w:rsid w:val="0029369B"/>
    <w:rsid w:val="002937C0"/>
    <w:rsid w:val="002938E4"/>
    <w:rsid w:val="00293995"/>
    <w:rsid w:val="00293C59"/>
    <w:rsid w:val="00293CFA"/>
    <w:rsid w:val="00293DF9"/>
    <w:rsid w:val="00293EB8"/>
    <w:rsid w:val="0029424E"/>
    <w:rsid w:val="002942E7"/>
    <w:rsid w:val="00294651"/>
    <w:rsid w:val="002946F7"/>
    <w:rsid w:val="00294915"/>
    <w:rsid w:val="00294A0B"/>
    <w:rsid w:val="00294AC9"/>
    <w:rsid w:val="00294B22"/>
    <w:rsid w:val="00294E53"/>
    <w:rsid w:val="00294E7C"/>
    <w:rsid w:val="00294EA2"/>
    <w:rsid w:val="002951CE"/>
    <w:rsid w:val="002951E2"/>
    <w:rsid w:val="00295303"/>
    <w:rsid w:val="002953FF"/>
    <w:rsid w:val="0029563E"/>
    <w:rsid w:val="00295898"/>
    <w:rsid w:val="00295A2A"/>
    <w:rsid w:val="00295CAF"/>
    <w:rsid w:val="00295F1B"/>
    <w:rsid w:val="00295F49"/>
    <w:rsid w:val="00295F69"/>
    <w:rsid w:val="00296129"/>
    <w:rsid w:val="002962FC"/>
    <w:rsid w:val="0029642F"/>
    <w:rsid w:val="0029647F"/>
    <w:rsid w:val="002965A2"/>
    <w:rsid w:val="002966FD"/>
    <w:rsid w:val="00296731"/>
    <w:rsid w:val="00296CE4"/>
    <w:rsid w:val="00296D03"/>
    <w:rsid w:val="00296D2D"/>
    <w:rsid w:val="00296D6F"/>
    <w:rsid w:val="00296E90"/>
    <w:rsid w:val="00297005"/>
    <w:rsid w:val="0029705C"/>
    <w:rsid w:val="0029723D"/>
    <w:rsid w:val="002972B1"/>
    <w:rsid w:val="002972C2"/>
    <w:rsid w:val="002973ED"/>
    <w:rsid w:val="0029751D"/>
    <w:rsid w:val="00297583"/>
    <w:rsid w:val="002975E0"/>
    <w:rsid w:val="002976A5"/>
    <w:rsid w:val="0029779E"/>
    <w:rsid w:val="00297948"/>
    <w:rsid w:val="00297C9B"/>
    <w:rsid w:val="00297D14"/>
    <w:rsid w:val="00297DC6"/>
    <w:rsid w:val="00297DF5"/>
    <w:rsid w:val="00297E2D"/>
    <w:rsid w:val="00297E72"/>
    <w:rsid w:val="00297FD9"/>
    <w:rsid w:val="002A025A"/>
    <w:rsid w:val="002A047F"/>
    <w:rsid w:val="002A071F"/>
    <w:rsid w:val="002A0750"/>
    <w:rsid w:val="002A0793"/>
    <w:rsid w:val="002A0814"/>
    <w:rsid w:val="002A09AB"/>
    <w:rsid w:val="002A0A56"/>
    <w:rsid w:val="002A0A6D"/>
    <w:rsid w:val="002A0ABE"/>
    <w:rsid w:val="002A10A4"/>
    <w:rsid w:val="002A14F1"/>
    <w:rsid w:val="002A152D"/>
    <w:rsid w:val="002A18E8"/>
    <w:rsid w:val="002A1FE2"/>
    <w:rsid w:val="002A2111"/>
    <w:rsid w:val="002A22A6"/>
    <w:rsid w:val="002A2432"/>
    <w:rsid w:val="002A24F8"/>
    <w:rsid w:val="002A2585"/>
    <w:rsid w:val="002A25C2"/>
    <w:rsid w:val="002A2743"/>
    <w:rsid w:val="002A27E3"/>
    <w:rsid w:val="002A28A5"/>
    <w:rsid w:val="002A28E5"/>
    <w:rsid w:val="002A2CEE"/>
    <w:rsid w:val="002A2DF0"/>
    <w:rsid w:val="002A2F7D"/>
    <w:rsid w:val="002A2FD2"/>
    <w:rsid w:val="002A30E4"/>
    <w:rsid w:val="002A345E"/>
    <w:rsid w:val="002A3E53"/>
    <w:rsid w:val="002A3FBD"/>
    <w:rsid w:val="002A4064"/>
    <w:rsid w:val="002A4065"/>
    <w:rsid w:val="002A40B9"/>
    <w:rsid w:val="002A4152"/>
    <w:rsid w:val="002A41C3"/>
    <w:rsid w:val="002A41FF"/>
    <w:rsid w:val="002A4379"/>
    <w:rsid w:val="002A443F"/>
    <w:rsid w:val="002A446F"/>
    <w:rsid w:val="002A4506"/>
    <w:rsid w:val="002A4645"/>
    <w:rsid w:val="002A46DC"/>
    <w:rsid w:val="002A46DE"/>
    <w:rsid w:val="002A470A"/>
    <w:rsid w:val="002A47AB"/>
    <w:rsid w:val="002A47C2"/>
    <w:rsid w:val="002A4935"/>
    <w:rsid w:val="002A4A84"/>
    <w:rsid w:val="002A4CFB"/>
    <w:rsid w:val="002A50EA"/>
    <w:rsid w:val="002A51A7"/>
    <w:rsid w:val="002A55CF"/>
    <w:rsid w:val="002A594D"/>
    <w:rsid w:val="002A5989"/>
    <w:rsid w:val="002A5AFC"/>
    <w:rsid w:val="002A5E5A"/>
    <w:rsid w:val="002A5F10"/>
    <w:rsid w:val="002A62B8"/>
    <w:rsid w:val="002A63BE"/>
    <w:rsid w:val="002A641C"/>
    <w:rsid w:val="002A6738"/>
    <w:rsid w:val="002A6821"/>
    <w:rsid w:val="002A6C95"/>
    <w:rsid w:val="002A6EF3"/>
    <w:rsid w:val="002A7218"/>
    <w:rsid w:val="002A72A0"/>
    <w:rsid w:val="002A72F4"/>
    <w:rsid w:val="002A72F5"/>
    <w:rsid w:val="002A732F"/>
    <w:rsid w:val="002A73EE"/>
    <w:rsid w:val="002A7420"/>
    <w:rsid w:val="002A7427"/>
    <w:rsid w:val="002A74DF"/>
    <w:rsid w:val="002A7540"/>
    <w:rsid w:val="002A7769"/>
    <w:rsid w:val="002A7920"/>
    <w:rsid w:val="002A7AE6"/>
    <w:rsid w:val="002A7BBF"/>
    <w:rsid w:val="002A7E1B"/>
    <w:rsid w:val="002A7ED4"/>
    <w:rsid w:val="002B0002"/>
    <w:rsid w:val="002B001B"/>
    <w:rsid w:val="002B0160"/>
    <w:rsid w:val="002B01AE"/>
    <w:rsid w:val="002B01C3"/>
    <w:rsid w:val="002B0256"/>
    <w:rsid w:val="002B0275"/>
    <w:rsid w:val="002B033B"/>
    <w:rsid w:val="002B03A3"/>
    <w:rsid w:val="002B06F3"/>
    <w:rsid w:val="002B07F4"/>
    <w:rsid w:val="002B088F"/>
    <w:rsid w:val="002B09F5"/>
    <w:rsid w:val="002B0ADF"/>
    <w:rsid w:val="002B0B35"/>
    <w:rsid w:val="002B0C73"/>
    <w:rsid w:val="002B0D4B"/>
    <w:rsid w:val="002B1142"/>
    <w:rsid w:val="002B115E"/>
    <w:rsid w:val="002B11CB"/>
    <w:rsid w:val="002B1313"/>
    <w:rsid w:val="002B197B"/>
    <w:rsid w:val="002B19E7"/>
    <w:rsid w:val="002B1A57"/>
    <w:rsid w:val="002B1B88"/>
    <w:rsid w:val="002B1C4F"/>
    <w:rsid w:val="002B1DF3"/>
    <w:rsid w:val="002B1E50"/>
    <w:rsid w:val="002B1F61"/>
    <w:rsid w:val="002B2039"/>
    <w:rsid w:val="002B20CE"/>
    <w:rsid w:val="002B2116"/>
    <w:rsid w:val="002B228C"/>
    <w:rsid w:val="002B22F5"/>
    <w:rsid w:val="002B233E"/>
    <w:rsid w:val="002B2391"/>
    <w:rsid w:val="002B2411"/>
    <w:rsid w:val="002B256A"/>
    <w:rsid w:val="002B287D"/>
    <w:rsid w:val="002B2B6F"/>
    <w:rsid w:val="002B2C8F"/>
    <w:rsid w:val="002B2D42"/>
    <w:rsid w:val="002B314B"/>
    <w:rsid w:val="002B31F7"/>
    <w:rsid w:val="002B32CA"/>
    <w:rsid w:val="002B33C1"/>
    <w:rsid w:val="002B33DF"/>
    <w:rsid w:val="002B3496"/>
    <w:rsid w:val="002B35F3"/>
    <w:rsid w:val="002B36B0"/>
    <w:rsid w:val="002B38B7"/>
    <w:rsid w:val="002B38EE"/>
    <w:rsid w:val="002B3B2A"/>
    <w:rsid w:val="002B3EA7"/>
    <w:rsid w:val="002B3FEA"/>
    <w:rsid w:val="002B3FFF"/>
    <w:rsid w:val="002B41B1"/>
    <w:rsid w:val="002B4460"/>
    <w:rsid w:val="002B4588"/>
    <w:rsid w:val="002B4665"/>
    <w:rsid w:val="002B4801"/>
    <w:rsid w:val="002B4A88"/>
    <w:rsid w:val="002B4DCC"/>
    <w:rsid w:val="002B50AE"/>
    <w:rsid w:val="002B510D"/>
    <w:rsid w:val="002B5279"/>
    <w:rsid w:val="002B5363"/>
    <w:rsid w:val="002B53B2"/>
    <w:rsid w:val="002B5543"/>
    <w:rsid w:val="002B55CF"/>
    <w:rsid w:val="002B5621"/>
    <w:rsid w:val="002B593B"/>
    <w:rsid w:val="002B5949"/>
    <w:rsid w:val="002B5A6C"/>
    <w:rsid w:val="002B5B40"/>
    <w:rsid w:val="002B6055"/>
    <w:rsid w:val="002B6375"/>
    <w:rsid w:val="002B66AA"/>
    <w:rsid w:val="002B6703"/>
    <w:rsid w:val="002B6795"/>
    <w:rsid w:val="002B6914"/>
    <w:rsid w:val="002B6928"/>
    <w:rsid w:val="002B6988"/>
    <w:rsid w:val="002B6A52"/>
    <w:rsid w:val="002B6AFC"/>
    <w:rsid w:val="002B6BE6"/>
    <w:rsid w:val="002B6D4A"/>
    <w:rsid w:val="002B6FEE"/>
    <w:rsid w:val="002B72AE"/>
    <w:rsid w:val="002B72BF"/>
    <w:rsid w:val="002B7498"/>
    <w:rsid w:val="002B76A8"/>
    <w:rsid w:val="002B7850"/>
    <w:rsid w:val="002B78E7"/>
    <w:rsid w:val="002B7A9F"/>
    <w:rsid w:val="002C01A5"/>
    <w:rsid w:val="002C04EA"/>
    <w:rsid w:val="002C0577"/>
    <w:rsid w:val="002C067D"/>
    <w:rsid w:val="002C088F"/>
    <w:rsid w:val="002C0936"/>
    <w:rsid w:val="002C0980"/>
    <w:rsid w:val="002C0A00"/>
    <w:rsid w:val="002C0DC7"/>
    <w:rsid w:val="002C0EE9"/>
    <w:rsid w:val="002C0FBD"/>
    <w:rsid w:val="002C0FD6"/>
    <w:rsid w:val="002C1138"/>
    <w:rsid w:val="002C11A2"/>
    <w:rsid w:val="002C11DA"/>
    <w:rsid w:val="002C122C"/>
    <w:rsid w:val="002C12CD"/>
    <w:rsid w:val="002C19B7"/>
    <w:rsid w:val="002C19BE"/>
    <w:rsid w:val="002C1A0E"/>
    <w:rsid w:val="002C1B41"/>
    <w:rsid w:val="002C1CEA"/>
    <w:rsid w:val="002C1D16"/>
    <w:rsid w:val="002C1D8A"/>
    <w:rsid w:val="002C239F"/>
    <w:rsid w:val="002C2469"/>
    <w:rsid w:val="002C256B"/>
    <w:rsid w:val="002C25F6"/>
    <w:rsid w:val="002C280F"/>
    <w:rsid w:val="002C2E08"/>
    <w:rsid w:val="002C2FCB"/>
    <w:rsid w:val="002C3032"/>
    <w:rsid w:val="002C310F"/>
    <w:rsid w:val="002C325E"/>
    <w:rsid w:val="002C333B"/>
    <w:rsid w:val="002C3543"/>
    <w:rsid w:val="002C366F"/>
    <w:rsid w:val="002C3916"/>
    <w:rsid w:val="002C418B"/>
    <w:rsid w:val="002C42E2"/>
    <w:rsid w:val="002C449B"/>
    <w:rsid w:val="002C47FD"/>
    <w:rsid w:val="002C4B10"/>
    <w:rsid w:val="002C4C23"/>
    <w:rsid w:val="002C4DBF"/>
    <w:rsid w:val="002C4DFF"/>
    <w:rsid w:val="002C4F4B"/>
    <w:rsid w:val="002C4F66"/>
    <w:rsid w:val="002C4FC2"/>
    <w:rsid w:val="002C5143"/>
    <w:rsid w:val="002C541F"/>
    <w:rsid w:val="002C55A8"/>
    <w:rsid w:val="002C56B4"/>
    <w:rsid w:val="002C57D0"/>
    <w:rsid w:val="002C584C"/>
    <w:rsid w:val="002C59EC"/>
    <w:rsid w:val="002C5AFE"/>
    <w:rsid w:val="002C5D66"/>
    <w:rsid w:val="002C5D9E"/>
    <w:rsid w:val="002C5DD7"/>
    <w:rsid w:val="002C5E15"/>
    <w:rsid w:val="002C5EA4"/>
    <w:rsid w:val="002C6177"/>
    <w:rsid w:val="002C61B0"/>
    <w:rsid w:val="002C6276"/>
    <w:rsid w:val="002C661D"/>
    <w:rsid w:val="002C6A64"/>
    <w:rsid w:val="002C6AA3"/>
    <w:rsid w:val="002C716C"/>
    <w:rsid w:val="002C73CB"/>
    <w:rsid w:val="002C7454"/>
    <w:rsid w:val="002C752A"/>
    <w:rsid w:val="002C7654"/>
    <w:rsid w:val="002C7773"/>
    <w:rsid w:val="002C77E4"/>
    <w:rsid w:val="002C77FA"/>
    <w:rsid w:val="002C7A6E"/>
    <w:rsid w:val="002C7ADB"/>
    <w:rsid w:val="002D02F8"/>
    <w:rsid w:val="002D03A6"/>
    <w:rsid w:val="002D04FD"/>
    <w:rsid w:val="002D05E8"/>
    <w:rsid w:val="002D083F"/>
    <w:rsid w:val="002D086B"/>
    <w:rsid w:val="002D0CE8"/>
    <w:rsid w:val="002D10DB"/>
    <w:rsid w:val="002D1630"/>
    <w:rsid w:val="002D1B39"/>
    <w:rsid w:val="002D1BF9"/>
    <w:rsid w:val="002D1D15"/>
    <w:rsid w:val="002D1DAC"/>
    <w:rsid w:val="002D1EB2"/>
    <w:rsid w:val="002D1EB8"/>
    <w:rsid w:val="002D1EC7"/>
    <w:rsid w:val="002D236D"/>
    <w:rsid w:val="002D2500"/>
    <w:rsid w:val="002D26C6"/>
    <w:rsid w:val="002D27BA"/>
    <w:rsid w:val="002D29DB"/>
    <w:rsid w:val="002D2FD0"/>
    <w:rsid w:val="002D3101"/>
    <w:rsid w:val="002D3247"/>
    <w:rsid w:val="002D33B5"/>
    <w:rsid w:val="002D33E1"/>
    <w:rsid w:val="002D372C"/>
    <w:rsid w:val="002D3A0D"/>
    <w:rsid w:val="002D3A3A"/>
    <w:rsid w:val="002D3ECE"/>
    <w:rsid w:val="002D41F2"/>
    <w:rsid w:val="002D431F"/>
    <w:rsid w:val="002D44AA"/>
    <w:rsid w:val="002D44E1"/>
    <w:rsid w:val="002D456C"/>
    <w:rsid w:val="002D4591"/>
    <w:rsid w:val="002D45B1"/>
    <w:rsid w:val="002D45B7"/>
    <w:rsid w:val="002D47A5"/>
    <w:rsid w:val="002D47B2"/>
    <w:rsid w:val="002D487D"/>
    <w:rsid w:val="002D48A0"/>
    <w:rsid w:val="002D4A22"/>
    <w:rsid w:val="002D4ACD"/>
    <w:rsid w:val="002D4B98"/>
    <w:rsid w:val="002D4DE6"/>
    <w:rsid w:val="002D5602"/>
    <w:rsid w:val="002D57F5"/>
    <w:rsid w:val="002D59D5"/>
    <w:rsid w:val="002D5C98"/>
    <w:rsid w:val="002D5E2B"/>
    <w:rsid w:val="002D5FEE"/>
    <w:rsid w:val="002D6448"/>
    <w:rsid w:val="002D65CE"/>
    <w:rsid w:val="002D667A"/>
    <w:rsid w:val="002D6725"/>
    <w:rsid w:val="002D67ED"/>
    <w:rsid w:val="002D6870"/>
    <w:rsid w:val="002D6A1F"/>
    <w:rsid w:val="002D6B45"/>
    <w:rsid w:val="002D6CFB"/>
    <w:rsid w:val="002D6F17"/>
    <w:rsid w:val="002D713E"/>
    <w:rsid w:val="002D72BF"/>
    <w:rsid w:val="002D7368"/>
    <w:rsid w:val="002D7422"/>
    <w:rsid w:val="002D7468"/>
    <w:rsid w:val="002D76F5"/>
    <w:rsid w:val="002D784E"/>
    <w:rsid w:val="002D788E"/>
    <w:rsid w:val="002D7915"/>
    <w:rsid w:val="002D7951"/>
    <w:rsid w:val="002D7AB9"/>
    <w:rsid w:val="002D7AE9"/>
    <w:rsid w:val="002D7AFE"/>
    <w:rsid w:val="002D7CA2"/>
    <w:rsid w:val="002E00FB"/>
    <w:rsid w:val="002E065E"/>
    <w:rsid w:val="002E0777"/>
    <w:rsid w:val="002E09FF"/>
    <w:rsid w:val="002E0B96"/>
    <w:rsid w:val="002E0C20"/>
    <w:rsid w:val="002E0C3D"/>
    <w:rsid w:val="002E0D58"/>
    <w:rsid w:val="002E0D69"/>
    <w:rsid w:val="002E0E2A"/>
    <w:rsid w:val="002E0E8D"/>
    <w:rsid w:val="002E0F45"/>
    <w:rsid w:val="002E107E"/>
    <w:rsid w:val="002E12C0"/>
    <w:rsid w:val="002E149C"/>
    <w:rsid w:val="002E151A"/>
    <w:rsid w:val="002E1620"/>
    <w:rsid w:val="002E1661"/>
    <w:rsid w:val="002E1AB4"/>
    <w:rsid w:val="002E1B87"/>
    <w:rsid w:val="002E1CB9"/>
    <w:rsid w:val="002E201B"/>
    <w:rsid w:val="002E2117"/>
    <w:rsid w:val="002E2316"/>
    <w:rsid w:val="002E248E"/>
    <w:rsid w:val="002E24DE"/>
    <w:rsid w:val="002E2595"/>
    <w:rsid w:val="002E2631"/>
    <w:rsid w:val="002E279A"/>
    <w:rsid w:val="002E280D"/>
    <w:rsid w:val="002E294A"/>
    <w:rsid w:val="002E2A79"/>
    <w:rsid w:val="002E2B1C"/>
    <w:rsid w:val="002E2DD4"/>
    <w:rsid w:val="002E2E35"/>
    <w:rsid w:val="002E2F55"/>
    <w:rsid w:val="002E302D"/>
    <w:rsid w:val="002E3148"/>
    <w:rsid w:val="002E31C0"/>
    <w:rsid w:val="002E32E5"/>
    <w:rsid w:val="002E332C"/>
    <w:rsid w:val="002E33C5"/>
    <w:rsid w:val="002E37F6"/>
    <w:rsid w:val="002E3A35"/>
    <w:rsid w:val="002E3A95"/>
    <w:rsid w:val="002E3D30"/>
    <w:rsid w:val="002E3E21"/>
    <w:rsid w:val="002E3ED2"/>
    <w:rsid w:val="002E3FF2"/>
    <w:rsid w:val="002E4252"/>
    <w:rsid w:val="002E4546"/>
    <w:rsid w:val="002E45F7"/>
    <w:rsid w:val="002E46E8"/>
    <w:rsid w:val="002E4817"/>
    <w:rsid w:val="002E4844"/>
    <w:rsid w:val="002E48A5"/>
    <w:rsid w:val="002E4934"/>
    <w:rsid w:val="002E4A0E"/>
    <w:rsid w:val="002E4BCC"/>
    <w:rsid w:val="002E4C35"/>
    <w:rsid w:val="002E4C76"/>
    <w:rsid w:val="002E4CA8"/>
    <w:rsid w:val="002E4CB7"/>
    <w:rsid w:val="002E4D96"/>
    <w:rsid w:val="002E4EDF"/>
    <w:rsid w:val="002E4F48"/>
    <w:rsid w:val="002E5045"/>
    <w:rsid w:val="002E5095"/>
    <w:rsid w:val="002E5834"/>
    <w:rsid w:val="002E5AB9"/>
    <w:rsid w:val="002E5B0E"/>
    <w:rsid w:val="002E5B9C"/>
    <w:rsid w:val="002E5BB4"/>
    <w:rsid w:val="002E5EC0"/>
    <w:rsid w:val="002E608D"/>
    <w:rsid w:val="002E6120"/>
    <w:rsid w:val="002E629F"/>
    <w:rsid w:val="002E62D4"/>
    <w:rsid w:val="002E642F"/>
    <w:rsid w:val="002E6497"/>
    <w:rsid w:val="002E6825"/>
    <w:rsid w:val="002E6933"/>
    <w:rsid w:val="002E693E"/>
    <w:rsid w:val="002E6A45"/>
    <w:rsid w:val="002E6A51"/>
    <w:rsid w:val="002E6A9E"/>
    <w:rsid w:val="002E6B8E"/>
    <w:rsid w:val="002E6F11"/>
    <w:rsid w:val="002E6F20"/>
    <w:rsid w:val="002E731A"/>
    <w:rsid w:val="002E775C"/>
    <w:rsid w:val="002E7859"/>
    <w:rsid w:val="002E7AF1"/>
    <w:rsid w:val="002E7DAB"/>
    <w:rsid w:val="002E7E5C"/>
    <w:rsid w:val="002E7F44"/>
    <w:rsid w:val="002F0025"/>
    <w:rsid w:val="002F0231"/>
    <w:rsid w:val="002F0516"/>
    <w:rsid w:val="002F0544"/>
    <w:rsid w:val="002F0554"/>
    <w:rsid w:val="002F075D"/>
    <w:rsid w:val="002F0C50"/>
    <w:rsid w:val="002F0CA9"/>
    <w:rsid w:val="002F0D15"/>
    <w:rsid w:val="002F1260"/>
    <w:rsid w:val="002F1346"/>
    <w:rsid w:val="002F139D"/>
    <w:rsid w:val="002F175F"/>
    <w:rsid w:val="002F195F"/>
    <w:rsid w:val="002F1A93"/>
    <w:rsid w:val="002F1BC0"/>
    <w:rsid w:val="002F1EC7"/>
    <w:rsid w:val="002F1F02"/>
    <w:rsid w:val="002F1F69"/>
    <w:rsid w:val="002F1F9E"/>
    <w:rsid w:val="002F1FEE"/>
    <w:rsid w:val="002F2205"/>
    <w:rsid w:val="002F2447"/>
    <w:rsid w:val="002F24F4"/>
    <w:rsid w:val="002F250D"/>
    <w:rsid w:val="002F25EB"/>
    <w:rsid w:val="002F2639"/>
    <w:rsid w:val="002F2667"/>
    <w:rsid w:val="002F2756"/>
    <w:rsid w:val="002F2884"/>
    <w:rsid w:val="002F28F1"/>
    <w:rsid w:val="002F2953"/>
    <w:rsid w:val="002F2BE9"/>
    <w:rsid w:val="002F2D75"/>
    <w:rsid w:val="002F2D8E"/>
    <w:rsid w:val="002F2E95"/>
    <w:rsid w:val="002F305C"/>
    <w:rsid w:val="002F327D"/>
    <w:rsid w:val="002F32CB"/>
    <w:rsid w:val="002F3353"/>
    <w:rsid w:val="002F3482"/>
    <w:rsid w:val="002F35D7"/>
    <w:rsid w:val="002F3919"/>
    <w:rsid w:val="002F3B25"/>
    <w:rsid w:val="002F3BF9"/>
    <w:rsid w:val="002F3C1B"/>
    <w:rsid w:val="002F3C53"/>
    <w:rsid w:val="002F3C8A"/>
    <w:rsid w:val="002F3EAE"/>
    <w:rsid w:val="002F3F7F"/>
    <w:rsid w:val="002F3F8E"/>
    <w:rsid w:val="002F4102"/>
    <w:rsid w:val="002F41AB"/>
    <w:rsid w:val="002F4368"/>
    <w:rsid w:val="002F43DD"/>
    <w:rsid w:val="002F43E2"/>
    <w:rsid w:val="002F44BE"/>
    <w:rsid w:val="002F45AB"/>
    <w:rsid w:val="002F45AF"/>
    <w:rsid w:val="002F467F"/>
    <w:rsid w:val="002F472A"/>
    <w:rsid w:val="002F478E"/>
    <w:rsid w:val="002F47E7"/>
    <w:rsid w:val="002F47E8"/>
    <w:rsid w:val="002F4A87"/>
    <w:rsid w:val="002F4B10"/>
    <w:rsid w:val="002F4EF8"/>
    <w:rsid w:val="002F5299"/>
    <w:rsid w:val="002F557C"/>
    <w:rsid w:val="002F575B"/>
    <w:rsid w:val="002F57DD"/>
    <w:rsid w:val="002F5B4B"/>
    <w:rsid w:val="002F5B67"/>
    <w:rsid w:val="002F5BAA"/>
    <w:rsid w:val="002F5BB6"/>
    <w:rsid w:val="002F5D20"/>
    <w:rsid w:val="002F5ECC"/>
    <w:rsid w:val="002F6044"/>
    <w:rsid w:val="002F62FE"/>
    <w:rsid w:val="002F64B4"/>
    <w:rsid w:val="002F65A4"/>
    <w:rsid w:val="002F66A5"/>
    <w:rsid w:val="002F66FB"/>
    <w:rsid w:val="002F68F4"/>
    <w:rsid w:val="002F6B93"/>
    <w:rsid w:val="002F6BAD"/>
    <w:rsid w:val="002F6D8E"/>
    <w:rsid w:val="002F6EFD"/>
    <w:rsid w:val="002F7125"/>
    <w:rsid w:val="002F7286"/>
    <w:rsid w:val="002F7536"/>
    <w:rsid w:val="002F75F2"/>
    <w:rsid w:val="002F7607"/>
    <w:rsid w:val="002F76A7"/>
    <w:rsid w:val="002F7714"/>
    <w:rsid w:val="002F7881"/>
    <w:rsid w:val="002F7A7B"/>
    <w:rsid w:val="002F7B38"/>
    <w:rsid w:val="002F7C63"/>
    <w:rsid w:val="002F7CBF"/>
    <w:rsid w:val="002F7D4D"/>
    <w:rsid w:val="002F7E79"/>
    <w:rsid w:val="002F7F15"/>
    <w:rsid w:val="00300008"/>
    <w:rsid w:val="00300024"/>
    <w:rsid w:val="003001C9"/>
    <w:rsid w:val="00300280"/>
    <w:rsid w:val="00300389"/>
    <w:rsid w:val="00300395"/>
    <w:rsid w:val="00300631"/>
    <w:rsid w:val="003007A2"/>
    <w:rsid w:val="003007AF"/>
    <w:rsid w:val="00300806"/>
    <w:rsid w:val="00300940"/>
    <w:rsid w:val="00300D71"/>
    <w:rsid w:val="00300F77"/>
    <w:rsid w:val="00301024"/>
    <w:rsid w:val="00301342"/>
    <w:rsid w:val="0030147B"/>
    <w:rsid w:val="0030160F"/>
    <w:rsid w:val="00301845"/>
    <w:rsid w:val="003018D3"/>
    <w:rsid w:val="00301903"/>
    <w:rsid w:val="00301932"/>
    <w:rsid w:val="00301996"/>
    <w:rsid w:val="00301CE2"/>
    <w:rsid w:val="00301F53"/>
    <w:rsid w:val="00302021"/>
    <w:rsid w:val="00302028"/>
    <w:rsid w:val="003021C8"/>
    <w:rsid w:val="00302239"/>
    <w:rsid w:val="003023DE"/>
    <w:rsid w:val="00302403"/>
    <w:rsid w:val="00302570"/>
    <w:rsid w:val="003027CF"/>
    <w:rsid w:val="003028EB"/>
    <w:rsid w:val="00302A8A"/>
    <w:rsid w:val="00302B41"/>
    <w:rsid w:val="00302C49"/>
    <w:rsid w:val="00302CBE"/>
    <w:rsid w:val="00302DEA"/>
    <w:rsid w:val="00302E58"/>
    <w:rsid w:val="00302EF9"/>
    <w:rsid w:val="003031DE"/>
    <w:rsid w:val="003032C0"/>
    <w:rsid w:val="00303525"/>
    <w:rsid w:val="0030359C"/>
    <w:rsid w:val="0030372D"/>
    <w:rsid w:val="003037BA"/>
    <w:rsid w:val="003038EF"/>
    <w:rsid w:val="003039AE"/>
    <w:rsid w:val="00303A3C"/>
    <w:rsid w:val="00303C16"/>
    <w:rsid w:val="00303C7D"/>
    <w:rsid w:val="00303CBA"/>
    <w:rsid w:val="00303DB3"/>
    <w:rsid w:val="00303DCA"/>
    <w:rsid w:val="00303FFA"/>
    <w:rsid w:val="0030404E"/>
    <w:rsid w:val="003040BB"/>
    <w:rsid w:val="0030427D"/>
    <w:rsid w:val="003044A1"/>
    <w:rsid w:val="003044C1"/>
    <w:rsid w:val="0030456F"/>
    <w:rsid w:val="003045A0"/>
    <w:rsid w:val="0030465E"/>
    <w:rsid w:val="003046A5"/>
    <w:rsid w:val="00304763"/>
    <w:rsid w:val="0030481F"/>
    <w:rsid w:val="00304835"/>
    <w:rsid w:val="00304B66"/>
    <w:rsid w:val="00304C44"/>
    <w:rsid w:val="0030501B"/>
    <w:rsid w:val="00305072"/>
    <w:rsid w:val="003051CD"/>
    <w:rsid w:val="0030520B"/>
    <w:rsid w:val="003053E9"/>
    <w:rsid w:val="003055DB"/>
    <w:rsid w:val="00305B00"/>
    <w:rsid w:val="00305BC4"/>
    <w:rsid w:val="00305FFB"/>
    <w:rsid w:val="00306228"/>
    <w:rsid w:val="00306271"/>
    <w:rsid w:val="0030639D"/>
    <w:rsid w:val="0030662E"/>
    <w:rsid w:val="00306806"/>
    <w:rsid w:val="003069FF"/>
    <w:rsid w:val="00306B28"/>
    <w:rsid w:val="00306B33"/>
    <w:rsid w:val="00306C4D"/>
    <w:rsid w:val="00306D2B"/>
    <w:rsid w:val="00306E9F"/>
    <w:rsid w:val="0030731D"/>
    <w:rsid w:val="0030735B"/>
    <w:rsid w:val="003076D0"/>
    <w:rsid w:val="00307A01"/>
    <w:rsid w:val="00307B94"/>
    <w:rsid w:val="00307B99"/>
    <w:rsid w:val="00307E18"/>
    <w:rsid w:val="00307E7E"/>
    <w:rsid w:val="00307F56"/>
    <w:rsid w:val="00307F7B"/>
    <w:rsid w:val="00310309"/>
    <w:rsid w:val="00310344"/>
    <w:rsid w:val="003103C0"/>
    <w:rsid w:val="003103CC"/>
    <w:rsid w:val="00310419"/>
    <w:rsid w:val="003104E1"/>
    <w:rsid w:val="00310A1E"/>
    <w:rsid w:val="00310BD7"/>
    <w:rsid w:val="00310D30"/>
    <w:rsid w:val="00310EA3"/>
    <w:rsid w:val="0031135D"/>
    <w:rsid w:val="003113C9"/>
    <w:rsid w:val="00311442"/>
    <w:rsid w:val="0031156B"/>
    <w:rsid w:val="003117DB"/>
    <w:rsid w:val="003119EC"/>
    <w:rsid w:val="00311C93"/>
    <w:rsid w:val="00311EAB"/>
    <w:rsid w:val="00311ECB"/>
    <w:rsid w:val="00311F28"/>
    <w:rsid w:val="00311FA8"/>
    <w:rsid w:val="00311FB8"/>
    <w:rsid w:val="00312219"/>
    <w:rsid w:val="00312590"/>
    <w:rsid w:val="003129EB"/>
    <w:rsid w:val="00312B26"/>
    <w:rsid w:val="00312C84"/>
    <w:rsid w:val="00312E1A"/>
    <w:rsid w:val="00312EE1"/>
    <w:rsid w:val="00312F36"/>
    <w:rsid w:val="00312F87"/>
    <w:rsid w:val="003131EE"/>
    <w:rsid w:val="00313368"/>
    <w:rsid w:val="00313398"/>
    <w:rsid w:val="0031340D"/>
    <w:rsid w:val="003135C9"/>
    <w:rsid w:val="00313857"/>
    <w:rsid w:val="0031387F"/>
    <w:rsid w:val="00313956"/>
    <w:rsid w:val="003139A3"/>
    <w:rsid w:val="00313AB7"/>
    <w:rsid w:val="00313CA2"/>
    <w:rsid w:val="00313DB0"/>
    <w:rsid w:val="00313F4F"/>
    <w:rsid w:val="00313FBD"/>
    <w:rsid w:val="00314088"/>
    <w:rsid w:val="00314655"/>
    <w:rsid w:val="00314727"/>
    <w:rsid w:val="00314761"/>
    <w:rsid w:val="0031480B"/>
    <w:rsid w:val="00314859"/>
    <w:rsid w:val="003148A6"/>
    <w:rsid w:val="003148DB"/>
    <w:rsid w:val="00314B74"/>
    <w:rsid w:val="00314D7F"/>
    <w:rsid w:val="00314E29"/>
    <w:rsid w:val="00315122"/>
    <w:rsid w:val="0031523D"/>
    <w:rsid w:val="0031528B"/>
    <w:rsid w:val="0031532E"/>
    <w:rsid w:val="0031551E"/>
    <w:rsid w:val="003155E5"/>
    <w:rsid w:val="00315621"/>
    <w:rsid w:val="0031580E"/>
    <w:rsid w:val="0031582D"/>
    <w:rsid w:val="003158A4"/>
    <w:rsid w:val="00315CDE"/>
    <w:rsid w:val="00315D27"/>
    <w:rsid w:val="00315D45"/>
    <w:rsid w:val="00315DA9"/>
    <w:rsid w:val="00315DF7"/>
    <w:rsid w:val="00315EDD"/>
    <w:rsid w:val="00315EF4"/>
    <w:rsid w:val="00316283"/>
    <w:rsid w:val="00316598"/>
    <w:rsid w:val="003165F4"/>
    <w:rsid w:val="0031688B"/>
    <w:rsid w:val="003169C5"/>
    <w:rsid w:val="00316ADC"/>
    <w:rsid w:val="00316CE9"/>
    <w:rsid w:val="00316F47"/>
    <w:rsid w:val="00316FB7"/>
    <w:rsid w:val="00317181"/>
    <w:rsid w:val="00317228"/>
    <w:rsid w:val="003173B8"/>
    <w:rsid w:val="003173FF"/>
    <w:rsid w:val="0031761E"/>
    <w:rsid w:val="003178FE"/>
    <w:rsid w:val="00317980"/>
    <w:rsid w:val="00317A0F"/>
    <w:rsid w:val="00320009"/>
    <w:rsid w:val="00320017"/>
    <w:rsid w:val="003201B1"/>
    <w:rsid w:val="00320306"/>
    <w:rsid w:val="0032037E"/>
    <w:rsid w:val="00320462"/>
    <w:rsid w:val="003207AF"/>
    <w:rsid w:val="0032087E"/>
    <w:rsid w:val="00320ACB"/>
    <w:rsid w:val="00320C2E"/>
    <w:rsid w:val="00320E94"/>
    <w:rsid w:val="00320F21"/>
    <w:rsid w:val="0032105C"/>
    <w:rsid w:val="003210CE"/>
    <w:rsid w:val="00321136"/>
    <w:rsid w:val="00321268"/>
    <w:rsid w:val="00321502"/>
    <w:rsid w:val="0032180E"/>
    <w:rsid w:val="00321A1F"/>
    <w:rsid w:val="00321A6A"/>
    <w:rsid w:val="00321A9A"/>
    <w:rsid w:val="00321B5B"/>
    <w:rsid w:val="00321C97"/>
    <w:rsid w:val="00321DAC"/>
    <w:rsid w:val="00321E60"/>
    <w:rsid w:val="00321FA8"/>
    <w:rsid w:val="00322206"/>
    <w:rsid w:val="003225D6"/>
    <w:rsid w:val="003226B8"/>
    <w:rsid w:val="0032272D"/>
    <w:rsid w:val="00322DE7"/>
    <w:rsid w:val="00322E27"/>
    <w:rsid w:val="003232E7"/>
    <w:rsid w:val="0032341C"/>
    <w:rsid w:val="003235B0"/>
    <w:rsid w:val="003237D6"/>
    <w:rsid w:val="00323816"/>
    <w:rsid w:val="00323840"/>
    <w:rsid w:val="00323860"/>
    <w:rsid w:val="003238F5"/>
    <w:rsid w:val="00323960"/>
    <w:rsid w:val="00323B9A"/>
    <w:rsid w:val="00323BE7"/>
    <w:rsid w:val="00323C08"/>
    <w:rsid w:val="00323E37"/>
    <w:rsid w:val="00324038"/>
    <w:rsid w:val="003240C3"/>
    <w:rsid w:val="003242B6"/>
    <w:rsid w:val="0032455A"/>
    <w:rsid w:val="0032466B"/>
    <w:rsid w:val="00324694"/>
    <w:rsid w:val="0032493C"/>
    <w:rsid w:val="003249D4"/>
    <w:rsid w:val="00324BFA"/>
    <w:rsid w:val="00324D09"/>
    <w:rsid w:val="00324D2D"/>
    <w:rsid w:val="00324E2A"/>
    <w:rsid w:val="00324FEA"/>
    <w:rsid w:val="00325047"/>
    <w:rsid w:val="003250B3"/>
    <w:rsid w:val="00325497"/>
    <w:rsid w:val="0032554C"/>
    <w:rsid w:val="00325635"/>
    <w:rsid w:val="00325804"/>
    <w:rsid w:val="00325ACF"/>
    <w:rsid w:val="00325EEF"/>
    <w:rsid w:val="00325F68"/>
    <w:rsid w:val="00325F76"/>
    <w:rsid w:val="003261A5"/>
    <w:rsid w:val="003261F8"/>
    <w:rsid w:val="0032631B"/>
    <w:rsid w:val="003263D0"/>
    <w:rsid w:val="00326415"/>
    <w:rsid w:val="00326754"/>
    <w:rsid w:val="003268D3"/>
    <w:rsid w:val="0032696A"/>
    <w:rsid w:val="00326B92"/>
    <w:rsid w:val="0032715F"/>
    <w:rsid w:val="00327166"/>
    <w:rsid w:val="0032725A"/>
    <w:rsid w:val="003275DF"/>
    <w:rsid w:val="00327A33"/>
    <w:rsid w:val="00327BC5"/>
    <w:rsid w:val="00327CF7"/>
    <w:rsid w:val="00327F2F"/>
    <w:rsid w:val="00330213"/>
    <w:rsid w:val="003302D5"/>
    <w:rsid w:val="003303A1"/>
    <w:rsid w:val="003303B6"/>
    <w:rsid w:val="003303C6"/>
    <w:rsid w:val="00330AED"/>
    <w:rsid w:val="00330B45"/>
    <w:rsid w:val="00330F72"/>
    <w:rsid w:val="003312F2"/>
    <w:rsid w:val="003313BB"/>
    <w:rsid w:val="00331859"/>
    <w:rsid w:val="003319ED"/>
    <w:rsid w:val="00331ACB"/>
    <w:rsid w:val="00331D41"/>
    <w:rsid w:val="00331D77"/>
    <w:rsid w:val="00331DFF"/>
    <w:rsid w:val="00331E84"/>
    <w:rsid w:val="00331EED"/>
    <w:rsid w:val="00332037"/>
    <w:rsid w:val="00332297"/>
    <w:rsid w:val="00332315"/>
    <w:rsid w:val="003323E6"/>
    <w:rsid w:val="00332689"/>
    <w:rsid w:val="003327E6"/>
    <w:rsid w:val="0033298D"/>
    <w:rsid w:val="00332C42"/>
    <w:rsid w:val="00332DA2"/>
    <w:rsid w:val="00332ED9"/>
    <w:rsid w:val="0033320B"/>
    <w:rsid w:val="00333936"/>
    <w:rsid w:val="0033395E"/>
    <w:rsid w:val="00333A37"/>
    <w:rsid w:val="00333B94"/>
    <w:rsid w:val="00334187"/>
    <w:rsid w:val="0033420D"/>
    <w:rsid w:val="00334260"/>
    <w:rsid w:val="00334345"/>
    <w:rsid w:val="0033443B"/>
    <w:rsid w:val="00334C5D"/>
    <w:rsid w:val="00335099"/>
    <w:rsid w:val="00335406"/>
    <w:rsid w:val="00335480"/>
    <w:rsid w:val="00335527"/>
    <w:rsid w:val="0033565C"/>
    <w:rsid w:val="00335762"/>
    <w:rsid w:val="003357AD"/>
    <w:rsid w:val="0033583C"/>
    <w:rsid w:val="00335B95"/>
    <w:rsid w:val="00335C2E"/>
    <w:rsid w:val="00335CA9"/>
    <w:rsid w:val="00335D7D"/>
    <w:rsid w:val="00335D98"/>
    <w:rsid w:val="00335DEA"/>
    <w:rsid w:val="00335EC9"/>
    <w:rsid w:val="003360CA"/>
    <w:rsid w:val="00336387"/>
    <w:rsid w:val="003366C1"/>
    <w:rsid w:val="003367DC"/>
    <w:rsid w:val="0033683A"/>
    <w:rsid w:val="003368C4"/>
    <w:rsid w:val="00336928"/>
    <w:rsid w:val="00336A5B"/>
    <w:rsid w:val="00336F35"/>
    <w:rsid w:val="00336F83"/>
    <w:rsid w:val="003373D9"/>
    <w:rsid w:val="00337882"/>
    <w:rsid w:val="00337EAA"/>
    <w:rsid w:val="00337FBE"/>
    <w:rsid w:val="00340205"/>
    <w:rsid w:val="00340442"/>
    <w:rsid w:val="00340493"/>
    <w:rsid w:val="0034073A"/>
    <w:rsid w:val="00340760"/>
    <w:rsid w:val="003407FC"/>
    <w:rsid w:val="00340B86"/>
    <w:rsid w:val="00340BA1"/>
    <w:rsid w:val="00340BB8"/>
    <w:rsid w:val="00340D36"/>
    <w:rsid w:val="00340DC7"/>
    <w:rsid w:val="003410BA"/>
    <w:rsid w:val="00341153"/>
    <w:rsid w:val="00341311"/>
    <w:rsid w:val="0034133F"/>
    <w:rsid w:val="00341380"/>
    <w:rsid w:val="00341573"/>
    <w:rsid w:val="00341595"/>
    <w:rsid w:val="003415FF"/>
    <w:rsid w:val="0034177D"/>
    <w:rsid w:val="003417AB"/>
    <w:rsid w:val="00341849"/>
    <w:rsid w:val="0034185F"/>
    <w:rsid w:val="003419BC"/>
    <w:rsid w:val="003419D7"/>
    <w:rsid w:val="00341ADF"/>
    <w:rsid w:val="00341C3D"/>
    <w:rsid w:val="00341F0A"/>
    <w:rsid w:val="00342179"/>
    <w:rsid w:val="0034265D"/>
    <w:rsid w:val="00342724"/>
    <w:rsid w:val="00342968"/>
    <w:rsid w:val="003430B6"/>
    <w:rsid w:val="0034336B"/>
    <w:rsid w:val="0034337A"/>
    <w:rsid w:val="00343393"/>
    <w:rsid w:val="003433FA"/>
    <w:rsid w:val="00343595"/>
    <w:rsid w:val="00343682"/>
    <w:rsid w:val="003438A6"/>
    <w:rsid w:val="003438BD"/>
    <w:rsid w:val="00343C2F"/>
    <w:rsid w:val="00343D22"/>
    <w:rsid w:val="00343E2D"/>
    <w:rsid w:val="0034419A"/>
    <w:rsid w:val="00344501"/>
    <w:rsid w:val="003445AF"/>
    <w:rsid w:val="003445E1"/>
    <w:rsid w:val="0034462C"/>
    <w:rsid w:val="0034466F"/>
    <w:rsid w:val="003447E2"/>
    <w:rsid w:val="00344D65"/>
    <w:rsid w:val="00345187"/>
    <w:rsid w:val="00345377"/>
    <w:rsid w:val="0034545E"/>
    <w:rsid w:val="003457BE"/>
    <w:rsid w:val="00345A15"/>
    <w:rsid w:val="0034614A"/>
    <w:rsid w:val="00346345"/>
    <w:rsid w:val="00346389"/>
    <w:rsid w:val="003463F0"/>
    <w:rsid w:val="003467F1"/>
    <w:rsid w:val="00346809"/>
    <w:rsid w:val="0034682F"/>
    <w:rsid w:val="00346849"/>
    <w:rsid w:val="00346881"/>
    <w:rsid w:val="00346A27"/>
    <w:rsid w:val="00346E13"/>
    <w:rsid w:val="003470E7"/>
    <w:rsid w:val="00347312"/>
    <w:rsid w:val="003473A9"/>
    <w:rsid w:val="00347558"/>
    <w:rsid w:val="00347797"/>
    <w:rsid w:val="003477BB"/>
    <w:rsid w:val="00347A76"/>
    <w:rsid w:val="00347B1A"/>
    <w:rsid w:val="00347C3A"/>
    <w:rsid w:val="00347EE3"/>
    <w:rsid w:val="00347F3C"/>
    <w:rsid w:val="0035009B"/>
    <w:rsid w:val="003502FF"/>
    <w:rsid w:val="003503DD"/>
    <w:rsid w:val="003504C7"/>
    <w:rsid w:val="0035075D"/>
    <w:rsid w:val="003507F6"/>
    <w:rsid w:val="00350C8E"/>
    <w:rsid w:val="00350CE0"/>
    <w:rsid w:val="00350EE8"/>
    <w:rsid w:val="00350F3C"/>
    <w:rsid w:val="00351238"/>
    <w:rsid w:val="0035124F"/>
    <w:rsid w:val="00351486"/>
    <w:rsid w:val="0035169D"/>
    <w:rsid w:val="003516C9"/>
    <w:rsid w:val="00351868"/>
    <w:rsid w:val="003519C6"/>
    <w:rsid w:val="003519E3"/>
    <w:rsid w:val="003519F3"/>
    <w:rsid w:val="00351B24"/>
    <w:rsid w:val="00351B73"/>
    <w:rsid w:val="00351D0E"/>
    <w:rsid w:val="00351DB0"/>
    <w:rsid w:val="003523FD"/>
    <w:rsid w:val="003525C1"/>
    <w:rsid w:val="0035270C"/>
    <w:rsid w:val="00352749"/>
    <w:rsid w:val="0035277A"/>
    <w:rsid w:val="003527B4"/>
    <w:rsid w:val="0035289E"/>
    <w:rsid w:val="00352A12"/>
    <w:rsid w:val="00352A95"/>
    <w:rsid w:val="00352B1F"/>
    <w:rsid w:val="00352B2C"/>
    <w:rsid w:val="00352C9B"/>
    <w:rsid w:val="00352D3A"/>
    <w:rsid w:val="00352DF4"/>
    <w:rsid w:val="00352F9F"/>
    <w:rsid w:val="00352FDC"/>
    <w:rsid w:val="003532D0"/>
    <w:rsid w:val="0035357C"/>
    <w:rsid w:val="00353824"/>
    <w:rsid w:val="0035398D"/>
    <w:rsid w:val="003539A3"/>
    <w:rsid w:val="00353A5E"/>
    <w:rsid w:val="00353ACF"/>
    <w:rsid w:val="00353E0A"/>
    <w:rsid w:val="00353EEE"/>
    <w:rsid w:val="00353FFF"/>
    <w:rsid w:val="003540B3"/>
    <w:rsid w:val="00354129"/>
    <w:rsid w:val="00354215"/>
    <w:rsid w:val="00354233"/>
    <w:rsid w:val="0035443D"/>
    <w:rsid w:val="00354460"/>
    <w:rsid w:val="00354572"/>
    <w:rsid w:val="00354687"/>
    <w:rsid w:val="0035468F"/>
    <w:rsid w:val="00354A9B"/>
    <w:rsid w:val="00354B2E"/>
    <w:rsid w:val="00354B3F"/>
    <w:rsid w:val="00354B51"/>
    <w:rsid w:val="00354EC8"/>
    <w:rsid w:val="00355161"/>
    <w:rsid w:val="003551A5"/>
    <w:rsid w:val="003551B1"/>
    <w:rsid w:val="003552F2"/>
    <w:rsid w:val="003555B1"/>
    <w:rsid w:val="00355684"/>
    <w:rsid w:val="0035598C"/>
    <w:rsid w:val="00355CFE"/>
    <w:rsid w:val="00355E37"/>
    <w:rsid w:val="00355E44"/>
    <w:rsid w:val="00355EAC"/>
    <w:rsid w:val="00356153"/>
    <w:rsid w:val="0035637F"/>
    <w:rsid w:val="00356601"/>
    <w:rsid w:val="00356894"/>
    <w:rsid w:val="0035690D"/>
    <w:rsid w:val="00356A66"/>
    <w:rsid w:val="00356A9E"/>
    <w:rsid w:val="00356B27"/>
    <w:rsid w:val="00356BB6"/>
    <w:rsid w:val="00356BE3"/>
    <w:rsid w:val="0035705E"/>
    <w:rsid w:val="00357225"/>
    <w:rsid w:val="003572F4"/>
    <w:rsid w:val="00357400"/>
    <w:rsid w:val="00357479"/>
    <w:rsid w:val="00357A54"/>
    <w:rsid w:val="00357B17"/>
    <w:rsid w:val="00357B81"/>
    <w:rsid w:val="00357BA2"/>
    <w:rsid w:val="00357BBC"/>
    <w:rsid w:val="00357C7F"/>
    <w:rsid w:val="00357CC6"/>
    <w:rsid w:val="00357E08"/>
    <w:rsid w:val="00360056"/>
    <w:rsid w:val="00360121"/>
    <w:rsid w:val="003601A1"/>
    <w:rsid w:val="00360351"/>
    <w:rsid w:val="003603C6"/>
    <w:rsid w:val="0036051F"/>
    <w:rsid w:val="0036068C"/>
    <w:rsid w:val="0036068F"/>
    <w:rsid w:val="003609E0"/>
    <w:rsid w:val="00360B4F"/>
    <w:rsid w:val="00360B9F"/>
    <w:rsid w:val="0036104E"/>
    <w:rsid w:val="00361221"/>
    <w:rsid w:val="003613A5"/>
    <w:rsid w:val="00361518"/>
    <w:rsid w:val="0036187F"/>
    <w:rsid w:val="0036192D"/>
    <w:rsid w:val="00361A15"/>
    <w:rsid w:val="00361B3F"/>
    <w:rsid w:val="00361D18"/>
    <w:rsid w:val="00361D31"/>
    <w:rsid w:val="00361DF6"/>
    <w:rsid w:val="00361E61"/>
    <w:rsid w:val="00361F3F"/>
    <w:rsid w:val="00362063"/>
    <w:rsid w:val="0036206B"/>
    <w:rsid w:val="0036207B"/>
    <w:rsid w:val="003620EC"/>
    <w:rsid w:val="0036238E"/>
    <w:rsid w:val="0036246F"/>
    <w:rsid w:val="0036255F"/>
    <w:rsid w:val="00362614"/>
    <w:rsid w:val="00362744"/>
    <w:rsid w:val="003627A2"/>
    <w:rsid w:val="0036281D"/>
    <w:rsid w:val="003629EF"/>
    <w:rsid w:val="00362A9A"/>
    <w:rsid w:val="00362EEF"/>
    <w:rsid w:val="003633CA"/>
    <w:rsid w:val="003635B4"/>
    <w:rsid w:val="0036371E"/>
    <w:rsid w:val="00363787"/>
    <w:rsid w:val="0036381F"/>
    <w:rsid w:val="00363840"/>
    <w:rsid w:val="00363A80"/>
    <w:rsid w:val="00363C4D"/>
    <w:rsid w:val="00363F9B"/>
    <w:rsid w:val="00364056"/>
    <w:rsid w:val="003640F0"/>
    <w:rsid w:val="0036456F"/>
    <w:rsid w:val="003645BA"/>
    <w:rsid w:val="00364632"/>
    <w:rsid w:val="0036483C"/>
    <w:rsid w:val="0036491F"/>
    <w:rsid w:val="00364A12"/>
    <w:rsid w:val="00364CF9"/>
    <w:rsid w:val="00364D26"/>
    <w:rsid w:val="00364D30"/>
    <w:rsid w:val="00365048"/>
    <w:rsid w:val="003653E6"/>
    <w:rsid w:val="003654E9"/>
    <w:rsid w:val="0036567A"/>
    <w:rsid w:val="003658EE"/>
    <w:rsid w:val="0036597B"/>
    <w:rsid w:val="00365ABE"/>
    <w:rsid w:val="00365B3E"/>
    <w:rsid w:val="00365B58"/>
    <w:rsid w:val="00365B95"/>
    <w:rsid w:val="00365B99"/>
    <w:rsid w:val="00365C52"/>
    <w:rsid w:val="00365DEF"/>
    <w:rsid w:val="00366686"/>
    <w:rsid w:val="003666BB"/>
    <w:rsid w:val="0036683A"/>
    <w:rsid w:val="00366921"/>
    <w:rsid w:val="0036696A"/>
    <w:rsid w:val="003669D5"/>
    <w:rsid w:val="00366A11"/>
    <w:rsid w:val="00366FAE"/>
    <w:rsid w:val="0036709D"/>
    <w:rsid w:val="003670A9"/>
    <w:rsid w:val="00367200"/>
    <w:rsid w:val="003672A5"/>
    <w:rsid w:val="0036735D"/>
    <w:rsid w:val="00367849"/>
    <w:rsid w:val="00367912"/>
    <w:rsid w:val="0037014B"/>
    <w:rsid w:val="00370182"/>
    <w:rsid w:val="00370534"/>
    <w:rsid w:val="00370659"/>
    <w:rsid w:val="00370CF3"/>
    <w:rsid w:val="00370D32"/>
    <w:rsid w:val="00371399"/>
    <w:rsid w:val="003715F1"/>
    <w:rsid w:val="00371855"/>
    <w:rsid w:val="0037197A"/>
    <w:rsid w:val="003719B8"/>
    <w:rsid w:val="00371B3F"/>
    <w:rsid w:val="00371BB7"/>
    <w:rsid w:val="00371CBB"/>
    <w:rsid w:val="00371F3D"/>
    <w:rsid w:val="003721AB"/>
    <w:rsid w:val="0037247F"/>
    <w:rsid w:val="00372580"/>
    <w:rsid w:val="003725CC"/>
    <w:rsid w:val="00372CFC"/>
    <w:rsid w:val="00372E53"/>
    <w:rsid w:val="00372E93"/>
    <w:rsid w:val="00373054"/>
    <w:rsid w:val="003731CA"/>
    <w:rsid w:val="00373249"/>
    <w:rsid w:val="00373540"/>
    <w:rsid w:val="0037377F"/>
    <w:rsid w:val="0037382D"/>
    <w:rsid w:val="003739D3"/>
    <w:rsid w:val="00373EA8"/>
    <w:rsid w:val="00373F81"/>
    <w:rsid w:val="0037407B"/>
    <w:rsid w:val="003740BF"/>
    <w:rsid w:val="00374258"/>
    <w:rsid w:val="0037427A"/>
    <w:rsid w:val="003746F5"/>
    <w:rsid w:val="0037478F"/>
    <w:rsid w:val="00374860"/>
    <w:rsid w:val="003748D8"/>
    <w:rsid w:val="003749AF"/>
    <w:rsid w:val="00374A9D"/>
    <w:rsid w:val="00374BE0"/>
    <w:rsid w:val="00374C5B"/>
    <w:rsid w:val="00374D75"/>
    <w:rsid w:val="00374EE1"/>
    <w:rsid w:val="00374FF8"/>
    <w:rsid w:val="0037512B"/>
    <w:rsid w:val="0037517A"/>
    <w:rsid w:val="0037534B"/>
    <w:rsid w:val="0037553C"/>
    <w:rsid w:val="0037558C"/>
    <w:rsid w:val="003755FF"/>
    <w:rsid w:val="0037562D"/>
    <w:rsid w:val="00375664"/>
    <w:rsid w:val="0037568C"/>
    <w:rsid w:val="0037596A"/>
    <w:rsid w:val="0037596C"/>
    <w:rsid w:val="00375B10"/>
    <w:rsid w:val="00375BFD"/>
    <w:rsid w:val="00375C29"/>
    <w:rsid w:val="00375C53"/>
    <w:rsid w:val="00375ED3"/>
    <w:rsid w:val="00376120"/>
    <w:rsid w:val="0037624B"/>
    <w:rsid w:val="003762EE"/>
    <w:rsid w:val="0037644B"/>
    <w:rsid w:val="00376698"/>
    <w:rsid w:val="00376760"/>
    <w:rsid w:val="003767C2"/>
    <w:rsid w:val="003767CF"/>
    <w:rsid w:val="003767F7"/>
    <w:rsid w:val="00376934"/>
    <w:rsid w:val="00376962"/>
    <w:rsid w:val="00376B00"/>
    <w:rsid w:val="00376B03"/>
    <w:rsid w:val="00376E66"/>
    <w:rsid w:val="00376FEB"/>
    <w:rsid w:val="00377045"/>
    <w:rsid w:val="003772DC"/>
    <w:rsid w:val="0037746F"/>
    <w:rsid w:val="003776CB"/>
    <w:rsid w:val="0037771A"/>
    <w:rsid w:val="003778A7"/>
    <w:rsid w:val="003778C4"/>
    <w:rsid w:val="0037796A"/>
    <w:rsid w:val="003779E8"/>
    <w:rsid w:val="00380242"/>
    <w:rsid w:val="003802BA"/>
    <w:rsid w:val="0038048F"/>
    <w:rsid w:val="0038049E"/>
    <w:rsid w:val="0038092E"/>
    <w:rsid w:val="00380E86"/>
    <w:rsid w:val="00380FD7"/>
    <w:rsid w:val="003810BF"/>
    <w:rsid w:val="0038125F"/>
    <w:rsid w:val="003812AE"/>
    <w:rsid w:val="00381387"/>
    <w:rsid w:val="0038142D"/>
    <w:rsid w:val="0038149D"/>
    <w:rsid w:val="003815D6"/>
    <w:rsid w:val="00381667"/>
    <w:rsid w:val="00381714"/>
    <w:rsid w:val="00381914"/>
    <w:rsid w:val="00381B50"/>
    <w:rsid w:val="00381BE5"/>
    <w:rsid w:val="00381DD5"/>
    <w:rsid w:val="00381E1C"/>
    <w:rsid w:val="0038226B"/>
    <w:rsid w:val="003823C4"/>
    <w:rsid w:val="00382448"/>
    <w:rsid w:val="0038265A"/>
    <w:rsid w:val="003826F5"/>
    <w:rsid w:val="00382869"/>
    <w:rsid w:val="00382A97"/>
    <w:rsid w:val="00382AA9"/>
    <w:rsid w:val="00382ACE"/>
    <w:rsid w:val="00382AD9"/>
    <w:rsid w:val="00382BEF"/>
    <w:rsid w:val="00382CB4"/>
    <w:rsid w:val="0038347A"/>
    <w:rsid w:val="003835C6"/>
    <w:rsid w:val="0038376F"/>
    <w:rsid w:val="00383836"/>
    <w:rsid w:val="0038383A"/>
    <w:rsid w:val="00383996"/>
    <w:rsid w:val="00383C22"/>
    <w:rsid w:val="003844F2"/>
    <w:rsid w:val="00384718"/>
    <w:rsid w:val="003847A0"/>
    <w:rsid w:val="003849E0"/>
    <w:rsid w:val="00384A0D"/>
    <w:rsid w:val="00384AA5"/>
    <w:rsid w:val="00384C69"/>
    <w:rsid w:val="00384CAE"/>
    <w:rsid w:val="00384E0D"/>
    <w:rsid w:val="00384F2D"/>
    <w:rsid w:val="00384F9C"/>
    <w:rsid w:val="003850CD"/>
    <w:rsid w:val="003854A5"/>
    <w:rsid w:val="0038561E"/>
    <w:rsid w:val="003857C8"/>
    <w:rsid w:val="00385895"/>
    <w:rsid w:val="0038591C"/>
    <w:rsid w:val="00385B8A"/>
    <w:rsid w:val="00385CE2"/>
    <w:rsid w:val="00385E63"/>
    <w:rsid w:val="00385EE6"/>
    <w:rsid w:val="00385FB4"/>
    <w:rsid w:val="003862DA"/>
    <w:rsid w:val="003863A0"/>
    <w:rsid w:val="003864F1"/>
    <w:rsid w:val="003869C5"/>
    <w:rsid w:val="00386C24"/>
    <w:rsid w:val="00386E8B"/>
    <w:rsid w:val="003873E3"/>
    <w:rsid w:val="0038749D"/>
    <w:rsid w:val="00387731"/>
    <w:rsid w:val="0038773A"/>
    <w:rsid w:val="00387AF6"/>
    <w:rsid w:val="00387BB7"/>
    <w:rsid w:val="00387BF3"/>
    <w:rsid w:val="00387C71"/>
    <w:rsid w:val="00387D90"/>
    <w:rsid w:val="00387EC3"/>
    <w:rsid w:val="00390070"/>
    <w:rsid w:val="003901A3"/>
    <w:rsid w:val="0039023D"/>
    <w:rsid w:val="003902E9"/>
    <w:rsid w:val="00390300"/>
    <w:rsid w:val="00390491"/>
    <w:rsid w:val="003905D5"/>
    <w:rsid w:val="0039064D"/>
    <w:rsid w:val="00390887"/>
    <w:rsid w:val="00390B10"/>
    <w:rsid w:val="00390CA4"/>
    <w:rsid w:val="00390E31"/>
    <w:rsid w:val="00390E79"/>
    <w:rsid w:val="00390F36"/>
    <w:rsid w:val="00391083"/>
    <w:rsid w:val="00391093"/>
    <w:rsid w:val="003911FE"/>
    <w:rsid w:val="003914C7"/>
    <w:rsid w:val="003914D5"/>
    <w:rsid w:val="00391602"/>
    <w:rsid w:val="0039178B"/>
    <w:rsid w:val="003917A7"/>
    <w:rsid w:val="003917DE"/>
    <w:rsid w:val="00391800"/>
    <w:rsid w:val="00391927"/>
    <w:rsid w:val="00391A20"/>
    <w:rsid w:val="00391D9C"/>
    <w:rsid w:val="00391E19"/>
    <w:rsid w:val="00391E73"/>
    <w:rsid w:val="00391FDF"/>
    <w:rsid w:val="00392301"/>
    <w:rsid w:val="003924F0"/>
    <w:rsid w:val="0039281A"/>
    <w:rsid w:val="003929F1"/>
    <w:rsid w:val="003929FD"/>
    <w:rsid w:val="00392AB6"/>
    <w:rsid w:val="00392B20"/>
    <w:rsid w:val="00392D4B"/>
    <w:rsid w:val="003931B2"/>
    <w:rsid w:val="003931FC"/>
    <w:rsid w:val="00393441"/>
    <w:rsid w:val="0039357B"/>
    <w:rsid w:val="00393746"/>
    <w:rsid w:val="0039385E"/>
    <w:rsid w:val="00393BCA"/>
    <w:rsid w:val="00393BFA"/>
    <w:rsid w:val="00393C3B"/>
    <w:rsid w:val="00393E61"/>
    <w:rsid w:val="00393EEF"/>
    <w:rsid w:val="003940F8"/>
    <w:rsid w:val="0039417D"/>
    <w:rsid w:val="003941B6"/>
    <w:rsid w:val="00394364"/>
    <w:rsid w:val="0039436F"/>
    <w:rsid w:val="00394540"/>
    <w:rsid w:val="003945EC"/>
    <w:rsid w:val="0039463E"/>
    <w:rsid w:val="00394700"/>
    <w:rsid w:val="00394A7D"/>
    <w:rsid w:val="00394DE8"/>
    <w:rsid w:val="00394E72"/>
    <w:rsid w:val="00394EAD"/>
    <w:rsid w:val="00394F4E"/>
    <w:rsid w:val="00395003"/>
    <w:rsid w:val="00395202"/>
    <w:rsid w:val="003952D7"/>
    <w:rsid w:val="003952D9"/>
    <w:rsid w:val="00395428"/>
    <w:rsid w:val="00395474"/>
    <w:rsid w:val="00395658"/>
    <w:rsid w:val="0039573B"/>
    <w:rsid w:val="003958D9"/>
    <w:rsid w:val="00395900"/>
    <w:rsid w:val="00395FEB"/>
    <w:rsid w:val="003960F6"/>
    <w:rsid w:val="0039616C"/>
    <w:rsid w:val="00396220"/>
    <w:rsid w:val="00396272"/>
    <w:rsid w:val="00396822"/>
    <w:rsid w:val="00396871"/>
    <w:rsid w:val="003969B4"/>
    <w:rsid w:val="003969F7"/>
    <w:rsid w:val="00396C18"/>
    <w:rsid w:val="00396D5C"/>
    <w:rsid w:val="00396EFD"/>
    <w:rsid w:val="00396F99"/>
    <w:rsid w:val="00396FE3"/>
    <w:rsid w:val="00397026"/>
    <w:rsid w:val="0039706D"/>
    <w:rsid w:val="00397221"/>
    <w:rsid w:val="003973D7"/>
    <w:rsid w:val="0039740B"/>
    <w:rsid w:val="003975AE"/>
    <w:rsid w:val="003975CC"/>
    <w:rsid w:val="00397674"/>
    <w:rsid w:val="003977E5"/>
    <w:rsid w:val="00397803"/>
    <w:rsid w:val="0039793A"/>
    <w:rsid w:val="00397B02"/>
    <w:rsid w:val="00397C92"/>
    <w:rsid w:val="003A015A"/>
    <w:rsid w:val="003A03DA"/>
    <w:rsid w:val="003A04C6"/>
    <w:rsid w:val="003A0626"/>
    <w:rsid w:val="003A08F8"/>
    <w:rsid w:val="003A0931"/>
    <w:rsid w:val="003A0AA6"/>
    <w:rsid w:val="003A0AC0"/>
    <w:rsid w:val="003A0C5F"/>
    <w:rsid w:val="003A0D1B"/>
    <w:rsid w:val="003A0D73"/>
    <w:rsid w:val="003A0E08"/>
    <w:rsid w:val="003A0F96"/>
    <w:rsid w:val="003A1185"/>
    <w:rsid w:val="003A12DF"/>
    <w:rsid w:val="003A1319"/>
    <w:rsid w:val="003A1427"/>
    <w:rsid w:val="003A14AE"/>
    <w:rsid w:val="003A14EB"/>
    <w:rsid w:val="003A16F4"/>
    <w:rsid w:val="003A17FA"/>
    <w:rsid w:val="003A1CB5"/>
    <w:rsid w:val="003A1CFF"/>
    <w:rsid w:val="003A1FEC"/>
    <w:rsid w:val="003A21CA"/>
    <w:rsid w:val="003A226E"/>
    <w:rsid w:val="003A23D0"/>
    <w:rsid w:val="003A255F"/>
    <w:rsid w:val="003A2571"/>
    <w:rsid w:val="003A25AA"/>
    <w:rsid w:val="003A26FD"/>
    <w:rsid w:val="003A271F"/>
    <w:rsid w:val="003A2921"/>
    <w:rsid w:val="003A2A57"/>
    <w:rsid w:val="003A2BD0"/>
    <w:rsid w:val="003A2D0A"/>
    <w:rsid w:val="003A2D0F"/>
    <w:rsid w:val="003A2D60"/>
    <w:rsid w:val="003A2F36"/>
    <w:rsid w:val="003A30DF"/>
    <w:rsid w:val="003A3208"/>
    <w:rsid w:val="003A3218"/>
    <w:rsid w:val="003A335A"/>
    <w:rsid w:val="003A3360"/>
    <w:rsid w:val="003A34B4"/>
    <w:rsid w:val="003A3A5D"/>
    <w:rsid w:val="003A3C4C"/>
    <w:rsid w:val="003A3E3E"/>
    <w:rsid w:val="003A4091"/>
    <w:rsid w:val="003A4191"/>
    <w:rsid w:val="003A4415"/>
    <w:rsid w:val="003A4474"/>
    <w:rsid w:val="003A45FE"/>
    <w:rsid w:val="003A461D"/>
    <w:rsid w:val="003A473F"/>
    <w:rsid w:val="003A4760"/>
    <w:rsid w:val="003A4A81"/>
    <w:rsid w:val="003A5148"/>
    <w:rsid w:val="003A5348"/>
    <w:rsid w:val="003A53DA"/>
    <w:rsid w:val="003A54DD"/>
    <w:rsid w:val="003A56CE"/>
    <w:rsid w:val="003A5766"/>
    <w:rsid w:val="003A5A3F"/>
    <w:rsid w:val="003A5AE4"/>
    <w:rsid w:val="003A5D00"/>
    <w:rsid w:val="003A5D4D"/>
    <w:rsid w:val="003A6403"/>
    <w:rsid w:val="003A6459"/>
    <w:rsid w:val="003A6556"/>
    <w:rsid w:val="003A66C5"/>
    <w:rsid w:val="003A66E6"/>
    <w:rsid w:val="003A6831"/>
    <w:rsid w:val="003A6892"/>
    <w:rsid w:val="003A6A2B"/>
    <w:rsid w:val="003A6A36"/>
    <w:rsid w:val="003A6A7C"/>
    <w:rsid w:val="003A6C6B"/>
    <w:rsid w:val="003A6D83"/>
    <w:rsid w:val="003A6F1A"/>
    <w:rsid w:val="003A7111"/>
    <w:rsid w:val="003A7536"/>
    <w:rsid w:val="003A766D"/>
    <w:rsid w:val="003A76E4"/>
    <w:rsid w:val="003A7851"/>
    <w:rsid w:val="003A787F"/>
    <w:rsid w:val="003A7965"/>
    <w:rsid w:val="003A7A33"/>
    <w:rsid w:val="003A7AAA"/>
    <w:rsid w:val="003A7AD8"/>
    <w:rsid w:val="003A7C6E"/>
    <w:rsid w:val="003A7DB5"/>
    <w:rsid w:val="003A7DC6"/>
    <w:rsid w:val="003A7DE0"/>
    <w:rsid w:val="003A7FC4"/>
    <w:rsid w:val="003B001E"/>
    <w:rsid w:val="003B0041"/>
    <w:rsid w:val="003B024E"/>
    <w:rsid w:val="003B0339"/>
    <w:rsid w:val="003B046E"/>
    <w:rsid w:val="003B053A"/>
    <w:rsid w:val="003B055A"/>
    <w:rsid w:val="003B08D2"/>
    <w:rsid w:val="003B0E45"/>
    <w:rsid w:val="003B10DD"/>
    <w:rsid w:val="003B13EF"/>
    <w:rsid w:val="003B14D8"/>
    <w:rsid w:val="003B167B"/>
    <w:rsid w:val="003B16D0"/>
    <w:rsid w:val="003B184D"/>
    <w:rsid w:val="003B1A37"/>
    <w:rsid w:val="003B1A79"/>
    <w:rsid w:val="003B1C4F"/>
    <w:rsid w:val="003B1CA5"/>
    <w:rsid w:val="003B1F50"/>
    <w:rsid w:val="003B21E6"/>
    <w:rsid w:val="003B2246"/>
    <w:rsid w:val="003B2497"/>
    <w:rsid w:val="003B263C"/>
    <w:rsid w:val="003B26E5"/>
    <w:rsid w:val="003B27D6"/>
    <w:rsid w:val="003B2F16"/>
    <w:rsid w:val="003B3013"/>
    <w:rsid w:val="003B3286"/>
    <w:rsid w:val="003B34B1"/>
    <w:rsid w:val="003B35A3"/>
    <w:rsid w:val="003B35B1"/>
    <w:rsid w:val="003B35C4"/>
    <w:rsid w:val="003B3626"/>
    <w:rsid w:val="003B3798"/>
    <w:rsid w:val="003B3A89"/>
    <w:rsid w:val="003B3AE8"/>
    <w:rsid w:val="003B3BC9"/>
    <w:rsid w:val="003B3C0E"/>
    <w:rsid w:val="003B3DDB"/>
    <w:rsid w:val="003B415C"/>
    <w:rsid w:val="003B42BE"/>
    <w:rsid w:val="003B4656"/>
    <w:rsid w:val="003B47D7"/>
    <w:rsid w:val="003B4A00"/>
    <w:rsid w:val="003B4A4D"/>
    <w:rsid w:val="003B4E44"/>
    <w:rsid w:val="003B4EB6"/>
    <w:rsid w:val="003B5002"/>
    <w:rsid w:val="003B5036"/>
    <w:rsid w:val="003B51F9"/>
    <w:rsid w:val="003B52F3"/>
    <w:rsid w:val="003B5336"/>
    <w:rsid w:val="003B53F3"/>
    <w:rsid w:val="003B54A5"/>
    <w:rsid w:val="003B5588"/>
    <w:rsid w:val="003B581A"/>
    <w:rsid w:val="003B596E"/>
    <w:rsid w:val="003B5B8B"/>
    <w:rsid w:val="003B5C04"/>
    <w:rsid w:val="003B5C3C"/>
    <w:rsid w:val="003B6052"/>
    <w:rsid w:val="003B6310"/>
    <w:rsid w:val="003B63C7"/>
    <w:rsid w:val="003B6537"/>
    <w:rsid w:val="003B67D3"/>
    <w:rsid w:val="003B6814"/>
    <w:rsid w:val="003B6847"/>
    <w:rsid w:val="003B69BA"/>
    <w:rsid w:val="003B6BD4"/>
    <w:rsid w:val="003B6E5D"/>
    <w:rsid w:val="003B6EAC"/>
    <w:rsid w:val="003B7156"/>
    <w:rsid w:val="003B7790"/>
    <w:rsid w:val="003B799A"/>
    <w:rsid w:val="003B7AE3"/>
    <w:rsid w:val="003B7BDD"/>
    <w:rsid w:val="003B7EFB"/>
    <w:rsid w:val="003B7F84"/>
    <w:rsid w:val="003C02E1"/>
    <w:rsid w:val="003C056C"/>
    <w:rsid w:val="003C079A"/>
    <w:rsid w:val="003C0879"/>
    <w:rsid w:val="003C0938"/>
    <w:rsid w:val="003C09E3"/>
    <w:rsid w:val="003C0AC0"/>
    <w:rsid w:val="003C0AEC"/>
    <w:rsid w:val="003C0C9E"/>
    <w:rsid w:val="003C0ED7"/>
    <w:rsid w:val="003C0FF2"/>
    <w:rsid w:val="003C1049"/>
    <w:rsid w:val="003C107A"/>
    <w:rsid w:val="003C11B9"/>
    <w:rsid w:val="003C12AB"/>
    <w:rsid w:val="003C12C3"/>
    <w:rsid w:val="003C16D6"/>
    <w:rsid w:val="003C1840"/>
    <w:rsid w:val="003C1984"/>
    <w:rsid w:val="003C1AF3"/>
    <w:rsid w:val="003C1B65"/>
    <w:rsid w:val="003C1C3E"/>
    <w:rsid w:val="003C1C70"/>
    <w:rsid w:val="003C1CEE"/>
    <w:rsid w:val="003C1FFD"/>
    <w:rsid w:val="003C20F4"/>
    <w:rsid w:val="003C2302"/>
    <w:rsid w:val="003C248D"/>
    <w:rsid w:val="003C2492"/>
    <w:rsid w:val="003C24E0"/>
    <w:rsid w:val="003C262B"/>
    <w:rsid w:val="003C2638"/>
    <w:rsid w:val="003C267D"/>
    <w:rsid w:val="003C269D"/>
    <w:rsid w:val="003C2733"/>
    <w:rsid w:val="003C27F8"/>
    <w:rsid w:val="003C2ABB"/>
    <w:rsid w:val="003C2B02"/>
    <w:rsid w:val="003C2C23"/>
    <w:rsid w:val="003C2C33"/>
    <w:rsid w:val="003C2C5D"/>
    <w:rsid w:val="003C2C89"/>
    <w:rsid w:val="003C2CE9"/>
    <w:rsid w:val="003C2D16"/>
    <w:rsid w:val="003C2E28"/>
    <w:rsid w:val="003C2E63"/>
    <w:rsid w:val="003C2EE7"/>
    <w:rsid w:val="003C2F05"/>
    <w:rsid w:val="003C2FFC"/>
    <w:rsid w:val="003C3153"/>
    <w:rsid w:val="003C325E"/>
    <w:rsid w:val="003C33F8"/>
    <w:rsid w:val="003C3469"/>
    <w:rsid w:val="003C3580"/>
    <w:rsid w:val="003C35E1"/>
    <w:rsid w:val="003C3D19"/>
    <w:rsid w:val="003C4050"/>
    <w:rsid w:val="003C40F1"/>
    <w:rsid w:val="003C4124"/>
    <w:rsid w:val="003C41D8"/>
    <w:rsid w:val="003C42A9"/>
    <w:rsid w:val="003C4313"/>
    <w:rsid w:val="003C4344"/>
    <w:rsid w:val="003C4543"/>
    <w:rsid w:val="003C45A6"/>
    <w:rsid w:val="003C46A9"/>
    <w:rsid w:val="003C4799"/>
    <w:rsid w:val="003C4836"/>
    <w:rsid w:val="003C48BA"/>
    <w:rsid w:val="003C4953"/>
    <w:rsid w:val="003C496D"/>
    <w:rsid w:val="003C4A2C"/>
    <w:rsid w:val="003C4A5E"/>
    <w:rsid w:val="003C4A98"/>
    <w:rsid w:val="003C4B2C"/>
    <w:rsid w:val="003C4C1E"/>
    <w:rsid w:val="003C4EB7"/>
    <w:rsid w:val="003C4F5D"/>
    <w:rsid w:val="003C4F97"/>
    <w:rsid w:val="003C50BD"/>
    <w:rsid w:val="003C51F6"/>
    <w:rsid w:val="003C52A1"/>
    <w:rsid w:val="003C58F7"/>
    <w:rsid w:val="003C5926"/>
    <w:rsid w:val="003C5937"/>
    <w:rsid w:val="003C593A"/>
    <w:rsid w:val="003C5A18"/>
    <w:rsid w:val="003C5D05"/>
    <w:rsid w:val="003C5F84"/>
    <w:rsid w:val="003C60EC"/>
    <w:rsid w:val="003C6345"/>
    <w:rsid w:val="003C63A9"/>
    <w:rsid w:val="003C65DB"/>
    <w:rsid w:val="003C66AE"/>
    <w:rsid w:val="003C6B1A"/>
    <w:rsid w:val="003C6B5D"/>
    <w:rsid w:val="003C6ED0"/>
    <w:rsid w:val="003C6FCC"/>
    <w:rsid w:val="003C7024"/>
    <w:rsid w:val="003C706E"/>
    <w:rsid w:val="003C7126"/>
    <w:rsid w:val="003C7317"/>
    <w:rsid w:val="003C733D"/>
    <w:rsid w:val="003C73B6"/>
    <w:rsid w:val="003C748A"/>
    <w:rsid w:val="003C754E"/>
    <w:rsid w:val="003C77F4"/>
    <w:rsid w:val="003C79C4"/>
    <w:rsid w:val="003C7AD6"/>
    <w:rsid w:val="003C7BFF"/>
    <w:rsid w:val="003C7E3B"/>
    <w:rsid w:val="003C7E88"/>
    <w:rsid w:val="003C7FE1"/>
    <w:rsid w:val="003C7FF1"/>
    <w:rsid w:val="003D00F1"/>
    <w:rsid w:val="003D0321"/>
    <w:rsid w:val="003D042C"/>
    <w:rsid w:val="003D07AE"/>
    <w:rsid w:val="003D0A22"/>
    <w:rsid w:val="003D0A2E"/>
    <w:rsid w:val="003D0B8E"/>
    <w:rsid w:val="003D0BB6"/>
    <w:rsid w:val="003D0C64"/>
    <w:rsid w:val="003D0ECF"/>
    <w:rsid w:val="003D0F2E"/>
    <w:rsid w:val="003D0F82"/>
    <w:rsid w:val="003D1254"/>
    <w:rsid w:val="003D12AE"/>
    <w:rsid w:val="003D12B8"/>
    <w:rsid w:val="003D17A8"/>
    <w:rsid w:val="003D1914"/>
    <w:rsid w:val="003D1AE0"/>
    <w:rsid w:val="003D1B33"/>
    <w:rsid w:val="003D20BB"/>
    <w:rsid w:val="003D2312"/>
    <w:rsid w:val="003D2470"/>
    <w:rsid w:val="003D249C"/>
    <w:rsid w:val="003D24E6"/>
    <w:rsid w:val="003D24F8"/>
    <w:rsid w:val="003D2525"/>
    <w:rsid w:val="003D25AA"/>
    <w:rsid w:val="003D25BF"/>
    <w:rsid w:val="003D26E8"/>
    <w:rsid w:val="003D2753"/>
    <w:rsid w:val="003D2944"/>
    <w:rsid w:val="003D2961"/>
    <w:rsid w:val="003D2C4A"/>
    <w:rsid w:val="003D2CDE"/>
    <w:rsid w:val="003D2FB5"/>
    <w:rsid w:val="003D2FF3"/>
    <w:rsid w:val="003D3092"/>
    <w:rsid w:val="003D326C"/>
    <w:rsid w:val="003D35C7"/>
    <w:rsid w:val="003D35E0"/>
    <w:rsid w:val="003D3601"/>
    <w:rsid w:val="003D36E9"/>
    <w:rsid w:val="003D36F0"/>
    <w:rsid w:val="003D38E4"/>
    <w:rsid w:val="003D3B7F"/>
    <w:rsid w:val="003D3B89"/>
    <w:rsid w:val="003D3D05"/>
    <w:rsid w:val="003D3FC0"/>
    <w:rsid w:val="003D4224"/>
    <w:rsid w:val="003D4563"/>
    <w:rsid w:val="003D4599"/>
    <w:rsid w:val="003D4711"/>
    <w:rsid w:val="003D4882"/>
    <w:rsid w:val="003D4B93"/>
    <w:rsid w:val="003D4C36"/>
    <w:rsid w:val="003D4C4E"/>
    <w:rsid w:val="003D4CED"/>
    <w:rsid w:val="003D4E1D"/>
    <w:rsid w:val="003D4FC7"/>
    <w:rsid w:val="003D545B"/>
    <w:rsid w:val="003D5631"/>
    <w:rsid w:val="003D564F"/>
    <w:rsid w:val="003D5A25"/>
    <w:rsid w:val="003D5A46"/>
    <w:rsid w:val="003D5D89"/>
    <w:rsid w:val="003D6344"/>
    <w:rsid w:val="003D6435"/>
    <w:rsid w:val="003D65C4"/>
    <w:rsid w:val="003D6799"/>
    <w:rsid w:val="003D692B"/>
    <w:rsid w:val="003D69AD"/>
    <w:rsid w:val="003D69BE"/>
    <w:rsid w:val="003D6B82"/>
    <w:rsid w:val="003D6E67"/>
    <w:rsid w:val="003D6E6A"/>
    <w:rsid w:val="003D6F2C"/>
    <w:rsid w:val="003D710D"/>
    <w:rsid w:val="003D7252"/>
    <w:rsid w:val="003D730A"/>
    <w:rsid w:val="003D7437"/>
    <w:rsid w:val="003D774E"/>
    <w:rsid w:val="003D7CAD"/>
    <w:rsid w:val="003D7DCE"/>
    <w:rsid w:val="003D7F15"/>
    <w:rsid w:val="003E01F8"/>
    <w:rsid w:val="003E05D6"/>
    <w:rsid w:val="003E081F"/>
    <w:rsid w:val="003E0B27"/>
    <w:rsid w:val="003E0C41"/>
    <w:rsid w:val="003E0CB9"/>
    <w:rsid w:val="003E0DE4"/>
    <w:rsid w:val="003E0F25"/>
    <w:rsid w:val="003E12F6"/>
    <w:rsid w:val="003E1338"/>
    <w:rsid w:val="003E1397"/>
    <w:rsid w:val="003E1542"/>
    <w:rsid w:val="003E1567"/>
    <w:rsid w:val="003E15BA"/>
    <w:rsid w:val="003E187A"/>
    <w:rsid w:val="003E1A44"/>
    <w:rsid w:val="003E1A6D"/>
    <w:rsid w:val="003E1A8F"/>
    <w:rsid w:val="003E1AC0"/>
    <w:rsid w:val="003E1C64"/>
    <w:rsid w:val="003E1CB7"/>
    <w:rsid w:val="003E2052"/>
    <w:rsid w:val="003E2368"/>
    <w:rsid w:val="003E24FC"/>
    <w:rsid w:val="003E2525"/>
    <w:rsid w:val="003E2661"/>
    <w:rsid w:val="003E287D"/>
    <w:rsid w:val="003E295F"/>
    <w:rsid w:val="003E29C0"/>
    <w:rsid w:val="003E29D2"/>
    <w:rsid w:val="003E2CBE"/>
    <w:rsid w:val="003E2D0B"/>
    <w:rsid w:val="003E2D79"/>
    <w:rsid w:val="003E2E6A"/>
    <w:rsid w:val="003E30D6"/>
    <w:rsid w:val="003E314E"/>
    <w:rsid w:val="003E339A"/>
    <w:rsid w:val="003E3662"/>
    <w:rsid w:val="003E367B"/>
    <w:rsid w:val="003E37AC"/>
    <w:rsid w:val="003E3938"/>
    <w:rsid w:val="003E3AEB"/>
    <w:rsid w:val="003E3B01"/>
    <w:rsid w:val="003E3E4C"/>
    <w:rsid w:val="003E3F2E"/>
    <w:rsid w:val="003E4173"/>
    <w:rsid w:val="003E41E9"/>
    <w:rsid w:val="003E4380"/>
    <w:rsid w:val="003E43D7"/>
    <w:rsid w:val="003E455A"/>
    <w:rsid w:val="003E4585"/>
    <w:rsid w:val="003E480D"/>
    <w:rsid w:val="003E48CB"/>
    <w:rsid w:val="003E4AA8"/>
    <w:rsid w:val="003E4BE9"/>
    <w:rsid w:val="003E4C27"/>
    <w:rsid w:val="003E4C9E"/>
    <w:rsid w:val="003E4CF6"/>
    <w:rsid w:val="003E4E9A"/>
    <w:rsid w:val="003E508F"/>
    <w:rsid w:val="003E52E4"/>
    <w:rsid w:val="003E5364"/>
    <w:rsid w:val="003E5455"/>
    <w:rsid w:val="003E54E9"/>
    <w:rsid w:val="003E55D9"/>
    <w:rsid w:val="003E565E"/>
    <w:rsid w:val="003E570C"/>
    <w:rsid w:val="003E5810"/>
    <w:rsid w:val="003E590B"/>
    <w:rsid w:val="003E5A28"/>
    <w:rsid w:val="003E5E32"/>
    <w:rsid w:val="003E5E33"/>
    <w:rsid w:val="003E5E7B"/>
    <w:rsid w:val="003E5FF5"/>
    <w:rsid w:val="003E604D"/>
    <w:rsid w:val="003E60A1"/>
    <w:rsid w:val="003E6320"/>
    <w:rsid w:val="003E6326"/>
    <w:rsid w:val="003E638C"/>
    <w:rsid w:val="003E6422"/>
    <w:rsid w:val="003E6634"/>
    <w:rsid w:val="003E6740"/>
    <w:rsid w:val="003E68B8"/>
    <w:rsid w:val="003E6953"/>
    <w:rsid w:val="003E6C19"/>
    <w:rsid w:val="003E6DFB"/>
    <w:rsid w:val="003E6EA9"/>
    <w:rsid w:val="003E6FE2"/>
    <w:rsid w:val="003E7284"/>
    <w:rsid w:val="003E736A"/>
    <w:rsid w:val="003E7422"/>
    <w:rsid w:val="003E777D"/>
    <w:rsid w:val="003E78B1"/>
    <w:rsid w:val="003E79C7"/>
    <w:rsid w:val="003E7B29"/>
    <w:rsid w:val="003E7B57"/>
    <w:rsid w:val="003E7D05"/>
    <w:rsid w:val="003F00FF"/>
    <w:rsid w:val="003F01CB"/>
    <w:rsid w:val="003F0562"/>
    <w:rsid w:val="003F08C7"/>
    <w:rsid w:val="003F0A00"/>
    <w:rsid w:val="003F0AED"/>
    <w:rsid w:val="003F0CBC"/>
    <w:rsid w:val="003F0CDB"/>
    <w:rsid w:val="003F0D15"/>
    <w:rsid w:val="003F0FA4"/>
    <w:rsid w:val="003F1597"/>
    <w:rsid w:val="003F1745"/>
    <w:rsid w:val="003F1AA4"/>
    <w:rsid w:val="003F1BAE"/>
    <w:rsid w:val="003F1BAF"/>
    <w:rsid w:val="003F1D4A"/>
    <w:rsid w:val="003F1E94"/>
    <w:rsid w:val="003F1EED"/>
    <w:rsid w:val="003F1FAE"/>
    <w:rsid w:val="003F2071"/>
    <w:rsid w:val="003F22B9"/>
    <w:rsid w:val="003F26A0"/>
    <w:rsid w:val="003F284E"/>
    <w:rsid w:val="003F28F3"/>
    <w:rsid w:val="003F2985"/>
    <w:rsid w:val="003F2B27"/>
    <w:rsid w:val="003F2BBE"/>
    <w:rsid w:val="003F2E99"/>
    <w:rsid w:val="003F2EFF"/>
    <w:rsid w:val="003F2F12"/>
    <w:rsid w:val="003F2F2B"/>
    <w:rsid w:val="003F3066"/>
    <w:rsid w:val="003F30B3"/>
    <w:rsid w:val="003F347E"/>
    <w:rsid w:val="003F3589"/>
    <w:rsid w:val="003F35AD"/>
    <w:rsid w:val="003F36D7"/>
    <w:rsid w:val="003F379F"/>
    <w:rsid w:val="003F37FA"/>
    <w:rsid w:val="003F3823"/>
    <w:rsid w:val="003F3937"/>
    <w:rsid w:val="003F3993"/>
    <w:rsid w:val="003F3B2F"/>
    <w:rsid w:val="003F3BCC"/>
    <w:rsid w:val="003F3C29"/>
    <w:rsid w:val="003F3E81"/>
    <w:rsid w:val="003F3F0C"/>
    <w:rsid w:val="003F406D"/>
    <w:rsid w:val="003F43EF"/>
    <w:rsid w:val="003F4409"/>
    <w:rsid w:val="003F489E"/>
    <w:rsid w:val="003F4971"/>
    <w:rsid w:val="003F49EB"/>
    <w:rsid w:val="003F4D28"/>
    <w:rsid w:val="003F4F75"/>
    <w:rsid w:val="003F4FE1"/>
    <w:rsid w:val="003F5255"/>
    <w:rsid w:val="003F5678"/>
    <w:rsid w:val="003F5747"/>
    <w:rsid w:val="003F5906"/>
    <w:rsid w:val="003F5AE6"/>
    <w:rsid w:val="003F5DDE"/>
    <w:rsid w:val="003F6199"/>
    <w:rsid w:val="003F64D0"/>
    <w:rsid w:val="003F66F3"/>
    <w:rsid w:val="003F6872"/>
    <w:rsid w:val="003F6A5D"/>
    <w:rsid w:val="003F6AE0"/>
    <w:rsid w:val="003F6F12"/>
    <w:rsid w:val="003F7023"/>
    <w:rsid w:val="003F7046"/>
    <w:rsid w:val="003F71D1"/>
    <w:rsid w:val="003F7396"/>
    <w:rsid w:val="003F7532"/>
    <w:rsid w:val="003F75AF"/>
    <w:rsid w:val="003F78A6"/>
    <w:rsid w:val="003F7A08"/>
    <w:rsid w:val="003F7A8D"/>
    <w:rsid w:val="003F7A95"/>
    <w:rsid w:val="003F7B1E"/>
    <w:rsid w:val="003F7B54"/>
    <w:rsid w:val="003F7EC8"/>
    <w:rsid w:val="0040001A"/>
    <w:rsid w:val="00400186"/>
    <w:rsid w:val="0040030B"/>
    <w:rsid w:val="00400431"/>
    <w:rsid w:val="00400462"/>
    <w:rsid w:val="00400667"/>
    <w:rsid w:val="00400758"/>
    <w:rsid w:val="00400776"/>
    <w:rsid w:val="00400871"/>
    <w:rsid w:val="00400A7C"/>
    <w:rsid w:val="00400C08"/>
    <w:rsid w:val="00400C25"/>
    <w:rsid w:val="00400D9C"/>
    <w:rsid w:val="00401424"/>
    <w:rsid w:val="0040150F"/>
    <w:rsid w:val="00401559"/>
    <w:rsid w:val="00401569"/>
    <w:rsid w:val="00401796"/>
    <w:rsid w:val="004017B4"/>
    <w:rsid w:val="0040182D"/>
    <w:rsid w:val="00401ACE"/>
    <w:rsid w:val="00401AEF"/>
    <w:rsid w:val="00401B9D"/>
    <w:rsid w:val="00401BC8"/>
    <w:rsid w:val="00402263"/>
    <w:rsid w:val="004023ED"/>
    <w:rsid w:val="004025B9"/>
    <w:rsid w:val="00402750"/>
    <w:rsid w:val="004028B2"/>
    <w:rsid w:val="00402941"/>
    <w:rsid w:val="00402D7A"/>
    <w:rsid w:val="00402E9B"/>
    <w:rsid w:val="004031DD"/>
    <w:rsid w:val="00403488"/>
    <w:rsid w:val="004035AC"/>
    <w:rsid w:val="00403887"/>
    <w:rsid w:val="00403980"/>
    <w:rsid w:val="00403C32"/>
    <w:rsid w:val="0040411F"/>
    <w:rsid w:val="00404187"/>
    <w:rsid w:val="00404209"/>
    <w:rsid w:val="00404295"/>
    <w:rsid w:val="004042F1"/>
    <w:rsid w:val="0040431F"/>
    <w:rsid w:val="00404460"/>
    <w:rsid w:val="004045CC"/>
    <w:rsid w:val="0040467B"/>
    <w:rsid w:val="004047DD"/>
    <w:rsid w:val="00404860"/>
    <w:rsid w:val="00404865"/>
    <w:rsid w:val="00404B07"/>
    <w:rsid w:val="00404DDF"/>
    <w:rsid w:val="00404EA8"/>
    <w:rsid w:val="00404FBA"/>
    <w:rsid w:val="00404FE2"/>
    <w:rsid w:val="00405117"/>
    <w:rsid w:val="004051D3"/>
    <w:rsid w:val="0040527A"/>
    <w:rsid w:val="0040562C"/>
    <w:rsid w:val="0040566F"/>
    <w:rsid w:val="00405723"/>
    <w:rsid w:val="00405A0D"/>
    <w:rsid w:val="00405AEC"/>
    <w:rsid w:val="00405BD4"/>
    <w:rsid w:val="00406068"/>
    <w:rsid w:val="004061DF"/>
    <w:rsid w:val="004064A4"/>
    <w:rsid w:val="0040669E"/>
    <w:rsid w:val="0040686B"/>
    <w:rsid w:val="004068FD"/>
    <w:rsid w:val="00406BB5"/>
    <w:rsid w:val="00406CBE"/>
    <w:rsid w:val="00406D7E"/>
    <w:rsid w:val="00406E0E"/>
    <w:rsid w:val="00406EBA"/>
    <w:rsid w:val="004073FF"/>
    <w:rsid w:val="00407988"/>
    <w:rsid w:val="00407B34"/>
    <w:rsid w:val="00407B8C"/>
    <w:rsid w:val="00407D23"/>
    <w:rsid w:val="00407D99"/>
    <w:rsid w:val="00407DB9"/>
    <w:rsid w:val="00407DCB"/>
    <w:rsid w:val="00407F25"/>
    <w:rsid w:val="00407F42"/>
    <w:rsid w:val="00407F5C"/>
    <w:rsid w:val="00410032"/>
    <w:rsid w:val="004100D6"/>
    <w:rsid w:val="004101D9"/>
    <w:rsid w:val="0041042E"/>
    <w:rsid w:val="004104B3"/>
    <w:rsid w:val="004104EA"/>
    <w:rsid w:val="00410528"/>
    <w:rsid w:val="004107E7"/>
    <w:rsid w:val="004108C3"/>
    <w:rsid w:val="004108E9"/>
    <w:rsid w:val="00410A2C"/>
    <w:rsid w:val="00410BDA"/>
    <w:rsid w:val="00410C17"/>
    <w:rsid w:val="00410EFE"/>
    <w:rsid w:val="004111B1"/>
    <w:rsid w:val="00411253"/>
    <w:rsid w:val="00411298"/>
    <w:rsid w:val="004112E5"/>
    <w:rsid w:val="004113FC"/>
    <w:rsid w:val="00411431"/>
    <w:rsid w:val="004116BD"/>
    <w:rsid w:val="00411762"/>
    <w:rsid w:val="0041198B"/>
    <w:rsid w:val="00411A55"/>
    <w:rsid w:val="00411C94"/>
    <w:rsid w:val="00411D81"/>
    <w:rsid w:val="00411EDB"/>
    <w:rsid w:val="00412071"/>
    <w:rsid w:val="004121F6"/>
    <w:rsid w:val="00412205"/>
    <w:rsid w:val="004122CB"/>
    <w:rsid w:val="004123E2"/>
    <w:rsid w:val="004126CF"/>
    <w:rsid w:val="00412C64"/>
    <w:rsid w:val="00412D25"/>
    <w:rsid w:val="00412FFF"/>
    <w:rsid w:val="00413094"/>
    <w:rsid w:val="004130A7"/>
    <w:rsid w:val="0041316D"/>
    <w:rsid w:val="0041342F"/>
    <w:rsid w:val="004136E1"/>
    <w:rsid w:val="0041382F"/>
    <w:rsid w:val="00413AF0"/>
    <w:rsid w:val="00413B50"/>
    <w:rsid w:val="00413B72"/>
    <w:rsid w:val="00413DBD"/>
    <w:rsid w:val="00413E86"/>
    <w:rsid w:val="00413F35"/>
    <w:rsid w:val="0041406E"/>
    <w:rsid w:val="0041448B"/>
    <w:rsid w:val="0041457B"/>
    <w:rsid w:val="004147D8"/>
    <w:rsid w:val="0041484E"/>
    <w:rsid w:val="004148B5"/>
    <w:rsid w:val="00414981"/>
    <w:rsid w:val="00414B8E"/>
    <w:rsid w:val="00414D46"/>
    <w:rsid w:val="00414D8C"/>
    <w:rsid w:val="00414E45"/>
    <w:rsid w:val="00414ED9"/>
    <w:rsid w:val="004156B9"/>
    <w:rsid w:val="00415714"/>
    <w:rsid w:val="0041579C"/>
    <w:rsid w:val="00415833"/>
    <w:rsid w:val="004158A7"/>
    <w:rsid w:val="004158A8"/>
    <w:rsid w:val="00415A4A"/>
    <w:rsid w:val="00415AF4"/>
    <w:rsid w:val="00415E98"/>
    <w:rsid w:val="00416044"/>
    <w:rsid w:val="0041650A"/>
    <w:rsid w:val="0041651F"/>
    <w:rsid w:val="00416F68"/>
    <w:rsid w:val="00417072"/>
    <w:rsid w:val="004173A2"/>
    <w:rsid w:val="00417484"/>
    <w:rsid w:val="0041754B"/>
    <w:rsid w:val="004176EE"/>
    <w:rsid w:val="00417847"/>
    <w:rsid w:val="00417972"/>
    <w:rsid w:val="00417A31"/>
    <w:rsid w:val="00417A70"/>
    <w:rsid w:val="00417C4F"/>
    <w:rsid w:val="00417C7F"/>
    <w:rsid w:val="00417E65"/>
    <w:rsid w:val="0042010B"/>
    <w:rsid w:val="00420183"/>
    <w:rsid w:val="004201F5"/>
    <w:rsid w:val="004202E5"/>
    <w:rsid w:val="004209D1"/>
    <w:rsid w:val="00420B52"/>
    <w:rsid w:val="00420C0A"/>
    <w:rsid w:val="00420DA9"/>
    <w:rsid w:val="00420E03"/>
    <w:rsid w:val="00421020"/>
    <w:rsid w:val="004212DA"/>
    <w:rsid w:val="004216F5"/>
    <w:rsid w:val="004218A6"/>
    <w:rsid w:val="00421953"/>
    <w:rsid w:val="004219B5"/>
    <w:rsid w:val="00421B48"/>
    <w:rsid w:val="00421F12"/>
    <w:rsid w:val="00421F2C"/>
    <w:rsid w:val="00422331"/>
    <w:rsid w:val="004223F7"/>
    <w:rsid w:val="0042267A"/>
    <w:rsid w:val="00422772"/>
    <w:rsid w:val="004227B5"/>
    <w:rsid w:val="00422850"/>
    <w:rsid w:val="004228DA"/>
    <w:rsid w:val="00422992"/>
    <w:rsid w:val="00422AC6"/>
    <w:rsid w:val="00423063"/>
    <w:rsid w:val="00423312"/>
    <w:rsid w:val="00423919"/>
    <w:rsid w:val="00423A0B"/>
    <w:rsid w:val="00423DA7"/>
    <w:rsid w:val="00423DF8"/>
    <w:rsid w:val="0042401F"/>
    <w:rsid w:val="00424137"/>
    <w:rsid w:val="00424169"/>
    <w:rsid w:val="004242DA"/>
    <w:rsid w:val="00424352"/>
    <w:rsid w:val="004243CE"/>
    <w:rsid w:val="00424415"/>
    <w:rsid w:val="00424420"/>
    <w:rsid w:val="004244B8"/>
    <w:rsid w:val="004245BE"/>
    <w:rsid w:val="0042469D"/>
    <w:rsid w:val="004246D0"/>
    <w:rsid w:val="004247E8"/>
    <w:rsid w:val="0042483D"/>
    <w:rsid w:val="00424A85"/>
    <w:rsid w:val="00424AC5"/>
    <w:rsid w:val="00424E09"/>
    <w:rsid w:val="00424EA5"/>
    <w:rsid w:val="00424F6D"/>
    <w:rsid w:val="00424F85"/>
    <w:rsid w:val="0042510E"/>
    <w:rsid w:val="00425C55"/>
    <w:rsid w:val="00425C74"/>
    <w:rsid w:val="00425CBA"/>
    <w:rsid w:val="00425DC6"/>
    <w:rsid w:val="00425E1A"/>
    <w:rsid w:val="00425EAC"/>
    <w:rsid w:val="00425FA2"/>
    <w:rsid w:val="0042605A"/>
    <w:rsid w:val="004261CE"/>
    <w:rsid w:val="0042644C"/>
    <w:rsid w:val="004264C8"/>
    <w:rsid w:val="0042652A"/>
    <w:rsid w:val="00426581"/>
    <w:rsid w:val="004265ED"/>
    <w:rsid w:val="00426838"/>
    <w:rsid w:val="00426962"/>
    <w:rsid w:val="00426A8C"/>
    <w:rsid w:val="00426AC4"/>
    <w:rsid w:val="00426B29"/>
    <w:rsid w:val="00426BAC"/>
    <w:rsid w:val="00426D55"/>
    <w:rsid w:val="00427861"/>
    <w:rsid w:val="00427874"/>
    <w:rsid w:val="0042787C"/>
    <w:rsid w:val="00427B8A"/>
    <w:rsid w:val="00427BB5"/>
    <w:rsid w:val="00427BB6"/>
    <w:rsid w:val="00427BFE"/>
    <w:rsid w:val="004302FC"/>
    <w:rsid w:val="0043069D"/>
    <w:rsid w:val="0043086F"/>
    <w:rsid w:val="00430C0B"/>
    <w:rsid w:val="00430FFE"/>
    <w:rsid w:val="00431078"/>
    <w:rsid w:val="004314E1"/>
    <w:rsid w:val="0043175C"/>
    <w:rsid w:val="00431E59"/>
    <w:rsid w:val="00431FAB"/>
    <w:rsid w:val="00432005"/>
    <w:rsid w:val="00432072"/>
    <w:rsid w:val="0043209F"/>
    <w:rsid w:val="004320A6"/>
    <w:rsid w:val="0043217F"/>
    <w:rsid w:val="004321A2"/>
    <w:rsid w:val="004324C1"/>
    <w:rsid w:val="0043269F"/>
    <w:rsid w:val="004327E4"/>
    <w:rsid w:val="00432865"/>
    <w:rsid w:val="00432916"/>
    <w:rsid w:val="00432A11"/>
    <w:rsid w:val="00432B37"/>
    <w:rsid w:val="00432BDF"/>
    <w:rsid w:val="00432BF3"/>
    <w:rsid w:val="00432CC4"/>
    <w:rsid w:val="00432FC7"/>
    <w:rsid w:val="004330C4"/>
    <w:rsid w:val="004334D2"/>
    <w:rsid w:val="00433724"/>
    <w:rsid w:val="004337C5"/>
    <w:rsid w:val="00433820"/>
    <w:rsid w:val="00433AE4"/>
    <w:rsid w:val="00433B9C"/>
    <w:rsid w:val="00433CF8"/>
    <w:rsid w:val="00433E6B"/>
    <w:rsid w:val="00434006"/>
    <w:rsid w:val="00434083"/>
    <w:rsid w:val="00434103"/>
    <w:rsid w:val="00434602"/>
    <w:rsid w:val="0043486E"/>
    <w:rsid w:val="00434965"/>
    <w:rsid w:val="004349A2"/>
    <w:rsid w:val="00434B25"/>
    <w:rsid w:val="00434BA9"/>
    <w:rsid w:val="00434CA9"/>
    <w:rsid w:val="00434FD7"/>
    <w:rsid w:val="0043508F"/>
    <w:rsid w:val="0043535E"/>
    <w:rsid w:val="0043582A"/>
    <w:rsid w:val="00435BA5"/>
    <w:rsid w:val="00435C47"/>
    <w:rsid w:val="00435F60"/>
    <w:rsid w:val="00435FBD"/>
    <w:rsid w:val="004360DE"/>
    <w:rsid w:val="004360EF"/>
    <w:rsid w:val="004369EE"/>
    <w:rsid w:val="00436A46"/>
    <w:rsid w:val="00436A85"/>
    <w:rsid w:val="00436BD8"/>
    <w:rsid w:val="00436BF3"/>
    <w:rsid w:val="00436FF8"/>
    <w:rsid w:val="004371DA"/>
    <w:rsid w:val="004371EE"/>
    <w:rsid w:val="0043726D"/>
    <w:rsid w:val="004372A8"/>
    <w:rsid w:val="004372D0"/>
    <w:rsid w:val="004376D4"/>
    <w:rsid w:val="004376E0"/>
    <w:rsid w:val="00437921"/>
    <w:rsid w:val="00437AFD"/>
    <w:rsid w:val="00437B0D"/>
    <w:rsid w:val="00437E09"/>
    <w:rsid w:val="0044029C"/>
    <w:rsid w:val="004404E4"/>
    <w:rsid w:val="00440541"/>
    <w:rsid w:val="00440735"/>
    <w:rsid w:val="00440A16"/>
    <w:rsid w:val="00440ACA"/>
    <w:rsid w:val="00440AF5"/>
    <w:rsid w:val="00440D1B"/>
    <w:rsid w:val="00440D4D"/>
    <w:rsid w:val="00440DB2"/>
    <w:rsid w:val="00440ED5"/>
    <w:rsid w:val="00440EDD"/>
    <w:rsid w:val="004411C4"/>
    <w:rsid w:val="004414DD"/>
    <w:rsid w:val="0044158A"/>
    <w:rsid w:val="004418F4"/>
    <w:rsid w:val="00441EBF"/>
    <w:rsid w:val="00441F67"/>
    <w:rsid w:val="004422AC"/>
    <w:rsid w:val="00442714"/>
    <w:rsid w:val="00442A8A"/>
    <w:rsid w:val="00442AA1"/>
    <w:rsid w:val="00442B7E"/>
    <w:rsid w:val="00442CA9"/>
    <w:rsid w:val="0044306B"/>
    <w:rsid w:val="004430B8"/>
    <w:rsid w:val="004434E5"/>
    <w:rsid w:val="004435BB"/>
    <w:rsid w:val="00443775"/>
    <w:rsid w:val="00443881"/>
    <w:rsid w:val="00443895"/>
    <w:rsid w:val="004439F6"/>
    <w:rsid w:val="00443A48"/>
    <w:rsid w:val="00443A8C"/>
    <w:rsid w:val="00443AFD"/>
    <w:rsid w:val="00443BF6"/>
    <w:rsid w:val="00443DF2"/>
    <w:rsid w:val="00443E6D"/>
    <w:rsid w:val="00443FCF"/>
    <w:rsid w:val="0044402D"/>
    <w:rsid w:val="004440CB"/>
    <w:rsid w:val="004441F9"/>
    <w:rsid w:val="0044431C"/>
    <w:rsid w:val="00444629"/>
    <w:rsid w:val="004448A4"/>
    <w:rsid w:val="00444926"/>
    <w:rsid w:val="00444A0E"/>
    <w:rsid w:val="00444C04"/>
    <w:rsid w:val="00444D63"/>
    <w:rsid w:val="00444F00"/>
    <w:rsid w:val="004451A4"/>
    <w:rsid w:val="00445572"/>
    <w:rsid w:val="00445843"/>
    <w:rsid w:val="0044584D"/>
    <w:rsid w:val="00445A93"/>
    <w:rsid w:val="00445AF3"/>
    <w:rsid w:val="00445B3F"/>
    <w:rsid w:val="00445C3F"/>
    <w:rsid w:val="00445C74"/>
    <w:rsid w:val="00445E7A"/>
    <w:rsid w:val="00445E8B"/>
    <w:rsid w:val="00445E8D"/>
    <w:rsid w:val="00446273"/>
    <w:rsid w:val="0044636D"/>
    <w:rsid w:val="0044639F"/>
    <w:rsid w:val="004464D8"/>
    <w:rsid w:val="0044663F"/>
    <w:rsid w:val="00446815"/>
    <w:rsid w:val="0044687A"/>
    <w:rsid w:val="00446883"/>
    <w:rsid w:val="00446AA7"/>
    <w:rsid w:val="00446CA4"/>
    <w:rsid w:val="00446D96"/>
    <w:rsid w:val="00446E23"/>
    <w:rsid w:val="00446EF7"/>
    <w:rsid w:val="00446FF3"/>
    <w:rsid w:val="004471E6"/>
    <w:rsid w:val="004472DC"/>
    <w:rsid w:val="004473CE"/>
    <w:rsid w:val="0044742A"/>
    <w:rsid w:val="004475C2"/>
    <w:rsid w:val="00447773"/>
    <w:rsid w:val="004478C9"/>
    <w:rsid w:val="004478D1"/>
    <w:rsid w:val="0044791D"/>
    <w:rsid w:val="004479AE"/>
    <w:rsid w:val="00447AC4"/>
    <w:rsid w:val="00447E01"/>
    <w:rsid w:val="00447F0D"/>
    <w:rsid w:val="00447F1E"/>
    <w:rsid w:val="00450005"/>
    <w:rsid w:val="00450265"/>
    <w:rsid w:val="00450390"/>
    <w:rsid w:val="004503A5"/>
    <w:rsid w:val="00450543"/>
    <w:rsid w:val="004507A8"/>
    <w:rsid w:val="00450982"/>
    <w:rsid w:val="004509AD"/>
    <w:rsid w:val="00450A21"/>
    <w:rsid w:val="00450AE2"/>
    <w:rsid w:val="00450B7C"/>
    <w:rsid w:val="00450DC6"/>
    <w:rsid w:val="00450E6E"/>
    <w:rsid w:val="0045112F"/>
    <w:rsid w:val="0045129C"/>
    <w:rsid w:val="00451425"/>
    <w:rsid w:val="00451436"/>
    <w:rsid w:val="004515F9"/>
    <w:rsid w:val="00451611"/>
    <w:rsid w:val="0045164E"/>
    <w:rsid w:val="004516F1"/>
    <w:rsid w:val="00451793"/>
    <w:rsid w:val="00451880"/>
    <w:rsid w:val="00451A02"/>
    <w:rsid w:val="00451B09"/>
    <w:rsid w:val="00451BAB"/>
    <w:rsid w:val="00451C8E"/>
    <w:rsid w:val="00451D2D"/>
    <w:rsid w:val="00451DFE"/>
    <w:rsid w:val="00451E20"/>
    <w:rsid w:val="0045243A"/>
    <w:rsid w:val="004524C9"/>
    <w:rsid w:val="004524E2"/>
    <w:rsid w:val="0045277B"/>
    <w:rsid w:val="00452859"/>
    <w:rsid w:val="004528D2"/>
    <w:rsid w:val="004529A6"/>
    <w:rsid w:val="004529BE"/>
    <w:rsid w:val="00452C21"/>
    <w:rsid w:val="00452D1A"/>
    <w:rsid w:val="00452DE5"/>
    <w:rsid w:val="00452E94"/>
    <w:rsid w:val="00452F9F"/>
    <w:rsid w:val="004530DA"/>
    <w:rsid w:val="004531C5"/>
    <w:rsid w:val="004533B9"/>
    <w:rsid w:val="004533DA"/>
    <w:rsid w:val="00453403"/>
    <w:rsid w:val="0045378D"/>
    <w:rsid w:val="004538FE"/>
    <w:rsid w:val="00453922"/>
    <w:rsid w:val="00453D33"/>
    <w:rsid w:val="00453D60"/>
    <w:rsid w:val="00453DFB"/>
    <w:rsid w:val="00453E2A"/>
    <w:rsid w:val="00453EFB"/>
    <w:rsid w:val="00453F46"/>
    <w:rsid w:val="0045443D"/>
    <w:rsid w:val="0045481D"/>
    <w:rsid w:val="0045487A"/>
    <w:rsid w:val="00454CF1"/>
    <w:rsid w:val="00454D14"/>
    <w:rsid w:val="00454D43"/>
    <w:rsid w:val="00454E66"/>
    <w:rsid w:val="00454EC2"/>
    <w:rsid w:val="00454F1C"/>
    <w:rsid w:val="00454F23"/>
    <w:rsid w:val="004550CD"/>
    <w:rsid w:val="00455325"/>
    <w:rsid w:val="00455362"/>
    <w:rsid w:val="00455451"/>
    <w:rsid w:val="004556BC"/>
    <w:rsid w:val="00455874"/>
    <w:rsid w:val="00455962"/>
    <w:rsid w:val="00455AF5"/>
    <w:rsid w:val="00455CE3"/>
    <w:rsid w:val="00455F50"/>
    <w:rsid w:val="00455FDE"/>
    <w:rsid w:val="004560AF"/>
    <w:rsid w:val="00456480"/>
    <w:rsid w:val="00456496"/>
    <w:rsid w:val="004564D3"/>
    <w:rsid w:val="00456626"/>
    <w:rsid w:val="00456772"/>
    <w:rsid w:val="00456A4E"/>
    <w:rsid w:val="00456B3C"/>
    <w:rsid w:val="00456C5D"/>
    <w:rsid w:val="00456CAA"/>
    <w:rsid w:val="00456DE2"/>
    <w:rsid w:val="00456E1A"/>
    <w:rsid w:val="0045722B"/>
    <w:rsid w:val="00457291"/>
    <w:rsid w:val="0045746F"/>
    <w:rsid w:val="00457ACB"/>
    <w:rsid w:val="00457E52"/>
    <w:rsid w:val="00457FEF"/>
    <w:rsid w:val="004600BD"/>
    <w:rsid w:val="00460181"/>
    <w:rsid w:val="00460211"/>
    <w:rsid w:val="004603E1"/>
    <w:rsid w:val="004607C2"/>
    <w:rsid w:val="004607FA"/>
    <w:rsid w:val="00460A27"/>
    <w:rsid w:val="00460A3F"/>
    <w:rsid w:val="00460B5D"/>
    <w:rsid w:val="00460B94"/>
    <w:rsid w:val="00460D0F"/>
    <w:rsid w:val="00460D91"/>
    <w:rsid w:val="00460DDE"/>
    <w:rsid w:val="00460F79"/>
    <w:rsid w:val="004610C0"/>
    <w:rsid w:val="00461287"/>
    <w:rsid w:val="00461550"/>
    <w:rsid w:val="00461928"/>
    <w:rsid w:val="00461951"/>
    <w:rsid w:val="00461967"/>
    <w:rsid w:val="00461AB8"/>
    <w:rsid w:val="00461BBA"/>
    <w:rsid w:val="0046206B"/>
    <w:rsid w:val="004620EC"/>
    <w:rsid w:val="00462264"/>
    <w:rsid w:val="004622A6"/>
    <w:rsid w:val="004622E9"/>
    <w:rsid w:val="004622F4"/>
    <w:rsid w:val="0046235A"/>
    <w:rsid w:val="00462625"/>
    <w:rsid w:val="004626E0"/>
    <w:rsid w:val="004627D6"/>
    <w:rsid w:val="00462AD5"/>
    <w:rsid w:val="00462B12"/>
    <w:rsid w:val="00462B2D"/>
    <w:rsid w:val="00462B64"/>
    <w:rsid w:val="00462C41"/>
    <w:rsid w:val="00462C8B"/>
    <w:rsid w:val="00462CCE"/>
    <w:rsid w:val="00462D0E"/>
    <w:rsid w:val="00463001"/>
    <w:rsid w:val="0046309A"/>
    <w:rsid w:val="004630B2"/>
    <w:rsid w:val="0046317F"/>
    <w:rsid w:val="0046325A"/>
    <w:rsid w:val="004632C8"/>
    <w:rsid w:val="004632E6"/>
    <w:rsid w:val="0046396F"/>
    <w:rsid w:val="00463B0E"/>
    <w:rsid w:val="00463B30"/>
    <w:rsid w:val="00463C41"/>
    <w:rsid w:val="00463D15"/>
    <w:rsid w:val="00463DB3"/>
    <w:rsid w:val="00463E91"/>
    <w:rsid w:val="00463F9E"/>
    <w:rsid w:val="00463FA3"/>
    <w:rsid w:val="004640C2"/>
    <w:rsid w:val="00464134"/>
    <w:rsid w:val="0046430F"/>
    <w:rsid w:val="0046438F"/>
    <w:rsid w:val="004644BE"/>
    <w:rsid w:val="00464536"/>
    <w:rsid w:val="004645B7"/>
    <w:rsid w:val="004645BD"/>
    <w:rsid w:val="00464670"/>
    <w:rsid w:val="00464682"/>
    <w:rsid w:val="004646CF"/>
    <w:rsid w:val="00464724"/>
    <w:rsid w:val="00464812"/>
    <w:rsid w:val="00464967"/>
    <w:rsid w:val="00464B0D"/>
    <w:rsid w:val="00464E61"/>
    <w:rsid w:val="00464EA7"/>
    <w:rsid w:val="00464F00"/>
    <w:rsid w:val="0046523E"/>
    <w:rsid w:val="004654C5"/>
    <w:rsid w:val="004654FB"/>
    <w:rsid w:val="00465770"/>
    <w:rsid w:val="004657E7"/>
    <w:rsid w:val="004657EF"/>
    <w:rsid w:val="004658F5"/>
    <w:rsid w:val="004659B5"/>
    <w:rsid w:val="00465A7D"/>
    <w:rsid w:val="00465CF9"/>
    <w:rsid w:val="00465EA2"/>
    <w:rsid w:val="0046601D"/>
    <w:rsid w:val="0046624F"/>
    <w:rsid w:val="0046636B"/>
    <w:rsid w:val="0046666B"/>
    <w:rsid w:val="00466824"/>
    <w:rsid w:val="0046691F"/>
    <w:rsid w:val="0046695D"/>
    <w:rsid w:val="00466A60"/>
    <w:rsid w:val="00466BB0"/>
    <w:rsid w:val="00466BE1"/>
    <w:rsid w:val="00466CF2"/>
    <w:rsid w:val="00466DDE"/>
    <w:rsid w:val="00466E55"/>
    <w:rsid w:val="00467058"/>
    <w:rsid w:val="0046723D"/>
    <w:rsid w:val="004676FE"/>
    <w:rsid w:val="00467A90"/>
    <w:rsid w:val="00467C57"/>
    <w:rsid w:val="00467D5E"/>
    <w:rsid w:val="00470262"/>
    <w:rsid w:val="004704A4"/>
    <w:rsid w:val="004704B3"/>
    <w:rsid w:val="004705A5"/>
    <w:rsid w:val="00470747"/>
    <w:rsid w:val="0047084A"/>
    <w:rsid w:val="004708AC"/>
    <w:rsid w:val="00470A06"/>
    <w:rsid w:val="00470D5D"/>
    <w:rsid w:val="00470DF8"/>
    <w:rsid w:val="00470EC6"/>
    <w:rsid w:val="00471003"/>
    <w:rsid w:val="004710B2"/>
    <w:rsid w:val="0047115A"/>
    <w:rsid w:val="00471524"/>
    <w:rsid w:val="004716C9"/>
    <w:rsid w:val="00471A17"/>
    <w:rsid w:val="00471A20"/>
    <w:rsid w:val="00471AAB"/>
    <w:rsid w:val="00471F4D"/>
    <w:rsid w:val="00471F53"/>
    <w:rsid w:val="004722DA"/>
    <w:rsid w:val="00472539"/>
    <w:rsid w:val="00472775"/>
    <w:rsid w:val="004729B0"/>
    <w:rsid w:val="00472C5D"/>
    <w:rsid w:val="00472EAD"/>
    <w:rsid w:val="00472ED7"/>
    <w:rsid w:val="00472F0A"/>
    <w:rsid w:val="004730D4"/>
    <w:rsid w:val="004730FC"/>
    <w:rsid w:val="004731FC"/>
    <w:rsid w:val="0047329D"/>
    <w:rsid w:val="00473367"/>
    <w:rsid w:val="0047347C"/>
    <w:rsid w:val="004736DF"/>
    <w:rsid w:val="00473707"/>
    <w:rsid w:val="004738F1"/>
    <w:rsid w:val="004738F8"/>
    <w:rsid w:val="004740C8"/>
    <w:rsid w:val="004744DE"/>
    <w:rsid w:val="0047463D"/>
    <w:rsid w:val="00474697"/>
    <w:rsid w:val="0047471B"/>
    <w:rsid w:val="00474806"/>
    <w:rsid w:val="00474871"/>
    <w:rsid w:val="004749D7"/>
    <w:rsid w:val="00474B61"/>
    <w:rsid w:val="00474D73"/>
    <w:rsid w:val="00475060"/>
    <w:rsid w:val="0047518F"/>
    <w:rsid w:val="004751D6"/>
    <w:rsid w:val="00475252"/>
    <w:rsid w:val="00475275"/>
    <w:rsid w:val="004752AF"/>
    <w:rsid w:val="00475401"/>
    <w:rsid w:val="0047541C"/>
    <w:rsid w:val="00475741"/>
    <w:rsid w:val="00475AC0"/>
    <w:rsid w:val="00475C49"/>
    <w:rsid w:val="00475EC6"/>
    <w:rsid w:val="004761D4"/>
    <w:rsid w:val="004761FD"/>
    <w:rsid w:val="004767CA"/>
    <w:rsid w:val="004768C0"/>
    <w:rsid w:val="00476C75"/>
    <w:rsid w:val="00476D17"/>
    <w:rsid w:val="00476DF6"/>
    <w:rsid w:val="00476E0D"/>
    <w:rsid w:val="00476F6C"/>
    <w:rsid w:val="00477099"/>
    <w:rsid w:val="00477300"/>
    <w:rsid w:val="0047736E"/>
    <w:rsid w:val="0047749E"/>
    <w:rsid w:val="00477649"/>
    <w:rsid w:val="00477A5A"/>
    <w:rsid w:val="00477A6E"/>
    <w:rsid w:val="00477AFA"/>
    <w:rsid w:val="00477D25"/>
    <w:rsid w:val="00477E1B"/>
    <w:rsid w:val="00480484"/>
    <w:rsid w:val="00480620"/>
    <w:rsid w:val="0048064E"/>
    <w:rsid w:val="00480842"/>
    <w:rsid w:val="004808E7"/>
    <w:rsid w:val="00480A8E"/>
    <w:rsid w:val="00480B6C"/>
    <w:rsid w:val="00480DD7"/>
    <w:rsid w:val="00480DDA"/>
    <w:rsid w:val="00480FC8"/>
    <w:rsid w:val="00481008"/>
    <w:rsid w:val="0048121A"/>
    <w:rsid w:val="00481394"/>
    <w:rsid w:val="004814D2"/>
    <w:rsid w:val="004815F2"/>
    <w:rsid w:val="00481722"/>
    <w:rsid w:val="0048175B"/>
    <w:rsid w:val="00481877"/>
    <w:rsid w:val="00481ABA"/>
    <w:rsid w:val="00481E83"/>
    <w:rsid w:val="00482182"/>
    <w:rsid w:val="0048221E"/>
    <w:rsid w:val="004822D7"/>
    <w:rsid w:val="00482327"/>
    <w:rsid w:val="00482803"/>
    <w:rsid w:val="0048287F"/>
    <w:rsid w:val="004828A3"/>
    <w:rsid w:val="00482AC1"/>
    <w:rsid w:val="00482F0F"/>
    <w:rsid w:val="00482F84"/>
    <w:rsid w:val="00482FA0"/>
    <w:rsid w:val="004831E5"/>
    <w:rsid w:val="004835A4"/>
    <w:rsid w:val="004839DA"/>
    <w:rsid w:val="00483A2A"/>
    <w:rsid w:val="00483C8B"/>
    <w:rsid w:val="00483DFC"/>
    <w:rsid w:val="00483E02"/>
    <w:rsid w:val="00483E23"/>
    <w:rsid w:val="00483E9E"/>
    <w:rsid w:val="0048403D"/>
    <w:rsid w:val="00484376"/>
    <w:rsid w:val="00484538"/>
    <w:rsid w:val="00484698"/>
    <w:rsid w:val="0048471E"/>
    <w:rsid w:val="0048493C"/>
    <w:rsid w:val="00484B7D"/>
    <w:rsid w:val="00485041"/>
    <w:rsid w:val="0048509B"/>
    <w:rsid w:val="004850B3"/>
    <w:rsid w:val="00485264"/>
    <w:rsid w:val="00485277"/>
    <w:rsid w:val="00485357"/>
    <w:rsid w:val="004854B5"/>
    <w:rsid w:val="004855DD"/>
    <w:rsid w:val="0048566D"/>
    <w:rsid w:val="00485AC8"/>
    <w:rsid w:val="00485D01"/>
    <w:rsid w:val="00485F56"/>
    <w:rsid w:val="00486341"/>
    <w:rsid w:val="00486419"/>
    <w:rsid w:val="004868AF"/>
    <w:rsid w:val="004868BE"/>
    <w:rsid w:val="004868CC"/>
    <w:rsid w:val="00486987"/>
    <w:rsid w:val="00486994"/>
    <w:rsid w:val="00486A68"/>
    <w:rsid w:val="00486A6B"/>
    <w:rsid w:val="00486B33"/>
    <w:rsid w:val="00486B34"/>
    <w:rsid w:val="00486C13"/>
    <w:rsid w:val="00486C4A"/>
    <w:rsid w:val="00486F77"/>
    <w:rsid w:val="00486F92"/>
    <w:rsid w:val="00487018"/>
    <w:rsid w:val="00487233"/>
    <w:rsid w:val="00487256"/>
    <w:rsid w:val="00487324"/>
    <w:rsid w:val="0048736B"/>
    <w:rsid w:val="0048771A"/>
    <w:rsid w:val="00487761"/>
    <w:rsid w:val="004877C4"/>
    <w:rsid w:val="00487C6E"/>
    <w:rsid w:val="00487D1C"/>
    <w:rsid w:val="00487E3D"/>
    <w:rsid w:val="00487EF4"/>
    <w:rsid w:val="00487F2D"/>
    <w:rsid w:val="00490012"/>
    <w:rsid w:val="00490210"/>
    <w:rsid w:val="00490299"/>
    <w:rsid w:val="00490362"/>
    <w:rsid w:val="0049041B"/>
    <w:rsid w:val="00490427"/>
    <w:rsid w:val="0049053D"/>
    <w:rsid w:val="004906BF"/>
    <w:rsid w:val="00490B4D"/>
    <w:rsid w:val="00490C71"/>
    <w:rsid w:val="00490CDD"/>
    <w:rsid w:val="0049104E"/>
    <w:rsid w:val="0049135A"/>
    <w:rsid w:val="004913B0"/>
    <w:rsid w:val="004913B5"/>
    <w:rsid w:val="004914EC"/>
    <w:rsid w:val="00491519"/>
    <w:rsid w:val="00491556"/>
    <w:rsid w:val="004918A7"/>
    <w:rsid w:val="00491ACA"/>
    <w:rsid w:val="00491F0D"/>
    <w:rsid w:val="00492050"/>
    <w:rsid w:val="004920BD"/>
    <w:rsid w:val="004920F8"/>
    <w:rsid w:val="004922A9"/>
    <w:rsid w:val="0049259C"/>
    <w:rsid w:val="0049279A"/>
    <w:rsid w:val="00492C52"/>
    <w:rsid w:val="00492E0C"/>
    <w:rsid w:val="00492FE3"/>
    <w:rsid w:val="004930E6"/>
    <w:rsid w:val="004930FE"/>
    <w:rsid w:val="004932AD"/>
    <w:rsid w:val="00493446"/>
    <w:rsid w:val="004934F0"/>
    <w:rsid w:val="004935BD"/>
    <w:rsid w:val="00493619"/>
    <w:rsid w:val="00493638"/>
    <w:rsid w:val="0049363A"/>
    <w:rsid w:val="0049369B"/>
    <w:rsid w:val="00493872"/>
    <w:rsid w:val="00493A71"/>
    <w:rsid w:val="00493CC5"/>
    <w:rsid w:val="00494188"/>
    <w:rsid w:val="00494305"/>
    <w:rsid w:val="00494439"/>
    <w:rsid w:val="004945CC"/>
    <w:rsid w:val="004945F8"/>
    <w:rsid w:val="00494774"/>
    <w:rsid w:val="004947F8"/>
    <w:rsid w:val="00494804"/>
    <w:rsid w:val="0049486B"/>
    <w:rsid w:val="0049488C"/>
    <w:rsid w:val="00494A07"/>
    <w:rsid w:val="00494A37"/>
    <w:rsid w:val="00494E6B"/>
    <w:rsid w:val="004951F4"/>
    <w:rsid w:val="00495216"/>
    <w:rsid w:val="004952BF"/>
    <w:rsid w:val="00495339"/>
    <w:rsid w:val="0049537E"/>
    <w:rsid w:val="00495488"/>
    <w:rsid w:val="00495491"/>
    <w:rsid w:val="004955DB"/>
    <w:rsid w:val="00495830"/>
    <w:rsid w:val="0049586A"/>
    <w:rsid w:val="00495899"/>
    <w:rsid w:val="0049594F"/>
    <w:rsid w:val="0049595C"/>
    <w:rsid w:val="00495B2C"/>
    <w:rsid w:val="00495BDA"/>
    <w:rsid w:val="00495D1A"/>
    <w:rsid w:val="00495DDA"/>
    <w:rsid w:val="00495EB5"/>
    <w:rsid w:val="00495FA0"/>
    <w:rsid w:val="004962BD"/>
    <w:rsid w:val="004965D4"/>
    <w:rsid w:val="004966CD"/>
    <w:rsid w:val="004968FE"/>
    <w:rsid w:val="00496A33"/>
    <w:rsid w:val="00497005"/>
    <w:rsid w:val="0049708A"/>
    <w:rsid w:val="0049711B"/>
    <w:rsid w:val="0049711C"/>
    <w:rsid w:val="00497125"/>
    <w:rsid w:val="00497177"/>
    <w:rsid w:val="00497603"/>
    <w:rsid w:val="00497666"/>
    <w:rsid w:val="004976A8"/>
    <w:rsid w:val="004977AC"/>
    <w:rsid w:val="00497C57"/>
    <w:rsid w:val="00497F0E"/>
    <w:rsid w:val="004A0202"/>
    <w:rsid w:val="004A025B"/>
    <w:rsid w:val="004A0353"/>
    <w:rsid w:val="004A03E9"/>
    <w:rsid w:val="004A0423"/>
    <w:rsid w:val="004A050F"/>
    <w:rsid w:val="004A069B"/>
    <w:rsid w:val="004A09C6"/>
    <w:rsid w:val="004A0B18"/>
    <w:rsid w:val="004A0BBD"/>
    <w:rsid w:val="004A0C7E"/>
    <w:rsid w:val="004A0D2D"/>
    <w:rsid w:val="004A0D63"/>
    <w:rsid w:val="004A0DAC"/>
    <w:rsid w:val="004A1179"/>
    <w:rsid w:val="004A1473"/>
    <w:rsid w:val="004A1666"/>
    <w:rsid w:val="004A1681"/>
    <w:rsid w:val="004A1749"/>
    <w:rsid w:val="004A17A3"/>
    <w:rsid w:val="004A1840"/>
    <w:rsid w:val="004A1A60"/>
    <w:rsid w:val="004A1BB1"/>
    <w:rsid w:val="004A1BC8"/>
    <w:rsid w:val="004A1C45"/>
    <w:rsid w:val="004A1C8E"/>
    <w:rsid w:val="004A1E1C"/>
    <w:rsid w:val="004A2049"/>
    <w:rsid w:val="004A224F"/>
    <w:rsid w:val="004A22BE"/>
    <w:rsid w:val="004A252D"/>
    <w:rsid w:val="004A2643"/>
    <w:rsid w:val="004A2664"/>
    <w:rsid w:val="004A289B"/>
    <w:rsid w:val="004A295D"/>
    <w:rsid w:val="004A2B16"/>
    <w:rsid w:val="004A2B55"/>
    <w:rsid w:val="004A2BF5"/>
    <w:rsid w:val="004A2EF3"/>
    <w:rsid w:val="004A2F77"/>
    <w:rsid w:val="004A3036"/>
    <w:rsid w:val="004A36AD"/>
    <w:rsid w:val="004A37CF"/>
    <w:rsid w:val="004A3803"/>
    <w:rsid w:val="004A3A03"/>
    <w:rsid w:val="004A3B37"/>
    <w:rsid w:val="004A3C99"/>
    <w:rsid w:val="004A3CB5"/>
    <w:rsid w:val="004A3DB1"/>
    <w:rsid w:val="004A3E96"/>
    <w:rsid w:val="004A4827"/>
    <w:rsid w:val="004A4995"/>
    <w:rsid w:val="004A4A6B"/>
    <w:rsid w:val="004A4AAD"/>
    <w:rsid w:val="004A4B50"/>
    <w:rsid w:val="004A4CC4"/>
    <w:rsid w:val="004A4D6B"/>
    <w:rsid w:val="004A4FCA"/>
    <w:rsid w:val="004A548F"/>
    <w:rsid w:val="004A54DC"/>
    <w:rsid w:val="004A55E4"/>
    <w:rsid w:val="004A5B04"/>
    <w:rsid w:val="004A5B34"/>
    <w:rsid w:val="004A5B4A"/>
    <w:rsid w:val="004A5CEB"/>
    <w:rsid w:val="004A5F2B"/>
    <w:rsid w:val="004A5FEB"/>
    <w:rsid w:val="004A621B"/>
    <w:rsid w:val="004A63F4"/>
    <w:rsid w:val="004A65CF"/>
    <w:rsid w:val="004A692E"/>
    <w:rsid w:val="004A6C85"/>
    <w:rsid w:val="004A6EE0"/>
    <w:rsid w:val="004A6FC7"/>
    <w:rsid w:val="004A7003"/>
    <w:rsid w:val="004A7602"/>
    <w:rsid w:val="004A761C"/>
    <w:rsid w:val="004A764D"/>
    <w:rsid w:val="004A78D5"/>
    <w:rsid w:val="004A7973"/>
    <w:rsid w:val="004A79A8"/>
    <w:rsid w:val="004A7A65"/>
    <w:rsid w:val="004A7AD0"/>
    <w:rsid w:val="004A7BE8"/>
    <w:rsid w:val="004A7C88"/>
    <w:rsid w:val="004B0467"/>
    <w:rsid w:val="004B0508"/>
    <w:rsid w:val="004B069C"/>
    <w:rsid w:val="004B0840"/>
    <w:rsid w:val="004B08BC"/>
    <w:rsid w:val="004B0A58"/>
    <w:rsid w:val="004B0BBC"/>
    <w:rsid w:val="004B0BD1"/>
    <w:rsid w:val="004B0BFB"/>
    <w:rsid w:val="004B0DEB"/>
    <w:rsid w:val="004B0F3E"/>
    <w:rsid w:val="004B10F6"/>
    <w:rsid w:val="004B11B7"/>
    <w:rsid w:val="004B1253"/>
    <w:rsid w:val="004B1299"/>
    <w:rsid w:val="004B12C9"/>
    <w:rsid w:val="004B163C"/>
    <w:rsid w:val="004B1835"/>
    <w:rsid w:val="004B1A64"/>
    <w:rsid w:val="004B1B8E"/>
    <w:rsid w:val="004B1C8D"/>
    <w:rsid w:val="004B1D01"/>
    <w:rsid w:val="004B1D89"/>
    <w:rsid w:val="004B20BD"/>
    <w:rsid w:val="004B2107"/>
    <w:rsid w:val="004B212D"/>
    <w:rsid w:val="004B24F5"/>
    <w:rsid w:val="004B2693"/>
    <w:rsid w:val="004B27AD"/>
    <w:rsid w:val="004B287D"/>
    <w:rsid w:val="004B2AB0"/>
    <w:rsid w:val="004B2AE2"/>
    <w:rsid w:val="004B2AF6"/>
    <w:rsid w:val="004B2D50"/>
    <w:rsid w:val="004B2DCD"/>
    <w:rsid w:val="004B3138"/>
    <w:rsid w:val="004B3153"/>
    <w:rsid w:val="004B3694"/>
    <w:rsid w:val="004B3776"/>
    <w:rsid w:val="004B3784"/>
    <w:rsid w:val="004B381B"/>
    <w:rsid w:val="004B38B8"/>
    <w:rsid w:val="004B3ABB"/>
    <w:rsid w:val="004B3F6C"/>
    <w:rsid w:val="004B3FE1"/>
    <w:rsid w:val="004B408C"/>
    <w:rsid w:val="004B410E"/>
    <w:rsid w:val="004B412B"/>
    <w:rsid w:val="004B41A1"/>
    <w:rsid w:val="004B4706"/>
    <w:rsid w:val="004B476A"/>
    <w:rsid w:val="004B4D56"/>
    <w:rsid w:val="004B4F11"/>
    <w:rsid w:val="004B4FBF"/>
    <w:rsid w:val="004B5023"/>
    <w:rsid w:val="004B5082"/>
    <w:rsid w:val="004B535E"/>
    <w:rsid w:val="004B53AF"/>
    <w:rsid w:val="004B5466"/>
    <w:rsid w:val="004B56C5"/>
    <w:rsid w:val="004B583C"/>
    <w:rsid w:val="004B5858"/>
    <w:rsid w:val="004B5BFF"/>
    <w:rsid w:val="004B5C33"/>
    <w:rsid w:val="004B5D09"/>
    <w:rsid w:val="004B5F42"/>
    <w:rsid w:val="004B6030"/>
    <w:rsid w:val="004B60CB"/>
    <w:rsid w:val="004B63E7"/>
    <w:rsid w:val="004B63F4"/>
    <w:rsid w:val="004B6525"/>
    <w:rsid w:val="004B676F"/>
    <w:rsid w:val="004B6853"/>
    <w:rsid w:val="004B6964"/>
    <w:rsid w:val="004B6AAF"/>
    <w:rsid w:val="004B71F2"/>
    <w:rsid w:val="004B7223"/>
    <w:rsid w:val="004B7381"/>
    <w:rsid w:val="004B73C6"/>
    <w:rsid w:val="004B760C"/>
    <w:rsid w:val="004B762C"/>
    <w:rsid w:val="004B7845"/>
    <w:rsid w:val="004B78F2"/>
    <w:rsid w:val="004B7925"/>
    <w:rsid w:val="004B794B"/>
    <w:rsid w:val="004B7F93"/>
    <w:rsid w:val="004C01A2"/>
    <w:rsid w:val="004C01AC"/>
    <w:rsid w:val="004C0349"/>
    <w:rsid w:val="004C0484"/>
    <w:rsid w:val="004C0654"/>
    <w:rsid w:val="004C0922"/>
    <w:rsid w:val="004C09AF"/>
    <w:rsid w:val="004C0B56"/>
    <w:rsid w:val="004C0D95"/>
    <w:rsid w:val="004C0F3F"/>
    <w:rsid w:val="004C12A9"/>
    <w:rsid w:val="004C134D"/>
    <w:rsid w:val="004C1399"/>
    <w:rsid w:val="004C13B3"/>
    <w:rsid w:val="004C14BA"/>
    <w:rsid w:val="004C18EF"/>
    <w:rsid w:val="004C1A5C"/>
    <w:rsid w:val="004C1B31"/>
    <w:rsid w:val="004C1B55"/>
    <w:rsid w:val="004C1B76"/>
    <w:rsid w:val="004C2039"/>
    <w:rsid w:val="004C2366"/>
    <w:rsid w:val="004C263B"/>
    <w:rsid w:val="004C28DF"/>
    <w:rsid w:val="004C2B6D"/>
    <w:rsid w:val="004C2E36"/>
    <w:rsid w:val="004C30BA"/>
    <w:rsid w:val="004C31C1"/>
    <w:rsid w:val="004C3204"/>
    <w:rsid w:val="004C3895"/>
    <w:rsid w:val="004C39CD"/>
    <w:rsid w:val="004C3A44"/>
    <w:rsid w:val="004C3BF6"/>
    <w:rsid w:val="004C3C84"/>
    <w:rsid w:val="004C3D81"/>
    <w:rsid w:val="004C3F48"/>
    <w:rsid w:val="004C40EA"/>
    <w:rsid w:val="004C4107"/>
    <w:rsid w:val="004C414B"/>
    <w:rsid w:val="004C431A"/>
    <w:rsid w:val="004C465F"/>
    <w:rsid w:val="004C4683"/>
    <w:rsid w:val="004C483D"/>
    <w:rsid w:val="004C4861"/>
    <w:rsid w:val="004C4BCE"/>
    <w:rsid w:val="004C4BDB"/>
    <w:rsid w:val="004C4C62"/>
    <w:rsid w:val="004C4C66"/>
    <w:rsid w:val="004C4D33"/>
    <w:rsid w:val="004C4DB8"/>
    <w:rsid w:val="004C5021"/>
    <w:rsid w:val="004C5316"/>
    <w:rsid w:val="004C5398"/>
    <w:rsid w:val="004C544C"/>
    <w:rsid w:val="004C5610"/>
    <w:rsid w:val="004C5700"/>
    <w:rsid w:val="004C57DB"/>
    <w:rsid w:val="004C5AE3"/>
    <w:rsid w:val="004C5BDC"/>
    <w:rsid w:val="004C5EAE"/>
    <w:rsid w:val="004C61AC"/>
    <w:rsid w:val="004C624A"/>
    <w:rsid w:val="004C62B6"/>
    <w:rsid w:val="004C63E2"/>
    <w:rsid w:val="004C6561"/>
    <w:rsid w:val="004C69A6"/>
    <w:rsid w:val="004C69B0"/>
    <w:rsid w:val="004C6BA1"/>
    <w:rsid w:val="004C6BE8"/>
    <w:rsid w:val="004C6CED"/>
    <w:rsid w:val="004C6D12"/>
    <w:rsid w:val="004C6D7D"/>
    <w:rsid w:val="004C6EEC"/>
    <w:rsid w:val="004C6FA2"/>
    <w:rsid w:val="004C70BC"/>
    <w:rsid w:val="004C72D4"/>
    <w:rsid w:val="004C73EB"/>
    <w:rsid w:val="004C744E"/>
    <w:rsid w:val="004C74C3"/>
    <w:rsid w:val="004C7566"/>
    <w:rsid w:val="004C765E"/>
    <w:rsid w:val="004C7734"/>
    <w:rsid w:val="004C79DE"/>
    <w:rsid w:val="004C79EF"/>
    <w:rsid w:val="004C7B28"/>
    <w:rsid w:val="004C7D0A"/>
    <w:rsid w:val="004C7D29"/>
    <w:rsid w:val="004C7D92"/>
    <w:rsid w:val="004C7E06"/>
    <w:rsid w:val="004C7EA0"/>
    <w:rsid w:val="004D007E"/>
    <w:rsid w:val="004D02AB"/>
    <w:rsid w:val="004D040D"/>
    <w:rsid w:val="004D086D"/>
    <w:rsid w:val="004D0922"/>
    <w:rsid w:val="004D0ABC"/>
    <w:rsid w:val="004D0B45"/>
    <w:rsid w:val="004D0C91"/>
    <w:rsid w:val="004D112B"/>
    <w:rsid w:val="004D1490"/>
    <w:rsid w:val="004D19A3"/>
    <w:rsid w:val="004D19CE"/>
    <w:rsid w:val="004D1B96"/>
    <w:rsid w:val="004D1C8B"/>
    <w:rsid w:val="004D1EE9"/>
    <w:rsid w:val="004D2062"/>
    <w:rsid w:val="004D21E7"/>
    <w:rsid w:val="004D2228"/>
    <w:rsid w:val="004D259E"/>
    <w:rsid w:val="004D2627"/>
    <w:rsid w:val="004D26D5"/>
    <w:rsid w:val="004D2809"/>
    <w:rsid w:val="004D2909"/>
    <w:rsid w:val="004D2AA2"/>
    <w:rsid w:val="004D2B2D"/>
    <w:rsid w:val="004D329B"/>
    <w:rsid w:val="004D334A"/>
    <w:rsid w:val="004D33ED"/>
    <w:rsid w:val="004D33F4"/>
    <w:rsid w:val="004D342D"/>
    <w:rsid w:val="004D35DF"/>
    <w:rsid w:val="004D364D"/>
    <w:rsid w:val="004D3724"/>
    <w:rsid w:val="004D38BF"/>
    <w:rsid w:val="004D3BA5"/>
    <w:rsid w:val="004D3C8C"/>
    <w:rsid w:val="004D3CBE"/>
    <w:rsid w:val="004D3E76"/>
    <w:rsid w:val="004D3EB3"/>
    <w:rsid w:val="004D3F78"/>
    <w:rsid w:val="004D4116"/>
    <w:rsid w:val="004D4434"/>
    <w:rsid w:val="004D4826"/>
    <w:rsid w:val="004D4884"/>
    <w:rsid w:val="004D4CBB"/>
    <w:rsid w:val="004D4EEF"/>
    <w:rsid w:val="004D50C0"/>
    <w:rsid w:val="004D50ED"/>
    <w:rsid w:val="004D5254"/>
    <w:rsid w:val="004D5749"/>
    <w:rsid w:val="004D57F9"/>
    <w:rsid w:val="004D599F"/>
    <w:rsid w:val="004D59B6"/>
    <w:rsid w:val="004D5C11"/>
    <w:rsid w:val="004D5E37"/>
    <w:rsid w:val="004D5E61"/>
    <w:rsid w:val="004D5F30"/>
    <w:rsid w:val="004D60B5"/>
    <w:rsid w:val="004D623F"/>
    <w:rsid w:val="004D6485"/>
    <w:rsid w:val="004D6660"/>
    <w:rsid w:val="004D693E"/>
    <w:rsid w:val="004D69D0"/>
    <w:rsid w:val="004D6D44"/>
    <w:rsid w:val="004D6D89"/>
    <w:rsid w:val="004D6DAF"/>
    <w:rsid w:val="004D7076"/>
    <w:rsid w:val="004D7145"/>
    <w:rsid w:val="004D7184"/>
    <w:rsid w:val="004D7217"/>
    <w:rsid w:val="004D73F3"/>
    <w:rsid w:val="004D748A"/>
    <w:rsid w:val="004D74EF"/>
    <w:rsid w:val="004D75D5"/>
    <w:rsid w:val="004D76C8"/>
    <w:rsid w:val="004D7A1A"/>
    <w:rsid w:val="004D7A29"/>
    <w:rsid w:val="004D7A94"/>
    <w:rsid w:val="004D7AC1"/>
    <w:rsid w:val="004D7C51"/>
    <w:rsid w:val="004D7F3F"/>
    <w:rsid w:val="004E0085"/>
    <w:rsid w:val="004E0087"/>
    <w:rsid w:val="004E01F4"/>
    <w:rsid w:val="004E02D1"/>
    <w:rsid w:val="004E043C"/>
    <w:rsid w:val="004E04C9"/>
    <w:rsid w:val="004E05DE"/>
    <w:rsid w:val="004E07F6"/>
    <w:rsid w:val="004E08A5"/>
    <w:rsid w:val="004E0A11"/>
    <w:rsid w:val="004E0D62"/>
    <w:rsid w:val="004E0F1B"/>
    <w:rsid w:val="004E1063"/>
    <w:rsid w:val="004E1155"/>
    <w:rsid w:val="004E1217"/>
    <w:rsid w:val="004E1222"/>
    <w:rsid w:val="004E12AB"/>
    <w:rsid w:val="004E1357"/>
    <w:rsid w:val="004E13B5"/>
    <w:rsid w:val="004E151A"/>
    <w:rsid w:val="004E1607"/>
    <w:rsid w:val="004E1802"/>
    <w:rsid w:val="004E1D20"/>
    <w:rsid w:val="004E1DFE"/>
    <w:rsid w:val="004E20F9"/>
    <w:rsid w:val="004E2250"/>
    <w:rsid w:val="004E22F7"/>
    <w:rsid w:val="004E2421"/>
    <w:rsid w:val="004E272A"/>
    <w:rsid w:val="004E27EB"/>
    <w:rsid w:val="004E2840"/>
    <w:rsid w:val="004E2950"/>
    <w:rsid w:val="004E2981"/>
    <w:rsid w:val="004E29C2"/>
    <w:rsid w:val="004E29D1"/>
    <w:rsid w:val="004E2A43"/>
    <w:rsid w:val="004E2AB2"/>
    <w:rsid w:val="004E2B32"/>
    <w:rsid w:val="004E2C52"/>
    <w:rsid w:val="004E2CFA"/>
    <w:rsid w:val="004E2D9D"/>
    <w:rsid w:val="004E3207"/>
    <w:rsid w:val="004E336D"/>
    <w:rsid w:val="004E33DB"/>
    <w:rsid w:val="004E346F"/>
    <w:rsid w:val="004E34AC"/>
    <w:rsid w:val="004E3623"/>
    <w:rsid w:val="004E3657"/>
    <w:rsid w:val="004E3672"/>
    <w:rsid w:val="004E36C1"/>
    <w:rsid w:val="004E3AB4"/>
    <w:rsid w:val="004E3B88"/>
    <w:rsid w:val="004E3BFC"/>
    <w:rsid w:val="004E3D46"/>
    <w:rsid w:val="004E4511"/>
    <w:rsid w:val="004E4918"/>
    <w:rsid w:val="004E4DBF"/>
    <w:rsid w:val="004E4EDB"/>
    <w:rsid w:val="004E4FAF"/>
    <w:rsid w:val="004E52CA"/>
    <w:rsid w:val="004E53DF"/>
    <w:rsid w:val="004E5418"/>
    <w:rsid w:val="004E5437"/>
    <w:rsid w:val="004E5454"/>
    <w:rsid w:val="004E54B1"/>
    <w:rsid w:val="004E55BF"/>
    <w:rsid w:val="004E560D"/>
    <w:rsid w:val="004E57D1"/>
    <w:rsid w:val="004E5A56"/>
    <w:rsid w:val="004E5AFE"/>
    <w:rsid w:val="004E5B39"/>
    <w:rsid w:val="004E5BB4"/>
    <w:rsid w:val="004E5C1D"/>
    <w:rsid w:val="004E5D24"/>
    <w:rsid w:val="004E5F70"/>
    <w:rsid w:val="004E60B5"/>
    <w:rsid w:val="004E62F7"/>
    <w:rsid w:val="004E632F"/>
    <w:rsid w:val="004E6404"/>
    <w:rsid w:val="004E64FB"/>
    <w:rsid w:val="004E6B4B"/>
    <w:rsid w:val="004E6BB9"/>
    <w:rsid w:val="004E6E3D"/>
    <w:rsid w:val="004E6E7A"/>
    <w:rsid w:val="004E6EB5"/>
    <w:rsid w:val="004E6F8E"/>
    <w:rsid w:val="004E70A4"/>
    <w:rsid w:val="004E7251"/>
    <w:rsid w:val="004E73F8"/>
    <w:rsid w:val="004E74E3"/>
    <w:rsid w:val="004E7504"/>
    <w:rsid w:val="004E777A"/>
    <w:rsid w:val="004E7874"/>
    <w:rsid w:val="004E7A6A"/>
    <w:rsid w:val="004E7B6D"/>
    <w:rsid w:val="004E7F66"/>
    <w:rsid w:val="004E7F6C"/>
    <w:rsid w:val="004F0289"/>
    <w:rsid w:val="004F03AC"/>
    <w:rsid w:val="004F03AE"/>
    <w:rsid w:val="004F0424"/>
    <w:rsid w:val="004F072A"/>
    <w:rsid w:val="004F07F0"/>
    <w:rsid w:val="004F0D47"/>
    <w:rsid w:val="004F0D4A"/>
    <w:rsid w:val="004F15BF"/>
    <w:rsid w:val="004F187C"/>
    <w:rsid w:val="004F18BC"/>
    <w:rsid w:val="004F1C82"/>
    <w:rsid w:val="004F1D22"/>
    <w:rsid w:val="004F1D6E"/>
    <w:rsid w:val="004F1E70"/>
    <w:rsid w:val="004F2398"/>
    <w:rsid w:val="004F2438"/>
    <w:rsid w:val="004F25FC"/>
    <w:rsid w:val="004F27B1"/>
    <w:rsid w:val="004F2898"/>
    <w:rsid w:val="004F2AC3"/>
    <w:rsid w:val="004F3223"/>
    <w:rsid w:val="004F3238"/>
    <w:rsid w:val="004F353D"/>
    <w:rsid w:val="004F3905"/>
    <w:rsid w:val="004F3B01"/>
    <w:rsid w:val="004F3C24"/>
    <w:rsid w:val="004F4333"/>
    <w:rsid w:val="004F43E3"/>
    <w:rsid w:val="004F450A"/>
    <w:rsid w:val="004F45A0"/>
    <w:rsid w:val="004F45BB"/>
    <w:rsid w:val="004F45C7"/>
    <w:rsid w:val="004F468C"/>
    <w:rsid w:val="004F46F2"/>
    <w:rsid w:val="004F4778"/>
    <w:rsid w:val="004F47B1"/>
    <w:rsid w:val="004F498A"/>
    <w:rsid w:val="004F4B2A"/>
    <w:rsid w:val="004F4C99"/>
    <w:rsid w:val="004F4EA2"/>
    <w:rsid w:val="004F4F30"/>
    <w:rsid w:val="004F4FE5"/>
    <w:rsid w:val="004F501C"/>
    <w:rsid w:val="004F5395"/>
    <w:rsid w:val="004F5624"/>
    <w:rsid w:val="004F5859"/>
    <w:rsid w:val="004F5998"/>
    <w:rsid w:val="004F5A2C"/>
    <w:rsid w:val="004F5AFD"/>
    <w:rsid w:val="004F5BA3"/>
    <w:rsid w:val="004F5CF8"/>
    <w:rsid w:val="004F5EC9"/>
    <w:rsid w:val="004F6270"/>
    <w:rsid w:val="004F67E0"/>
    <w:rsid w:val="004F68FE"/>
    <w:rsid w:val="004F69A4"/>
    <w:rsid w:val="004F6A6D"/>
    <w:rsid w:val="004F6AC0"/>
    <w:rsid w:val="004F6CD8"/>
    <w:rsid w:val="004F6D54"/>
    <w:rsid w:val="004F6F62"/>
    <w:rsid w:val="004F71CF"/>
    <w:rsid w:val="004F7201"/>
    <w:rsid w:val="004F73CE"/>
    <w:rsid w:val="004F7405"/>
    <w:rsid w:val="004F74EB"/>
    <w:rsid w:val="004F7A8A"/>
    <w:rsid w:val="004F7CA2"/>
    <w:rsid w:val="004F7F2B"/>
    <w:rsid w:val="00500783"/>
    <w:rsid w:val="00500A6F"/>
    <w:rsid w:val="00500ABA"/>
    <w:rsid w:val="00500C33"/>
    <w:rsid w:val="00500C3B"/>
    <w:rsid w:val="00501050"/>
    <w:rsid w:val="00501069"/>
    <w:rsid w:val="00501159"/>
    <w:rsid w:val="005011C3"/>
    <w:rsid w:val="005011EC"/>
    <w:rsid w:val="005012D0"/>
    <w:rsid w:val="00501338"/>
    <w:rsid w:val="005013B4"/>
    <w:rsid w:val="00501593"/>
    <w:rsid w:val="005015F7"/>
    <w:rsid w:val="005015FC"/>
    <w:rsid w:val="005018C5"/>
    <w:rsid w:val="00501BFE"/>
    <w:rsid w:val="00501C08"/>
    <w:rsid w:val="00501E0A"/>
    <w:rsid w:val="005020FB"/>
    <w:rsid w:val="00502240"/>
    <w:rsid w:val="005023D9"/>
    <w:rsid w:val="00502571"/>
    <w:rsid w:val="005027AF"/>
    <w:rsid w:val="00502B39"/>
    <w:rsid w:val="00502BC3"/>
    <w:rsid w:val="00502C32"/>
    <w:rsid w:val="00502CE7"/>
    <w:rsid w:val="00502DCC"/>
    <w:rsid w:val="00502E50"/>
    <w:rsid w:val="00502E85"/>
    <w:rsid w:val="00502ED6"/>
    <w:rsid w:val="00503126"/>
    <w:rsid w:val="0050324F"/>
    <w:rsid w:val="0050331A"/>
    <w:rsid w:val="00503349"/>
    <w:rsid w:val="00503836"/>
    <w:rsid w:val="0050383D"/>
    <w:rsid w:val="00503D72"/>
    <w:rsid w:val="00503DD9"/>
    <w:rsid w:val="00503FFC"/>
    <w:rsid w:val="0050404D"/>
    <w:rsid w:val="005040CB"/>
    <w:rsid w:val="005043A7"/>
    <w:rsid w:val="005043BD"/>
    <w:rsid w:val="005043E2"/>
    <w:rsid w:val="00504558"/>
    <w:rsid w:val="00504717"/>
    <w:rsid w:val="00504CAD"/>
    <w:rsid w:val="00504D08"/>
    <w:rsid w:val="00505029"/>
    <w:rsid w:val="005050D1"/>
    <w:rsid w:val="0050517D"/>
    <w:rsid w:val="005054A2"/>
    <w:rsid w:val="00505738"/>
    <w:rsid w:val="00505F63"/>
    <w:rsid w:val="00506003"/>
    <w:rsid w:val="005061C5"/>
    <w:rsid w:val="00506305"/>
    <w:rsid w:val="0050630E"/>
    <w:rsid w:val="00506376"/>
    <w:rsid w:val="005066E2"/>
    <w:rsid w:val="00506723"/>
    <w:rsid w:val="005068D9"/>
    <w:rsid w:val="00506AF6"/>
    <w:rsid w:val="00506B08"/>
    <w:rsid w:val="00506B86"/>
    <w:rsid w:val="00506D6A"/>
    <w:rsid w:val="00506D8E"/>
    <w:rsid w:val="00506E5E"/>
    <w:rsid w:val="00507176"/>
    <w:rsid w:val="005071A1"/>
    <w:rsid w:val="005071A5"/>
    <w:rsid w:val="00507282"/>
    <w:rsid w:val="005072CD"/>
    <w:rsid w:val="0050755C"/>
    <w:rsid w:val="00507723"/>
    <w:rsid w:val="00507724"/>
    <w:rsid w:val="00507815"/>
    <w:rsid w:val="005079B8"/>
    <w:rsid w:val="00507AE9"/>
    <w:rsid w:val="00507D9A"/>
    <w:rsid w:val="00507FDA"/>
    <w:rsid w:val="00510542"/>
    <w:rsid w:val="0051065C"/>
    <w:rsid w:val="005106EB"/>
    <w:rsid w:val="005107E9"/>
    <w:rsid w:val="005107F0"/>
    <w:rsid w:val="005109C6"/>
    <w:rsid w:val="00510BD8"/>
    <w:rsid w:val="00510E9E"/>
    <w:rsid w:val="00510F07"/>
    <w:rsid w:val="00510F96"/>
    <w:rsid w:val="00510FBA"/>
    <w:rsid w:val="00511088"/>
    <w:rsid w:val="00511223"/>
    <w:rsid w:val="00511467"/>
    <w:rsid w:val="005114F8"/>
    <w:rsid w:val="005115E8"/>
    <w:rsid w:val="0051172E"/>
    <w:rsid w:val="00511750"/>
    <w:rsid w:val="00511AB4"/>
    <w:rsid w:val="00511B77"/>
    <w:rsid w:val="00511D46"/>
    <w:rsid w:val="00511D84"/>
    <w:rsid w:val="00511EE9"/>
    <w:rsid w:val="00511F17"/>
    <w:rsid w:val="00512349"/>
    <w:rsid w:val="005123A3"/>
    <w:rsid w:val="00512407"/>
    <w:rsid w:val="00512493"/>
    <w:rsid w:val="005127EE"/>
    <w:rsid w:val="00512911"/>
    <w:rsid w:val="005129E4"/>
    <w:rsid w:val="00512AC7"/>
    <w:rsid w:val="00512B59"/>
    <w:rsid w:val="00512B63"/>
    <w:rsid w:val="00512F1C"/>
    <w:rsid w:val="0051304C"/>
    <w:rsid w:val="0051311D"/>
    <w:rsid w:val="0051338D"/>
    <w:rsid w:val="0051367A"/>
    <w:rsid w:val="005136DE"/>
    <w:rsid w:val="00513A28"/>
    <w:rsid w:val="00513B2A"/>
    <w:rsid w:val="00513D42"/>
    <w:rsid w:val="00513DF0"/>
    <w:rsid w:val="00513E14"/>
    <w:rsid w:val="00513EAD"/>
    <w:rsid w:val="0051402D"/>
    <w:rsid w:val="0051411B"/>
    <w:rsid w:val="0051439D"/>
    <w:rsid w:val="0051440F"/>
    <w:rsid w:val="005144E7"/>
    <w:rsid w:val="005144F8"/>
    <w:rsid w:val="00514879"/>
    <w:rsid w:val="0051494E"/>
    <w:rsid w:val="00514ACD"/>
    <w:rsid w:val="00514EE3"/>
    <w:rsid w:val="00515069"/>
    <w:rsid w:val="005150C0"/>
    <w:rsid w:val="0051536A"/>
    <w:rsid w:val="005153E7"/>
    <w:rsid w:val="005158C4"/>
    <w:rsid w:val="005158EB"/>
    <w:rsid w:val="00515A3E"/>
    <w:rsid w:val="00515A91"/>
    <w:rsid w:val="00515B0D"/>
    <w:rsid w:val="00515B1B"/>
    <w:rsid w:val="00515E5A"/>
    <w:rsid w:val="00515E7E"/>
    <w:rsid w:val="00516113"/>
    <w:rsid w:val="00516266"/>
    <w:rsid w:val="005162A7"/>
    <w:rsid w:val="00516315"/>
    <w:rsid w:val="0051635D"/>
    <w:rsid w:val="00516455"/>
    <w:rsid w:val="0051651A"/>
    <w:rsid w:val="0051659D"/>
    <w:rsid w:val="005166AD"/>
    <w:rsid w:val="0051673F"/>
    <w:rsid w:val="005167F4"/>
    <w:rsid w:val="0051685D"/>
    <w:rsid w:val="00516B19"/>
    <w:rsid w:val="00516B46"/>
    <w:rsid w:val="00516EF0"/>
    <w:rsid w:val="0051728F"/>
    <w:rsid w:val="005172AF"/>
    <w:rsid w:val="005173B2"/>
    <w:rsid w:val="005173C7"/>
    <w:rsid w:val="00517900"/>
    <w:rsid w:val="005179C6"/>
    <w:rsid w:val="00517BC8"/>
    <w:rsid w:val="00517C47"/>
    <w:rsid w:val="005203FF"/>
    <w:rsid w:val="00520676"/>
    <w:rsid w:val="005206A0"/>
    <w:rsid w:val="005206B4"/>
    <w:rsid w:val="005206C9"/>
    <w:rsid w:val="00520801"/>
    <w:rsid w:val="005209A6"/>
    <w:rsid w:val="00520A00"/>
    <w:rsid w:val="00520A5F"/>
    <w:rsid w:val="00520AD1"/>
    <w:rsid w:val="00520C7A"/>
    <w:rsid w:val="00520D9C"/>
    <w:rsid w:val="005210F1"/>
    <w:rsid w:val="005212B1"/>
    <w:rsid w:val="0052136C"/>
    <w:rsid w:val="00521393"/>
    <w:rsid w:val="005216F9"/>
    <w:rsid w:val="0052177E"/>
    <w:rsid w:val="00521A49"/>
    <w:rsid w:val="00521B42"/>
    <w:rsid w:val="00521DA9"/>
    <w:rsid w:val="005220EE"/>
    <w:rsid w:val="00522127"/>
    <w:rsid w:val="005223E7"/>
    <w:rsid w:val="00522410"/>
    <w:rsid w:val="00522648"/>
    <w:rsid w:val="0052287C"/>
    <w:rsid w:val="00522924"/>
    <w:rsid w:val="0052294C"/>
    <w:rsid w:val="0052296F"/>
    <w:rsid w:val="00522988"/>
    <w:rsid w:val="00522FEA"/>
    <w:rsid w:val="005230ED"/>
    <w:rsid w:val="005233C5"/>
    <w:rsid w:val="00523581"/>
    <w:rsid w:val="005235AB"/>
    <w:rsid w:val="00523718"/>
    <w:rsid w:val="0052379F"/>
    <w:rsid w:val="005237A0"/>
    <w:rsid w:val="00523BA8"/>
    <w:rsid w:val="00523C12"/>
    <w:rsid w:val="00523DF8"/>
    <w:rsid w:val="00523F27"/>
    <w:rsid w:val="0052412F"/>
    <w:rsid w:val="005243F4"/>
    <w:rsid w:val="00524409"/>
    <w:rsid w:val="00524768"/>
    <w:rsid w:val="00524A1F"/>
    <w:rsid w:val="00524C84"/>
    <w:rsid w:val="00524D2D"/>
    <w:rsid w:val="00525176"/>
    <w:rsid w:val="005251FD"/>
    <w:rsid w:val="0052524C"/>
    <w:rsid w:val="005252C7"/>
    <w:rsid w:val="005255A3"/>
    <w:rsid w:val="0052565E"/>
    <w:rsid w:val="0052586A"/>
    <w:rsid w:val="00525890"/>
    <w:rsid w:val="005258B2"/>
    <w:rsid w:val="005259AF"/>
    <w:rsid w:val="00525A17"/>
    <w:rsid w:val="00525B16"/>
    <w:rsid w:val="00525CC2"/>
    <w:rsid w:val="00525F4E"/>
    <w:rsid w:val="0052602E"/>
    <w:rsid w:val="00526128"/>
    <w:rsid w:val="00526144"/>
    <w:rsid w:val="005261E4"/>
    <w:rsid w:val="0052632E"/>
    <w:rsid w:val="00526341"/>
    <w:rsid w:val="005265C3"/>
    <w:rsid w:val="005265FD"/>
    <w:rsid w:val="0052685C"/>
    <w:rsid w:val="0052698F"/>
    <w:rsid w:val="00526B1B"/>
    <w:rsid w:val="00526BEA"/>
    <w:rsid w:val="00526E35"/>
    <w:rsid w:val="00526EB8"/>
    <w:rsid w:val="00526EEB"/>
    <w:rsid w:val="00526F1E"/>
    <w:rsid w:val="00526F93"/>
    <w:rsid w:val="005270D5"/>
    <w:rsid w:val="00527326"/>
    <w:rsid w:val="005273D1"/>
    <w:rsid w:val="00527734"/>
    <w:rsid w:val="005277F8"/>
    <w:rsid w:val="00527984"/>
    <w:rsid w:val="00527B51"/>
    <w:rsid w:val="00527B93"/>
    <w:rsid w:val="00527D5A"/>
    <w:rsid w:val="00527F10"/>
    <w:rsid w:val="0053002B"/>
    <w:rsid w:val="005300AD"/>
    <w:rsid w:val="00530139"/>
    <w:rsid w:val="0053013E"/>
    <w:rsid w:val="00530324"/>
    <w:rsid w:val="0053045B"/>
    <w:rsid w:val="0053072A"/>
    <w:rsid w:val="0053087B"/>
    <w:rsid w:val="00530D64"/>
    <w:rsid w:val="00531000"/>
    <w:rsid w:val="005315D5"/>
    <w:rsid w:val="00531653"/>
    <w:rsid w:val="00531714"/>
    <w:rsid w:val="0053175A"/>
    <w:rsid w:val="0053185E"/>
    <w:rsid w:val="005318EB"/>
    <w:rsid w:val="00531985"/>
    <w:rsid w:val="005319B4"/>
    <w:rsid w:val="005319D8"/>
    <w:rsid w:val="00531A17"/>
    <w:rsid w:val="00531C28"/>
    <w:rsid w:val="00531D94"/>
    <w:rsid w:val="00531FF2"/>
    <w:rsid w:val="0053234C"/>
    <w:rsid w:val="0053247D"/>
    <w:rsid w:val="005325E8"/>
    <w:rsid w:val="0053266C"/>
    <w:rsid w:val="005329E5"/>
    <w:rsid w:val="00532BAF"/>
    <w:rsid w:val="00532CCA"/>
    <w:rsid w:val="00532D4F"/>
    <w:rsid w:val="00533346"/>
    <w:rsid w:val="0053361F"/>
    <w:rsid w:val="0053386C"/>
    <w:rsid w:val="00533B75"/>
    <w:rsid w:val="00533BFD"/>
    <w:rsid w:val="00533D1E"/>
    <w:rsid w:val="00533E58"/>
    <w:rsid w:val="00533E8A"/>
    <w:rsid w:val="00533F97"/>
    <w:rsid w:val="00534086"/>
    <w:rsid w:val="005340DB"/>
    <w:rsid w:val="005342F7"/>
    <w:rsid w:val="0053431E"/>
    <w:rsid w:val="0053445F"/>
    <w:rsid w:val="00534586"/>
    <w:rsid w:val="005345D9"/>
    <w:rsid w:val="00534759"/>
    <w:rsid w:val="00534984"/>
    <w:rsid w:val="00534AB4"/>
    <w:rsid w:val="00534B7D"/>
    <w:rsid w:val="00534C32"/>
    <w:rsid w:val="00534C58"/>
    <w:rsid w:val="00534DA2"/>
    <w:rsid w:val="005350D9"/>
    <w:rsid w:val="005352DE"/>
    <w:rsid w:val="00535385"/>
    <w:rsid w:val="005354B0"/>
    <w:rsid w:val="005354D2"/>
    <w:rsid w:val="005354FC"/>
    <w:rsid w:val="005356E5"/>
    <w:rsid w:val="00535783"/>
    <w:rsid w:val="00535814"/>
    <w:rsid w:val="00535856"/>
    <w:rsid w:val="0053587C"/>
    <w:rsid w:val="00535956"/>
    <w:rsid w:val="00535D0A"/>
    <w:rsid w:val="00535D6C"/>
    <w:rsid w:val="005360BB"/>
    <w:rsid w:val="005361B2"/>
    <w:rsid w:val="0053649C"/>
    <w:rsid w:val="005366E2"/>
    <w:rsid w:val="0053682A"/>
    <w:rsid w:val="00536CFD"/>
    <w:rsid w:val="00536D51"/>
    <w:rsid w:val="00536D6F"/>
    <w:rsid w:val="00536D71"/>
    <w:rsid w:val="00536D83"/>
    <w:rsid w:val="0053718A"/>
    <w:rsid w:val="005372A5"/>
    <w:rsid w:val="005372E8"/>
    <w:rsid w:val="0053745D"/>
    <w:rsid w:val="00537667"/>
    <w:rsid w:val="0053796A"/>
    <w:rsid w:val="00537977"/>
    <w:rsid w:val="00537ACE"/>
    <w:rsid w:val="00537B15"/>
    <w:rsid w:val="00537BD2"/>
    <w:rsid w:val="00537C52"/>
    <w:rsid w:val="00537E15"/>
    <w:rsid w:val="00537F7C"/>
    <w:rsid w:val="00540008"/>
    <w:rsid w:val="005400FB"/>
    <w:rsid w:val="005403DD"/>
    <w:rsid w:val="005403F3"/>
    <w:rsid w:val="00540411"/>
    <w:rsid w:val="00540430"/>
    <w:rsid w:val="00540432"/>
    <w:rsid w:val="005405F9"/>
    <w:rsid w:val="005407C8"/>
    <w:rsid w:val="0054093E"/>
    <w:rsid w:val="00540A07"/>
    <w:rsid w:val="00540DA0"/>
    <w:rsid w:val="00540FBE"/>
    <w:rsid w:val="00541107"/>
    <w:rsid w:val="005411D1"/>
    <w:rsid w:val="00541273"/>
    <w:rsid w:val="005412BF"/>
    <w:rsid w:val="00541470"/>
    <w:rsid w:val="0054148B"/>
    <w:rsid w:val="005416BE"/>
    <w:rsid w:val="0054174F"/>
    <w:rsid w:val="0054187B"/>
    <w:rsid w:val="005418E2"/>
    <w:rsid w:val="005419FE"/>
    <w:rsid w:val="00541A90"/>
    <w:rsid w:val="00541ACA"/>
    <w:rsid w:val="00541F34"/>
    <w:rsid w:val="005421E0"/>
    <w:rsid w:val="00542225"/>
    <w:rsid w:val="0054255C"/>
    <w:rsid w:val="00542586"/>
    <w:rsid w:val="00542641"/>
    <w:rsid w:val="005427F6"/>
    <w:rsid w:val="0054290E"/>
    <w:rsid w:val="00542C44"/>
    <w:rsid w:val="00542D7B"/>
    <w:rsid w:val="00542EE6"/>
    <w:rsid w:val="0054329C"/>
    <w:rsid w:val="005434D7"/>
    <w:rsid w:val="00543642"/>
    <w:rsid w:val="005438CA"/>
    <w:rsid w:val="005438F6"/>
    <w:rsid w:val="0054391B"/>
    <w:rsid w:val="00543A1B"/>
    <w:rsid w:val="00543B24"/>
    <w:rsid w:val="00543D3F"/>
    <w:rsid w:val="00543E76"/>
    <w:rsid w:val="0054422E"/>
    <w:rsid w:val="00544588"/>
    <w:rsid w:val="005445BB"/>
    <w:rsid w:val="00544619"/>
    <w:rsid w:val="00544686"/>
    <w:rsid w:val="00544728"/>
    <w:rsid w:val="005447A4"/>
    <w:rsid w:val="00544934"/>
    <w:rsid w:val="005449D6"/>
    <w:rsid w:val="005449F3"/>
    <w:rsid w:val="00544A81"/>
    <w:rsid w:val="00544BF0"/>
    <w:rsid w:val="00544C5B"/>
    <w:rsid w:val="00544E36"/>
    <w:rsid w:val="00544EA6"/>
    <w:rsid w:val="005450F7"/>
    <w:rsid w:val="00545180"/>
    <w:rsid w:val="00545184"/>
    <w:rsid w:val="005451C2"/>
    <w:rsid w:val="005451F4"/>
    <w:rsid w:val="005455FE"/>
    <w:rsid w:val="00545739"/>
    <w:rsid w:val="00545D12"/>
    <w:rsid w:val="00545EA1"/>
    <w:rsid w:val="005460F6"/>
    <w:rsid w:val="00546283"/>
    <w:rsid w:val="00546438"/>
    <w:rsid w:val="00546524"/>
    <w:rsid w:val="005467AB"/>
    <w:rsid w:val="00546880"/>
    <w:rsid w:val="005468A1"/>
    <w:rsid w:val="005472C2"/>
    <w:rsid w:val="00547327"/>
    <w:rsid w:val="005473BE"/>
    <w:rsid w:val="005473C5"/>
    <w:rsid w:val="005473F5"/>
    <w:rsid w:val="00547A63"/>
    <w:rsid w:val="00547CA5"/>
    <w:rsid w:val="00547F1C"/>
    <w:rsid w:val="00547F69"/>
    <w:rsid w:val="00547F91"/>
    <w:rsid w:val="00550098"/>
    <w:rsid w:val="00550135"/>
    <w:rsid w:val="00550217"/>
    <w:rsid w:val="005502D6"/>
    <w:rsid w:val="00550446"/>
    <w:rsid w:val="00550605"/>
    <w:rsid w:val="005506C4"/>
    <w:rsid w:val="005506CE"/>
    <w:rsid w:val="00550945"/>
    <w:rsid w:val="00550B0F"/>
    <w:rsid w:val="00550B88"/>
    <w:rsid w:val="00550D70"/>
    <w:rsid w:val="00550EC9"/>
    <w:rsid w:val="00550F62"/>
    <w:rsid w:val="00551000"/>
    <w:rsid w:val="00551078"/>
    <w:rsid w:val="0055119B"/>
    <w:rsid w:val="005513AA"/>
    <w:rsid w:val="0055157D"/>
    <w:rsid w:val="0055192F"/>
    <w:rsid w:val="0055195B"/>
    <w:rsid w:val="00551992"/>
    <w:rsid w:val="005519C7"/>
    <w:rsid w:val="00551A71"/>
    <w:rsid w:val="00551E29"/>
    <w:rsid w:val="00551F54"/>
    <w:rsid w:val="00551FB7"/>
    <w:rsid w:val="0055230D"/>
    <w:rsid w:val="00552382"/>
    <w:rsid w:val="005524F9"/>
    <w:rsid w:val="005525D8"/>
    <w:rsid w:val="0055266A"/>
    <w:rsid w:val="0055298C"/>
    <w:rsid w:val="00552B5C"/>
    <w:rsid w:val="00552CCC"/>
    <w:rsid w:val="00552E1C"/>
    <w:rsid w:val="00552E99"/>
    <w:rsid w:val="00552ECF"/>
    <w:rsid w:val="005534DA"/>
    <w:rsid w:val="005534DC"/>
    <w:rsid w:val="00553A60"/>
    <w:rsid w:val="00553D27"/>
    <w:rsid w:val="00553EA1"/>
    <w:rsid w:val="00554197"/>
    <w:rsid w:val="005541D5"/>
    <w:rsid w:val="005543E8"/>
    <w:rsid w:val="005544E7"/>
    <w:rsid w:val="005544F2"/>
    <w:rsid w:val="0055471B"/>
    <w:rsid w:val="0055483C"/>
    <w:rsid w:val="00554A5E"/>
    <w:rsid w:val="00554A6E"/>
    <w:rsid w:val="00554C2E"/>
    <w:rsid w:val="00554D25"/>
    <w:rsid w:val="00554DB5"/>
    <w:rsid w:val="00554E3E"/>
    <w:rsid w:val="00554F76"/>
    <w:rsid w:val="005553D0"/>
    <w:rsid w:val="00555529"/>
    <w:rsid w:val="005557BA"/>
    <w:rsid w:val="00555905"/>
    <w:rsid w:val="00555951"/>
    <w:rsid w:val="00555A49"/>
    <w:rsid w:val="00555AEC"/>
    <w:rsid w:val="00555BA8"/>
    <w:rsid w:val="00555BEB"/>
    <w:rsid w:val="00555C72"/>
    <w:rsid w:val="00555CC0"/>
    <w:rsid w:val="00555F2E"/>
    <w:rsid w:val="00555F9B"/>
    <w:rsid w:val="0055613B"/>
    <w:rsid w:val="00556376"/>
    <w:rsid w:val="00556536"/>
    <w:rsid w:val="00556538"/>
    <w:rsid w:val="0055656E"/>
    <w:rsid w:val="0055658C"/>
    <w:rsid w:val="00556666"/>
    <w:rsid w:val="005568C1"/>
    <w:rsid w:val="005568CA"/>
    <w:rsid w:val="00556AE2"/>
    <w:rsid w:val="00556CB5"/>
    <w:rsid w:val="00556D66"/>
    <w:rsid w:val="00556EBE"/>
    <w:rsid w:val="00557101"/>
    <w:rsid w:val="00557288"/>
    <w:rsid w:val="005572D8"/>
    <w:rsid w:val="0055741E"/>
    <w:rsid w:val="00557437"/>
    <w:rsid w:val="00557499"/>
    <w:rsid w:val="005574CE"/>
    <w:rsid w:val="0055769F"/>
    <w:rsid w:val="005576F0"/>
    <w:rsid w:val="00557784"/>
    <w:rsid w:val="00557FDB"/>
    <w:rsid w:val="00560035"/>
    <w:rsid w:val="005601A6"/>
    <w:rsid w:val="005603F8"/>
    <w:rsid w:val="00560479"/>
    <w:rsid w:val="005606EA"/>
    <w:rsid w:val="005606EF"/>
    <w:rsid w:val="00560704"/>
    <w:rsid w:val="0056070D"/>
    <w:rsid w:val="005607AD"/>
    <w:rsid w:val="005608CD"/>
    <w:rsid w:val="005609B3"/>
    <w:rsid w:val="00560AD5"/>
    <w:rsid w:val="00560CC1"/>
    <w:rsid w:val="00560CD1"/>
    <w:rsid w:val="00560EC8"/>
    <w:rsid w:val="00560FCE"/>
    <w:rsid w:val="00560FED"/>
    <w:rsid w:val="0056112F"/>
    <w:rsid w:val="00561142"/>
    <w:rsid w:val="0056114E"/>
    <w:rsid w:val="00561270"/>
    <w:rsid w:val="00561394"/>
    <w:rsid w:val="005613DD"/>
    <w:rsid w:val="005613F3"/>
    <w:rsid w:val="00561441"/>
    <w:rsid w:val="0056152D"/>
    <w:rsid w:val="00561576"/>
    <w:rsid w:val="0056187B"/>
    <w:rsid w:val="00561893"/>
    <w:rsid w:val="0056192D"/>
    <w:rsid w:val="00561A27"/>
    <w:rsid w:val="00561BC3"/>
    <w:rsid w:val="00561D81"/>
    <w:rsid w:val="00561DDF"/>
    <w:rsid w:val="0056218A"/>
    <w:rsid w:val="00562568"/>
    <w:rsid w:val="0056288F"/>
    <w:rsid w:val="005628ED"/>
    <w:rsid w:val="0056296B"/>
    <w:rsid w:val="00562B04"/>
    <w:rsid w:val="00562CB2"/>
    <w:rsid w:val="00563079"/>
    <w:rsid w:val="0056307B"/>
    <w:rsid w:val="0056340B"/>
    <w:rsid w:val="005634F8"/>
    <w:rsid w:val="00563597"/>
    <w:rsid w:val="005636B5"/>
    <w:rsid w:val="005637C0"/>
    <w:rsid w:val="00563823"/>
    <w:rsid w:val="0056399C"/>
    <w:rsid w:val="00563A29"/>
    <w:rsid w:val="00563A5D"/>
    <w:rsid w:val="00563B32"/>
    <w:rsid w:val="00563C56"/>
    <w:rsid w:val="00563DE6"/>
    <w:rsid w:val="00563F3E"/>
    <w:rsid w:val="00563FAC"/>
    <w:rsid w:val="005641C8"/>
    <w:rsid w:val="00564328"/>
    <w:rsid w:val="005647D2"/>
    <w:rsid w:val="00564D0C"/>
    <w:rsid w:val="00564DC7"/>
    <w:rsid w:val="00564E4C"/>
    <w:rsid w:val="00564E69"/>
    <w:rsid w:val="00564E89"/>
    <w:rsid w:val="00564FF1"/>
    <w:rsid w:val="00565006"/>
    <w:rsid w:val="005651B0"/>
    <w:rsid w:val="005652CD"/>
    <w:rsid w:val="005654CE"/>
    <w:rsid w:val="005655DA"/>
    <w:rsid w:val="00565622"/>
    <w:rsid w:val="00565623"/>
    <w:rsid w:val="005656A6"/>
    <w:rsid w:val="005656B9"/>
    <w:rsid w:val="005657F6"/>
    <w:rsid w:val="00565953"/>
    <w:rsid w:val="005659CE"/>
    <w:rsid w:val="005659ED"/>
    <w:rsid w:val="00565CFC"/>
    <w:rsid w:val="00565D56"/>
    <w:rsid w:val="00565EAD"/>
    <w:rsid w:val="0056601E"/>
    <w:rsid w:val="005661B0"/>
    <w:rsid w:val="0056639F"/>
    <w:rsid w:val="005663B5"/>
    <w:rsid w:val="00566538"/>
    <w:rsid w:val="00566809"/>
    <w:rsid w:val="0056689F"/>
    <w:rsid w:val="005668D6"/>
    <w:rsid w:val="0056699B"/>
    <w:rsid w:val="00566A19"/>
    <w:rsid w:val="00566C94"/>
    <w:rsid w:val="00566E87"/>
    <w:rsid w:val="00567075"/>
    <w:rsid w:val="005672B6"/>
    <w:rsid w:val="005672DB"/>
    <w:rsid w:val="0056755E"/>
    <w:rsid w:val="0056766B"/>
    <w:rsid w:val="00567804"/>
    <w:rsid w:val="005679A6"/>
    <w:rsid w:val="005679ED"/>
    <w:rsid w:val="00567C7B"/>
    <w:rsid w:val="00567D8B"/>
    <w:rsid w:val="00567EF0"/>
    <w:rsid w:val="00567F77"/>
    <w:rsid w:val="00567FB4"/>
    <w:rsid w:val="0057010B"/>
    <w:rsid w:val="0057019E"/>
    <w:rsid w:val="0057026C"/>
    <w:rsid w:val="0057033E"/>
    <w:rsid w:val="005704D5"/>
    <w:rsid w:val="0057062E"/>
    <w:rsid w:val="0057069C"/>
    <w:rsid w:val="00570809"/>
    <w:rsid w:val="00570814"/>
    <w:rsid w:val="0057099C"/>
    <w:rsid w:val="00570BF7"/>
    <w:rsid w:val="00570C09"/>
    <w:rsid w:val="00570E10"/>
    <w:rsid w:val="00570EC8"/>
    <w:rsid w:val="00570ED3"/>
    <w:rsid w:val="00570F63"/>
    <w:rsid w:val="00571382"/>
    <w:rsid w:val="005717DA"/>
    <w:rsid w:val="005717EB"/>
    <w:rsid w:val="005717FB"/>
    <w:rsid w:val="00571905"/>
    <w:rsid w:val="0057197F"/>
    <w:rsid w:val="00571CA2"/>
    <w:rsid w:val="00571D2B"/>
    <w:rsid w:val="00571F8E"/>
    <w:rsid w:val="00572251"/>
    <w:rsid w:val="00572417"/>
    <w:rsid w:val="005724A7"/>
    <w:rsid w:val="005724F6"/>
    <w:rsid w:val="00572524"/>
    <w:rsid w:val="005727F2"/>
    <w:rsid w:val="005728AD"/>
    <w:rsid w:val="00572D1D"/>
    <w:rsid w:val="005730B9"/>
    <w:rsid w:val="00573120"/>
    <w:rsid w:val="005732EE"/>
    <w:rsid w:val="005733FD"/>
    <w:rsid w:val="00573415"/>
    <w:rsid w:val="005734F6"/>
    <w:rsid w:val="005734FF"/>
    <w:rsid w:val="0057382A"/>
    <w:rsid w:val="00573A1C"/>
    <w:rsid w:val="00573B96"/>
    <w:rsid w:val="00573DC1"/>
    <w:rsid w:val="00573E76"/>
    <w:rsid w:val="00573EA9"/>
    <w:rsid w:val="00573F5C"/>
    <w:rsid w:val="0057406F"/>
    <w:rsid w:val="00574193"/>
    <w:rsid w:val="005741FF"/>
    <w:rsid w:val="00574251"/>
    <w:rsid w:val="00574578"/>
    <w:rsid w:val="0057457E"/>
    <w:rsid w:val="005748BD"/>
    <w:rsid w:val="00574909"/>
    <w:rsid w:val="005749EB"/>
    <w:rsid w:val="00574B39"/>
    <w:rsid w:val="00574B49"/>
    <w:rsid w:val="00574C39"/>
    <w:rsid w:val="00574DDC"/>
    <w:rsid w:val="00574EA6"/>
    <w:rsid w:val="00575060"/>
    <w:rsid w:val="00575705"/>
    <w:rsid w:val="005759E2"/>
    <w:rsid w:val="00575A79"/>
    <w:rsid w:val="00575B81"/>
    <w:rsid w:val="00575C55"/>
    <w:rsid w:val="00575CE7"/>
    <w:rsid w:val="00575D6D"/>
    <w:rsid w:val="00575D7B"/>
    <w:rsid w:val="00575D8A"/>
    <w:rsid w:val="00575D9F"/>
    <w:rsid w:val="0057603C"/>
    <w:rsid w:val="0057619D"/>
    <w:rsid w:val="005761B8"/>
    <w:rsid w:val="0057622F"/>
    <w:rsid w:val="00576238"/>
    <w:rsid w:val="00576308"/>
    <w:rsid w:val="00576393"/>
    <w:rsid w:val="00576401"/>
    <w:rsid w:val="0057678E"/>
    <w:rsid w:val="005767F9"/>
    <w:rsid w:val="005768A8"/>
    <w:rsid w:val="00576B63"/>
    <w:rsid w:val="00576F14"/>
    <w:rsid w:val="005772D6"/>
    <w:rsid w:val="005772FD"/>
    <w:rsid w:val="0057736D"/>
    <w:rsid w:val="005773A8"/>
    <w:rsid w:val="005774C2"/>
    <w:rsid w:val="00577722"/>
    <w:rsid w:val="00577820"/>
    <w:rsid w:val="00577A13"/>
    <w:rsid w:val="00577A14"/>
    <w:rsid w:val="00577B0C"/>
    <w:rsid w:val="00577BCA"/>
    <w:rsid w:val="00577E41"/>
    <w:rsid w:val="00577ED3"/>
    <w:rsid w:val="00577F3A"/>
    <w:rsid w:val="005802A0"/>
    <w:rsid w:val="0058044A"/>
    <w:rsid w:val="00580768"/>
    <w:rsid w:val="00580792"/>
    <w:rsid w:val="00580C4F"/>
    <w:rsid w:val="00580D31"/>
    <w:rsid w:val="00580E5E"/>
    <w:rsid w:val="00580F56"/>
    <w:rsid w:val="005814A6"/>
    <w:rsid w:val="0058153E"/>
    <w:rsid w:val="005815B1"/>
    <w:rsid w:val="00581804"/>
    <w:rsid w:val="00581961"/>
    <w:rsid w:val="00581A06"/>
    <w:rsid w:val="00581A14"/>
    <w:rsid w:val="00581AC9"/>
    <w:rsid w:val="00581D79"/>
    <w:rsid w:val="00581EAE"/>
    <w:rsid w:val="005820B6"/>
    <w:rsid w:val="00582479"/>
    <w:rsid w:val="005824ED"/>
    <w:rsid w:val="00582544"/>
    <w:rsid w:val="0058260D"/>
    <w:rsid w:val="0058264F"/>
    <w:rsid w:val="005826DA"/>
    <w:rsid w:val="00582745"/>
    <w:rsid w:val="00582891"/>
    <w:rsid w:val="005828C5"/>
    <w:rsid w:val="005828F9"/>
    <w:rsid w:val="00582938"/>
    <w:rsid w:val="00582A46"/>
    <w:rsid w:val="00582A73"/>
    <w:rsid w:val="00582CEB"/>
    <w:rsid w:val="00582F1E"/>
    <w:rsid w:val="00582FDC"/>
    <w:rsid w:val="005831A0"/>
    <w:rsid w:val="005833A9"/>
    <w:rsid w:val="0058348F"/>
    <w:rsid w:val="00583771"/>
    <w:rsid w:val="005838F4"/>
    <w:rsid w:val="00583B6A"/>
    <w:rsid w:val="00583BB3"/>
    <w:rsid w:val="00583EEE"/>
    <w:rsid w:val="00583FAC"/>
    <w:rsid w:val="005841A7"/>
    <w:rsid w:val="00584317"/>
    <w:rsid w:val="00584363"/>
    <w:rsid w:val="005845B0"/>
    <w:rsid w:val="005846CD"/>
    <w:rsid w:val="00584B2C"/>
    <w:rsid w:val="00584D1D"/>
    <w:rsid w:val="005851E5"/>
    <w:rsid w:val="00585318"/>
    <w:rsid w:val="00585840"/>
    <w:rsid w:val="00585943"/>
    <w:rsid w:val="00585AA7"/>
    <w:rsid w:val="00585B9E"/>
    <w:rsid w:val="00585C55"/>
    <w:rsid w:val="00585C5D"/>
    <w:rsid w:val="00585E17"/>
    <w:rsid w:val="00585F2E"/>
    <w:rsid w:val="0058603F"/>
    <w:rsid w:val="00586084"/>
    <w:rsid w:val="005862EB"/>
    <w:rsid w:val="00586330"/>
    <w:rsid w:val="00586391"/>
    <w:rsid w:val="0058654B"/>
    <w:rsid w:val="005866F4"/>
    <w:rsid w:val="0058678D"/>
    <w:rsid w:val="0058679A"/>
    <w:rsid w:val="005869D6"/>
    <w:rsid w:val="00586BFA"/>
    <w:rsid w:val="00586C03"/>
    <w:rsid w:val="00587197"/>
    <w:rsid w:val="0058742E"/>
    <w:rsid w:val="00587475"/>
    <w:rsid w:val="0058771B"/>
    <w:rsid w:val="00587880"/>
    <w:rsid w:val="005878E7"/>
    <w:rsid w:val="00587A80"/>
    <w:rsid w:val="00587CFE"/>
    <w:rsid w:val="00587D37"/>
    <w:rsid w:val="00587D92"/>
    <w:rsid w:val="00587DC4"/>
    <w:rsid w:val="00587EA3"/>
    <w:rsid w:val="0059000D"/>
    <w:rsid w:val="00590182"/>
    <w:rsid w:val="005901BA"/>
    <w:rsid w:val="005901F2"/>
    <w:rsid w:val="00590379"/>
    <w:rsid w:val="0059037F"/>
    <w:rsid w:val="005903D1"/>
    <w:rsid w:val="0059044B"/>
    <w:rsid w:val="0059091E"/>
    <w:rsid w:val="00590BD4"/>
    <w:rsid w:val="00590D55"/>
    <w:rsid w:val="00590ED3"/>
    <w:rsid w:val="0059104B"/>
    <w:rsid w:val="005911AC"/>
    <w:rsid w:val="005911B1"/>
    <w:rsid w:val="0059122E"/>
    <w:rsid w:val="00591232"/>
    <w:rsid w:val="0059139F"/>
    <w:rsid w:val="005913FB"/>
    <w:rsid w:val="00591567"/>
    <w:rsid w:val="005915EC"/>
    <w:rsid w:val="00591955"/>
    <w:rsid w:val="00591F15"/>
    <w:rsid w:val="00591F4A"/>
    <w:rsid w:val="00592017"/>
    <w:rsid w:val="005921CB"/>
    <w:rsid w:val="005922B2"/>
    <w:rsid w:val="0059244C"/>
    <w:rsid w:val="00592589"/>
    <w:rsid w:val="005926C4"/>
    <w:rsid w:val="005927B5"/>
    <w:rsid w:val="005927C9"/>
    <w:rsid w:val="00592864"/>
    <w:rsid w:val="00592A63"/>
    <w:rsid w:val="00592D33"/>
    <w:rsid w:val="00592F0B"/>
    <w:rsid w:val="00592FC9"/>
    <w:rsid w:val="0059305D"/>
    <w:rsid w:val="005931F2"/>
    <w:rsid w:val="005935C9"/>
    <w:rsid w:val="005939D4"/>
    <w:rsid w:val="00593AB3"/>
    <w:rsid w:val="00593AE1"/>
    <w:rsid w:val="00593BB9"/>
    <w:rsid w:val="00593C00"/>
    <w:rsid w:val="00593D56"/>
    <w:rsid w:val="00593ED1"/>
    <w:rsid w:val="0059414F"/>
    <w:rsid w:val="0059424C"/>
    <w:rsid w:val="0059431E"/>
    <w:rsid w:val="0059434C"/>
    <w:rsid w:val="00594580"/>
    <w:rsid w:val="005947BD"/>
    <w:rsid w:val="00594BA2"/>
    <w:rsid w:val="00594BAB"/>
    <w:rsid w:val="00594FBE"/>
    <w:rsid w:val="00595074"/>
    <w:rsid w:val="005950A8"/>
    <w:rsid w:val="0059511B"/>
    <w:rsid w:val="0059542B"/>
    <w:rsid w:val="0059542E"/>
    <w:rsid w:val="0059570A"/>
    <w:rsid w:val="005958C1"/>
    <w:rsid w:val="00595A0A"/>
    <w:rsid w:val="00595B84"/>
    <w:rsid w:val="00595CA3"/>
    <w:rsid w:val="00595DE6"/>
    <w:rsid w:val="00595E61"/>
    <w:rsid w:val="00595FE0"/>
    <w:rsid w:val="0059613D"/>
    <w:rsid w:val="005962F5"/>
    <w:rsid w:val="0059665E"/>
    <w:rsid w:val="0059687C"/>
    <w:rsid w:val="00596AE0"/>
    <w:rsid w:val="00596B70"/>
    <w:rsid w:val="00597151"/>
    <w:rsid w:val="00597258"/>
    <w:rsid w:val="005973EC"/>
    <w:rsid w:val="005974CE"/>
    <w:rsid w:val="0059775A"/>
    <w:rsid w:val="005977BF"/>
    <w:rsid w:val="005978F5"/>
    <w:rsid w:val="0059795C"/>
    <w:rsid w:val="005979A5"/>
    <w:rsid w:val="005979CD"/>
    <w:rsid w:val="00597B4F"/>
    <w:rsid w:val="00597C5E"/>
    <w:rsid w:val="00597FCD"/>
    <w:rsid w:val="005A01AE"/>
    <w:rsid w:val="005A02D8"/>
    <w:rsid w:val="005A03E1"/>
    <w:rsid w:val="005A094B"/>
    <w:rsid w:val="005A0BE5"/>
    <w:rsid w:val="005A0D68"/>
    <w:rsid w:val="005A0EAC"/>
    <w:rsid w:val="005A0ECC"/>
    <w:rsid w:val="005A0F25"/>
    <w:rsid w:val="005A100C"/>
    <w:rsid w:val="005A102E"/>
    <w:rsid w:val="005A10DF"/>
    <w:rsid w:val="005A111C"/>
    <w:rsid w:val="005A11CD"/>
    <w:rsid w:val="005A1217"/>
    <w:rsid w:val="005A1365"/>
    <w:rsid w:val="005A13E1"/>
    <w:rsid w:val="005A160F"/>
    <w:rsid w:val="005A17AE"/>
    <w:rsid w:val="005A17D1"/>
    <w:rsid w:val="005A188C"/>
    <w:rsid w:val="005A1CC7"/>
    <w:rsid w:val="005A1FA6"/>
    <w:rsid w:val="005A209E"/>
    <w:rsid w:val="005A2739"/>
    <w:rsid w:val="005A28C0"/>
    <w:rsid w:val="005A2F4B"/>
    <w:rsid w:val="005A2F8E"/>
    <w:rsid w:val="005A3090"/>
    <w:rsid w:val="005A30DF"/>
    <w:rsid w:val="005A3162"/>
    <w:rsid w:val="005A3235"/>
    <w:rsid w:val="005A33F0"/>
    <w:rsid w:val="005A34CA"/>
    <w:rsid w:val="005A34CF"/>
    <w:rsid w:val="005A3568"/>
    <w:rsid w:val="005A37EE"/>
    <w:rsid w:val="005A382A"/>
    <w:rsid w:val="005A385E"/>
    <w:rsid w:val="005A398D"/>
    <w:rsid w:val="005A3C77"/>
    <w:rsid w:val="005A3D00"/>
    <w:rsid w:val="005A3D1B"/>
    <w:rsid w:val="005A3DB1"/>
    <w:rsid w:val="005A4035"/>
    <w:rsid w:val="005A42AB"/>
    <w:rsid w:val="005A42BE"/>
    <w:rsid w:val="005A44A1"/>
    <w:rsid w:val="005A478F"/>
    <w:rsid w:val="005A4884"/>
    <w:rsid w:val="005A48E6"/>
    <w:rsid w:val="005A4ACC"/>
    <w:rsid w:val="005A4C88"/>
    <w:rsid w:val="005A4D65"/>
    <w:rsid w:val="005A4D7E"/>
    <w:rsid w:val="005A4FBD"/>
    <w:rsid w:val="005A50A7"/>
    <w:rsid w:val="005A52FB"/>
    <w:rsid w:val="005A563E"/>
    <w:rsid w:val="005A565B"/>
    <w:rsid w:val="005A5A4D"/>
    <w:rsid w:val="005A5AE7"/>
    <w:rsid w:val="005A5D38"/>
    <w:rsid w:val="005A5E1D"/>
    <w:rsid w:val="005A5E25"/>
    <w:rsid w:val="005A5F81"/>
    <w:rsid w:val="005A5FE9"/>
    <w:rsid w:val="005A607B"/>
    <w:rsid w:val="005A62C7"/>
    <w:rsid w:val="005A6382"/>
    <w:rsid w:val="005A6407"/>
    <w:rsid w:val="005A648B"/>
    <w:rsid w:val="005A666E"/>
    <w:rsid w:val="005A6838"/>
    <w:rsid w:val="005A68DA"/>
    <w:rsid w:val="005A6A31"/>
    <w:rsid w:val="005A6AC2"/>
    <w:rsid w:val="005A6D23"/>
    <w:rsid w:val="005A703E"/>
    <w:rsid w:val="005A7077"/>
    <w:rsid w:val="005A71E8"/>
    <w:rsid w:val="005A72E2"/>
    <w:rsid w:val="005A73D9"/>
    <w:rsid w:val="005A7423"/>
    <w:rsid w:val="005A766B"/>
    <w:rsid w:val="005A77CE"/>
    <w:rsid w:val="005A7AA8"/>
    <w:rsid w:val="005A7AE9"/>
    <w:rsid w:val="005A7AEB"/>
    <w:rsid w:val="005A7B35"/>
    <w:rsid w:val="005A7E68"/>
    <w:rsid w:val="005B05C3"/>
    <w:rsid w:val="005B0633"/>
    <w:rsid w:val="005B094B"/>
    <w:rsid w:val="005B0A03"/>
    <w:rsid w:val="005B0A1D"/>
    <w:rsid w:val="005B0C7D"/>
    <w:rsid w:val="005B0D46"/>
    <w:rsid w:val="005B0D4A"/>
    <w:rsid w:val="005B0DA5"/>
    <w:rsid w:val="005B0DDD"/>
    <w:rsid w:val="005B1018"/>
    <w:rsid w:val="005B10AA"/>
    <w:rsid w:val="005B11AF"/>
    <w:rsid w:val="005B129B"/>
    <w:rsid w:val="005B12EB"/>
    <w:rsid w:val="005B12F0"/>
    <w:rsid w:val="005B140F"/>
    <w:rsid w:val="005B161A"/>
    <w:rsid w:val="005B1817"/>
    <w:rsid w:val="005B1B32"/>
    <w:rsid w:val="005B1B5E"/>
    <w:rsid w:val="005B1C01"/>
    <w:rsid w:val="005B1CE3"/>
    <w:rsid w:val="005B1D55"/>
    <w:rsid w:val="005B1E0D"/>
    <w:rsid w:val="005B2054"/>
    <w:rsid w:val="005B2217"/>
    <w:rsid w:val="005B2467"/>
    <w:rsid w:val="005B2629"/>
    <w:rsid w:val="005B2698"/>
    <w:rsid w:val="005B2B64"/>
    <w:rsid w:val="005B2BA6"/>
    <w:rsid w:val="005B2DA4"/>
    <w:rsid w:val="005B2DE8"/>
    <w:rsid w:val="005B2E2E"/>
    <w:rsid w:val="005B3043"/>
    <w:rsid w:val="005B3235"/>
    <w:rsid w:val="005B337D"/>
    <w:rsid w:val="005B34DC"/>
    <w:rsid w:val="005B36D6"/>
    <w:rsid w:val="005B376D"/>
    <w:rsid w:val="005B3835"/>
    <w:rsid w:val="005B3AB5"/>
    <w:rsid w:val="005B3C15"/>
    <w:rsid w:val="005B3D07"/>
    <w:rsid w:val="005B3F0E"/>
    <w:rsid w:val="005B3F80"/>
    <w:rsid w:val="005B4181"/>
    <w:rsid w:val="005B41B6"/>
    <w:rsid w:val="005B4440"/>
    <w:rsid w:val="005B480D"/>
    <w:rsid w:val="005B499E"/>
    <w:rsid w:val="005B49DD"/>
    <w:rsid w:val="005B4BF2"/>
    <w:rsid w:val="005B4C4C"/>
    <w:rsid w:val="005B4D76"/>
    <w:rsid w:val="005B4E2F"/>
    <w:rsid w:val="005B4EA3"/>
    <w:rsid w:val="005B4F1E"/>
    <w:rsid w:val="005B4F99"/>
    <w:rsid w:val="005B4FAD"/>
    <w:rsid w:val="005B4FC9"/>
    <w:rsid w:val="005B5059"/>
    <w:rsid w:val="005B50AC"/>
    <w:rsid w:val="005B50FE"/>
    <w:rsid w:val="005B53AD"/>
    <w:rsid w:val="005B5A23"/>
    <w:rsid w:val="005B5CA5"/>
    <w:rsid w:val="005B5E12"/>
    <w:rsid w:val="005B5E37"/>
    <w:rsid w:val="005B5EEC"/>
    <w:rsid w:val="005B6239"/>
    <w:rsid w:val="005B6457"/>
    <w:rsid w:val="005B64A2"/>
    <w:rsid w:val="005B6C3F"/>
    <w:rsid w:val="005B6CAF"/>
    <w:rsid w:val="005B6DF3"/>
    <w:rsid w:val="005B70AB"/>
    <w:rsid w:val="005B71D7"/>
    <w:rsid w:val="005B720C"/>
    <w:rsid w:val="005B7315"/>
    <w:rsid w:val="005B73D0"/>
    <w:rsid w:val="005B7409"/>
    <w:rsid w:val="005B7541"/>
    <w:rsid w:val="005B780D"/>
    <w:rsid w:val="005B7955"/>
    <w:rsid w:val="005B7B08"/>
    <w:rsid w:val="005B7B28"/>
    <w:rsid w:val="005B7F69"/>
    <w:rsid w:val="005C0516"/>
    <w:rsid w:val="005C076F"/>
    <w:rsid w:val="005C0921"/>
    <w:rsid w:val="005C0B29"/>
    <w:rsid w:val="005C0BAC"/>
    <w:rsid w:val="005C0F4B"/>
    <w:rsid w:val="005C12E4"/>
    <w:rsid w:val="005C1308"/>
    <w:rsid w:val="005C140E"/>
    <w:rsid w:val="005C1422"/>
    <w:rsid w:val="005C1507"/>
    <w:rsid w:val="005C15F3"/>
    <w:rsid w:val="005C18D4"/>
    <w:rsid w:val="005C1B75"/>
    <w:rsid w:val="005C1D35"/>
    <w:rsid w:val="005C1DEE"/>
    <w:rsid w:val="005C1F73"/>
    <w:rsid w:val="005C20A5"/>
    <w:rsid w:val="005C2542"/>
    <w:rsid w:val="005C25F2"/>
    <w:rsid w:val="005C272A"/>
    <w:rsid w:val="005C277C"/>
    <w:rsid w:val="005C2782"/>
    <w:rsid w:val="005C27BB"/>
    <w:rsid w:val="005C298C"/>
    <w:rsid w:val="005C2CC3"/>
    <w:rsid w:val="005C2D6F"/>
    <w:rsid w:val="005C2E49"/>
    <w:rsid w:val="005C314F"/>
    <w:rsid w:val="005C319A"/>
    <w:rsid w:val="005C326E"/>
    <w:rsid w:val="005C33A3"/>
    <w:rsid w:val="005C33AE"/>
    <w:rsid w:val="005C3434"/>
    <w:rsid w:val="005C34E1"/>
    <w:rsid w:val="005C3571"/>
    <w:rsid w:val="005C3686"/>
    <w:rsid w:val="005C378B"/>
    <w:rsid w:val="005C3933"/>
    <w:rsid w:val="005C399A"/>
    <w:rsid w:val="005C3B65"/>
    <w:rsid w:val="005C3C6A"/>
    <w:rsid w:val="005C3D0E"/>
    <w:rsid w:val="005C3F18"/>
    <w:rsid w:val="005C3F4E"/>
    <w:rsid w:val="005C404C"/>
    <w:rsid w:val="005C415B"/>
    <w:rsid w:val="005C41E9"/>
    <w:rsid w:val="005C433E"/>
    <w:rsid w:val="005C43A5"/>
    <w:rsid w:val="005C43AA"/>
    <w:rsid w:val="005C46F7"/>
    <w:rsid w:val="005C4868"/>
    <w:rsid w:val="005C4886"/>
    <w:rsid w:val="005C4908"/>
    <w:rsid w:val="005C4B8C"/>
    <w:rsid w:val="005C4BC0"/>
    <w:rsid w:val="005C4BF0"/>
    <w:rsid w:val="005C4CD9"/>
    <w:rsid w:val="005C4FF0"/>
    <w:rsid w:val="005C5081"/>
    <w:rsid w:val="005C521E"/>
    <w:rsid w:val="005C53D8"/>
    <w:rsid w:val="005C53DB"/>
    <w:rsid w:val="005C5621"/>
    <w:rsid w:val="005C5B3C"/>
    <w:rsid w:val="005C5CEF"/>
    <w:rsid w:val="005C5DE5"/>
    <w:rsid w:val="005C5E99"/>
    <w:rsid w:val="005C5F69"/>
    <w:rsid w:val="005C63A4"/>
    <w:rsid w:val="005C6430"/>
    <w:rsid w:val="005C64D9"/>
    <w:rsid w:val="005C667F"/>
    <w:rsid w:val="005C66DA"/>
    <w:rsid w:val="005C670C"/>
    <w:rsid w:val="005C6A26"/>
    <w:rsid w:val="005C6E7E"/>
    <w:rsid w:val="005C705F"/>
    <w:rsid w:val="005C732D"/>
    <w:rsid w:val="005C741F"/>
    <w:rsid w:val="005C7561"/>
    <w:rsid w:val="005C757A"/>
    <w:rsid w:val="005C775F"/>
    <w:rsid w:val="005C783E"/>
    <w:rsid w:val="005C7AEF"/>
    <w:rsid w:val="005C7B5E"/>
    <w:rsid w:val="005C7CBC"/>
    <w:rsid w:val="005C7D74"/>
    <w:rsid w:val="005C7DF4"/>
    <w:rsid w:val="005D006E"/>
    <w:rsid w:val="005D0141"/>
    <w:rsid w:val="005D0211"/>
    <w:rsid w:val="005D0284"/>
    <w:rsid w:val="005D0348"/>
    <w:rsid w:val="005D03C7"/>
    <w:rsid w:val="005D0571"/>
    <w:rsid w:val="005D0823"/>
    <w:rsid w:val="005D09F6"/>
    <w:rsid w:val="005D09FA"/>
    <w:rsid w:val="005D0C1B"/>
    <w:rsid w:val="005D0D34"/>
    <w:rsid w:val="005D0DC7"/>
    <w:rsid w:val="005D0E10"/>
    <w:rsid w:val="005D0EAB"/>
    <w:rsid w:val="005D0EFD"/>
    <w:rsid w:val="005D0F06"/>
    <w:rsid w:val="005D12A8"/>
    <w:rsid w:val="005D1408"/>
    <w:rsid w:val="005D14CC"/>
    <w:rsid w:val="005D158B"/>
    <w:rsid w:val="005D15F8"/>
    <w:rsid w:val="005D1AEC"/>
    <w:rsid w:val="005D1DD0"/>
    <w:rsid w:val="005D1DDD"/>
    <w:rsid w:val="005D1E2E"/>
    <w:rsid w:val="005D1ED4"/>
    <w:rsid w:val="005D1F03"/>
    <w:rsid w:val="005D2219"/>
    <w:rsid w:val="005D2838"/>
    <w:rsid w:val="005D2956"/>
    <w:rsid w:val="005D298A"/>
    <w:rsid w:val="005D29A4"/>
    <w:rsid w:val="005D2B7C"/>
    <w:rsid w:val="005D2EC2"/>
    <w:rsid w:val="005D2ED0"/>
    <w:rsid w:val="005D2FDC"/>
    <w:rsid w:val="005D3161"/>
    <w:rsid w:val="005D31EA"/>
    <w:rsid w:val="005D3223"/>
    <w:rsid w:val="005D32F1"/>
    <w:rsid w:val="005D337A"/>
    <w:rsid w:val="005D3524"/>
    <w:rsid w:val="005D3538"/>
    <w:rsid w:val="005D3546"/>
    <w:rsid w:val="005D3B39"/>
    <w:rsid w:val="005D3B6E"/>
    <w:rsid w:val="005D3BB4"/>
    <w:rsid w:val="005D3CDB"/>
    <w:rsid w:val="005D3CEE"/>
    <w:rsid w:val="005D3DA9"/>
    <w:rsid w:val="005D4007"/>
    <w:rsid w:val="005D4097"/>
    <w:rsid w:val="005D4126"/>
    <w:rsid w:val="005D4138"/>
    <w:rsid w:val="005D41FD"/>
    <w:rsid w:val="005D41FE"/>
    <w:rsid w:val="005D449C"/>
    <w:rsid w:val="005D44C9"/>
    <w:rsid w:val="005D44FE"/>
    <w:rsid w:val="005D45A4"/>
    <w:rsid w:val="005D4C06"/>
    <w:rsid w:val="005D4C13"/>
    <w:rsid w:val="005D4CC8"/>
    <w:rsid w:val="005D4FE2"/>
    <w:rsid w:val="005D513B"/>
    <w:rsid w:val="005D5366"/>
    <w:rsid w:val="005D552B"/>
    <w:rsid w:val="005D557A"/>
    <w:rsid w:val="005D55C7"/>
    <w:rsid w:val="005D5836"/>
    <w:rsid w:val="005D592F"/>
    <w:rsid w:val="005D5A16"/>
    <w:rsid w:val="005D5D2D"/>
    <w:rsid w:val="005D5D87"/>
    <w:rsid w:val="005D5FEA"/>
    <w:rsid w:val="005D6059"/>
    <w:rsid w:val="005D618E"/>
    <w:rsid w:val="005D63E1"/>
    <w:rsid w:val="005D657A"/>
    <w:rsid w:val="005D6641"/>
    <w:rsid w:val="005D66F5"/>
    <w:rsid w:val="005D69A9"/>
    <w:rsid w:val="005D69FC"/>
    <w:rsid w:val="005D6A4F"/>
    <w:rsid w:val="005D6A7A"/>
    <w:rsid w:val="005D6BA2"/>
    <w:rsid w:val="005D713E"/>
    <w:rsid w:val="005D71F2"/>
    <w:rsid w:val="005D727A"/>
    <w:rsid w:val="005D753F"/>
    <w:rsid w:val="005D75CB"/>
    <w:rsid w:val="005D763A"/>
    <w:rsid w:val="005D7733"/>
    <w:rsid w:val="005D7767"/>
    <w:rsid w:val="005D7C87"/>
    <w:rsid w:val="005D7E96"/>
    <w:rsid w:val="005D7F51"/>
    <w:rsid w:val="005D7FAC"/>
    <w:rsid w:val="005E0131"/>
    <w:rsid w:val="005E035F"/>
    <w:rsid w:val="005E03F9"/>
    <w:rsid w:val="005E05DA"/>
    <w:rsid w:val="005E0C06"/>
    <w:rsid w:val="005E0E05"/>
    <w:rsid w:val="005E0E54"/>
    <w:rsid w:val="005E10D7"/>
    <w:rsid w:val="005E11F2"/>
    <w:rsid w:val="005E11F7"/>
    <w:rsid w:val="005E1636"/>
    <w:rsid w:val="005E170A"/>
    <w:rsid w:val="005E1723"/>
    <w:rsid w:val="005E2013"/>
    <w:rsid w:val="005E219F"/>
    <w:rsid w:val="005E21F1"/>
    <w:rsid w:val="005E2306"/>
    <w:rsid w:val="005E2433"/>
    <w:rsid w:val="005E2490"/>
    <w:rsid w:val="005E24DB"/>
    <w:rsid w:val="005E265D"/>
    <w:rsid w:val="005E2C06"/>
    <w:rsid w:val="005E2DF2"/>
    <w:rsid w:val="005E3246"/>
    <w:rsid w:val="005E3440"/>
    <w:rsid w:val="005E362C"/>
    <w:rsid w:val="005E37F2"/>
    <w:rsid w:val="005E3875"/>
    <w:rsid w:val="005E38C8"/>
    <w:rsid w:val="005E3AEB"/>
    <w:rsid w:val="005E3CDA"/>
    <w:rsid w:val="005E3D98"/>
    <w:rsid w:val="005E3E76"/>
    <w:rsid w:val="005E3F2E"/>
    <w:rsid w:val="005E3FE0"/>
    <w:rsid w:val="005E4364"/>
    <w:rsid w:val="005E444B"/>
    <w:rsid w:val="005E45A9"/>
    <w:rsid w:val="005E4723"/>
    <w:rsid w:val="005E4831"/>
    <w:rsid w:val="005E4C64"/>
    <w:rsid w:val="005E4C8B"/>
    <w:rsid w:val="005E4CF4"/>
    <w:rsid w:val="005E4D39"/>
    <w:rsid w:val="005E4DC1"/>
    <w:rsid w:val="005E5066"/>
    <w:rsid w:val="005E5110"/>
    <w:rsid w:val="005E515C"/>
    <w:rsid w:val="005E52F1"/>
    <w:rsid w:val="005E5321"/>
    <w:rsid w:val="005E5334"/>
    <w:rsid w:val="005E535A"/>
    <w:rsid w:val="005E5414"/>
    <w:rsid w:val="005E544F"/>
    <w:rsid w:val="005E555B"/>
    <w:rsid w:val="005E55CF"/>
    <w:rsid w:val="005E580A"/>
    <w:rsid w:val="005E5849"/>
    <w:rsid w:val="005E5863"/>
    <w:rsid w:val="005E5A45"/>
    <w:rsid w:val="005E5B1F"/>
    <w:rsid w:val="005E5B33"/>
    <w:rsid w:val="005E5CF2"/>
    <w:rsid w:val="005E5CFC"/>
    <w:rsid w:val="005E6265"/>
    <w:rsid w:val="005E637B"/>
    <w:rsid w:val="005E65B7"/>
    <w:rsid w:val="005E65EB"/>
    <w:rsid w:val="005E6645"/>
    <w:rsid w:val="005E6692"/>
    <w:rsid w:val="005E67BE"/>
    <w:rsid w:val="005E6909"/>
    <w:rsid w:val="005E698A"/>
    <w:rsid w:val="005E69F6"/>
    <w:rsid w:val="005E6C33"/>
    <w:rsid w:val="005E6C98"/>
    <w:rsid w:val="005E6DFD"/>
    <w:rsid w:val="005E6F80"/>
    <w:rsid w:val="005E7251"/>
    <w:rsid w:val="005E73EE"/>
    <w:rsid w:val="005E744D"/>
    <w:rsid w:val="005E74B0"/>
    <w:rsid w:val="005E75A9"/>
    <w:rsid w:val="005E78A8"/>
    <w:rsid w:val="005E78C8"/>
    <w:rsid w:val="005E7A8A"/>
    <w:rsid w:val="005E7B56"/>
    <w:rsid w:val="005E7C77"/>
    <w:rsid w:val="005F00CE"/>
    <w:rsid w:val="005F0652"/>
    <w:rsid w:val="005F06F4"/>
    <w:rsid w:val="005F073E"/>
    <w:rsid w:val="005F0804"/>
    <w:rsid w:val="005F0842"/>
    <w:rsid w:val="005F0A0A"/>
    <w:rsid w:val="005F0A36"/>
    <w:rsid w:val="005F0B1A"/>
    <w:rsid w:val="005F0C18"/>
    <w:rsid w:val="005F0CF5"/>
    <w:rsid w:val="005F0ED7"/>
    <w:rsid w:val="005F0EF0"/>
    <w:rsid w:val="005F0F5F"/>
    <w:rsid w:val="005F1149"/>
    <w:rsid w:val="005F136B"/>
    <w:rsid w:val="005F1370"/>
    <w:rsid w:val="005F15CE"/>
    <w:rsid w:val="005F1668"/>
    <w:rsid w:val="005F16C7"/>
    <w:rsid w:val="005F1717"/>
    <w:rsid w:val="005F196E"/>
    <w:rsid w:val="005F1E6D"/>
    <w:rsid w:val="005F201B"/>
    <w:rsid w:val="005F2087"/>
    <w:rsid w:val="005F20E6"/>
    <w:rsid w:val="005F2555"/>
    <w:rsid w:val="005F274B"/>
    <w:rsid w:val="005F27AE"/>
    <w:rsid w:val="005F294A"/>
    <w:rsid w:val="005F2B69"/>
    <w:rsid w:val="005F2CD3"/>
    <w:rsid w:val="005F2D65"/>
    <w:rsid w:val="005F2E94"/>
    <w:rsid w:val="005F2EDC"/>
    <w:rsid w:val="005F2F9C"/>
    <w:rsid w:val="005F2FAE"/>
    <w:rsid w:val="005F3248"/>
    <w:rsid w:val="005F3524"/>
    <w:rsid w:val="005F35E1"/>
    <w:rsid w:val="005F3897"/>
    <w:rsid w:val="005F3D9F"/>
    <w:rsid w:val="005F3DFB"/>
    <w:rsid w:val="005F3E0F"/>
    <w:rsid w:val="005F3E64"/>
    <w:rsid w:val="005F3EF7"/>
    <w:rsid w:val="005F41BD"/>
    <w:rsid w:val="005F41CE"/>
    <w:rsid w:val="005F42C0"/>
    <w:rsid w:val="005F458F"/>
    <w:rsid w:val="005F4712"/>
    <w:rsid w:val="005F490C"/>
    <w:rsid w:val="005F4C02"/>
    <w:rsid w:val="005F4DEF"/>
    <w:rsid w:val="005F5053"/>
    <w:rsid w:val="005F5202"/>
    <w:rsid w:val="005F560B"/>
    <w:rsid w:val="005F5630"/>
    <w:rsid w:val="005F56A6"/>
    <w:rsid w:val="005F5BE9"/>
    <w:rsid w:val="005F5D98"/>
    <w:rsid w:val="005F5FCE"/>
    <w:rsid w:val="005F62D1"/>
    <w:rsid w:val="005F63DB"/>
    <w:rsid w:val="005F64B1"/>
    <w:rsid w:val="005F659F"/>
    <w:rsid w:val="005F66D8"/>
    <w:rsid w:val="005F68CC"/>
    <w:rsid w:val="005F6A11"/>
    <w:rsid w:val="005F6F6D"/>
    <w:rsid w:val="005F6FEF"/>
    <w:rsid w:val="005F7035"/>
    <w:rsid w:val="005F7095"/>
    <w:rsid w:val="005F70FF"/>
    <w:rsid w:val="005F718F"/>
    <w:rsid w:val="005F7230"/>
    <w:rsid w:val="005F7446"/>
    <w:rsid w:val="005F746E"/>
    <w:rsid w:val="005F75F7"/>
    <w:rsid w:val="005F7AE4"/>
    <w:rsid w:val="005F7C2F"/>
    <w:rsid w:val="005F7C52"/>
    <w:rsid w:val="005F7CA6"/>
    <w:rsid w:val="005F7CDC"/>
    <w:rsid w:val="005F7D48"/>
    <w:rsid w:val="005F7F64"/>
    <w:rsid w:val="0060005A"/>
    <w:rsid w:val="0060015A"/>
    <w:rsid w:val="0060023B"/>
    <w:rsid w:val="006002EB"/>
    <w:rsid w:val="00600739"/>
    <w:rsid w:val="006009E3"/>
    <w:rsid w:val="00600A09"/>
    <w:rsid w:val="00600A7C"/>
    <w:rsid w:val="00600B20"/>
    <w:rsid w:val="00600EF3"/>
    <w:rsid w:val="00600FD8"/>
    <w:rsid w:val="00601140"/>
    <w:rsid w:val="0060132E"/>
    <w:rsid w:val="0060151B"/>
    <w:rsid w:val="006015CA"/>
    <w:rsid w:val="00601602"/>
    <w:rsid w:val="00601863"/>
    <w:rsid w:val="00601933"/>
    <w:rsid w:val="00601957"/>
    <w:rsid w:val="00601CFE"/>
    <w:rsid w:val="00601D5F"/>
    <w:rsid w:val="00601DEF"/>
    <w:rsid w:val="00601EFD"/>
    <w:rsid w:val="00601F5C"/>
    <w:rsid w:val="006020BF"/>
    <w:rsid w:val="006020F6"/>
    <w:rsid w:val="006024B1"/>
    <w:rsid w:val="006025B5"/>
    <w:rsid w:val="0060265D"/>
    <w:rsid w:val="006028FA"/>
    <w:rsid w:val="006029AF"/>
    <w:rsid w:val="006029EE"/>
    <w:rsid w:val="00602C1D"/>
    <w:rsid w:val="00602C35"/>
    <w:rsid w:val="00602DDA"/>
    <w:rsid w:val="00602EA9"/>
    <w:rsid w:val="00602ED1"/>
    <w:rsid w:val="00602EF9"/>
    <w:rsid w:val="00603287"/>
    <w:rsid w:val="006034F0"/>
    <w:rsid w:val="00603518"/>
    <w:rsid w:val="00603560"/>
    <w:rsid w:val="006035DC"/>
    <w:rsid w:val="00603827"/>
    <w:rsid w:val="006038FA"/>
    <w:rsid w:val="00603A39"/>
    <w:rsid w:val="00603CAE"/>
    <w:rsid w:val="00603CDA"/>
    <w:rsid w:val="00603D27"/>
    <w:rsid w:val="00603FC4"/>
    <w:rsid w:val="0060405A"/>
    <w:rsid w:val="006041DA"/>
    <w:rsid w:val="00604205"/>
    <w:rsid w:val="006048FC"/>
    <w:rsid w:val="006049E1"/>
    <w:rsid w:val="006049F2"/>
    <w:rsid w:val="00604A4E"/>
    <w:rsid w:val="00604D38"/>
    <w:rsid w:val="00604E91"/>
    <w:rsid w:val="00604E98"/>
    <w:rsid w:val="00605120"/>
    <w:rsid w:val="00605127"/>
    <w:rsid w:val="00605194"/>
    <w:rsid w:val="006051BF"/>
    <w:rsid w:val="006051FB"/>
    <w:rsid w:val="006055BB"/>
    <w:rsid w:val="00605766"/>
    <w:rsid w:val="00605971"/>
    <w:rsid w:val="00605A22"/>
    <w:rsid w:val="00605DD0"/>
    <w:rsid w:val="00605DE0"/>
    <w:rsid w:val="00605E43"/>
    <w:rsid w:val="00606009"/>
    <w:rsid w:val="0060639D"/>
    <w:rsid w:val="006064D5"/>
    <w:rsid w:val="0060689A"/>
    <w:rsid w:val="0060691A"/>
    <w:rsid w:val="00606A19"/>
    <w:rsid w:val="00606ADC"/>
    <w:rsid w:val="00606B62"/>
    <w:rsid w:val="00606BB4"/>
    <w:rsid w:val="00606F5D"/>
    <w:rsid w:val="00606FF7"/>
    <w:rsid w:val="00607057"/>
    <w:rsid w:val="00607080"/>
    <w:rsid w:val="006072CB"/>
    <w:rsid w:val="006073D2"/>
    <w:rsid w:val="006076B8"/>
    <w:rsid w:val="006078D6"/>
    <w:rsid w:val="00607A97"/>
    <w:rsid w:val="00607B8C"/>
    <w:rsid w:val="00607BB5"/>
    <w:rsid w:val="00607BE0"/>
    <w:rsid w:val="00607E16"/>
    <w:rsid w:val="00610087"/>
    <w:rsid w:val="006100FC"/>
    <w:rsid w:val="00610110"/>
    <w:rsid w:val="00610128"/>
    <w:rsid w:val="00610249"/>
    <w:rsid w:val="00610356"/>
    <w:rsid w:val="00610731"/>
    <w:rsid w:val="00610790"/>
    <w:rsid w:val="00610B89"/>
    <w:rsid w:val="006119BD"/>
    <w:rsid w:val="00611CE9"/>
    <w:rsid w:val="00611D20"/>
    <w:rsid w:val="00611D92"/>
    <w:rsid w:val="00612079"/>
    <w:rsid w:val="006121B6"/>
    <w:rsid w:val="006122E8"/>
    <w:rsid w:val="00612445"/>
    <w:rsid w:val="00612447"/>
    <w:rsid w:val="00612667"/>
    <w:rsid w:val="006126B2"/>
    <w:rsid w:val="006127D8"/>
    <w:rsid w:val="006128B9"/>
    <w:rsid w:val="00612A1C"/>
    <w:rsid w:val="00612A5B"/>
    <w:rsid w:val="00612BDD"/>
    <w:rsid w:val="00612C73"/>
    <w:rsid w:val="00612DD9"/>
    <w:rsid w:val="00612EE0"/>
    <w:rsid w:val="006133F9"/>
    <w:rsid w:val="006134DD"/>
    <w:rsid w:val="00613575"/>
    <w:rsid w:val="006135C9"/>
    <w:rsid w:val="006136FE"/>
    <w:rsid w:val="00613731"/>
    <w:rsid w:val="006138E7"/>
    <w:rsid w:val="00613942"/>
    <w:rsid w:val="00614060"/>
    <w:rsid w:val="006140DB"/>
    <w:rsid w:val="0061413F"/>
    <w:rsid w:val="00614414"/>
    <w:rsid w:val="0061446F"/>
    <w:rsid w:val="00614627"/>
    <w:rsid w:val="006146C9"/>
    <w:rsid w:val="00614A97"/>
    <w:rsid w:val="00614BB6"/>
    <w:rsid w:val="00614C15"/>
    <w:rsid w:val="00614C5C"/>
    <w:rsid w:val="00614F41"/>
    <w:rsid w:val="00615055"/>
    <w:rsid w:val="00615320"/>
    <w:rsid w:val="0061544D"/>
    <w:rsid w:val="006156E0"/>
    <w:rsid w:val="00615872"/>
    <w:rsid w:val="006158DB"/>
    <w:rsid w:val="00615B23"/>
    <w:rsid w:val="00615E54"/>
    <w:rsid w:val="00615E6A"/>
    <w:rsid w:val="00615F68"/>
    <w:rsid w:val="006161A5"/>
    <w:rsid w:val="006166AF"/>
    <w:rsid w:val="006166CB"/>
    <w:rsid w:val="0061679A"/>
    <w:rsid w:val="00616873"/>
    <w:rsid w:val="006168AA"/>
    <w:rsid w:val="00616BB3"/>
    <w:rsid w:val="00616DAF"/>
    <w:rsid w:val="00616E4D"/>
    <w:rsid w:val="00616FC9"/>
    <w:rsid w:val="0061703B"/>
    <w:rsid w:val="00617083"/>
    <w:rsid w:val="006170AF"/>
    <w:rsid w:val="0061739D"/>
    <w:rsid w:val="006173DC"/>
    <w:rsid w:val="00617499"/>
    <w:rsid w:val="006175E4"/>
    <w:rsid w:val="00617680"/>
    <w:rsid w:val="006176BA"/>
    <w:rsid w:val="0061775A"/>
    <w:rsid w:val="00617BA4"/>
    <w:rsid w:val="00617E3B"/>
    <w:rsid w:val="00620260"/>
    <w:rsid w:val="006202CC"/>
    <w:rsid w:val="00620342"/>
    <w:rsid w:val="0062038E"/>
    <w:rsid w:val="0062060C"/>
    <w:rsid w:val="00620618"/>
    <w:rsid w:val="00620712"/>
    <w:rsid w:val="00620B0A"/>
    <w:rsid w:val="00620B35"/>
    <w:rsid w:val="00621253"/>
    <w:rsid w:val="0062139F"/>
    <w:rsid w:val="00621488"/>
    <w:rsid w:val="006216D2"/>
    <w:rsid w:val="0062198B"/>
    <w:rsid w:val="00621B72"/>
    <w:rsid w:val="00621F21"/>
    <w:rsid w:val="00621F4C"/>
    <w:rsid w:val="00622172"/>
    <w:rsid w:val="00622233"/>
    <w:rsid w:val="00622248"/>
    <w:rsid w:val="006223FE"/>
    <w:rsid w:val="00622539"/>
    <w:rsid w:val="0062253F"/>
    <w:rsid w:val="006226E6"/>
    <w:rsid w:val="006226EE"/>
    <w:rsid w:val="006227A2"/>
    <w:rsid w:val="0062280E"/>
    <w:rsid w:val="006228D4"/>
    <w:rsid w:val="00622DEB"/>
    <w:rsid w:val="00622E86"/>
    <w:rsid w:val="006232C4"/>
    <w:rsid w:val="006232CD"/>
    <w:rsid w:val="006233FA"/>
    <w:rsid w:val="0062380D"/>
    <w:rsid w:val="00623A7E"/>
    <w:rsid w:val="00623B71"/>
    <w:rsid w:val="00623D97"/>
    <w:rsid w:val="00623FBB"/>
    <w:rsid w:val="006240EC"/>
    <w:rsid w:val="006241B5"/>
    <w:rsid w:val="00624254"/>
    <w:rsid w:val="00624256"/>
    <w:rsid w:val="00624533"/>
    <w:rsid w:val="00624636"/>
    <w:rsid w:val="006247C3"/>
    <w:rsid w:val="00624828"/>
    <w:rsid w:val="00624B6C"/>
    <w:rsid w:val="00624B92"/>
    <w:rsid w:val="00624C0D"/>
    <w:rsid w:val="00624D3C"/>
    <w:rsid w:val="00624E51"/>
    <w:rsid w:val="00624EFB"/>
    <w:rsid w:val="00624F09"/>
    <w:rsid w:val="006250C0"/>
    <w:rsid w:val="006250DD"/>
    <w:rsid w:val="006252DA"/>
    <w:rsid w:val="006252E9"/>
    <w:rsid w:val="00625332"/>
    <w:rsid w:val="006254FD"/>
    <w:rsid w:val="006255DC"/>
    <w:rsid w:val="00625614"/>
    <w:rsid w:val="00625BE4"/>
    <w:rsid w:val="00625C3B"/>
    <w:rsid w:val="00625DE2"/>
    <w:rsid w:val="00625F3D"/>
    <w:rsid w:val="00625F8A"/>
    <w:rsid w:val="00625FE5"/>
    <w:rsid w:val="00626023"/>
    <w:rsid w:val="0062633F"/>
    <w:rsid w:val="0062647D"/>
    <w:rsid w:val="006266C3"/>
    <w:rsid w:val="00626747"/>
    <w:rsid w:val="006268A7"/>
    <w:rsid w:val="006268FF"/>
    <w:rsid w:val="00626991"/>
    <w:rsid w:val="006269FA"/>
    <w:rsid w:val="006269FE"/>
    <w:rsid w:val="00626CF3"/>
    <w:rsid w:val="00626D8A"/>
    <w:rsid w:val="00626DBA"/>
    <w:rsid w:val="00626DCA"/>
    <w:rsid w:val="00626E61"/>
    <w:rsid w:val="00626F42"/>
    <w:rsid w:val="00627044"/>
    <w:rsid w:val="00627059"/>
    <w:rsid w:val="0062729B"/>
    <w:rsid w:val="0062739E"/>
    <w:rsid w:val="006273CF"/>
    <w:rsid w:val="00627471"/>
    <w:rsid w:val="00627520"/>
    <w:rsid w:val="0062754B"/>
    <w:rsid w:val="006278AD"/>
    <w:rsid w:val="00627B7D"/>
    <w:rsid w:val="00627C19"/>
    <w:rsid w:val="00627E1B"/>
    <w:rsid w:val="00627E9E"/>
    <w:rsid w:val="00627F30"/>
    <w:rsid w:val="00630018"/>
    <w:rsid w:val="006301AE"/>
    <w:rsid w:val="006301DE"/>
    <w:rsid w:val="00630747"/>
    <w:rsid w:val="006307B1"/>
    <w:rsid w:val="0063086C"/>
    <w:rsid w:val="00630920"/>
    <w:rsid w:val="006309CA"/>
    <w:rsid w:val="00630D3D"/>
    <w:rsid w:val="00630F10"/>
    <w:rsid w:val="00630FCD"/>
    <w:rsid w:val="00631168"/>
    <w:rsid w:val="0063116B"/>
    <w:rsid w:val="00631191"/>
    <w:rsid w:val="0063131F"/>
    <w:rsid w:val="0063164D"/>
    <w:rsid w:val="0063187C"/>
    <w:rsid w:val="00631B2A"/>
    <w:rsid w:val="00631C51"/>
    <w:rsid w:val="00631D9D"/>
    <w:rsid w:val="006321EE"/>
    <w:rsid w:val="0063220F"/>
    <w:rsid w:val="00632228"/>
    <w:rsid w:val="006326CA"/>
    <w:rsid w:val="00632794"/>
    <w:rsid w:val="006327DF"/>
    <w:rsid w:val="0063292F"/>
    <w:rsid w:val="00632988"/>
    <w:rsid w:val="00632A5C"/>
    <w:rsid w:val="00632A6A"/>
    <w:rsid w:val="00632A73"/>
    <w:rsid w:val="00632D82"/>
    <w:rsid w:val="00632DAA"/>
    <w:rsid w:val="00632E2A"/>
    <w:rsid w:val="00632FAB"/>
    <w:rsid w:val="00632FCD"/>
    <w:rsid w:val="00633086"/>
    <w:rsid w:val="006331CB"/>
    <w:rsid w:val="006332E5"/>
    <w:rsid w:val="0063340F"/>
    <w:rsid w:val="006334A6"/>
    <w:rsid w:val="006335E9"/>
    <w:rsid w:val="006336A6"/>
    <w:rsid w:val="0063375D"/>
    <w:rsid w:val="00633A76"/>
    <w:rsid w:val="00633C20"/>
    <w:rsid w:val="00633DDF"/>
    <w:rsid w:val="006342FA"/>
    <w:rsid w:val="00634375"/>
    <w:rsid w:val="00634503"/>
    <w:rsid w:val="00634545"/>
    <w:rsid w:val="006345F0"/>
    <w:rsid w:val="006346FD"/>
    <w:rsid w:val="0063482C"/>
    <w:rsid w:val="00634908"/>
    <w:rsid w:val="00634ACE"/>
    <w:rsid w:val="00634C16"/>
    <w:rsid w:val="00634D0E"/>
    <w:rsid w:val="00634D8E"/>
    <w:rsid w:val="00634E4E"/>
    <w:rsid w:val="00634E96"/>
    <w:rsid w:val="00634FE3"/>
    <w:rsid w:val="006351BB"/>
    <w:rsid w:val="00635313"/>
    <w:rsid w:val="006353AA"/>
    <w:rsid w:val="0063567E"/>
    <w:rsid w:val="006356B4"/>
    <w:rsid w:val="006356D5"/>
    <w:rsid w:val="0063585D"/>
    <w:rsid w:val="00635904"/>
    <w:rsid w:val="00635B31"/>
    <w:rsid w:val="00635D9C"/>
    <w:rsid w:val="00635F6C"/>
    <w:rsid w:val="00636065"/>
    <w:rsid w:val="00636176"/>
    <w:rsid w:val="0063623E"/>
    <w:rsid w:val="0063681D"/>
    <w:rsid w:val="0063687D"/>
    <w:rsid w:val="006368CD"/>
    <w:rsid w:val="00636B89"/>
    <w:rsid w:val="00636D15"/>
    <w:rsid w:val="00637115"/>
    <w:rsid w:val="006371E7"/>
    <w:rsid w:val="00637229"/>
    <w:rsid w:val="006372F8"/>
    <w:rsid w:val="006374B6"/>
    <w:rsid w:val="006375E1"/>
    <w:rsid w:val="00637905"/>
    <w:rsid w:val="00637AA1"/>
    <w:rsid w:val="00637CB8"/>
    <w:rsid w:val="00637CE9"/>
    <w:rsid w:val="00637D89"/>
    <w:rsid w:val="006401DB"/>
    <w:rsid w:val="00640229"/>
    <w:rsid w:val="006404EC"/>
    <w:rsid w:val="00640715"/>
    <w:rsid w:val="006409DD"/>
    <w:rsid w:val="00640A1A"/>
    <w:rsid w:val="00640E76"/>
    <w:rsid w:val="0064102E"/>
    <w:rsid w:val="0064116F"/>
    <w:rsid w:val="0064122A"/>
    <w:rsid w:val="0064124C"/>
    <w:rsid w:val="006412A5"/>
    <w:rsid w:val="0064140B"/>
    <w:rsid w:val="0064198B"/>
    <w:rsid w:val="00641BEF"/>
    <w:rsid w:val="00641CA3"/>
    <w:rsid w:val="00641CF2"/>
    <w:rsid w:val="00641D09"/>
    <w:rsid w:val="00641F06"/>
    <w:rsid w:val="00642022"/>
    <w:rsid w:val="00642060"/>
    <w:rsid w:val="006420E9"/>
    <w:rsid w:val="006421F4"/>
    <w:rsid w:val="0064254F"/>
    <w:rsid w:val="006425F3"/>
    <w:rsid w:val="00642862"/>
    <w:rsid w:val="0064292B"/>
    <w:rsid w:val="00642A91"/>
    <w:rsid w:val="00642B8F"/>
    <w:rsid w:val="00642BB3"/>
    <w:rsid w:val="00642C35"/>
    <w:rsid w:val="00642CD8"/>
    <w:rsid w:val="00642CDA"/>
    <w:rsid w:val="00642E37"/>
    <w:rsid w:val="00642E7A"/>
    <w:rsid w:val="00642F46"/>
    <w:rsid w:val="00643082"/>
    <w:rsid w:val="0064346F"/>
    <w:rsid w:val="00643550"/>
    <w:rsid w:val="00643621"/>
    <w:rsid w:val="00643C12"/>
    <w:rsid w:val="00643F83"/>
    <w:rsid w:val="0064403A"/>
    <w:rsid w:val="0064408B"/>
    <w:rsid w:val="00644353"/>
    <w:rsid w:val="006443D6"/>
    <w:rsid w:val="00644502"/>
    <w:rsid w:val="0064454F"/>
    <w:rsid w:val="00644654"/>
    <w:rsid w:val="006447EF"/>
    <w:rsid w:val="006448FB"/>
    <w:rsid w:val="006449DF"/>
    <w:rsid w:val="00644D9A"/>
    <w:rsid w:val="00644E56"/>
    <w:rsid w:val="00644F34"/>
    <w:rsid w:val="0064501D"/>
    <w:rsid w:val="00645577"/>
    <w:rsid w:val="006455CB"/>
    <w:rsid w:val="0064577E"/>
    <w:rsid w:val="00645942"/>
    <w:rsid w:val="00645B0E"/>
    <w:rsid w:val="00645B62"/>
    <w:rsid w:val="00645B67"/>
    <w:rsid w:val="00645D4A"/>
    <w:rsid w:val="00645D68"/>
    <w:rsid w:val="00645F62"/>
    <w:rsid w:val="00645F9C"/>
    <w:rsid w:val="00646049"/>
    <w:rsid w:val="006464EE"/>
    <w:rsid w:val="0064656D"/>
    <w:rsid w:val="006465CB"/>
    <w:rsid w:val="00646780"/>
    <w:rsid w:val="006469AA"/>
    <w:rsid w:val="00646A7B"/>
    <w:rsid w:val="00646B57"/>
    <w:rsid w:val="00646B9B"/>
    <w:rsid w:val="00646DE7"/>
    <w:rsid w:val="00646EB9"/>
    <w:rsid w:val="0064722D"/>
    <w:rsid w:val="0064724A"/>
    <w:rsid w:val="006475B1"/>
    <w:rsid w:val="00647655"/>
    <w:rsid w:val="00647836"/>
    <w:rsid w:val="006479A6"/>
    <w:rsid w:val="00647B82"/>
    <w:rsid w:val="00647C18"/>
    <w:rsid w:val="00647C5D"/>
    <w:rsid w:val="00647D0B"/>
    <w:rsid w:val="00647D6B"/>
    <w:rsid w:val="00647E5B"/>
    <w:rsid w:val="00647E77"/>
    <w:rsid w:val="00647EC3"/>
    <w:rsid w:val="006502A1"/>
    <w:rsid w:val="006505DF"/>
    <w:rsid w:val="00650632"/>
    <w:rsid w:val="006506C0"/>
    <w:rsid w:val="006506EE"/>
    <w:rsid w:val="00650876"/>
    <w:rsid w:val="00650884"/>
    <w:rsid w:val="00650963"/>
    <w:rsid w:val="00650991"/>
    <w:rsid w:val="00650B71"/>
    <w:rsid w:val="00650BCF"/>
    <w:rsid w:val="00650C38"/>
    <w:rsid w:val="00650CE9"/>
    <w:rsid w:val="00650CED"/>
    <w:rsid w:val="00650EF5"/>
    <w:rsid w:val="00650F8D"/>
    <w:rsid w:val="00651075"/>
    <w:rsid w:val="0065107C"/>
    <w:rsid w:val="00651320"/>
    <w:rsid w:val="006513AF"/>
    <w:rsid w:val="00651535"/>
    <w:rsid w:val="00651A1A"/>
    <w:rsid w:val="00651A89"/>
    <w:rsid w:val="00651DE3"/>
    <w:rsid w:val="00651DFD"/>
    <w:rsid w:val="006520A2"/>
    <w:rsid w:val="00652248"/>
    <w:rsid w:val="006524BE"/>
    <w:rsid w:val="006526B1"/>
    <w:rsid w:val="006527F0"/>
    <w:rsid w:val="00652897"/>
    <w:rsid w:val="00652D5B"/>
    <w:rsid w:val="00652DCE"/>
    <w:rsid w:val="00652F15"/>
    <w:rsid w:val="0065302F"/>
    <w:rsid w:val="00653103"/>
    <w:rsid w:val="0065318E"/>
    <w:rsid w:val="006531DB"/>
    <w:rsid w:val="006532C9"/>
    <w:rsid w:val="00653402"/>
    <w:rsid w:val="0065356B"/>
    <w:rsid w:val="006536A6"/>
    <w:rsid w:val="006538AC"/>
    <w:rsid w:val="00653A0A"/>
    <w:rsid w:val="00653B32"/>
    <w:rsid w:val="00653B45"/>
    <w:rsid w:val="00653B5D"/>
    <w:rsid w:val="00653B8F"/>
    <w:rsid w:val="00653EF2"/>
    <w:rsid w:val="0065408C"/>
    <w:rsid w:val="0065410B"/>
    <w:rsid w:val="00654488"/>
    <w:rsid w:val="006545DC"/>
    <w:rsid w:val="00654668"/>
    <w:rsid w:val="006546DC"/>
    <w:rsid w:val="006547C1"/>
    <w:rsid w:val="00654914"/>
    <w:rsid w:val="006549EA"/>
    <w:rsid w:val="00654A19"/>
    <w:rsid w:val="00654C07"/>
    <w:rsid w:val="00654C74"/>
    <w:rsid w:val="00654FE8"/>
    <w:rsid w:val="006553DD"/>
    <w:rsid w:val="00655413"/>
    <w:rsid w:val="006557E4"/>
    <w:rsid w:val="00655856"/>
    <w:rsid w:val="00655AE8"/>
    <w:rsid w:val="00655E15"/>
    <w:rsid w:val="00655E3C"/>
    <w:rsid w:val="00655F50"/>
    <w:rsid w:val="0065602E"/>
    <w:rsid w:val="006561B7"/>
    <w:rsid w:val="006566DB"/>
    <w:rsid w:val="0065674E"/>
    <w:rsid w:val="00656C54"/>
    <w:rsid w:val="00656CB9"/>
    <w:rsid w:val="00656D1F"/>
    <w:rsid w:val="00656D42"/>
    <w:rsid w:val="00656E94"/>
    <w:rsid w:val="00656F91"/>
    <w:rsid w:val="00657163"/>
    <w:rsid w:val="006571B3"/>
    <w:rsid w:val="00657208"/>
    <w:rsid w:val="00657244"/>
    <w:rsid w:val="006572B0"/>
    <w:rsid w:val="00657377"/>
    <w:rsid w:val="006578CD"/>
    <w:rsid w:val="00657B80"/>
    <w:rsid w:val="00657F1E"/>
    <w:rsid w:val="006600EC"/>
    <w:rsid w:val="006604A7"/>
    <w:rsid w:val="006605D9"/>
    <w:rsid w:val="0066087D"/>
    <w:rsid w:val="006608FF"/>
    <w:rsid w:val="0066094A"/>
    <w:rsid w:val="006609B4"/>
    <w:rsid w:val="00660A2C"/>
    <w:rsid w:val="00660B1E"/>
    <w:rsid w:val="00660BE3"/>
    <w:rsid w:val="00660D2A"/>
    <w:rsid w:val="00660DA0"/>
    <w:rsid w:val="00660DB7"/>
    <w:rsid w:val="00660DCB"/>
    <w:rsid w:val="00660E3C"/>
    <w:rsid w:val="00661450"/>
    <w:rsid w:val="006614A1"/>
    <w:rsid w:val="006615EE"/>
    <w:rsid w:val="00661765"/>
    <w:rsid w:val="006617DB"/>
    <w:rsid w:val="00661CA7"/>
    <w:rsid w:val="00661D20"/>
    <w:rsid w:val="0066211B"/>
    <w:rsid w:val="0066221D"/>
    <w:rsid w:val="00662402"/>
    <w:rsid w:val="00662474"/>
    <w:rsid w:val="006624C0"/>
    <w:rsid w:val="00662719"/>
    <w:rsid w:val="00662940"/>
    <w:rsid w:val="00662CA7"/>
    <w:rsid w:val="0066304E"/>
    <w:rsid w:val="00663396"/>
    <w:rsid w:val="006633B7"/>
    <w:rsid w:val="006633FE"/>
    <w:rsid w:val="006636FF"/>
    <w:rsid w:val="006637D0"/>
    <w:rsid w:val="006637FB"/>
    <w:rsid w:val="00663890"/>
    <w:rsid w:val="00663A67"/>
    <w:rsid w:val="00663B6A"/>
    <w:rsid w:val="00663E59"/>
    <w:rsid w:val="00663ED9"/>
    <w:rsid w:val="00663FCF"/>
    <w:rsid w:val="006642B9"/>
    <w:rsid w:val="006642C7"/>
    <w:rsid w:val="00664454"/>
    <w:rsid w:val="006644FF"/>
    <w:rsid w:val="0066454B"/>
    <w:rsid w:val="00664673"/>
    <w:rsid w:val="0066473E"/>
    <w:rsid w:val="006647AF"/>
    <w:rsid w:val="006649FE"/>
    <w:rsid w:val="00664AA9"/>
    <w:rsid w:val="00664CF0"/>
    <w:rsid w:val="00664D48"/>
    <w:rsid w:val="00664DCF"/>
    <w:rsid w:val="00664FB7"/>
    <w:rsid w:val="0066514C"/>
    <w:rsid w:val="00665289"/>
    <w:rsid w:val="00665758"/>
    <w:rsid w:val="00665AAD"/>
    <w:rsid w:val="0066617C"/>
    <w:rsid w:val="006664BA"/>
    <w:rsid w:val="006666BA"/>
    <w:rsid w:val="006668DD"/>
    <w:rsid w:val="00666979"/>
    <w:rsid w:val="00666A58"/>
    <w:rsid w:val="00666C67"/>
    <w:rsid w:val="00666E1C"/>
    <w:rsid w:val="00666E69"/>
    <w:rsid w:val="00666F4B"/>
    <w:rsid w:val="00667356"/>
    <w:rsid w:val="00667506"/>
    <w:rsid w:val="006675F8"/>
    <w:rsid w:val="006679AD"/>
    <w:rsid w:val="00667CC7"/>
    <w:rsid w:val="00670190"/>
    <w:rsid w:val="0067037B"/>
    <w:rsid w:val="00670386"/>
    <w:rsid w:val="00670404"/>
    <w:rsid w:val="00670492"/>
    <w:rsid w:val="00670922"/>
    <w:rsid w:val="006709A1"/>
    <w:rsid w:val="00670ACE"/>
    <w:rsid w:val="00670B4A"/>
    <w:rsid w:val="00670B98"/>
    <w:rsid w:val="00670D18"/>
    <w:rsid w:val="00670DC6"/>
    <w:rsid w:val="00670E2E"/>
    <w:rsid w:val="00671064"/>
    <w:rsid w:val="00671065"/>
    <w:rsid w:val="0067117F"/>
    <w:rsid w:val="00671440"/>
    <w:rsid w:val="0067149D"/>
    <w:rsid w:val="00671A07"/>
    <w:rsid w:val="00671D13"/>
    <w:rsid w:val="00671D4E"/>
    <w:rsid w:val="00671FCB"/>
    <w:rsid w:val="00672082"/>
    <w:rsid w:val="0067209F"/>
    <w:rsid w:val="006721E7"/>
    <w:rsid w:val="00672563"/>
    <w:rsid w:val="006725F0"/>
    <w:rsid w:val="0067265C"/>
    <w:rsid w:val="00672946"/>
    <w:rsid w:val="0067299C"/>
    <w:rsid w:val="00672A31"/>
    <w:rsid w:val="00672B27"/>
    <w:rsid w:val="00672F73"/>
    <w:rsid w:val="006731DD"/>
    <w:rsid w:val="006731E4"/>
    <w:rsid w:val="006733D8"/>
    <w:rsid w:val="00673562"/>
    <w:rsid w:val="00673A93"/>
    <w:rsid w:val="00673AF2"/>
    <w:rsid w:val="00673BB0"/>
    <w:rsid w:val="00673DD6"/>
    <w:rsid w:val="00673EA6"/>
    <w:rsid w:val="00673F0B"/>
    <w:rsid w:val="0067489D"/>
    <w:rsid w:val="006749D5"/>
    <w:rsid w:val="00674B03"/>
    <w:rsid w:val="00674C28"/>
    <w:rsid w:val="00674D78"/>
    <w:rsid w:val="00674DC9"/>
    <w:rsid w:val="00674E62"/>
    <w:rsid w:val="00675168"/>
    <w:rsid w:val="0067519F"/>
    <w:rsid w:val="006752C1"/>
    <w:rsid w:val="0067532E"/>
    <w:rsid w:val="006753F8"/>
    <w:rsid w:val="00675578"/>
    <w:rsid w:val="006756CB"/>
    <w:rsid w:val="00675895"/>
    <w:rsid w:val="00675ABF"/>
    <w:rsid w:val="00675B25"/>
    <w:rsid w:val="00675B36"/>
    <w:rsid w:val="00675D7A"/>
    <w:rsid w:val="00675F27"/>
    <w:rsid w:val="00675F77"/>
    <w:rsid w:val="0067600C"/>
    <w:rsid w:val="00676065"/>
    <w:rsid w:val="006760D4"/>
    <w:rsid w:val="006760FC"/>
    <w:rsid w:val="006762D8"/>
    <w:rsid w:val="00676406"/>
    <w:rsid w:val="0067642C"/>
    <w:rsid w:val="0067651F"/>
    <w:rsid w:val="006766E1"/>
    <w:rsid w:val="006768F9"/>
    <w:rsid w:val="0067696F"/>
    <w:rsid w:val="00676B44"/>
    <w:rsid w:val="00676CD6"/>
    <w:rsid w:val="00676D52"/>
    <w:rsid w:val="0067768C"/>
    <w:rsid w:val="00677710"/>
    <w:rsid w:val="00677765"/>
    <w:rsid w:val="00677D44"/>
    <w:rsid w:val="00677F19"/>
    <w:rsid w:val="00677F35"/>
    <w:rsid w:val="00677FB4"/>
    <w:rsid w:val="00680144"/>
    <w:rsid w:val="0068018A"/>
    <w:rsid w:val="006803D9"/>
    <w:rsid w:val="006804BC"/>
    <w:rsid w:val="0068053E"/>
    <w:rsid w:val="00680762"/>
    <w:rsid w:val="0068090C"/>
    <w:rsid w:val="00680971"/>
    <w:rsid w:val="00680A1F"/>
    <w:rsid w:val="00680AB8"/>
    <w:rsid w:val="00680C23"/>
    <w:rsid w:val="00680E74"/>
    <w:rsid w:val="006811FD"/>
    <w:rsid w:val="006816D2"/>
    <w:rsid w:val="00681773"/>
    <w:rsid w:val="00681890"/>
    <w:rsid w:val="00681957"/>
    <w:rsid w:val="00681D2F"/>
    <w:rsid w:val="00681EF8"/>
    <w:rsid w:val="00682075"/>
    <w:rsid w:val="0068229A"/>
    <w:rsid w:val="0068244B"/>
    <w:rsid w:val="006824E3"/>
    <w:rsid w:val="006826D2"/>
    <w:rsid w:val="006826E5"/>
    <w:rsid w:val="00682A12"/>
    <w:rsid w:val="00682B63"/>
    <w:rsid w:val="00682B64"/>
    <w:rsid w:val="00683001"/>
    <w:rsid w:val="00683039"/>
    <w:rsid w:val="0068309F"/>
    <w:rsid w:val="006830CC"/>
    <w:rsid w:val="00683402"/>
    <w:rsid w:val="0068389F"/>
    <w:rsid w:val="00683A53"/>
    <w:rsid w:val="00683AF7"/>
    <w:rsid w:val="00683EEC"/>
    <w:rsid w:val="0068416A"/>
    <w:rsid w:val="0068438D"/>
    <w:rsid w:val="006843A0"/>
    <w:rsid w:val="00684549"/>
    <w:rsid w:val="0068455F"/>
    <w:rsid w:val="0068463D"/>
    <w:rsid w:val="006846C0"/>
    <w:rsid w:val="00684772"/>
    <w:rsid w:val="00684B52"/>
    <w:rsid w:val="00684BFC"/>
    <w:rsid w:val="00685012"/>
    <w:rsid w:val="00685187"/>
    <w:rsid w:val="00685221"/>
    <w:rsid w:val="0068549E"/>
    <w:rsid w:val="0068552D"/>
    <w:rsid w:val="006855FA"/>
    <w:rsid w:val="006857BB"/>
    <w:rsid w:val="006858F6"/>
    <w:rsid w:val="00685A27"/>
    <w:rsid w:val="00685B50"/>
    <w:rsid w:val="00685B62"/>
    <w:rsid w:val="00685DCD"/>
    <w:rsid w:val="006860F5"/>
    <w:rsid w:val="0068633A"/>
    <w:rsid w:val="0068639D"/>
    <w:rsid w:val="0068649E"/>
    <w:rsid w:val="00686500"/>
    <w:rsid w:val="00686504"/>
    <w:rsid w:val="0068652B"/>
    <w:rsid w:val="0068659A"/>
    <w:rsid w:val="006865E0"/>
    <w:rsid w:val="006865FB"/>
    <w:rsid w:val="00686648"/>
    <w:rsid w:val="00686AEC"/>
    <w:rsid w:val="00686BE9"/>
    <w:rsid w:val="00686D12"/>
    <w:rsid w:val="006871D2"/>
    <w:rsid w:val="00687328"/>
    <w:rsid w:val="0068737B"/>
    <w:rsid w:val="006874D2"/>
    <w:rsid w:val="00687622"/>
    <w:rsid w:val="00687954"/>
    <w:rsid w:val="00687A83"/>
    <w:rsid w:val="00687E44"/>
    <w:rsid w:val="0069022C"/>
    <w:rsid w:val="006906B0"/>
    <w:rsid w:val="00690A8B"/>
    <w:rsid w:val="00690BD7"/>
    <w:rsid w:val="00690C63"/>
    <w:rsid w:val="00690DDD"/>
    <w:rsid w:val="00690E95"/>
    <w:rsid w:val="00690F57"/>
    <w:rsid w:val="00691070"/>
    <w:rsid w:val="006912C8"/>
    <w:rsid w:val="006912F7"/>
    <w:rsid w:val="006914E3"/>
    <w:rsid w:val="006917A8"/>
    <w:rsid w:val="00691800"/>
    <w:rsid w:val="00691964"/>
    <w:rsid w:val="00691A62"/>
    <w:rsid w:val="00691A63"/>
    <w:rsid w:val="00691B4C"/>
    <w:rsid w:val="00691CD9"/>
    <w:rsid w:val="0069217C"/>
    <w:rsid w:val="006921D0"/>
    <w:rsid w:val="00692691"/>
    <w:rsid w:val="006928F3"/>
    <w:rsid w:val="006929DB"/>
    <w:rsid w:val="00692A10"/>
    <w:rsid w:val="00692AA5"/>
    <w:rsid w:val="00692B14"/>
    <w:rsid w:val="00692D14"/>
    <w:rsid w:val="00692D86"/>
    <w:rsid w:val="00692E11"/>
    <w:rsid w:val="00692FF7"/>
    <w:rsid w:val="00693005"/>
    <w:rsid w:val="0069308E"/>
    <w:rsid w:val="006930E1"/>
    <w:rsid w:val="00693143"/>
    <w:rsid w:val="00693329"/>
    <w:rsid w:val="006933CB"/>
    <w:rsid w:val="006935D0"/>
    <w:rsid w:val="0069376B"/>
    <w:rsid w:val="00693A14"/>
    <w:rsid w:val="00693B46"/>
    <w:rsid w:val="00693FF8"/>
    <w:rsid w:val="0069416D"/>
    <w:rsid w:val="00694199"/>
    <w:rsid w:val="006941A1"/>
    <w:rsid w:val="0069421E"/>
    <w:rsid w:val="006942B0"/>
    <w:rsid w:val="006944E0"/>
    <w:rsid w:val="0069450F"/>
    <w:rsid w:val="00694515"/>
    <w:rsid w:val="0069485A"/>
    <w:rsid w:val="006948A2"/>
    <w:rsid w:val="00694966"/>
    <w:rsid w:val="00694DF3"/>
    <w:rsid w:val="00694F96"/>
    <w:rsid w:val="00695532"/>
    <w:rsid w:val="00695693"/>
    <w:rsid w:val="0069575E"/>
    <w:rsid w:val="006957C5"/>
    <w:rsid w:val="00695801"/>
    <w:rsid w:val="00695B6A"/>
    <w:rsid w:val="00695C2F"/>
    <w:rsid w:val="00695E6B"/>
    <w:rsid w:val="00695E87"/>
    <w:rsid w:val="00696023"/>
    <w:rsid w:val="006960EC"/>
    <w:rsid w:val="00696116"/>
    <w:rsid w:val="00696131"/>
    <w:rsid w:val="00696267"/>
    <w:rsid w:val="0069633B"/>
    <w:rsid w:val="00696343"/>
    <w:rsid w:val="0069640E"/>
    <w:rsid w:val="006965B1"/>
    <w:rsid w:val="0069669A"/>
    <w:rsid w:val="00696811"/>
    <w:rsid w:val="00696AEB"/>
    <w:rsid w:val="00696BA7"/>
    <w:rsid w:val="00696D5B"/>
    <w:rsid w:val="00696DAD"/>
    <w:rsid w:val="00696E34"/>
    <w:rsid w:val="00696F09"/>
    <w:rsid w:val="006970F0"/>
    <w:rsid w:val="0069714B"/>
    <w:rsid w:val="006973A0"/>
    <w:rsid w:val="00697417"/>
    <w:rsid w:val="00697506"/>
    <w:rsid w:val="0069755F"/>
    <w:rsid w:val="00697691"/>
    <w:rsid w:val="00697728"/>
    <w:rsid w:val="006977FF"/>
    <w:rsid w:val="0069783D"/>
    <w:rsid w:val="00697AA5"/>
    <w:rsid w:val="00697ACB"/>
    <w:rsid w:val="006A00BA"/>
    <w:rsid w:val="006A0156"/>
    <w:rsid w:val="006A020B"/>
    <w:rsid w:val="006A05A2"/>
    <w:rsid w:val="006A065B"/>
    <w:rsid w:val="006A0715"/>
    <w:rsid w:val="006A071B"/>
    <w:rsid w:val="006A0941"/>
    <w:rsid w:val="006A0B29"/>
    <w:rsid w:val="006A0EBF"/>
    <w:rsid w:val="006A1117"/>
    <w:rsid w:val="006A12DA"/>
    <w:rsid w:val="006A135E"/>
    <w:rsid w:val="006A1375"/>
    <w:rsid w:val="006A1395"/>
    <w:rsid w:val="006A13B9"/>
    <w:rsid w:val="006A1585"/>
    <w:rsid w:val="006A15F6"/>
    <w:rsid w:val="006A166E"/>
    <w:rsid w:val="006A1718"/>
    <w:rsid w:val="006A1802"/>
    <w:rsid w:val="006A18B4"/>
    <w:rsid w:val="006A1D2F"/>
    <w:rsid w:val="006A1D35"/>
    <w:rsid w:val="006A2301"/>
    <w:rsid w:val="006A23CF"/>
    <w:rsid w:val="006A2576"/>
    <w:rsid w:val="006A2638"/>
    <w:rsid w:val="006A2690"/>
    <w:rsid w:val="006A2702"/>
    <w:rsid w:val="006A270C"/>
    <w:rsid w:val="006A27D0"/>
    <w:rsid w:val="006A28AA"/>
    <w:rsid w:val="006A2966"/>
    <w:rsid w:val="006A2A26"/>
    <w:rsid w:val="006A2B08"/>
    <w:rsid w:val="006A2B4B"/>
    <w:rsid w:val="006A2E61"/>
    <w:rsid w:val="006A2E9C"/>
    <w:rsid w:val="006A3057"/>
    <w:rsid w:val="006A3118"/>
    <w:rsid w:val="006A31BB"/>
    <w:rsid w:val="006A3310"/>
    <w:rsid w:val="006A3465"/>
    <w:rsid w:val="006A3666"/>
    <w:rsid w:val="006A3A6D"/>
    <w:rsid w:val="006A3E08"/>
    <w:rsid w:val="006A3E7B"/>
    <w:rsid w:val="006A3E98"/>
    <w:rsid w:val="006A4083"/>
    <w:rsid w:val="006A4090"/>
    <w:rsid w:val="006A40E0"/>
    <w:rsid w:val="006A429F"/>
    <w:rsid w:val="006A4422"/>
    <w:rsid w:val="006A45E3"/>
    <w:rsid w:val="006A464C"/>
    <w:rsid w:val="006A46A8"/>
    <w:rsid w:val="006A46F2"/>
    <w:rsid w:val="006A489A"/>
    <w:rsid w:val="006A4A73"/>
    <w:rsid w:val="006A4B25"/>
    <w:rsid w:val="006A4E7B"/>
    <w:rsid w:val="006A4F05"/>
    <w:rsid w:val="006A510A"/>
    <w:rsid w:val="006A51F9"/>
    <w:rsid w:val="006A53DF"/>
    <w:rsid w:val="006A551A"/>
    <w:rsid w:val="006A5851"/>
    <w:rsid w:val="006A61A0"/>
    <w:rsid w:val="006A622F"/>
    <w:rsid w:val="006A6369"/>
    <w:rsid w:val="006A63D7"/>
    <w:rsid w:val="006A6663"/>
    <w:rsid w:val="006A6686"/>
    <w:rsid w:val="006A671A"/>
    <w:rsid w:val="006A68E5"/>
    <w:rsid w:val="006A6AAA"/>
    <w:rsid w:val="006A6B8C"/>
    <w:rsid w:val="006A6C82"/>
    <w:rsid w:val="006A6F81"/>
    <w:rsid w:val="006A713B"/>
    <w:rsid w:val="006A7174"/>
    <w:rsid w:val="006A71D2"/>
    <w:rsid w:val="006A73A2"/>
    <w:rsid w:val="006A73F7"/>
    <w:rsid w:val="006A752A"/>
    <w:rsid w:val="006A7543"/>
    <w:rsid w:val="006A7579"/>
    <w:rsid w:val="006A75F1"/>
    <w:rsid w:val="006A7690"/>
    <w:rsid w:val="006A76A7"/>
    <w:rsid w:val="006A78A4"/>
    <w:rsid w:val="006A7C24"/>
    <w:rsid w:val="006A7ECB"/>
    <w:rsid w:val="006B00BD"/>
    <w:rsid w:val="006B011F"/>
    <w:rsid w:val="006B0196"/>
    <w:rsid w:val="006B020D"/>
    <w:rsid w:val="006B02B2"/>
    <w:rsid w:val="006B0390"/>
    <w:rsid w:val="006B03A7"/>
    <w:rsid w:val="006B05A2"/>
    <w:rsid w:val="006B075D"/>
    <w:rsid w:val="006B0970"/>
    <w:rsid w:val="006B0BF2"/>
    <w:rsid w:val="006B0FE1"/>
    <w:rsid w:val="006B1207"/>
    <w:rsid w:val="006B12AC"/>
    <w:rsid w:val="006B12F3"/>
    <w:rsid w:val="006B14FA"/>
    <w:rsid w:val="006B15CF"/>
    <w:rsid w:val="006B17FA"/>
    <w:rsid w:val="006B1814"/>
    <w:rsid w:val="006B1818"/>
    <w:rsid w:val="006B19CE"/>
    <w:rsid w:val="006B1A58"/>
    <w:rsid w:val="006B1BDF"/>
    <w:rsid w:val="006B1D0A"/>
    <w:rsid w:val="006B1FEA"/>
    <w:rsid w:val="006B205D"/>
    <w:rsid w:val="006B2081"/>
    <w:rsid w:val="006B20DA"/>
    <w:rsid w:val="006B228B"/>
    <w:rsid w:val="006B22EE"/>
    <w:rsid w:val="006B2342"/>
    <w:rsid w:val="006B2544"/>
    <w:rsid w:val="006B27C0"/>
    <w:rsid w:val="006B27F1"/>
    <w:rsid w:val="006B2855"/>
    <w:rsid w:val="006B294B"/>
    <w:rsid w:val="006B3003"/>
    <w:rsid w:val="006B302E"/>
    <w:rsid w:val="006B30D3"/>
    <w:rsid w:val="006B311A"/>
    <w:rsid w:val="006B316A"/>
    <w:rsid w:val="006B3659"/>
    <w:rsid w:val="006B3698"/>
    <w:rsid w:val="006B3926"/>
    <w:rsid w:val="006B39C3"/>
    <w:rsid w:val="006B3B79"/>
    <w:rsid w:val="006B3C16"/>
    <w:rsid w:val="006B409C"/>
    <w:rsid w:val="006B4181"/>
    <w:rsid w:val="006B4339"/>
    <w:rsid w:val="006B4659"/>
    <w:rsid w:val="006B4AE3"/>
    <w:rsid w:val="006B4B75"/>
    <w:rsid w:val="006B4C4A"/>
    <w:rsid w:val="006B4E80"/>
    <w:rsid w:val="006B4FC4"/>
    <w:rsid w:val="006B50F8"/>
    <w:rsid w:val="006B51F6"/>
    <w:rsid w:val="006B5384"/>
    <w:rsid w:val="006B552C"/>
    <w:rsid w:val="006B5568"/>
    <w:rsid w:val="006B5646"/>
    <w:rsid w:val="006B57B9"/>
    <w:rsid w:val="006B5B71"/>
    <w:rsid w:val="006B5D77"/>
    <w:rsid w:val="006B5DCA"/>
    <w:rsid w:val="006B5E23"/>
    <w:rsid w:val="006B5E3A"/>
    <w:rsid w:val="006B5FA0"/>
    <w:rsid w:val="006B6130"/>
    <w:rsid w:val="006B62B5"/>
    <w:rsid w:val="006B63AC"/>
    <w:rsid w:val="006B65CA"/>
    <w:rsid w:val="006B65FF"/>
    <w:rsid w:val="006B670D"/>
    <w:rsid w:val="006B6800"/>
    <w:rsid w:val="006B6823"/>
    <w:rsid w:val="006B694F"/>
    <w:rsid w:val="006B6CD8"/>
    <w:rsid w:val="006B6D61"/>
    <w:rsid w:val="006B6D67"/>
    <w:rsid w:val="006B7101"/>
    <w:rsid w:val="006B71D9"/>
    <w:rsid w:val="006B72F0"/>
    <w:rsid w:val="006B7B98"/>
    <w:rsid w:val="006B7BCA"/>
    <w:rsid w:val="006B7C6E"/>
    <w:rsid w:val="006B7CA8"/>
    <w:rsid w:val="006B7DFC"/>
    <w:rsid w:val="006B7EF7"/>
    <w:rsid w:val="006B7F31"/>
    <w:rsid w:val="006B7F50"/>
    <w:rsid w:val="006C0030"/>
    <w:rsid w:val="006C058D"/>
    <w:rsid w:val="006C06C2"/>
    <w:rsid w:val="006C0866"/>
    <w:rsid w:val="006C09CC"/>
    <w:rsid w:val="006C0A5A"/>
    <w:rsid w:val="006C0B63"/>
    <w:rsid w:val="006C0F8C"/>
    <w:rsid w:val="006C10C3"/>
    <w:rsid w:val="006C10C8"/>
    <w:rsid w:val="006C10E5"/>
    <w:rsid w:val="006C1696"/>
    <w:rsid w:val="006C178A"/>
    <w:rsid w:val="006C1A74"/>
    <w:rsid w:val="006C1CD7"/>
    <w:rsid w:val="006C1DFC"/>
    <w:rsid w:val="006C2149"/>
    <w:rsid w:val="006C245C"/>
    <w:rsid w:val="006C256D"/>
    <w:rsid w:val="006C2656"/>
    <w:rsid w:val="006C273A"/>
    <w:rsid w:val="006C2790"/>
    <w:rsid w:val="006C27AA"/>
    <w:rsid w:val="006C2B32"/>
    <w:rsid w:val="006C2C6C"/>
    <w:rsid w:val="006C2C9A"/>
    <w:rsid w:val="006C2D58"/>
    <w:rsid w:val="006C32DC"/>
    <w:rsid w:val="006C32FB"/>
    <w:rsid w:val="006C3513"/>
    <w:rsid w:val="006C3694"/>
    <w:rsid w:val="006C36C2"/>
    <w:rsid w:val="006C37A6"/>
    <w:rsid w:val="006C390A"/>
    <w:rsid w:val="006C3B88"/>
    <w:rsid w:val="006C3C7B"/>
    <w:rsid w:val="006C3CBC"/>
    <w:rsid w:val="006C3D53"/>
    <w:rsid w:val="006C3EE0"/>
    <w:rsid w:val="006C3F86"/>
    <w:rsid w:val="006C41C8"/>
    <w:rsid w:val="006C4276"/>
    <w:rsid w:val="006C44AB"/>
    <w:rsid w:val="006C45AE"/>
    <w:rsid w:val="006C461C"/>
    <w:rsid w:val="006C4686"/>
    <w:rsid w:val="006C4816"/>
    <w:rsid w:val="006C4C71"/>
    <w:rsid w:val="006C4C9D"/>
    <w:rsid w:val="006C4CBF"/>
    <w:rsid w:val="006C4CF6"/>
    <w:rsid w:val="006C4EBA"/>
    <w:rsid w:val="006C4FB3"/>
    <w:rsid w:val="006C4FD3"/>
    <w:rsid w:val="006C5044"/>
    <w:rsid w:val="006C50DE"/>
    <w:rsid w:val="006C52FB"/>
    <w:rsid w:val="006C5495"/>
    <w:rsid w:val="006C563F"/>
    <w:rsid w:val="006C5812"/>
    <w:rsid w:val="006C58AC"/>
    <w:rsid w:val="006C59E1"/>
    <w:rsid w:val="006C5A47"/>
    <w:rsid w:val="006C5B13"/>
    <w:rsid w:val="006C5BA4"/>
    <w:rsid w:val="006C5D27"/>
    <w:rsid w:val="006C5D49"/>
    <w:rsid w:val="006C6056"/>
    <w:rsid w:val="006C6151"/>
    <w:rsid w:val="006C61DA"/>
    <w:rsid w:val="006C622A"/>
    <w:rsid w:val="006C628E"/>
    <w:rsid w:val="006C64D3"/>
    <w:rsid w:val="006C65F1"/>
    <w:rsid w:val="006C661C"/>
    <w:rsid w:val="006C67EE"/>
    <w:rsid w:val="006C68A7"/>
    <w:rsid w:val="006C68EB"/>
    <w:rsid w:val="006C6BA9"/>
    <w:rsid w:val="006C6BB6"/>
    <w:rsid w:val="006C6BDF"/>
    <w:rsid w:val="006C6C4F"/>
    <w:rsid w:val="006C6CF0"/>
    <w:rsid w:val="006C6D09"/>
    <w:rsid w:val="006C7279"/>
    <w:rsid w:val="006C74F2"/>
    <w:rsid w:val="006C771B"/>
    <w:rsid w:val="006C7743"/>
    <w:rsid w:val="006C7820"/>
    <w:rsid w:val="006C78A1"/>
    <w:rsid w:val="006C793D"/>
    <w:rsid w:val="006C79ED"/>
    <w:rsid w:val="006C7A7F"/>
    <w:rsid w:val="006C7B06"/>
    <w:rsid w:val="006C7B50"/>
    <w:rsid w:val="006C7B89"/>
    <w:rsid w:val="006C7C00"/>
    <w:rsid w:val="006C7F61"/>
    <w:rsid w:val="006D006C"/>
    <w:rsid w:val="006D00B2"/>
    <w:rsid w:val="006D00E7"/>
    <w:rsid w:val="006D0291"/>
    <w:rsid w:val="006D03AD"/>
    <w:rsid w:val="006D03D4"/>
    <w:rsid w:val="006D0405"/>
    <w:rsid w:val="006D044E"/>
    <w:rsid w:val="006D0481"/>
    <w:rsid w:val="006D05A4"/>
    <w:rsid w:val="006D0670"/>
    <w:rsid w:val="006D08CC"/>
    <w:rsid w:val="006D0960"/>
    <w:rsid w:val="006D0A05"/>
    <w:rsid w:val="006D0ABC"/>
    <w:rsid w:val="006D0BBD"/>
    <w:rsid w:val="006D0CC7"/>
    <w:rsid w:val="006D0DBA"/>
    <w:rsid w:val="006D0F1F"/>
    <w:rsid w:val="006D1079"/>
    <w:rsid w:val="006D1283"/>
    <w:rsid w:val="006D1357"/>
    <w:rsid w:val="006D14C1"/>
    <w:rsid w:val="006D151B"/>
    <w:rsid w:val="006D15C7"/>
    <w:rsid w:val="006D161F"/>
    <w:rsid w:val="006D16B6"/>
    <w:rsid w:val="006D1900"/>
    <w:rsid w:val="006D1CB3"/>
    <w:rsid w:val="006D1DC0"/>
    <w:rsid w:val="006D1E3C"/>
    <w:rsid w:val="006D1E85"/>
    <w:rsid w:val="006D1EE4"/>
    <w:rsid w:val="006D1F86"/>
    <w:rsid w:val="006D1FA6"/>
    <w:rsid w:val="006D20BC"/>
    <w:rsid w:val="006D2135"/>
    <w:rsid w:val="006D2287"/>
    <w:rsid w:val="006D2572"/>
    <w:rsid w:val="006D258C"/>
    <w:rsid w:val="006D2877"/>
    <w:rsid w:val="006D28D4"/>
    <w:rsid w:val="006D2C08"/>
    <w:rsid w:val="006D3008"/>
    <w:rsid w:val="006D3494"/>
    <w:rsid w:val="006D34E7"/>
    <w:rsid w:val="006D3549"/>
    <w:rsid w:val="006D375E"/>
    <w:rsid w:val="006D3968"/>
    <w:rsid w:val="006D3976"/>
    <w:rsid w:val="006D3AFD"/>
    <w:rsid w:val="006D3B2B"/>
    <w:rsid w:val="006D3BA2"/>
    <w:rsid w:val="006D3CB1"/>
    <w:rsid w:val="006D3D22"/>
    <w:rsid w:val="006D3D3A"/>
    <w:rsid w:val="006D3FB5"/>
    <w:rsid w:val="006D3FF9"/>
    <w:rsid w:val="006D4315"/>
    <w:rsid w:val="006D45EB"/>
    <w:rsid w:val="006D46AA"/>
    <w:rsid w:val="006D474E"/>
    <w:rsid w:val="006D4762"/>
    <w:rsid w:val="006D47EC"/>
    <w:rsid w:val="006D4992"/>
    <w:rsid w:val="006D49CB"/>
    <w:rsid w:val="006D4AB3"/>
    <w:rsid w:val="006D4C8B"/>
    <w:rsid w:val="006D4D9A"/>
    <w:rsid w:val="006D4E06"/>
    <w:rsid w:val="006D4F54"/>
    <w:rsid w:val="006D506C"/>
    <w:rsid w:val="006D5090"/>
    <w:rsid w:val="006D53B4"/>
    <w:rsid w:val="006D53BA"/>
    <w:rsid w:val="006D5455"/>
    <w:rsid w:val="006D547B"/>
    <w:rsid w:val="006D566B"/>
    <w:rsid w:val="006D5714"/>
    <w:rsid w:val="006D57ED"/>
    <w:rsid w:val="006D581F"/>
    <w:rsid w:val="006D5967"/>
    <w:rsid w:val="006D5968"/>
    <w:rsid w:val="006D597C"/>
    <w:rsid w:val="006D59D3"/>
    <w:rsid w:val="006D5B87"/>
    <w:rsid w:val="006D5D13"/>
    <w:rsid w:val="006D5D73"/>
    <w:rsid w:val="006D5DE7"/>
    <w:rsid w:val="006D5E34"/>
    <w:rsid w:val="006D5F35"/>
    <w:rsid w:val="006D606E"/>
    <w:rsid w:val="006D6177"/>
    <w:rsid w:val="006D62BB"/>
    <w:rsid w:val="006D64F4"/>
    <w:rsid w:val="006D6500"/>
    <w:rsid w:val="006D6799"/>
    <w:rsid w:val="006D686B"/>
    <w:rsid w:val="006D6952"/>
    <w:rsid w:val="006D6A1F"/>
    <w:rsid w:val="006D6BBB"/>
    <w:rsid w:val="006D6C7C"/>
    <w:rsid w:val="006D6CD8"/>
    <w:rsid w:val="006D6F3F"/>
    <w:rsid w:val="006D7397"/>
    <w:rsid w:val="006D7452"/>
    <w:rsid w:val="006D7481"/>
    <w:rsid w:val="006D75DD"/>
    <w:rsid w:val="006D76C0"/>
    <w:rsid w:val="006D7889"/>
    <w:rsid w:val="006D7D85"/>
    <w:rsid w:val="006D7F2F"/>
    <w:rsid w:val="006D7FDC"/>
    <w:rsid w:val="006E0493"/>
    <w:rsid w:val="006E0585"/>
    <w:rsid w:val="006E0728"/>
    <w:rsid w:val="006E0738"/>
    <w:rsid w:val="006E0751"/>
    <w:rsid w:val="006E0AB0"/>
    <w:rsid w:val="006E0C1C"/>
    <w:rsid w:val="006E0DC2"/>
    <w:rsid w:val="006E0F79"/>
    <w:rsid w:val="006E0FBB"/>
    <w:rsid w:val="006E1334"/>
    <w:rsid w:val="006E1394"/>
    <w:rsid w:val="006E13D9"/>
    <w:rsid w:val="006E150F"/>
    <w:rsid w:val="006E159F"/>
    <w:rsid w:val="006E17EF"/>
    <w:rsid w:val="006E1839"/>
    <w:rsid w:val="006E1976"/>
    <w:rsid w:val="006E1ACD"/>
    <w:rsid w:val="006E1D81"/>
    <w:rsid w:val="006E1E76"/>
    <w:rsid w:val="006E1F5C"/>
    <w:rsid w:val="006E2003"/>
    <w:rsid w:val="006E232E"/>
    <w:rsid w:val="006E2416"/>
    <w:rsid w:val="006E254B"/>
    <w:rsid w:val="006E25B7"/>
    <w:rsid w:val="006E2859"/>
    <w:rsid w:val="006E2862"/>
    <w:rsid w:val="006E296C"/>
    <w:rsid w:val="006E2A3B"/>
    <w:rsid w:val="006E2AEA"/>
    <w:rsid w:val="006E2B8F"/>
    <w:rsid w:val="006E2E06"/>
    <w:rsid w:val="006E30B9"/>
    <w:rsid w:val="006E3262"/>
    <w:rsid w:val="006E32B2"/>
    <w:rsid w:val="006E34A3"/>
    <w:rsid w:val="006E3F64"/>
    <w:rsid w:val="006E3FAE"/>
    <w:rsid w:val="006E4255"/>
    <w:rsid w:val="006E42F6"/>
    <w:rsid w:val="006E466D"/>
    <w:rsid w:val="006E46F2"/>
    <w:rsid w:val="006E4745"/>
    <w:rsid w:val="006E476C"/>
    <w:rsid w:val="006E4A3B"/>
    <w:rsid w:val="006E4C0D"/>
    <w:rsid w:val="006E4C15"/>
    <w:rsid w:val="006E4C90"/>
    <w:rsid w:val="006E4CA9"/>
    <w:rsid w:val="006E4DA7"/>
    <w:rsid w:val="006E4F6A"/>
    <w:rsid w:val="006E4FB6"/>
    <w:rsid w:val="006E5317"/>
    <w:rsid w:val="006E5547"/>
    <w:rsid w:val="006E5583"/>
    <w:rsid w:val="006E55A4"/>
    <w:rsid w:val="006E55A8"/>
    <w:rsid w:val="006E55BA"/>
    <w:rsid w:val="006E571D"/>
    <w:rsid w:val="006E5BE9"/>
    <w:rsid w:val="006E5DA7"/>
    <w:rsid w:val="006E5E10"/>
    <w:rsid w:val="006E5E36"/>
    <w:rsid w:val="006E5ECE"/>
    <w:rsid w:val="006E6161"/>
    <w:rsid w:val="006E6180"/>
    <w:rsid w:val="006E66FF"/>
    <w:rsid w:val="006E680B"/>
    <w:rsid w:val="006E6982"/>
    <w:rsid w:val="006E6AA7"/>
    <w:rsid w:val="006E6C86"/>
    <w:rsid w:val="006E701E"/>
    <w:rsid w:val="006E707A"/>
    <w:rsid w:val="006E717B"/>
    <w:rsid w:val="006E73A1"/>
    <w:rsid w:val="006E73AD"/>
    <w:rsid w:val="006E75B2"/>
    <w:rsid w:val="006E78DE"/>
    <w:rsid w:val="006E7972"/>
    <w:rsid w:val="006E79E9"/>
    <w:rsid w:val="006E79F9"/>
    <w:rsid w:val="006E7F51"/>
    <w:rsid w:val="006F017F"/>
    <w:rsid w:val="006F018B"/>
    <w:rsid w:val="006F04E1"/>
    <w:rsid w:val="006F06A6"/>
    <w:rsid w:val="006F0870"/>
    <w:rsid w:val="006F0A6E"/>
    <w:rsid w:val="006F0A92"/>
    <w:rsid w:val="006F0CF4"/>
    <w:rsid w:val="006F11C2"/>
    <w:rsid w:val="006F12B9"/>
    <w:rsid w:val="006F13D2"/>
    <w:rsid w:val="006F14B2"/>
    <w:rsid w:val="006F1643"/>
    <w:rsid w:val="006F17AC"/>
    <w:rsid w:val="006F1A15"/>
    <w:rsid w:val="006F1A9F"/>
    <w:rsid w:val="006F1ABD"/>
    <w:rsid w:val="006F1D46"/>
    <w:rsid w:val="006F1E05"/>
    <w:rsid w:val="006F1ED7"/>
    <w:rsid w:val="006F205E"/>
    <w:rsid w:val="006F207E"/>
    <w:rsid w:val="006F208B"/>
    <w:rsid w:val="006F20B8"/>
    <w:rsid w:val="006F2155"/>
    <w:rsid w:val="006F2A02"/>
    <w:rsid w:val="006F2B39"/>
    <w:rsid w:val="006F2D5D"/>
    <w:rsid w:val="006F2E26"/>
    <w:rsid w:val="006F2E94"/>
    <w:rsid w:val="006F316D"/>
    <w:rsid w:val="006F31DB"/>
    <w:rsid w:val="006F3243"/>
    <w:rsid w:val="006F3396"/>
    <w:rsid w:val="006F34C7"/>
    <w:rsid w:val="006F358E"/>
    <w:rsid w:val="006F35F1"/>
    <w:rsid w:val="006F36B1"/>
    <w:rsid w:val="006F3A7C"/>
    <w:rsid w:val="006F3F0C"/>
    <w:rsid w:val="006F3FB4"/>
    <w:rsid w:val="006F3FFE"/>
    <w:rsid w:val="006F4124"/>
    <w:rsid w:val="006F420F"/>
    <w:rsid w:val="006F422A"/>
    <w:rsid w:val="006F4240"/>
    <w:rsid w:val="006F454C"/>
    <w:rsid w:val="006F4639"/>
    <w:rsid w:val="006F4859"/>
    <w:rsid w:val="006F4880"/>
    <w:rsid w:val="006F4996"/>
    <w:rsid w:val="006F4C0E"/>
    <w:rsid w:val="006F5045"/>
    <w:rsid w:val="006F5104"/>
    <w:rsid w:val="006F51AC"/>
    <w:rsid w:val="006F51FC"/>
    <w:rsid w:val="006F53FD"/>
    <w:rsid w:val="006F556E"/>
    <w:rsid w:val="006F562F"/>
    <w:rsid w:val="006F589B"/>
    <w:rsid w:val="006F59FF"/>
    <w:rsid w:val="006F5AB9"/>
    <w:rsid w:val="006F6101"/>
    <w:rsid w:val="006F611D"/>
    <w:rsid w:val="006F6154"/>
    <w:rsid w:val="006F61CE"/>
    <w:rsid w:val="006F633F"/>
    <w:rsid w:val="006F634D"/>
    <w:rsid w:val="006F6357"/>
    <w:rsid w:val="006F64E4"/>
    <w:rsid w:val="006F660E"/>
    <w:rsid w:val="006F66C1"/>
    <w:rsid w:val="006F683F"/>
    <w:rsid w:val="006F6864"/>
    <w:rsid w:val="006F6A2A"/>
    <w:rsid w:val="006F6C40"/>
    <w:rsid w:val="006F7250"/>
    <w:rsid w:val="006F7294"/>
    <w:rsid w:val="006F749E"/>
    <w:rsid w:val="006F7569"/>
    <w:rsid w:val="006F75D0"/>
    <w:rsid w:val="006F76C9"/>
    <w:rsid w:val="006F7841"/>
    <w:rsid w:val="006F7896"/>
    <w:rsid w:val="006F7A7B"/>
    <w:rsid w:val="006F7C11"/>
    <w:rsid w:val="006F7CE9"/>
    <w:rsid w:val="006F7CFD"/>
    <w:rsid w:val="006F7E96"/>
    <w:rsid w:val="006F7EC7"/>
    <w:rsid w:val="00700020"/>
    <w:rsid w:val="00700037"/>
    <w:rsid w:val="007000F6"/>
    <w:rsid w:val="00700565"/>
    <w:rsid w:val="007005A7"/>
    <w:rsid w:val="007005B3"/>
    <w:rsid w:val="0070074C"/>
    <w:rsid w:val="00700923"/>
    <w:rsid w:val="00700AF1"/>
    <w:rsid w:val="00700AF8"/>
    <w:rsid w:val="00700C84"/>
    <w:rsid w:val="00700D15"/>
    <w:rsid w:val="00700D44"/>
    <w:rsid w:val="00700D86"/>
    <w:rsid w:val="00701268"/>
    <w:rsid w:val="007012CC"/>
    <w:rsid w:val="007013C9"/>
    <w:rsid w:val="007016AD"/>
    <w:rsid w:val="00701AEA"/>
    <w:rsid w:val="00701BA1"/>
    <w:rsid w:val="00701CBA"/>
    <w:rsid w:val="00701E38"/>
    <w:rsid w:val="00702191"/>
    <w:rsid w:val="00702398"/>
    <w:rsid w:val="0070249E"/>
    <w:rsid w:val="00702513"/>
    <w:rsid w:val="007025B9"/>
    <w:rsid w:val="00702747"/>
    <w:rsid w:val="0070281A"/>
    <w:rsid w:val="00702901"/>
    <w:rsid w:val="00702985"/>
    <w:rsid w:val="00702B7A"/>
    <w:rsid w:val="00702BB5"/>
    <w:rsid w:val="00702DF4"/>
    <w:rsid w:val="00702E41"/>
    <w:rsid w:val="00702ED1"/>
    <w:rsid w:val="00702ED4"/>
    <w:rsid w:val="00702EDC"/>
    <w:rsid w:val="00702FE7"/>
    <w:rsid w:val="007030CC"/>
    <w:rsid w:val="007033E6"/>
    <w:rsid w:val="007037A3"/>
    <w:rsid w:val="007038F8"/>
    <w:rsid w:val="00703A35"/>
    <w:rsid w:val="00703A4C"/>
    <w:rsid w:val="00703A9F"/>
    <w:rsid w:val="00703EE5"/>
    <w:rsid w:val="0070428B"/>
    <w:rsid w:val="00704749"/>
    <w:rsid w:val="00704922"/>
    <w:rsid w:val="00704AD1"/>
    <w:rsid w:val="00704C98"/>
    <w:rsid w:val="00704E91"/>
    <w:rsid w:val="00704EBC"/>
    <w:rsid w:val="00704FFA"/>
    <w:rsid w:val="00705244"/>
    <w:rsid w:val="007055FB"/>
    <w:rsid w:val="007057D1"/>
    <w:rsid w:val="007058E9"/>
    <w:rsid w:val="00705B45"/>
    <w:rsid w:val="00705DDA"/>
    <w:rsid w:val="00705F18"/>
    <w:rsid w:val="00706157"/>
    <w:rsid w:val="00706216"/>
    <w:rsid w:val="007065A4"/>
    <w:rsid w:val="0070663D"/>
    <w:rsid w:val="007068BA"/>
    <w:rsid w:val="007069E0"/>
    <w:rsid w:val="007069E4"/>
    <w:rsid w:val="00706A04"/>
    <w:rsid w:val="00706D73"/>
    <w:rsid w:val="00707134"/>
    <w:rsid w:val="0070731B"/>
    <w:rsid w:val="007073AC"/>
    <w:rsid w:val="00707475"/>
    <w:rsid w:val="007075DF"/>
    <w:rsid w:val="007075ED"/>
    <w:rsid w:val="0070764F"/>
    <w:rsid w:val="007076F4"/>
    <w:rsid w:val="0070772B"/>
    <w:rsid w:val="00707774"/>
    <w:rsid w:val="00707882"/>
    <w:rsid w:val="00707A04"/>
    <w:rsid w:val="00710267"/>
    <w:rsid w:val="007103CC"/>
    <w:rsid w:val="007104E6"/>
    <w:rsid w:val="007105A4"/>
    <w:rsid w:val="0071069C"/>
    <w:rsid w:val="007107B6"/>
    <w:rsid w:val="0071080E"/>
    <w:rsid w:val="00710AB7"/>
    <w:rsid w:val="00710B1B"/>
    <w:rsid w:val="00711015"/>
    <w:rsid w:val="007110DF"/>
    <w:rsid w:val="00711117"/>
    <w:rsid w:val="007111CF"/>
    <w:rsid w:val="007112BB"/>
    <w:rsid w:val="00711447"/>
    <w:rsid w:val="00711449"/>
    <w:rsid w:val="00711F9F"/>
    <w:rsid w:val="0071214E"/>
    <w:rsid w:val="007121DB"/>
    <w:rsid w:val="00712247"/>
    <w:rsid w:val="007122E9"/>
    <w:rsid w:val="007123D2"/>
    <w:rsid w:val="00712483"/>
    <w:rsid w:val="0071250B"/>
    <w:rsid w:val="007127D1"/>
    <w:rsid w:val="00712906"/>
    <w:rsid w:val="00712A15"/>
    <w:rsid w:val="00712A68"/>
    <w:rsid w:val="00712AE5"/>
    <w:rsid w:val="00712B0C"/>
    <w:rsid w:val="00712DF0"/>
    <w:rsid w:val="00713173"/>
    <w:rsid w:val="00713402"/>
    <w:rsid w:val="0071348F"/>
    <w:rsid w:val="00713491"/>
    <w:rsid w:val="00713504"/>
    <w:rsid w:val="007136E3"/>
    <w:rsid w:val="00713C80"/>
    <w:rsid w:val="00713CDD"/>
    <w:rsid w:val="00714251"/>
    <w:rsid w:val="007144D1"/>
    <w:rsid w:val="0071463F"/>
    <w:rsid w:val="007149B8"/>
    <w:rsid w:val="007149EF"/>
    <w:rsid w:val="00714BC1"/>
    <w:rsid w:val="00714D74"/>
    <w:rsid w:val="007151EF"/>
    <w:rsid w:val="0071521A"/>
    <w:rsid w:val="00715369"/>
    <w:rsid w:val="007153FE"/>
    <w:rsid w:val="007156D4"/>
    <w:rsid w:val="00715820"/>
    <w:rsid w:val="00715952"/>
    <w:rsid w:val="00715BCC"/>
    <w:rsid w:val="00715C18"/>
    <w:rsid w:val="00716124"/>
    <w:rsid w:val="00716206"/>
    <w:rsid w:val="0071641D"/>
    <w:rsid w:val="00716632"/>
    <w:rsid w:val="00716731"/>
    <w:rsid w:val="0071691D"/>
    <w:rsid w:val="00716958"/>
    <w:rsid w:val="00716A27"/>
    <w:rsid w:val="00716A43"/>
    <w:rsid w:val="00716C12"/>
    <w:rsid w:val="00716CCD"/>
    <w:rsid w:val="00717171"/>
    <w:rsid w:val="00717344"/>
    <w:rsid w:val="007174A7"/>
    <w:rsid w:val="00717562"/>
    <w:rsid w:val="007175DE"/>
    <w:rsid w:val="0071774B"/>
    <w:rsid w:val="0071778A"/>
    <w:rsid w:val="007178DD"/>
    <w:rsid w:val="00717A19"/>
    <w:rsid w:val="00717A27"/>
    <w:rsid w:val="00717B20"/>
    <w:rsid w:val="00717BAF"/>
    <w:rsid w:val="00717E5F"/>
    <w:rsid w:val="00717EAF"/>
    <w:rsid w:val="00717F5A"/>
    <w:rsid w:val="00720136"/>
    <w:rsid w:val="00720266"/>
    <w:rsid w:val="007202EB"/>
    <w:rsid w:val="007206D6"/>
    <w:rsid w:val="00720857"/>
    <w:rsid w:val="00720B1A"/>
    <w:rsid w:val="00721096"/>
    <w:rsid w:val="007210F7"/>
    <w:rsid w:val="00721210"/>
    <w:rsid w:val="00721265"/>
    <w:rsid w:val="007213EC"/>
    <w:rsid w:val="00721510"/>
    <w:rsid w:val="00721671"/>
    <w:rsid w:val="00721882"/>
    <w:rsid w:val="0072194F"/>
    <w:rsid w:val="00721A81"/>
    <w:rsid w:val="00721A9B"/>
    <w:rsid w:val="00721BCC"/>
    <w:rsid w:val="00721DEA"/>
    <w:rsid w:val="00721F1D"/>
    <w:rsid w:val="00722171"/>
    <w:rsid w:val="00722305"/>
    <w:rsid w:val="007226B8"/>
    <w:rsid w:val="0072299B"/>
    <w:rsid w:val="00722C38"/>
    <w:rsid w:val="00722CBB"/>
    <w:rsid w:val="00722DA3"/>
    <w:rsid w:val="00722DCF"/>
    <w:rsid w:val="00722E45"/>
    <w:rsid w:val="00722EB5"/>
    <w:rsid w:val="00722ED6"/>
    <w:rsid w:val="00722EF4"/>
    <w:rsid w:val="00723113"/>
    <w:rsid w:val="00723183"/>
    <w:rsid w:val="007235E0"/>
    <w:rsid w:val="0072376E"/>
    <w:rsid w:val="00723792"/>
    <w:rsid w:val="00723956"/>
    <w:rsid w:val="007239D9"/>
    <w:rsid w:val="007241B5"/>
    <w:rsid w:val="0072436A"/>
    <w:rsid w:val="007243B5"/>
    <w:rsid w:val="0072446A"/>
    <w:rsid w:val="0072452D"/>
    <w:rsid w:val="007245CF"/>
    <w:rsid w:val="00724787"/>
    <w:rsid w:val="00724AA4"/>
    <w:rsid w:val="00724D3F"/>
    <w:rsid w:val="00724D49"/>
    <w:rsid w:val="00724DB0"/>
    <w:rsid w:val="00724E57"/>
    <w:rsid w:val="00724F83"/>
    <w:rsid w:val="0072531D"/>
    <w:rsid w:val="00725430"/>
    <w:rsid w:val="00725730"/>
    <w:rsid w:val="00725D65"/>
    <w:rsid w:val="00725F8F"/>
    <w:rsid w:val="00726124"/>
    <w:rsid w:val="00726284"/>
    <w:rsid w:val="007263A8"/>
    <w:rsid w:val="00726447"/>
    <w:rsid w:val="007265A8"/>
    <w:rsid w:val="007265FD"/>
    <w:rsid w:val="0072676B"/>
    <w:rsid w:val="007267D8"/>
    <w:rsid w:val="00726961"/>
    <w:rsid w:val="00726BD7"/>
    <w:rsid w:val="00726BE3"/>
    <w:rsid w:val="00726C00"/>
    <w:rsid w:val="00726D03"/>
    <w:rsid w:val="00726D7C"/>
    <w:rsid w:val="00727099"/>
    <w:rsid w:val="00727197"/>
    <w:rsid w:val="007272BD"/>
    <w:rsid w:val="007272F6"/>
    <w:rsid w:val="00727311"/>
    <w:rsid w:val="00727443"/>
    <w:rsid w:val="0072749A"/>
    <w:rsid w:val="00727563"/>
    <w:rsid w:val="007276BE"/>
    <w:rsid w:val="0072789B"/>
    <w:rsid w:val="00727934"/>
    <w:rsid w:val="00727CB7"/>
    <w:rsid w:val="00727D85"/>
    <w:rsid w:val="00730235"/>
    <w:rsid w:val="0073035E"/>
    <w:rsid w:val="0073066D"/>
    <w:rsid w:val="0073072E"/>
    <w:rsid w:val="00730851"/>
    <w:rsid w:val="00730C41"/>
    <w:rsid w:val="00730E42"/>
    <w:rsid w:val="00730F7A"/>
    <w:rsid w:val="007311BD"/>
    <w:rsid w:val="0073129D"/>
    <w:rsid w:val="0073143A"/>
    <w:rsid w:val="00731595"/>
    <w:rsid w:val="00731643"/>
    <w:rsid w:val="00731723"/>
    <w:rsid w:val="007317F4"/>
    <w:rsid w:val="00731A2E"/>
    <w:rsid w:val="00731C5B"/>
    <w:rsid w:val="00731CCD"/>
    <w:rsid w:val="00731D00"/>
    <w:rsid w:val="00731EC9"/>
    <w:rsid w:val="007320BD"/>
    <w:rsid w:val="0073273B"/>
    <w:rsid w:val="007327FB"/>
    <w:rsid w:val="00732A9D"/>
    <w:rsid w:val="00732D7C"/>
    <w:rsid w:val="00732F0F"/>
    <w:rsid w:val="00732F31"/>
    <w:rsid w:val="00733198"/>
    <w:rsid w:val="00733313"/>
    <w:rsid w:val="007333A5"/>
    <w:rsid w:val="007333F6"/>
    <w:rsid w:val="007335C2"/>
    <w:rsid w:val="0073365E"/>
    <w:rsid w:val="00733A4E"/>
    <w:rsid w:val="00733CC7"/>
    <w:rsid w:val="00733D7C"/>
    <w:rsid w:val="00733DBE"/>
    <w:rsid w:val="00733DBF"/>
    <w:rsid w:val="00734061"/>
    <w:rsid w:val="007340B0"/>
    <w:rsid w:val="00734295"/>
    <w:rsid w:val="0073443F"/>
    <w:rsid w:val="00734522"/>
    <w:rsid w:val="0073459C"/>
    <w:rsid w:val="007348C7"/>
    <w:rsid w:val="007349CE"/>
    <w:rsid w:val="00734CD1"/>
    <w:rsid w:val="00734CF5"/>
    <w:rsid w:val="00734D02"/>
    <w:rsid w:val="00734D9F"/>
    <w:rsid w:val="00734ED0"/>
    <w:rsid w:val="00735005"/>
    <w:rsid w:val="00735084"/>
    <w:rsid w:val="00735152"/>
    <w:rsid w:val="007352BA"/>
    <w:rsid w:val="00735314"/>
    <w:rsid w:val="0073531B"/>
    <w:rsid w:val="00735539"/>
    <w:rsid w:val="007356EC"/>
    <w:rsid w:val="007356F9"/>
    <w:rsid w:val="0073576A"/>
    <w:rsid w:val="00735905"/>
    <w:rsid w:val="00735B4E"/>
    <w:rsid w:val="00735F2E"/>
    <w:rsid w:val="0073611F"/>
    <w:rsid w:val="007364C2"/>
    <w:rsid w:val="00736610"/>
    <w:rsid w:val="0073667E"/>
    <w:rsid w:val="0073673F"/>
    <w:rsid w:val="0073687D"/>
    <w:rsid w:val="00736B4D"/>
    <w:rsid w:val="00736CDE"/>
    <w:rsid w:val="00736D70"/>
    <w:rsid w:val="00736DA2"/>
    <w:rsid w:val="00736F1F"/>
    <w:rsid w:val="00737393"/>
    <w:rsid w:val="007373E7"/>
    <w:rsid w:val="0073743F"/>
    <w:rsid w:val="007374D5"/>
    <w:rsid w:val="007375E0"/>
    <w:rsid w:val="007377B0"/>
    <w:rsid w:val="007378E4"/>
    <w:rsid w:val="00737A52"/>
    <w:rsid w:val="00737C68"/>
    <w:rsid w:val="00737C79"/>
    <w:rsid w:val="00737D07"/>
    <w:rsid w:val="00737DDA"/>
    <w:rsid w:val="00737EB2"/>
    <w:rsid w:val="00737EE0"/>
    <w:rsid w:val="0074005E"/>
    <w:rsid w:val="007400F8"/>
    <w:rsid w:val="0074012E"/>
    <w:rsid w:val="0074017A"/>
    <w:rsid w:val="00740269"/>
    <w:rsid w:val="007402F5"/>
    <w:rsid w:val="007406D4"/>
    <w:rsid w:val="0074077A"/>
    <w:rsid w:val="007407E8"/>
    <w:rsid w:val="007408CA"/>
    <w:rsid w:val="00740DC2"/>
    <w:rsid w:val="00741002"/>
    <w:rsid w:val="00741004"/>
    <w:rsid w:val="0074100E"/>
    <w:rsid w:val="00741245"/>
    <w:rsid w:val="007414D0"/>
    <w:rsid w:val="00741535"/>
    <w:rsid w:val="0074163B"/>
    <w:rsid w:val="00741738"/>
    <w:rsid w:val="00741795"/>
    <w:rsid w:val="007417F4"/>
    <w:rsid w:val="0074199C"/>
    <w:rsid w:val="00741C13"/>
    <w:rsid w:val="00741D87"/>
    <w:rsid w:val="00742203"/>
    <w:rsid w:val="00742370"/>
    <w:rsid w:val="00742502"/>
    <w:rsid w:val="0074258D"/>
    <w:rsid w:val="00742620"/>
    <w:rsid w:val="00742743"/>
    <w:rsid w:val="00742755"/>
    <w:rsid w:val="00742981"/>
    <w:rsid w:val="00742B5F"/>
    <w:rsid w:val="00742B79"/>
    <w:rsid w:val="00742D4A"/>
    <w:rsid w:val="00742DBE"/>
    <w:rsid w:val="00743006"/>
    <w:rsid w:val="007430F3"/>
    <w:rsid w:val="0074342D"/>
    <w:rsid w:val="00743530"/>
    <w:rsid w:val="00743603"/>
    <w:rsid w:val="0074391E"/>
    <w:rsid w:val="00743973"/>
    <w:rsid w:val="00743990"/>
    <w:rsid w:val="007439A7"/>
    <w:rsid w:val="00743BCE"/>
    <w:rsid w:val="00743E14"/>
    <w:rsid w:val="00743F2F"/>
    <w:rsid w:val="00743F9A"/>
    <w:rsid w:val="00743FEB"/>
    <w:rsid w:val="0074414D"/>
    <w:rsid w:val="007441FF"/>
    <w:rsid w:val="00744433"/>
    <w:rsid w:val="00744439"/>
    <w:rsid w:val="00744480"/>
    <w:rsid w:val="007444EC"/>
    <w:rsid w:val="00744574"/>
    <w:rsid w:val="007445B7"/>
    <w:rsid w:val="00744657"/>
    <w:rsid w:val="00744796"/>
    <w:rsid w:val="007447D2"/>
    <w:rsid w:val="0074493F"/>
    <w:rsid w:val="00744B40"/>
    <w:rsid w:val="00744BAC"/>
    <w:rsid w:val="00744CF1"/>
    <w:rsid w:val="00744CFB"/>
    <w:rsid w:val="00744D32"/>
    <w:rsid w:val="00744EB7"/>
    <w:rsid w:val="007451A5"/>
    <w:rsid w:val="0074576D"/>
    <w:rsid w:val="007458AC"/>
    <w:rsid w:val="00745BC8"/>
    <w:rsid w:val="00745CBC"/>
    <w:rsid w:val="00746275"/>
    <w:rsid w:val="007462F1"/>
    <w:rsid w:val="0074631E"/>
    <w:rsid w:val="007464C3"/>
    <w:rsid w:val="007465AC"/>
    <w:rsid w:val="0074661D"/>
    <w:rsid w:val="00746688"/>
    <w:rsid w:val="0074676F"/>
    <w:rsid w:val="0074688B"/>
    <w:rsid w:val="00746935"/>
    <w:rsid w:val="0074695C"/>
    <w:rsid w:val="00746B86"/>
    <w:rsid w:val="00746BB7"/>
    <w:rsid w:val="00746CB0"/>
    <w:rsid w:val="00746E6F"/>
    <w:rsid w:val="007470E4"/>
    <w:rsid w:val="007471A0"/>
    <w:rsid w:val="007477D4"/>
    <w:rsid w:val="00747AAC"/>
    <w:rsid w:val="00747AF5"/>
    <w:rsid w:val="00747C71"/>
    <w:rsid w:val="00747D2F"/>
    <w:rsid w:val="00747FD8"/>
    <w:rsid w:val="007500AF"/>
    <w:rsid w:val="0075014D"/>
    <w:rsid w:val="0075015C"/>
    <w:rsid w:val="007502D3"/>
    <w:rsid w:val="0075041C"/>
    <w:rsid w:val="00750545"/>
    <w:rsid w:val="00750614"/>
    <w:rsid w:val="007508C4"/>
    <w:rsid w:val="007508D3"/>
    <w:rsid w:val="007509A8"/>
    <w:rsid w:val="00750A0A"/>
    <w:rsid w:val="00750C03"/>
    <w:rsid w:val="00750D73"/>
    <w:rsid w:val="007510DB"/>
    <w:rsid w:val="00751261"/>
    <w:rsid w:val="007513F7"/>
    <w:rsid w:val="007515F7"/>
    <w:rsid w:val="0075168C"/>
    <w:rsid w:val="007516B8"/>
    <w:rsid w:val="0075190D"/>
    <w:rsid w:val="00751AD5"/>
    <w:rsid w:val="00751B44"/>
    <w:rsid w:val="00751CBA"/>
    <w:rsid w:val="00751FAB"/>
    <w:rsid w:val="00752059"/>
    <w:rsid w:val="007521F9"/>
    <w:rsid w:val="0075238C"/>
    <w:rsid w:val="007525EF"/>
    <w:rsid w:val="0075266E"/>
    <w:rsid w:val="0075277D"/>
    <w:rsid w:val="00752906"/>
    <w:rsid w:val="00752AD1"/>
    <w:rsid w:val="00752BA1"/>
    <w:rsid w:val="00752DC1"/>
    <w:rsid w:val="00752EA7"/>
    <w:rsid w:val="00752EF6"/>
    <w:rsid w:val="007530DC"/>
    <w:rsid w:val="0075310F"/>
    <w:rsid w:val="007531E7"/>
    <w:rsid w:val="007532D9"/>
    <w:rsid w:val="0075338C"/>
    <w:rsid w:val="007533D5"/>
    <w:rsid w:val="0075359B"/>
    <w:rsid w:val="007535E6"/>
    <w:rsid w:val="00753841"/>
    <w:rsid w:val="00753860"/>
    <w:rsid w:val="00753A09"/>
    <w:rsid w:val="00753D8F"/>
    <w:rsid w:val="00753E25"/>
    <w:rsid w:val="00753E70"/>
    <w:rsid w:val="00754051"/>
    <w:rsid w:val="007540E6"/>
    <w:rsid w:val="0075429F"/>
    <w:rsid w:val="007542C3"/>
    <w:rsid w:val="00754339"/>
    <w:rsid w:val="0075441C"/>
    <w:rsid w:val="007544CE"/>
    <w:rsid w:val="00754583"/>
    <w:rsid w:val="0075463E"/>
    <w:rsid w:val="0075468C"/>
    <w:rsid w:val="00754706"/>
    <w:rsid w:val="0075478E"/>
    <w:rsid w:val="00754A21"/>
    <w:rsid w:val="00754B35"/>
    <w:rsid w:val="00754C19"/>
    <w:rsid w:val="00754DEA"/>
    <w:rsid w:val="00754EA2"/>
    <w:rsid w:val="00754FAC"/>
    <w:rsid w:val="00754FC0"/>
    <w:rsid w:val="007551B4"/>
    <w:rsid w:val="0075530A"/>
    <w:rsid w:val="00755342"/>
    <w:rsid w:val="007553E8"/>
    <w:rsid w:val="007553EC"/>
    <w:rsid w:val="00755418"/>
    <w:rsid w:val="00755515"/>
    <w:rsid w:val="0075553B"/>
    <w:rsid w:val="00755630"/>
    <w:rsid w:val="00755760"/>
    <w:rsid w:val="0075583F"/>
    <w:rsid w:val="0075587F"/>
    <w:rsid w:val="00755DAD"/>
    <w:rsid w:val="00755E28"/>
    <w:rsid w:val="00755F08"/>
    <w:rsid w:val="00755FA3"/>
    <w:rsid w:val="00756358"/>
    <w:rsid w:val="007563CB"/>
    <w:rsid w:val="007567DE"/>
    <w:rsid w:val="00756920"/>
    <w:rsid w:val="00756AF7"/>
    <w:rsid w:val="00756CB6"/>
    <w:rsid w:val="00756CD1"/>
    <w:rsid w:val="00756E6F"/>
    <w:rsid w:val="0075733F"/>
    <w:rsid w:val="0075737B"/>
    <w:rsid w:val="00757632"/>
    <w:rsid w:val="007576F2"/>
    <w:rsid w:val="007579A0"/>
    <w:rsid w:val="007579DF"/>
    <w:rsid w:val="00757A5E"/>
    <w:rsid w:val="00757B16"/>
    <w:rsid w:val="00757BD1"/>
    <w:rsid w:val="00757C42"/>
    <w:rsid w:val="00757CAD"/>
    <w:rsid w:val="00757F2B"/>
    <w:rsid w:val="0076026D"/>
    <w:rsid w:val="00760492"/>
    <w:rsid w:val="00760A1C"/>
    <w:rsid w:val="00760A79"/>
    <w:rsid w:val="00760D6C"/>
    <w:rsid w:val="00760DA6"/>
    <w:rsid w:val="00760DEB"/>
    <w:rsid w:val="00760F4F"/>
    <w:rsid w:val="00760F7E"/>
    <w:rsid w:val="00761027"/>
    <w:rsid w:val="00761416"/>
    <w:rsid w:val="007614AD"/>
    <w:rsid w:val="007614E6"/>
    <w:rsid w:val="00761688"/>
    <w:rsid w:val="00761749"/>
    <w:rsid w:val="007617FE"/>
    <w:rsid w:val="00761A27"/>
    <w:rsid w:val="00761A67"/>
    <w:rsid w:val="00761B4A"/>
    <w:rsid w:val="00761E34"/>
    <w:rsid w:val="007622E3"/>
    <w:rsid w:val="00762368"/>
    <w:rsid w:val="00762C48"/>
    <w:rsid w:val="00762CF2"/>
    <w:rsid w:val="00762EEA"/>
    <w:rsid w:val="0076305E"/>
    <w:rsid w:val="00763070"/>
    <w:rsid w:val="00763093"/>
    <w:rsid w:val="00763186"/>
    <w:rsid w:val="0076323C"/>
    <w:rsid w:val="0076326F"/>
    <w:rsid w:val="007632E7"/>
    <w:rsid w:val="0076330E"/>
    <w:rsid w:val="0076342D"/>
    <w:rsid w:val="0076357B"/>
    <w:rsid w:val="007638C3"/>
    <w:rsid w:val="007638D6"/>
    <w:rsid w:val="00763ADA"/>
    <w:rsid w:val="00763EAE"/>
    <w:rsid w:val="0076405B"/>
    <w:rsid w:val="007641B0"/>
    <w:rsid w:val="0076468F"/>
    <w:rsid w:val="00764752"/>
    <w:rsid w:val="007647D1"/>
    <w:rsid w:val="00764A61"/>
    <w:rsid w:val="00765060"/>
    <w:rsid w:val="00765065"/>
    <w:rsid w:val="00765156"/>
    <w:rsid w:val="007652F0"/>
    <w:rsid w:val="00765364"/>
    <w:rsid w:val="007653B9"/>
    <w:rsid w:val="007653FC"/>
    <w:rsid w:val="0076542E"/>
    <w:rsid w:val="007654DC"/>
    <w:rsid w:val="00765589"/>
    <w:rsid w:val="0076587D"/>
    <w:rsid w:val="00765D24"/>
    <w:rsid w:val="00765FA4"/>
    <w:rsid w:val="00765FA9"/>
    <w:rsid w:val="00766027"/>
    <w:rsid w:val="007661FE"/>
    <w:rsid w:val="0076635D"/>
    <w:rsid w:val="0076645E"/>
    <w:rsid w:val="007666D0"/>
    <w:rsid w:val="007669B9"/>
    <w:rsid w:val="00766C31"/>
    <w:rsid w:val="00766C33"/>
    <w:rsid w:val="00766E30"/>
    <w:rsid w:val="00766F64"/>
    <w:rsid w:val="00766FDD"/>
    <w:rsid w:val="00766FF8"/>
    <w:rsid w:val="007674F8"/>
    <w:rsid w:val="00767754"/>
    <w:rsid w:val="007677B7"/>
    <w:rsid w:val="00767A26"/>
    <w:rsid w:val="00767F1B"/>
    <w:rsid w:val="00767FCA"/>
    <w:rsid w:val="007701C6"/>
    <w:rsid w:val="00770533"/>
    <w:rsid w:val="007707BB"/>
    <w:rsid w:val="00770822"/>
    <w:rsid w:val="007708AB"/>
    <w:rsid w:val="00770908"/>
    <w:rsid w:val="00770C0D"/>
    <w:rsid w:val="00770C7A"/>
    <w:rsid w:val="00771035"/>
    <w:rsid w:val="0077136B"/>
    <w:rsid w:val="007713E7"/>
    <w:rsid w:val="007713F3"/>
    <w:rsid w:val="00771601"/>
    <w:rsid w:val="007717AA"/>
    <w:rsid w:val="0077193C"/>
    <w:rsid w:val="00771B2E"/>
    <w:rsid w:val="00771DCC"/>
    <w:rsid w:val="00771EC7"/>
    <w:rsid w:val="00772076"/>
    <w:rsid w:val="007720A7"/>
    <w:rsid w:val="00772201"/>
    <w:rsid w:val="007722A9"/>
    <w:rsid w:val="00772424"/>
    <w:rsid w:val="00772958"/>
    <w:rsid w:val="007729E5"/>
    <w:rsid w:val="00772A50"/>
    <w:rsid w:val="00772A77"/>
    <w:rsid w:val="00772BE6"/>
    <w:rsid w:val="00772C4F"/>
    <w:rsid w:val="00772D3A"/>
    <w:rsid w:val="00772F70"/>
    <w:rsid w:val="00773154"/>
    <w:rsid w:val="00773173"/>
    <w:rsid w:val="007731A0"/>
    <w:rsid w:val="007731CF"/>
    <w:rsid w:val="007732ED"/>
    <w:rsid w:val="007732F3"/>
    <w:rsid w:val="007733B9"/>
    <w:rsid w:val="007733FE"/>
    <w:rsid w:val="007735A2"/>
    <w:rsid w:val="00773A96"/>
    <w:rsid w:val="00773E95"/>
    <w:rsid w:val="00773E98"/>
    <w:rsid w:val="00773F4F"/>
    <w:rsid w:val="00774034"/>
    <w:rsid w:val="00774182"/>
    <w:rsid w:val="007741F8"/>
    <w:rsid w:val="00774309"/>
    <w:rsid w:val="0077431F"/>
    <w:rsid w:val="007743A2"/>
    <w:rsid w:val="00774468"/>
    <w:rsid w:val="00774612"/>
    <w:rsid w:val="00774762"/>
    <w:rsid w:val="007747F1"/>
    <w:rsid w:val="00774844"/>
    <w:rsid w:val="00774A99"/>
    <w:rsid w:val="00774AF3"/>
    <w:rsid w:val="00774CA7"/>
    <w:rsid w:val="00774CC9"/>
    <w:rsid w:val="00774D1B"/>
    <w:rsid w:val="00774D32"/>
    <w:rsid w:val="00774F23"/>
    <w:rsid w:val="00774FE0"/>
    <w:rsid w:val="0077506B"/>
    <w:rsid w:val="007751E6"/>
    <w:rsid w:val="00775204"/>
    <w:rsid w:val="0077531C"/>
    <w:rsid w:val="007756CD"/>
    <w:rsid w:val="00775A36"/>
    <w:rsid w:val="00775A73"/>
    <w:rsid w:val="00775AB1"/>
    <w:rsid w:val="00775E13"/>
    <w:rsid w:val="00775E39"/>
    <w:rsid w:val="00775E72"/>
    <w:rsid w:val="00776103"/>
    <w:rsid w:val="0077636B"/>
    <w:rsid w:val="00776426"/>
    <w:rsid w:val="007764A9"/>
    <w:rsid w:val="0077652F"/>
    <w:rsid w:val="00776664"/>
    <w:rsid w:val="00776941"/>
    <w:rsid w:val="00776991"/>
    <w:rsid w:val="00776A41"/>
    <w:rsid w:val="00776B16"/>
    <w:rsid w:val="00776B6A"/>
    <w:rsid w:val="00776BC7"/>
    <w:rsid w:val="00776D81"/>
    <w:rsid w:val="00776DD3"/>
    <w:rsid w:val="007770C7"/>
    <w:rsid w:val="0077718A"/>
    <w:rsid w:val="007774D0"/>
    <w:rsid w:val="0077764A"/>
    <w:rsid w:val="007778E7"/>
    <w:rsid w:val="00777A97"/>
    <w:rsid w:val="00777D74"/>
    <w:rsid w:val="00777D96"/>
    <w:rsid w:val="00777E55"/>
    <w:rsid w:val="007800B1"/>
    <w:rsid w:val="00780113"/>
    <w:rsid w:val="00780503"/>
    <w:rsid w:val="00780847"/>
    <w:rsid w:val="0078093E"/>
    <w:rsid w:val="007809A3"/>
    <w:rsid w:val="00780E78"/>
    <w:rsid w:val="00781096"/>
    <w:rsid w:val="0078110B"/>
    <w:rsid w:val="007811D9"/>
    <w:rsid w:val="007813F3"/>
    <w:rsid w:val="00781622"/>
    <w:rsid w:val="007816DC"/>
    <w:rsid w:val="007817BE"/>
    <w:rsid w:val="0078183A"/>
    <w:rsid w:val="00781ADF"/>
    <w:rsid w:val="00781BBE"/>
    <w:rsid w:val="00781D9C"/>
    <w:rsid w:val="00781F9D"/>
    <w:rsid w:val="00782014"/>
    <w:rsid w:val="0078217C"/>
    <w:rsid w:val="00782233"/>
    <w:rsid w:val="007825C0"/>
    <w:rsid w:val="007829C4"/>
    <w:rsid w:val="00782A2C"/>
    <w:rsid w:val="00782B26"/>
    <w:rsid w:val="00782B91"/>
    <w:rsid w:val="00782D86"/>
    <w:rsid w:val="00782E72"/>
    <w:rsid w:val="00783582"/>
    <w:rsid w:val="00783640"/>
    <w:rsid w:val="007838B3"/>
    <w:rsid w:val="0078391D"/>
    <w:rsid w:val="00783925"/>
    <w:rsid w:val="0078392B"/>
    <w:rsid w:val="00783954"/>
    <w:rsid w:val="00783E5D"/>
    <w:rsid w:val="00783F2B"/>
    <w:rsid w:val="0078452F"/>
    <w:rsid w:val="007845D0"/>
    <w:rsid w:val="007848D7"/>
    <w:rsid w:val="007848EC"/>
    <w:rsid w:val="00784A99"/>
    <w:rsid w:val="00784B85"/>
    <w:rsid w:val="00784C37"/>
    <w:rsid w:val="00784C51"/>
    <w:rsid w:val="00784CD2"/>
    <w:rsid w:val="00784CFB"/>
    <w:rsid w:val="00784FF2"/>
    <w:rsid w:val="00785052"/>
    <w:rsid w:val="007850B2"/>
    <w:rsid w:val="007850BB"/>
    <w:rsid w:val="007851B3"/>
    <w:rsid w:val="007851CE"/>
    <w:rsid w:val="0078522B"/>
    <w:rsid w:val="0078537D"/>
    <w:rsid w:val="007853F3"/>
    <w:rsid w:val="007855EA"/>
    <w:rsid w:val="00785629"/>
    <w:rsid w:val="0078578D"/>
    <w:rsid w:val="007858A0"/>
    <w:rsid w:val="00785966"/>
    <w:rsid w:val="00785970"/>
    <w:rsid w:val="007859DC"/>
    <w:rsid w:val="00785BC8"/>
    <w:rsid w:val="00785C6B"/>
    <w:rsid w:val="00785D78"/>
    <w:rsid w:val="00785F09"/>
    <w:rsid w:val="007861BC"/>
    <w:rsid w:val="00786373"/>
    <w:rsid w:val="007863CE"/>
    <w:rsid w:val="0078644A"/>
    <w:rsid w:val="007866A7"/>
    <w:rsid w:val="007866C7"/>
    <w:rsid w:val="00786719"/>
    <w:rsid w:val="00786722"/>
    <w:rsid w:val="00786B84"/>
    <w:rsid w:val="00786C4D"/>
    <w:rsid w:val="00786D6B"/>
    <w:rsid w:val="00786DA9"/>
    <w:rsid w:val="00786E37"/>
    <w:rsid w:val="007870D8"/>
    <w:rsid w:val="00787379"/>
    <w:rsid w:val="007873A1"/>
    <w:rsid w:val="00787758"/>
    <w:rsid w:val="00787B05"/>
    <w:rsid w:val="00787DB7"/>
    <w:rsid w:val="007902A5"/>
    <w:rsid w:val="007906FC"/>
    <w:rsid w:val="00790832"/>
    <w:rsid w:val="00790DB9"/>
    <w:rsid w:val="00790FA3"/>
    <w:rsid w:val="007910EC"/>
    <w:rsid w:val="0079127F"/>
    <w:rsid w:val="007913C4"/>
    <w:rsid w:val="007916C2"/>
    <w:rsid w:val="00791804"/>
    <w:rsid w:val="00791807"/>
    <w:rsid w:val="007918AD"/>
    <w:rsid w:val="007918E8"/>
    <w:rsid w:val="00791C0F"/>
    <w:rsid w:val="00791D95"/>
    <w:rsid w:val="00791ECC"/>
    <w:rsid w:val="00791F2B"/>
    <w:rsid w:val="00792053"/>
    <w:rsid w:val="007920BF"/>
    <w:rsid w:val="0079227F"/>
    <w:rsid w:val="00792684"/>
    <w:rsid w:val="007926B2"/>
    <w:rsid w:val="00792B07"/>
    <w:rsid w:val="00792D91"/>
    <w:rsid w:val="007930B1"/>
    <w:rsid w:val="00793153"/>
    <w:rsid w:val="007931EE"/>
    <w:rsid w:val="00793286"/>
    <w:rsid w:val="00793347"/>
    <w:rsid w:val="007933EF"/>
    <w:rsid w:val="00793400"/>
    <w:rsid w:val="00793464"/>
    <w:rsid w:val="00793522"/>
    <w:rsid w:val="007936FE"/>
    <w:rsid w:val="00793752"/>
    <w:rsid w:val="007937D9"/>
    <w:rsid w:val="0079381B"/>
    <w:rsid w:val="007939FC"/>
    <w:rsid w:val="00793B2A"/>
    <w:rsid w:val="00793BBE"/>
    <w:rsid w:val="00793C10"/>
    <w:rsid w:val="00793CD7"/>
    <w:rsid w:val="00793F09"/>
    <w:rsid w:val="00793F7C"/>
    <w:rsid w:val="0079400B"/>
    <w:rsid w:val="00794068"/>
    <w:rsid w:val="007941CD"/>
    <w:rsid w:val="00794385"/>
    <w:rsid w:val="00794422"/>
    <w:rsid w:val="007945BA"/>
    <w:rsid w:val="0079471B"/>
    <w:rsid w:val="007947C3"/>
    <w:rsid w:val="007947E2"/>
    <w:rsid w:val="00794A99"/>
    <w:rsid w:val="00794A9B"/>
    <w:rsid w:val="00794AC1"/>
    <w:rsid w:val="00794AD7"/>
    <w:rsid w:val="00794D1D"/>
    <w:rsid w:val="00795189"/>
    <w:rsid w:val="0079541B"/>
    <w:rsid w:val="00795516"/>
    <w:rsid w:val="00795598"/>
    <w:rsid w:val="007955EE"/>
    <w:rsid w:val="00795892"/>
    <w:rsid w:val="007959AD"/>
    <w:rsid w:val="00795B62"/>
    <w:rsid w:val="00795DA5"/>
    <w:rsid w:val="007960BD"/>
    <w:rsid w:val="00796125"/>
    <w:rsid w:val="0079626F"/>
    <w:rsid w:val="00796338"/>
    <w:rsid w:val="007966D6"/>
    <w:rsid w:val="0079671B"/>
    <w:rsid w:val="00796730"/>
    <w:rsid w:val="007967E3"/>
    <w:rsid w:val="00796894"/>
    <w:rsid w:val="00796A51"/>
    <w:rsid w:val="00796A53"/>
    <w:rsid w:val="00796BB6"/>
    <w:rsid w:val="00796D9C"/>
    <w:rsid w:val="00796DDD"/>
    <w:rsid w:val="00796F69"/>
    <w:rsid w:val="00796FF4"/>
    <w:rsid w:val="007970B7"/>
    <w:rsid w:val="00797264"/>
    <w:rsid w:val="00797883"/>
    <w:rsid w:val="007978DA"/>
    <w:rsid w:val="007A008E"/>
    <w:rsid w:val="007A00CB"/>
    <w:rsid w:val="007A00FC"/>
    <w:rsid w:val="007A029D"/>
    <w:rsid w:val="007A02D1"/>
    <w:rsid w:val="007A0384"/>
    <w:rsid w:val="007A046F"/>
    <w:rsid w:val="007A0678"/>
    <w:rsid w:val="007A06C2"/>
    <w:rsid w:val="007A079F"/>
    <w:rsid w:val="007A085C"/>
    <w:rsid w:val="007A0930"/>
    <w:rsid w:val="007A0994"/>
    <w:rsid w:val="007A0A12"/>
    <w:rsid w:val="007A0A5F"/>
    <w:rsid w:val="007A0B69"/>
    <w:rsid w:val="007A0D7E"/>
    <w:rsid w:val="007A0ECA"/>
    <w:rsid w:val="007A0F8D"/>
    <w:rsid w:val="007A116B"/>
    <w:rsid w:val="007A13E6"/>
    <w:rsid w:val="007A1511"/>
    <w:rsid w:val="007A1683"/>
    <w:rsid w:val="007A1AC5"/>
    <w:rsid w:val="007A1BA3"/>
    <w:rsid w:val="007A1E30"/>
    <w:rsid w:val="007A1FA3"/>
    <w:rsid w:val="007A21B6"/>
    <w:rsid w:val="007A2416"/>
    <w:rsid w:val="007A2489"/>
    <w:rsid w:val="007A2502"/>
    <w:rsid w:val="007A26C6"/>
    <w:rsid w:val="007A279F"/>
    <w:rsid w:val="007A2916"/>
    <w:rsid w:val="007A2A64"/>
    <w:rsid w:val="007A2B39"/>
    <w:rsid w:val="007A2CF4"/>
    <w:rsid w:val="007A2DC9"/>
    <w:rsid w:val="007A2FA1"/>
    <w:rsid w:val="007A2FC6"/>
    <w:rsid w:val="007A30B5"/>
    <w:rsid w:val="007A31A0"/>
    <w:rsid w:val="007A3418"/>
    <w:rsid w:val="007A34B3"/>
    <w:rsid w:val="007A3554"/>
    <w:rsid w:val="007A37C4"/>
    <w:rsid w:val="007A3B65"/>
    <w:rsid w:val="007A3B97"/>
    <w:rsid w:val="007A3D8A"/>
    <w:rsid w:val="007A3E99"/>
    <w:rsid w:val="007A41CC"/>
    <w:rsid w:val="007A44F8"/>
    <w:rsid w:val="007A4535"/>
    <w:rsid w:val="007A4724"/>
    <w:rsid w:val="007A487C"/>
    <w:rsid w:val="007A48ED"/>
    <w:rsid w:val="007A492F"/>
    <w:rsid w:val="007A4CC8"/>
    <w:rsid w:val="007A4E4D"/>
    <w:rsid w:val="007A4E76"/>
    <w:rsid w:val="007A4FEA"/>
    <w:rsid w:val="007A516B"/>
    <w:rsid w:val="007A53C3"/>
    <w:rsid w:val="007A552D"/>
    <w:rsid w:val="007A56F4"/>
    <w:rsid w:val="007A57C7"/>
    <w:rsid w:val="007A5A6B"/>
    <w:rsid w:val="007A5AFD"/>
    <w:rsid w:val="007A5BA8"/>
    <w:rsid w:val="007A5C38"/>
    <w:rsid w:val="007A5CB5"/>
    <w:rsid w:val="007A5F12"/>
    <w:rsid w:val="007A60AB"/>
    <w:rsid w:val="007A610F"/>
    <w:rsid w:val="007A61E2"/>
    <w:rsid w:val="007A64D5"/>
    <w:rsid w:val="007A66E3"/>
    <w:rsid w:val="007A6AC4"/>
    <w:rsid w:val="007A6BD3"/>
    <w:rsid w:val="007A6CEF"/>
    <w:rsid w:val="007A6FD1"/>
    <w:rsid w:val="007A7031"/>
    <w:rsid w:val="007A70CB"/>
    <w:rsid w:val="007A713A"/>
    <w:rsid w:val="007A7184"/>
    <w:rsid w:val="007A7434"/>
    <w:rsid w:val="007A77A7"/>
    <w:rsid w:val="007A7EED"/>
    <w:rsid w:val="007B03DA"/>
    <w:rsid w:val="007B03EE"/>
    <w:rsid w:val="007B04A4"/>
    <w:rsid w:val="007B08A5"/>
    <w:rsid w:val="007B0C82"/>
    <w:rsid w:val="007B0E88"/>
    <w:rsid w:val="007B10AB"/>
    <w:rsid w:val="007B121F"/>
    <w:rsid w:val="007B124A"/>
    <w:rsid w:val="007B138E"/>
    <w:rsid w:val="007B14C0"/>
    <w:rsid w:val="007B156C"/>
    <w:rsid w:val="007B1A3E"/>
    <w:rsid w:val="007B1B17"/>
    <w:rsid w:val="007B1E1C"/>
    <w:rsid w:val="007B1E3C"/>
    <w:rsid w:val="007B1F6D"/>
    <w:rsid w:val="007B200D"/>
    <w:rsid w:val="007B2357"/>
    <w:rsid w:val="007B2567"/>
    <w:rsid w:val="007B260E"/>
    <w:rsid w:val="007B291D"/>
    <w:rsid w:val="007B297A"/>
    <w:rsid w:val="007B29EA"/>
    <w:rsid w:val="007B2A7E"/>
    <w:rsid w:val="007B2B6C"/>
    <w:rsid w:val="007B2C55"/>
    <w:rsid w:val="007B2D9A"/>
    <w:rsid w:val="007B2EE1"/>
    <w:rsid w:val="007B2F79"/>
    <w:rsid w:val="007B3126"/>
    <w:rsid w:val="007B3213"/>
    <w:rsid w:val="007B32D0"/>
    <w:rsid w:val="007B3403"/>
    <w:rsid w:val="007B3783"/>
    <w:rsid w:val="007B37C8"/>
    <w:rsid w:val="007B3820"/>
    <w:rsid w:val="007B38D7"/>
    <w:rsid w:val="007B393B"/>
    <w:rsid w:val="007B3A7A"/>
    <w:rsid w:val="007B3BD7"/>
    <w:rsid w:val="007B3D12"/>
    <w:rsid w:val="007B40C8"/>
    <w:rsid w:val="007B43FD"/>
    <w:rsid w:val="007B455D"/>
    <w:rsid w:val="007B4696"/>
    <w:rsid w:val="007B4875"/>
    <w:rsid w:val="007B4929"/>
    <w:rsid w:val="007B4C29"/>
    <w:rsid w:val="007B4C95"/>
    <w:rsid w:val="007B507E"/>
    <w:rsid w:val="007B513A"/>
    <w:rsid w:val="007B5237"/>
    <w:rsid w:val="007B523E"/>
    <w:rsid w:val="007B524E"/>
    <w:rsid w:val="007B5446"/>
    <w:rsid w:val="007B55A2"/>
    <w:rsid w:val="007B55D3"/>
    <w:rsid w:val="007B5765"/>
    <w:rsid w:val="007B57BF"/>
    <w:rsid w:val="007B5A7C"/>
    <w:rsid w:val="007B5ACE"/>
    <w:rsid w:val="007B5E7A"/>
    <w:rsid w:val="007B5EB7"/>
    <w:rsid w:val="007B5EF5"/>
    <w:rsid w:val="007B60BE"/>
    <w:rsid w:val="007B60EE"/>
    <w:rsid w:val="007B6132"/>
    <w:rsid w:val="007B6247"/>
    <w:rsid w:val="007B6655"/>
    <w:rsid w:val="007B676C"/>
    <w:rsid w:val="007B68C3"/>
    <w:rsid w:val="007B68E8"/>
    <w:rsid w:val="007B693B"/>
    <w:rsid w:val="007B6943"/>
    <w:rsid w:val="007B698E"/>
    <w:rsid w:val="007B6A10"/>
    <w:rsid w:val="007B6A77"/>
    <w:rsid w:val="007B6AE4"/>
    <w:rsid w:val="007B6F29"/>
    <w:rsid w:val="007B6F92"/>
    <w:rsid w:val="007B7010"/>
    <w:rsid w:val="007B70B6"/>
    <w:rsid w:val="007B7127"/>
    <w:rsid w:val="007B7447"/>
    <w:rsid w:val="007B74FD"/>
    <w:rsid w:val="007B7727"/>
    <w:rsid w:val="007B77D8"/>
    <w:rsid w:val="007B7A9E"/>
    <w:rsid w:val="007B7C34"/>
    <w:rsid w:val="007B7F39"/>
    <w:rsid w:val="007B7F41"/>
    <w:rsid w:val="007C0017"/>
    <w:rsid w:val="007C004C"/>
    <w:rsid w:val="007C00AD"/>
    <w:rsid w:val="007C036C"/>
    <w:rsid w:val="007C042B"/>
    <w:rsid w:val="007C07AF"/>
    <w:rsid w:val="007C07E1"/>
    <w:rsid w:val="007C08B2"/>
    <w:rsid w:val="007C0BC2"/>
    <w:rsid w:val="007C0BDF"/>
    <w:rsid w:val="007C0C70"/>
    <w:rsid w:val="007C0ED1"/>
    <w:rsid w:val="007C111E"/>
    <w:rsid w:val="007C1168"/>
    <w:rsid w:val="007C1295"/>
    <w:rsid w:val="007C1331"/>
    <w:rsid w:val="007C145B"/>
    <w:rsid w:val="007C174F"/>
    <w:rsid w:val="007C1840"/>
    <w:rsid w:val="007C1854"/>
    <w:rsid w:val="007C1C66"/>
    <w:rsid w:val="007C1CC7"/>
    <w:rsid w:val="007C1D76"/>
    <w:rsid w:val="007C1EC0"/>
    <w:rsid w:val="007C1EC2"/>
    <w:rsid w:val="007C1F36"/>
    <w:rsid w:val="007C1F5E"/>
    <w:rsid w:val="007C1FB0"/>
    <w:rsid w:val="007C1FD6"/>
    <w:rsid w:val="007C201C"/>
    <w:rsid w:val="007C21B5"/>
    <w:rsid w:val="007C2286"/>
    <w:rsid w:val="007C242D"/>
    <w:rsid w:val="007C24FF"/>
    <w:rsid w:val="007C2519"/>
    <w:rsid w:val="007C264B"/>
    <w:rsid w:val="007C26C3"/>
    <w:rsid w:val="007C28E7"/>
    <w:rsid w:val="007C2954"/>
    <w:rsid w:val="007C29C7"/>
    <w:rsid w:val="007C2ACA"/>
    <w:rsid w:val="007C2D0B"/>
    <w:rsid w:val="007C3058"/>
    <w:rsid w:val="007C30D4"/>
    <w:rsid w:val="007C324A"/>
    <w:rsid w:val="007C3265"/>
    <w:rsid w:val="007C3818"/>
    <w:rsid w:val="007C39CD"/>
    <w:rsid w:val="007C3AFA"/>
    <w:rsid w:val="007C3C32"/>
    <w:rsid w:val="007C3CCA"/>
    <w:rsid w:val="007C4134"/>
    <w:rsid w:val="007C4246"/>
    <w:rsid w:val="007C4707"/>
    <w:rsid w:val="007C4A52"/>
    <w:rsid w:val="007C4C4D"/>
    <w:rsid w:val="007C4D1D"/>
    <w:rsid w:val="007C4D8A"/>
    <w:rsid w:val="007C4F34"/>
    <w:rsid w:val="007C4F52"/>
    <w:rsid w:val="007C4F75"/>
    <w:rsid w:val="007C4F7B"/>
    <w:rsid w:val="007C4F8D"/>
    <w:rsid w:val="007C51D5"/>
    <w:rsid w:val="007C52B9"/>
    <w:rsid w:val="007C5328"/>
    <w:rsid w:val="007C5479"/>
    <w:rsid w:val="007C5837"/>
    <w:rsid w:val="007C5D27"/>
    <w:rsid w:val="007C5D51"/>
    <w:rsid w:val="007C606A"/>
    <w:rsid w:val="007C60DF"/>
    <w:rsid w:val="007C62B6"/>
    <w:rsid w:val="007C649A"/>
    <w:rsid w:val="007C6B7D"/>
    <w:rsid w:val="007C6C0B"/>
    <w:rsid w:val="007C6E83"/>
    <w:rsid w:val="007C6F8D"/>
    <w:rsid w:val="007C712C"/>
    <w:rsid w:val="007C71C8"/>
    <w:rsid w:val="007C7322"/>
    <w:rsid w:val="007C75D6"/>
    <w:rsid w:val="007C75EE"/>
    <w:rsid w:val="007C7656"/>
    <w:rsid w:val="007C7812"/>
    <w:rsid w:val="007C7879"/>
    <w:rsid w:val="007C78FA"/>
    <w:rsid w:val="007C7E77"/>
    <w:rsid w:val="007C7EE5"/>
    <w:rsid w:val="007C7F8A"/>
    <w:rsid w:val="007D053B"/>
    <w:rsid w:val="007D068A"/>
    <w:rsid w:val="007D0714"/>
    <w:rsid w:val="007D0849"/>
    <w:rsid w:val="007D0895"/>
    <w:rsid w:val="007D0B33"/>
    <w:rsid w:val="007D0DA1"/>
    <w:rsid w:val="007D0EED"/>
    <w:rsid w:val="007D1045"/>
    <w:rsid w:val="007D10D2"/>
    <w:rsid w:val="007D11AB"/>
    <w:rsid w:val="007D11E9"/>
    <w:rsid w:val="007D18C0"/>
    <w:rsid w:val="007D1981"/>
    <w:rsid w:val="007D1A89"/>
    <w:rsid w:val="007D1D71"/>
    <w:rsid w:val="007D1D73"/>
    <w:rsid w:val="007D2111"/>
    <w:rsid w:val="007D221B"/>
    <w:rsid w:val="007D234D"/>
    <w:rsid w:val="007D25FA"/>
    <w:rsid w:val="007D26A7"/>
    <w:rsid w:val="007D26D0"/>
    <w:rsid w:val="007D2765"/>
    <w:rsid w:val="007D29A2"/>
    <w:rsid w:val="007D2C67"/>
    <w:rsid w:val="007D2D80"/>
    <w:rsid w:val="007D2F1B"/>
    <w:rsid w:val="007D2F69"/>
    <w:rsid w:val="007D3123"/>
    <w:rsid w:val="007D339C"/>
    <w:rsid w:val="007D33A2"/>
    <w:rsid w:val="007D342A"/>
    <w:rsid w:val="007D37A3"/>
    <w:rsid w:val="007D3816"/>
    <w:rsid w:val="007D3870"/>
    <w:rsid w:val="007D38F4"/>
    <w:rsid w:val="007D393E"/>
    <w:rsid w:val="007D3AFD"/>
    <w:rsid w:val="007D3F75"/>
    <w:rsid w:val="007D4285"/>
    <w:rsid w:val="007D42ED"/>
    <w:rsid w:val="007D43E6"/>
    <w:rsid w:val="007D44E6"/>
    <w:rsid w:val="007D4604"/>
    <w:rsid w:val="007D4728"/>
    <w:rsid w:val="007D48B4"/>
    <w:rsid w:val="007D4A3D"/>
    <w:rsid w:val="007D4C73"/>
    <w:rsid w:val="007D4CE3"/>
    <w:rsid w:val="007D4D0D"/>
    <w:rsid w:val="007D4EC7"/>
    <w:rsid w:val="007D5045"/>
    <w:rsid w:val="007D51A2"/>
    <w:rsid w:val="007D5241"/>
    <w:rsid w:val="007D535A"/>
    <w:rsid w:val="007D5695"/>
    <w:rsid w:val="007D56AA"/>
    <w:rsid w:val="007D56CB"/>
    <w:rsid w:val="007D5756"/>
    <w:rsid w:val="007D5931"/>
    <w:rsid w:val="007D5A8E"/>
    <w:rsid w:val="007D5E8D"/>
    <w:rsid w:val="007D5F17"/>
    <w:rsid w:val="007D60CC"/>
    <w:rsid w:val="007D62A9"/>
    <w:rsid w:val="007D62B1"/>
    <w:rsid w:val="007D62D4"/>
    <w:rsid w:val="007D6302"/>
    <w:rsid w:val="007D6603"/>
    <w:rsid w:val="007D68EF"/>
    <w:rsid w:val="007D6E2F"/>
    <w:rsid w:val="007D6F70"/>
    <w:rsid w:val="007D7088"/>
    <w:rsid w:val="007D72AF"/>
    <w:rsid w:val="007D75F3"/>
    <w:rsid w:val="007D76F5"/>
    <w:rsid w:val="007D7A1F"/>
    <w:rsid w:val="007D7CAF"/>
    <w:rsid w:val="007D7CD8"/>
    <w:rsid w:val="007D7EBE"/>
    <w:rsid w:val="007D7FA3"/>
    <w:rsid w:val="007E0154"/>
    <w:rsid w:val="007E02AF"/>
    <w:rsid w:val="007E037C"/>
    <w:rsid w:val="007E06F1"/>
    <w:rsid w:val="007E079B"/>
    <w:rsid w:val="007E0951"/>
    <w:rsid w:val="007E0AB0"/>
    <w:rsid w:val="007E0B00"/>
    <w:rsid w:val="007E0B25"/>
    <w:rsid w:val="007E0B45"/>
    <w:rsid w:val="007E0B70"/>
    <w:rsid w:val="007E0C6E"/>
    <w:rsid w:val="007E0E7B"/>
    <w:rsid w:val="007E0E9D"/>
    <w:rsid w:val="007E1040"/>
    <w:rsid w:val="007E1290"/>
    <w:rsid w:val="007E1341"/>
    <w:rsid w:val="007E13FC"/>
    <w:rsid w:val="007E1621"/>
    <w:rsid w:val="007E16A9"/>
    <w:rsid w:val="007E1A63"/>
    <w:rsid w:val="007E1D04"/>
    <w:rsid w:val="007E1DDC"/>
    <w:rsid w:val="007E1E8F"/>
    <w:rsid w:val="007E1EC9"/>
    <w:rsid w:val="007E23C0"/>
    <w:rsid w:val="007E24F4"/>
    <w:rsid w:val="007E25CB"/>
    <w:rsid w:val="007E2633"/>
    <w:rsid w:val="007E28CA"/>
    <w:rsid w:val="007E28FC"/>
    <w:rsid w:val="007E32DB"/>
    <w:rsid w:val="007E33ED"/>
    <w:rsid w:val="007E35DE"/>
    <w:rsid w:val="007E3662"/>
    <w:rsid w:val="007E3676"/>
    <w:rsid w:val="007E38F1"/>
    <w:rsid w:val="007E3A67"/>
    <w:rsid w:val="007E3BD1"/>
    <w:rsid w:val="007E3F1A"/>
    <w:rsid w:val="007E3F1E"/>
    <w:rsid w:val="007E3FFA"/>
    <w:rsid w:val="007E403B"/>
    <w:rsid w:val="007E4255"/>
    <w:rsid w:val="007E42B3"/>
    <w:rsid w:val="007E46CC"/>
    <w:rsid w:val="007E48DD"/>
    <w:rsid w:val="007E4C9A"/>
    <w:rsid w:val="007E4CAC"/>
    <w:rsid w:val="007E4FE5"/>
    <w:rsid w:val="007E5097"/>
    <w:rsid w:val="007E50D2"/>
    <w:rsid w:val="007E53D1"/>
    <w:rsid w:val="007E54F1"/>
    <w:rsid w:val="007E5692"/>
    <w:rsid w:val="007E56D6"/>
    <w:rsid w:val="007E5831"/>
    <w:rsid w:val="007E5859"/>
    <w:rsid w:val="007E58E1"/>
    <w:rsid w:val="007E5913"/>
    <w:rsid w:val="007E5B40"/>
    <w:rsid w:val="007E5B6B"/>
    <w:rsid w:val="007E5C2D"/>
    <w:rsid w:val="007E5E9D"/>
    <w:rsid w:val="007E6022"/>
    <w:rsid w:val="007E66B8"/>
    <w:rsid w:val="007E6A80"/>
    <w:rsid w:val="007E6E57"/>
    <w:rsid w:val="007E6E59"/>
    <w:rsid w:val="007E6E78"/>
    <w:rsid w:val="007E7657"/>
    <w:rsid w:val="007E79F0"/>
    <w:rsid w:val="007E7AD8"/>
    <w:rsid w:val="007E7B1B"/>
    <w:rsid w:val="007E7DDD"/>
    <w:rsid w:val="007E7EF7"/>
    <w:rsid w:val="007F00F7"/>
    <w:rsid w:val="007F02F4"/>
    <w:rsid w:val="007F054E"/>
    <w:rsid w:val="007F0635"/>
    <w:rsid w:val="007F0EAC"/>
    <w:rsid w:val="007F0F83"/>
    <w:rsid w:val="007F12C4"/>
    <w:rsid w:val="007F1467"/>
    <w:rsid w:val="007F153C"/>
    <w:rsid w:val="007F17E8"/>
    <w:rsid w:val="007F1822"/>
    <w:rsid w:val="007F1AA9"/>
    <w:rsid w:val="007F1D2B"/>
    <w:rsid w:val="007F20DE"/>
    <w:rsid w:val="007F2157"/>
    <w:rsid w:val="007F2300"/>
    <w:rsid w:val="007F25EF"/>
    <w:rsid w:val="007F2725"/>
    <w:rsid w:val="007F2786"/>
    <w:rsid w:val="007F2907"/>
    <w:rsid w:val="007F290D"/>
    <w:rsid w:val="007F2A93"/>
    <w:rsid w:val="007F2B52"/>
    <w:rsid w:val="007F2D12"/>
    <w:rsid w:val="007F2E13"/>
    <w:rsid w:val="007F30CA"/>
    <w:rsid w:val="007F3111"/>
    <w:rsid w:val="007F320D"/>
    <w:rsid w:val="007F3482"/>
    <w:rsid w:val="007F367D"/>
    <w:rsid w:val="007F3827"/>
    <w:rsid w:val="007F3A54"/>
    <w:rsid w:val="007F3AF8"/>
    <w:rsid w:val="007F3DA4"/>
    <w:rsid w:val="007F3E0B"/>
    <w:rsid w:val="007F3EEC"/>
    <w:rsid w:val="007F40A7"/>
    <w:rsid w:val="007F42C7"/>
    <w:rsid w:val="007F44B3"/>
    <w:rsid w:val="007F4653"/>
    <w:rsid w:val="007F47CB"/>
    <w:rsid w:val="007F47E0"/>
    <w:rsid w:val="007F48BB"/>
    <w:rsid w:val="007F48E6"/>
    <w:rsid w:val="007F4A46"/>
    <w:rsid w:val="007F4A48"/>
    <w:rsid w:val="007F4A9F"/>
    <w:rsid w:val="007F4B58"/>
    <w:rsid w:val="007F4BDF"/>
    <w:rsid w:val="007F4C12"/>
    <w:rsid w:val="007F4EF1"/>
    <w:rsid w:val="007F509F"/>
    <w:rsid w:val="007F528F"/>
    <w:rsid w:val="007F52DA"/>
    <w:rsid w:val="007F5340"/>
    <w:rsid w:val="007F5488"/>
    <w:rsid w:val="007F5795"/>
    <w:rsid w:val="007F59AC"/>
    <w:rsid w:val="007F5AB6"/>
    <w:rsid w:val="007F5D77"/>
    <w:rsid w:val="007F5F37"/>
    <w:rsid w:val="007F5FE1"/>
    <w:rsid w:val="007F628D"/>
    <w:rsid w:val="007F62AE"/>
    <w:rsid w:val="007F674B"/>
    <w:rsid w:val="007F6825"/>
    <w:rsid w:val="007F6912"/>
    <w:rsid w:val="007F6935"/>
    <w:rsid w:val="007F6955"/>
    <w:rsid w:val="007F69C1"/>
    <w:rsid w:val="007F6CE6"/>
    <w:rsid w:val="007F6F1C"/>
    <w:rsid w:val="007F6F44"/>
    <w:rsid w:val="007F7046"/>
    <w:rsid w:val="007F71C4"/>
    <w:rsid w:val="007F7323"/>
    <w:rsid w:val="007F74B6"/>
    <w:rsid w:val="007F763A"/>
    <w:rsid w:val="007F764A"/>
    <w:rsid w:val="007F77A5"/>
    <w:rsid w:val="007F7C7A"/>
    <w:rsid w:val="007F7F94"/>
    <w:rsid w:val="007F7FBE"/>
    <w:rsid w:val="007F7FED"/>
    <w:rsid w:val="0080022B"/>
    <w:rsid w:val="00800316"/>
    <w:rsid w:val="0080035E"/>
    <w:rsid w:val="0080037A"/>
    <w:rsid w:val="00800435"/>
    <w:rsid w:val="008006DB"/>
    <w:rsid w:val="0080079F"/>
    <w:rsid w:val="00800824"/>
    <w:rsid w:val="00800B45"/>
    <w:rsid w:val="00800F16"/>
    <w:rsid w:val="00800F2E"/>
    <w:rsid w:val="00801009"/>
    <w:rsid w:val="00801070"/>
    <w:rsid w:val="008010F4"/>
    <w:rsid w:val="00801156"/>
    <w:rsid w:val="0080117D"/>
    <w:rsid w:val="0080140F"/>
    <w:rsid w:val="00801527"/>
    <w:rsid w:val="008016D5"/>
    <w:rsid w:val="0080177C"/>
    <w:rsid w:val="008018A4"/>
    <w:rsid w:val="00801D50"/>
    <w:rsid w:val="00801DE9"/>
    <w:rsid w:val="00801E5B"/>
    <w:rsid w:val="00801E8F"/>
    <w:rsid w:val="00801F17"/>
    <w:rsid w:val="00801FE3"/>
    <w:rsid w:val="00802183"/>
    <w:rsid w:val="00802254"/>
    <w:rsid w:val="008022F9"/>
    <w:rsid w:val="00802332"/>
    <w:rsid w:val="0080239B"/>
    <w:rsid w:val="00802635"/>
    <w:rsid w:val="008026C8"/>
    <w:rsid w:val="008027ED"/>
    <w:rsid w:val="00802867"/>
    <w:rsid w:val="00802A0E"/>
    <w:rsid w:val="00802D70"/>
    <w:rsid w:val="00802F8A"/>
    <w:rsid w:val="00802FB9"/>
    <w:rsid w:val="0080300E"/>
    <w:rsid w:val="008033C1"/>
    <w:rsid w:val="0080344D"/>
    <w:rsid w:val="00803468"/>
    <w:rsid w:val="00803482"/>
    <w:rsid w:val="008035CE"/>
    <w:rsid w:val="008035E5"/>
    <w:rsid w:val="008036F9"/>
    <w:rsid w:val="00803EB9"/>
    <w:rsid w:val="00804191"/>
    <w:rsid w:val="00804534"/>
    <w:rsid w:val="00804593"/>
    <w:rsid w:val="0080460B"/>
    <w:rsid w:val="0080464C"/>
    <w:rsid w:val="008046B3"/>
    <w:rsid w:val="0080493F"/>
    <w:rsid w:val="00804D40"/>
    <w:rsid w:val="00804E23"/>
    <w:rsid w:val="00804F99"/>
    <w:rsid w:val="00804FA9"/>
    <w:rsid w:val="0080502C"/>
    <w:rsid w:val="008052E4"/>
    <w:rsid w:val="0080593F"/>
    <w:rsid w:val="008059DC"/>
    <w:rsid w:val="00805AE5"/>
    <w:rsid w:val="00805B5B"/>
    <w:rsid w:val="00806141"/>
    <w:rsid w:val="0080644F"/>
    <w:rsid w:val="0080673C"/>
    <w:rsid w:val="00806AA8"/>
    <w:rsid w:val="00806D9A"/>
    <w:rsid w:val="00806E32"/>
    <w:rsid w:val="00806F2F"/>
    <w:rsid w:val="0080704B"/>
    <w:rsid w:val="008073FE"/>
    <w:rsid w:val="0080756C"/>
    <w:rsid w:val="0080757C"/>
    <w:rsid w:val="008078AE"/>
    <w:rsid w:val="00807E14"/>
    <w:rsid w:val="00807E70"/>
    <w:rsid w:val="00807E99"/>
    <w:rsid w:val="00807FF5"/>
    <w:rsid w:val="00810035"/>
    <w:rsid w:val="0081007A"/>
    <w:rsid w:val="0081013C"/>
    <w:rsid w:val="0081014D"/>
    <w:rsid w:val="00810783"/>
    <w:rsid w:val="008108EF"/>
    <w:rsid w:val="008108F3"/>
    <w:rsid w:val="00810915"/>
    <w:rsid w:val="00810926"/>
    <w:rsid w:val="00810AFF"/>
    <w:rsid w:val="00810DA2"/>
    <w:rsid w:val="00811361"/>
    <w:rsid w:val="00811377"/>
    <w:rsid w:val="008115D6"/>
    <w:rsid w:val="00811922"/>
    <w:rsid w:val="00811CEB"/>
    <w:rsid w:val="008120E0"/>
    <w:rsid w:val="008121DC"/>
    <w:rsid w:val="0081267F"/>
    <w:rsid w:val="008126E4"/>
    <w:rsid w:val="0081274D"/>
    <w:rsid w:val="008128A9"/>
    <w:rsid w:val="00812972"/>
    <w:rsid w:val="00812BF9"/>
    <w:rsid w:val="00812D27"/>
    <w:rsid w:val="008131E1"/>
    <w:rsid w:val="0081326A"/>
    <w:rsid w:val="008132A9"/>
    <w:rsid w:val="00813464"/>
    <w:rsid w:val="008135B6"/>
    <w:rsid w:val="00813633"/>
    <w:rsid w:val="008139AF"/>
    <w:rsid w:val="00813ABA"/>
    <w:rsid w:val="00813B93"/>
    <w:rsid w:val="00813BF3"/>
    <w:rsid w:val="00813E75"/>
    <w:rsid w:val="00814188"/>
    <w:rsid w:val="008141DF"/>
    <w:rsid w:val="00814255"/>
    <w:rsid w:val="0081447E"/>
    <w:rsid w:val="00814E8D"/>
    <w:rsid w:val="00814F8E"/>
    <w:rsid w:val="00814FDF"/>
    <w:rsid w:val="0081522F"/>
    <w:rsid w:val="0081526D"/>
    <w:rsid w:val="008153B7"/>
    <w:rsid w:val="008156EF"/>
    <w:rsid w:val="0081585D"/>
    <w:rsid w:val="0081590E"/>
    <w:rsid w:val="00815A4B"/>
    <w:rsid w:val="00815B08"/>
    <w:rsid w:val="00815B42"/>
    <w:rsid w:val="00815BB6"/>
    <w:rsid w:val="00815C1C"/>
    <w:rsid w:val="00815D3D"/>
    <w:rsid w:val="00815D7B"/>
    <w:rsid w:val="00815D8D"/>
    <w:rsid w:val="00815DDE"/>
    <w:rsid w:val="00816059"/>
    <w:rsid w:val="00816098"/>
    <w:rsid w:val="008160AF"/>
    <w:rsid w:val="00816539"/>
    <w:rsid w:val="00816551"/>
    <w:rsid w:val="00816746"/>
    <w:rsid w:val="008168A1"/>
    <w:rsid w:val="00816F2F"/>
    <w:rsid w:val="00816F9E"/>
    <w:rsid w:val="008170F8"/>
    <w:rsid w:val="008175E5"/>
    <w:rsid w:val="008175F7"/>
    <w:rsid w:val="0081765A"/>
    <w:rsid w:val="008177BF"/>
    <w:rsid w:val="00817A6C"/>
    <w:rsid w:val="00817D59"/>
    <w:rsid w:val="0082010A"/>
    <w:rsid w:val="0082025D"/>
    <w:rsid w:val="0082031E"/>
    <w:rsid w:val="00820380"/>
    <w:rsid w:val="00820413"/>
    <w:rsid w:val="00820471"/>
    <w:rsid w:val="00820516"/>
    <w:rsid w:val="0082057E"/>
    <w:rsid w:val="008205B5"/>
    <w:rsid w:val="00820665"/>
    <w:rsid w:val="008206AB"/>
    <w:rsid w:val="00820791"/>
    <w:rsid w:val="00820859"/>
    <w:rsid w:val="00820931"/>
    <w:rsid w:val="0082099E"/>
    <w:rsid w:val="00820A71"/>
    <w:rsid w:val="00820AA5"/>
    <w:rsid w:val="00820D29"/>
    <w:rsid w:val="00820D57"/>
    <w:rsid w:val="00820D76"/>
    <w:rsid w:val="00820E2B"/>
    <w:rsid w:val="00820EB3"/>
    <w:rsid w:val="00820FCD"/>
    <w:rsid w:val="00820FF1"/>
    <w:rsid w:val="00821230"/>
    <w:rsid w:val="00821622"/>
    <w:rsid w:val="00821860"/>
    <w:rsid w:val="008219FA"/>
    <w:rsid w:val="00821A6B"/>
    <w:rsid w:val="00821BA2"/>
    <w:rsid w:val="00821C1C"/>
    <w:rsid w:val="00821E5E"/>
    <w:rsid w:val="00821EB2"/>
    <w:rsid w:val="00821F6A"/>
    <w:rsid w:val="0082209D"/>
    <w:rsid w:val="008221AC"/>
    <w:rsid w:val="008223C2"/>
    <w:rsid w:val="008225DD"/>
    <w:rsid w:val="008227D6"/>
    <w:rsid w:val="0082286A"/>
    <w:rsid w:val="00822D24"/>
    <w:rsid w:val="00822DB4"/>
    <w:rsid w:val="00822E45"/>
    <w:rsid w:val="00822FD7"/>
    <w:rsid w:val="00823023"/>
    <w:rsid w:val="0082317A"/>
    <w:rsid w:val="00823266"/>
    <w:rsid w:val="00823354"/>
    <w:rsid w:val="0082341D"/>
    <w:rsid w:val="008235BD"/>
    <w:rsid w:val="00823640"/>
    <w:rsid w:val="0082367A"/>
    <w:rsid w:val="008237C8"/>
    <w:rsid w:val="00823877"/>
    <w:rsid w:val="008238A0"/>
    <w:rsid w:val="0082392C"/>
    <w:rsid w:val="00823A43"/>
    <w:rsid w:val="00823AF9"/>
    <w:rsid w:val="00823E7A"/>
    <w:rsid w:val="00823F72"/>
    <w:rsid w:val="00823F96"/>
    <w:rsid w:val="00824064"/>
    <w:rsid w:val="00824087"/>
    <w:rsid w:val="008241DA"/>
    <w:rsid w:val="0082429D"/>
    <w:rsid w:val="0082475D"/>
    <w:rsid w:val="00824803"/>
    <w:rsid w:val="008248F9"/>
    <w:rsid w:val="00824B9B"/>
    <w:rsid w:val="00824BD8"/>
    <w:rsid w:val="00824CD6"/>
    <w:rsid w:val="008252A9"/>
    <w:rsid w:val="008254A7"/>
    <w:rsid w:val="00825516"/>
    <w:rsid w:val="00825685"/>
    <w:rsid w:val="00825AF9"/>
    <w:rsid w:val="00825B11"/>
    <w:rsid w:val="00825BE0"/>
    <w:rsid w:val="00825DA8"/>
    <w:rsid w:val="00825F05"/>
    <w:rsid w:val="00825F3F"/>
    <w:rsid w:val="00826071"/>
    <w:rsid w:val="0082614B"/>
    <w:rsid w:val="0082621F"/>
    <w:rsid w:val="00826303"/>
    <w:rsid w:val="008263CA"/>
    <w:rsid w:val="008263D1"/>
    <w:rsid w:val="0082669C"/>
    <w:rsid w:val="00826723"/>
    <w:rsid w:val="00826795"/>
    <w:rsid w:val="00826986"/>
    <w:rsid w:val="00826CC1"/>
    <w:rsid w:val="00826CE8"/>
    <w:rsid w:val="00826E71"/>
    <w:rsid w:val="00826EA2"/>
    <w:rsid w:val="00826F25"/>
    <w:rsid w:val="00826F3D"/>
    <w:rsid w:val="0082711C"/>
    <w:rsid w:val="0082715A"/>
    <w:rsid w:val="0082728A"/>
    <w:rsid w:val="008273D9"/>
    <w:rsid w:val="008273E7"/>
    <w:rsid w:val="008274CD"/>
    <w:rsid w:val="0082792B"/>
    <w:rsid w:val="00827AB6"/>
    <w:rsid w:val="00827AC8"/>
    <w:rsid w:val="00827B96"/>
    <w:rsid w:val="00827DB2"/>
    <w:rsid w:val="00827E0A"/>
    <w:rsid w:val="00830016"/>
    <w:rsid w:val="00830501"/>
    <w:rsid w:val="008308E5"/>
    <w:rsid w:val="0083090C"/>
    <w:rsid w:val="00830920"/>
    <w:rsid w:val="00830A08"/>
    <w:rsid w:val="00830B83"/>
    <w:rsid w:val="00830C05"/>
    <w:rsid w:val="00830E2A"/>
    <w:rsid w:val="00831494"/>
    <w:rsid w:val="0083149A"/>
    <w:rsid w:val="00831AA2"/>
    <w:rsid w:val="00831ABF"/>
    <w:rsid w:val="00831AD7"/>
    <w:rsid w:val="00831CBA"/>
    <w:rsid w:val="0083224A"/>
    <w:rsid w:val="0083230A"/>
    <w:rsid w:val="008324FE"/>
    <w:rsid w:val="00832B87"/>
    <w:rsid w:val="00832C15"/>
    <w:rsid w:val="00832C88"/>
    <w:rsid w:val="00832C9C"/>
    <w:rsid w:val="00832E4E"/>
    <w:rsid w:val="00832FFE"/>
    <w:rsid w:val="0083308B"/>
    <w:rsid w:val="0083323C"/>
    <w:rsid w:val="008334AE"/>
    <w:rsid w:val="00833538"/>
    <w:rsid w:val="0083368A"/>
    <w:rsid w:val="008336DE"/>
    <w:rsid w:val="00833805"/>
    <w:rsid w:val="00833917"/>
    <w:rsid w:val="00833BE0"/>
    <w:rsid w:val="00833CC8"/>
    <w:rsid w:val="00833CFE"/>
    <w:rsid w:val="00833E3D"/>
    <w:rsid w:val="00833E46"/>
    <w:rsid w:val="00833EE1"/>
    <w:rsid w:val="00833F17"/>
    <w:rsid w:val="00834132"/>
    <w:rsid w:val="0083430F"/>
    <w:rsid w:val="00834395"/>
    <w:rsid w:val="00834593"/>
    <w:rsid w:val="00834717"/>
    <w:rsid w:val="008347F9"/>
    <w:rsid w:val="00834A23"/>
    <w:rsid w:val="00834AB8"/>
    <w:rsid w:val="00834AF7"/>
    <w:rsid w:val="00834AFA"/>
    <w:rsid w:val="00834B1E"/>
    <w:rsid w:val="00834BA6"/>
    <w:rsid w:val="00834BF5"/>
    <w:rsid w:val="00834D3D"/>
    <w:rsid w:val="00834F77"/>
    <w:rsid w:val="008350D4"/>
    <w:rsid w:val="008352F6"/>
    <w:rsid w:val="0083535B"/>
    <w:rsid w:val="00835398"/>
    <w:rsid w:val="00835551"/>
    <w:rsid w:val="00835587"/>
    <w:rsid w:val="0083561B"/>
    <w:rsid w:val="0083563C"/>
    <w:rsid w:val="00835A23"/>
    <w:rsid w:val="00835AE7"/>
    <w:rsid w:val="00835C6E"/>
    <w:rsid w:val="00835E57"/>
    <w:rsid w:val="00835E69"/>
    <w:rsid w:val="00835EC1"/>
    <w:rsid w:val="00835F74"/>
    <w:rsid w:val="008363B1"/>
    <w:rsid w:val="00836576"/>
    <w:rsid w:val="00836610"/>
    <w:rsid w:val="008366B7"/>
    <w:rsid w:val="008366F6"/>
    <w:rsid w:val="00836950"/>
    <w:rsid w:val="00836964"/>
    <w:rsid w:val="00836A8B"/>
    <w:rsid w:val="00836C17"/>
    <w:rsid w:val="00836CE4"/>
    <w:rsid w:val="00836D78"/>
    <w:rsid w:val="00836E25"/>
    <w:rsid w:val="00836EA4"/>
    <w:rsid w:val="0083705E"/>
    <w:rsid w:val="00837124"/>
    <w:rsid w:val="008375BA"/>
    <w:rsid w:val="008376BE"/>
    <w:rsid w:val="008377C1"/>
    <w:rsid w:val="00837A3D"/>
    <w:rsid w:val="00837BDD"/>
    <w:rsid w:val="00837BF2"/>
    <w:rsid w:val="00837E32"/>
    <w:rsid w:val="00837EFF"/>
    <w:rsid w:val="00837F27"/>
    <w:rsid w:val="0084004D"/>
    <w:rsid w:val="008400DD"/>
    <w:rsid w:val="00840185"/>
    <w:rsid w:val="00840420"/>
    <w:rsid w:val="008406C3"/>
    <w:rsid w:val="008406F9"/>
    <w:rsid w:val="0084078D"/>
    <w:rsid w:val="00840909"/>
    <w:rsid w:val="008409A9"/>
    <w:rsid w:val="00840A26"/>
    <w:rsid w:val="00840AD8"/>
    <w:rsid w:val="00840E29"/>
    <w:rsid w:val="00840EBC"/>
    <w:rsid w:val="00840F0F"/>
    <w:rsid w:val="0084123B"/>
    <w:rsid w:val="00841293"/>
    <w:rsid w:val="00841539"/>
    <w:rsid w:val="00841582"/>
    <w:rsid w:val="0084178B"/>
    <w:rsid w:val="008418F4"/>
    <w:rsid w:val="00841AFA"/>
    <w:rsid w:val="00841BD8"/>
    <w:rsid w:val="00841C0E"/>
    <w:rsid w:val="00841D6F"/>
    <w:rsid w:val="00841F9A"/>
    <w:rsid w:val="00842253"/>
    <w:rsid w:val="00842483"/>
    <w:rsid w:val="008428D1"/>
    <w:rsid w:val="008429D2"/>
    <w:rsid w:val="00842B14"/>
    <w:rsid w:val="00842B44"/>
    <w:rsid w:val="00842CA4"/>
    <w:rsid w:val="00842CBC"/>
    <w:rsid w:val="00842F19"/>
    <w:rsid w:val="0084303E"/>
    <w:rsid w:val="00843095"/>
    <w:rsid w:val="008432E8"/>
    <w:rsid w:val="008439B5"/>
    <w:rsid w:val="00843C1E"/>
    <w:rsid w:val="00843DED"/>
    <w:rsid w:val="00843E80"/>
    <w:rsid w:val="0084405E"/>
    <w:rsid w:val="00844221"/>
    <w:rsid w:val="00844290"/>
    <w:rsid w:val="008443EA"/>
    <w:rsid w:val="0084465D"/>
    <w:rsid w:val="008446AA"/>
    <w:rsid w:val="00844752"/>
    <w:rsid w:val="00844951"/>
    <w:rsid w:val="00844A96"/>
    <w:rsid w:val="00844CC3"/>
    <w:rsid w:val="00844DD5"/>
    <w:rsid w:val="00845095"/>
    <w:rsid w:val="0084537D"/>
    <w:rsid w:val="0084548B"/>
    <w:rsid w:val="008455E2"/>
    <w:rsid w:val="00845622"/>
    <w:rsid w:val="008457CE"/>
    <w:rsid w:val="00845A0B"/>
    <w:rsid w:val="00845AC4"/>
    <w:rsid w:val="00845BFB"/>
    <w:rsid w:val="00845E0E"/>
    <w:rsid w:val="00846053"/>
    <w:rsid w:val="00846107"/>
    <w:rsid w:val="0084622F"/>
    <w:rsid w:val="00846350"/>
    <w:rsid w:val="0084638D"/>
    <w:rsid w:val="0084654C"/>
    <w:rsid w:val="008467A2"/>
    <w:rsid w:val="008468D3"/>
    <w:rsid w:val="00846984"/>
    <w:rsid w:val="0084699B"/>
    <w:rsid w:val="008469FF"/>
    <w:rsid w:val="00846B15"/>
    <w:rsid w:val="00846D0A"/>
    <w:rsid w:val="00846D23"/>
    <w:rsid w:val="00846E37"/>
    <w:rsid w:val="00846E95"/>
    <w:rsid w:val="00846EEC"/>
    <w:rsid w:val="00847004"/>
    <w:rsid w:val="0084702D"/>
    <w:rsid w:val="008470F6"/>
    <w:rsid w:val="0084712A"/>
    <w:rsid w:val="008472B2"/>
    <w:rsid w:val="008475AD"/>
    <w:rsid w:val="008475E7"/>
    <w:rsid w:val="0084766F"/>
    <w:rsid w:val="008477E9"/>
    <w:rsid w:val="008477F9"/>
    <w:rsid w:val="008479B5"/>
    <w:rsid w:val="00847A40"/>
    <w:rsid w:val="00847C1A"/>
    <w:rsid w:val="00847C47"/>
    <w:rsid w:val="00847D5D"/>
    <w:rsid w:val="00847E40"/>
    <w:rsid w:val="00847FDB"/>
    <w:rsid w:val="0085000F"/>
    <w:rsid w:val="00850118"/>
    <w:rsid w:val="008503A2"/>
    <w:rsid w:val="008504F0"/>
    <w:rsid w:val="0085060A"/>
    <w:rsid w:val="0085064F"/>
    <w:rsid w:val="00850747"/>
    <w:rsid w:val="00850938"/>
    <w:rsid w:val="00850A34"/>
    <w:rsid w:val="00850B78"/>
    <w:rsid w:val="00850B85"/>
    <w:rsid w:val="00850C85"/>
    <w:rsid w:val="00850E42"/>
    <w:rsid w:val="00851004"/>
    <w:rsid w:val="0085109C"/>
    <w:rsid w:val="00851104"/>
    <w:rsid w:val="00851187"/>
    <w:rsid w:val="00851853"/>
    <w:rsid w:val="00851948"/>
    <w:rsid w:val="00851954"/>
    <w:rsid w:val="00851ACA"/>
    <w:rsid w:val="00851D79"/>
    <w:rsid w:val="00851F02"/>
    <w:rsid w:val="008520B1"/>
    <w:rsid w:val="0085211E"/>
    <w:rsid w:val="00852342"/>
    <w:rsid w:val="0085239E"/>
    <w:rsid w:val="00852421"/>
    <w:rsid w:val="00852594"/>
    <w:rsid w:val="00852706"/>
    <w:rsid w:val="008527A4"/>
    <w:rsid w:val="00852EA1"/>
    <w:rsid w:val="00853018"/>
    <w:rsid w:val="00853310"/>
    <w:rsid w:val="0085334E"/>
    <w:rsid w:val="00853354"/>
    <w:rsid w:val="00853505"/>
    <w:rsid w:val="00853A2C"/>
    <w:rsid w:val="00853B5B"/>
    <w:rsid w:val="00853BB7"/>
    <w:rsid w:val="00853CB1"/>
    <w:rsid w:val="00853DA8"/>
    <w:rsid w:val="00853FF0"/>
    <w:rsid w:val="008541EA"/>
    <w:rsid w:val="008542CF"/>
    <w:rsid w:val="008543B4"/>
    <w:rsid w:val="0085455D"/>
    <w:rsid w:val="00854696"/>
    <w:rsid w:val="00854787"/>
    <w:rsid w:val="00854803"/>
    <w:rsid w:val="00854A0D"/>
    <w:rsid w:val="00854CF6"/>
    <w:rsid w:val="00854E3D"/>
    <w:rsid w:val="00854EC0"/>
    <w:rsid w:val="008550C1"/>
    <w:rsid w:val="00855162"/>
    <w:rsid w:val="008551A0"/>
    <w:rsid w:val="008552D1"/>
    <w:rsid w:val="00855716"/>
    <w:rsid w:val="008558A8"/>
    <w:rsid w:val="008558B0"/>
    <w:rsid w:val="008559E1"/>
    <w:rsid w:val="00855D26"/>
    <w:rsid w:val="00855DB6"/>
    <w:rsid w:val="00855E0E"/>
    <w:rsid w:val="00855E0F"/>
    <w:rsid w:val="00855E8C"/>
    <w:rsid w:val="00856276"/>
    <w:rsid w:val="008565FB"/>
    <w:rsid w:val="00856719"/>
    <w:rsid w:val="00856902"/>
    <w:rsid w:val="00856A86"/>
    <w:rsid w:val="00856AA2"/>
    <w:rsid w:val="00856AA3"/>
    <w:rsid w:val="00856BFF"/>
    <w:rsid w:val="00856DF6"/>
    <w:rsid w:val="00856E59"/>
    <w:rsid w:val="00856EDA"/>
    <w:rsid w:val="008572F1"/>
    <w:rsid w:val="008573DD"/>
    <w:rsid w:val="00857422"/>
    <w:rsid w:val="00857491"/>
    <w:rsid w:val="0085751B"/>
    <w:rsid w:val="00857600"/>
    <w:rsid w:val="008576ED"/>
    <w:rsid w:val="008577AA"/>
    <w:rsid w:val="00857811"/>
    <w:rsid w:val="0085783E"/>
    <w:rsid w:val="00857869"/>
    <w:rsid w:val="00857BD9"/>
    <w:rsid w:val="00857BE6"/>
    <w:rsid w:val="00857EF0"/>
    <w:rsid w:val="00857F5D"/>
    <w:rsid w:val="00857FE1"/>
    <w:rsid w:val="008601AD"/>
    <w:rsid w:val="008602B1"/>
    <w:rsid w:val="0086037E"/>
    <w:rsid w:val="00860432"/>
    <w:rsid w:val="008604A3"/>
    <w:rsid w:val="008606D7"/>
    <w:rsid w:val="008609CF"/>
    <w:rsid w:val="008609F0"/>
    <w:rsid w:val="00860B28"/>
    <w:rsid w:val="00860C1E"/>
    <w:rsid w:val="00860CE0"/>
    <w:rsid w:val="00860FD2"/>
    <w:rsid w:val="0086110D"/>
    <w:rsid w:val="00861242"/>
    <w:rsid w:val="0086130A"/>
    <w:rsid w:val="008613D4"/>
    <w:rsid w:val="008613DC"/>
    <w:rsid w:val="00861529"/>
    <w:rsid w:val="00861695"/>
    <w:rsid w:val="00861745"/>
    <w:rsid w:val="008617C8"/>
    <w:rsid w:val="008619BB"/>
    <w:rsid w:val="00861D9D"/>
    <w:rsid w:val="00861F75"/>
    <w:rsid w:val="008620E2"/>
    <w:rsid w:val="00862266"/>
    <w:rsid w:val="0086229B"/>
    <w:rsid w:val="0086243C"/>
    <w:rsid w:val="008624B7"/>
    <w:rsid w:val="0086267A"/>
    <w:rsid w:val="008626A7"/>
    <w:rsid w:val="008627E9"/>
    <w:rsid w:val="00862811"/>
    <w:rsid w:val="00862B6C"/>
    <w:rsid w:val="00862DBA"/>
    <w:rsid w:val="00862F7C"/>
    <w:rsid w:val="008631AE"/>
    <w:rsid w:val="008635AD"/>
    <w:rsid w:val="008636C8"/>
    <w:rsid w:val="008636CB"/>
    <w:rsid w:val="00863718"/>
    <w:rsid w:val="00863801"/>
    <w:rsid w:val="0086388C"/>
    <w:rsid w:val="0086389E"/>
    <w:rsid w:val="00863A22"/>
    <w:rsid w:val="00863ABA"/>
    <w:rsid w:val="00863D33"/>
    <w:rsid w:val="00863E5D"/>
    <w:rsid w:val="00863F45"/>
    <w:rsid w:val="00863F60"/>
    <w:rsid w:val="00863FD9"/>
    <w:rsid w:val="00864009"/>
    <w:rsid w:val="00864068"/>
    <w:rsid w:val="008642EE"/>
    <w:rsid w:val="00864504"/>
    <w:rsid w:val="008647B8"/>
    <w:rsid w:val="00864A38"/>
    <w:rsid w:val="00864B5B"/>
    <w:rsid w:val="00864B8F"/>
    <w:rsid w:val="00864BDC"/>
    <w:rsid w:val="00864CA3"/>
    <w:rsid w:val="00864CA6"/>
    <w:rsid w:val="00864CB0"/>
    <w:rsid w:val="00864DA6"/>
    <w:rsid w:val="00864DB9"/>
    <w:rsid w:val="00864E4A"/>
    <w:rsid w:val="00865011"/>
    <w:rsid w:val="0086514D"/>
    <w:rsid w:val="008651B3"/>
    <w:rsid w:val="00865416"/>
    <w:rsid w:val="0086552E"/>
    <w:rsid w:val="00865BAE"/>
    <w:rsid w:val="00865E70"/>
    <w:rsid w:val="00865EB7"/>
    <w:rsid w:val="00865F8A"/>
    <w:rsid w:val="008660ED"/>
    <w:rsid w:val="00866195"/>
    <w:rsid w:val="008661A6"/>
    <w:rsid w:val="008662C4"/>
    <w:rsid w:val="008662F4"/>
    <w:rsid w:val="008664E0"/>
    <w:rsid w:val="00866538"/>
    <w:rsid w:val="008665BA"/>
    <w:rsid w:val="008665E1"/>
    <w:rsid w:val="008667F0"/>
    <w:rsid w:val="00866890"/>
    <w:rsid w:val="00866B83"/>
    <w:rsid w:val="0086706D"/>
    <w:rsid w:val="00867117"/>
    <w:rsid w:val="00867135"/>
    <w:rsid w:val="008674E2"/>
    <w:rsid w:val="00867873"/>
    <w:rsid w:val="00867B44"/>
    <w:rsid w:val="00867B45"/>
    <w:rsid w:val="00867C22"/>
    <w:rsid w:val="00867E02"/>
    <w:rsid w:val="00867FA7"/>
    <w:rsid w:val="00867FEB"/>
    <w:rsid w:val="0087034C"/>
    <w:rsid w:val="008705A8"/>
    <w:rsid w:val="00870772"/>
    <w:rsid w:val="00870B79"/>
    <w:rsid w:val="00870B7D"/>
    <w:rsid w:val="00870BC6"/>
    <w:rsid w:val="00870D76"/>
    <w:rsid w:val="00871046"/>
    <w:rsid w:val="00871166"/>
    <w:rsid w:val="00871258"/>
    <w:rsid w:val="008713D1"/>
    <w:rsid w:val="00871506"/>
    <w:rsid w:val="0087157D"/>
    <w:rsid w:val="0087191F"/>
    <w:rsid w:val="008719DB"/>
    <w:rsid w:val="00871B53"/>
    <w:rsid w:val="00871DAA"/>
    <w:rsid w:val="00871FA1"/>
    <w:rsid w:val="0087207B"/>
    <w:rsid w:val="008725FF"/>
    <w:rsid w:val="008726C8"/>
    <w:rsid w:val="00872703"/>
    <w:rsid w:val="00872753"/>
    <w:rsid w:val="00872757"/>
    <w:rsid w:val="0087297B"/>
    <w:rsid w:val="00872A2B"/>
    <w:rsid w:val="00872BF3"/>
    <w:rsid w:val="00872E2F"/>
    <w:rsid w:val="00873006"/>
    <w:rsid w:val="008731B0"/>
    <w:rsid w:val="00873255"/>
    <w:rsid w:val="00873292"/>
    <w:rsid w:val="0087333A"/>
    <w:rsid w:val="0087344F"/>
    <w:rsid w:val="00873468"/>
    <w:rsid w:val="00873706"/>
    <w:rsid w:val="0087375D"/>
    <w:rsid w:val="0087380E"/>
    <w:rsid w:val="008738DC"/>
    <w:rsid w:val="00873BA9"/>
    <w:rsid w:val="0087409A"/>
    <w:rsid w:val="00874170"/>
    <w:rsid w:val="00874206"/>
    <w:rsid w:val="00874243"/>
    <w:rsid w:val="00874437"/>
    <w:rsid w:val="00874557"/>
    <w:rsid w:val="008745D9"/>
    <w:rsid w:val="008745F6"/>
    <w:rsid w:val="00874C15"/>
    <w:rsid w:val="00874C96"/>
    <w:rsid w:val="00874CDB"/>
    <w:rsid w:val="00874D6E"/>
    <w:rsid w:val="00874E57"/>
    <w:rsid w:val="00875002"/>
    <w:rsid w:val="00875363"/>
    <w:rsid w:val="0087540B"/>
    <w:rsid w:val="0087544C"/>
    <w:rsid w:val="0087557C"/>
    <w:rsid w:val="0087560E"/>
    <w:rsid w:val="00875618"/>
    <w:rsid w:val="008756AF"/>
    <w:rsid w:val="008758BB"/>
    <w:rsid w:val="00875983"/>
    <w:rsid w:val="00875A6D"/>
    <w:rsid w:val="00875C2D"/>
    <w:rsid w:val="00875C6D"/>
    <w:rsid w:val="008761C2"/>
    <w:rsid w:val="008761D4"/>
    <w:rsid w:val="0087648C"/>
    <w:rsid w:val="008764CB"/>
    <w:rsid w:val="008764ED"/>
    <w:rsid w:val="00876764"/>
    <w:rsid w:val="008768B0"/>
    <w:rsid w:val="00876A64"/>
    <w:rsid w:val="00876B20"/>
    <w:rsid w:val="00876D76"/>
    <w:rsid w:val="00876FE5"/>
    <w:rsid w:val="0087728D"/>
    <w:rsid w:val="008773A5"/>
    <w:rsid w:val="008773F2"/>
    <w:rsid w:val="0087743C"/>
    <w:rsid w:val="0087747B"/>
    <w:rsid w:val="008774AD"/>
    <w:rsid w:val="008774B4"/>
    <w:rsid w:val="00877502"/>
    <w:rsid w:val="00877962"/>
    <w:rsid w:val="0087798F"/>
    <w:rsid w:val="00877DD1"/>
    <w:rsid w:val="00877E7A"/>
    <w:rsid w:val="00880303"/>
    <w:rsid w:val="008804CD"/>
    <w:rsid w:val="00880A66"/>
    <w:rsid w:val="00880BCB"/>
    <w:rsid w:val="00880E36"/>
    <w:rsid w:val="0088130A"/>
    <w:rsid w:val="0088133B"/>
    <w:rsid w:val="008813F0"/>
    <w:rsid w:val="0088142F"/>
    <w:rsid w:val="008816D4"/>
    <w:rsid w:val="008819DA"/>
    <w:rsid w:val="00881AB7"/>
    <w:rsid w:val="00881BBC"/>
    <w:rsid w:val="00881BEE"/>
    <w:rsid w:val="00881FBA"/>
    <w:rsid w:val="00882001"/>
    <w:rsid w:val="008821D0"/>
    <w:rsid w:val="008822C7"/>
    <w:rsid w:val="008825E3"/>
    <w:rsid w:val="00882A06"/>
    <w:rsid w:val="00882D4D"/>
    <w:rsid w:val="00882D8A"/>
    <w:rsid w:val="00882FC2"/>
    <w:rsid w:val="00883047"/>
    <w:rsid w:val="008831F5"/>
    <w:rsid w:val="00883319"/>
    <w:rsid w:val="00883435"/>
    <w:rsid w:val="008835F2"/>
    <w:rsid w:val="008837E5"/>
    <w:rsid w:val="00883841"/>
    <w:rsid w:val="00883848"/>
    <w:rsid w:val="0088393A"/>
    <w:rsid w:val="00883956"/>
    <w:rsid w:val="00883A31"/>
    <w:rsid w:val="00883B69"/>
    <w:rsid w:val="0088418E"/>
    <w:rsid w:val="008845A9"/>
    <w:rsid w:val="00884C5F"/>
    <w:rsid w:val="00884D9F"/>
    <w:rsid w:val="00884DCA"/>
    <w:rsid w:val="00884FEE"/>
    <w:rsid w:val="0088512C"/>
    <w:rsid w:val="00885324"/>
    <w:rsid w:val="00885373"/>
    <w:rsid w:val="00885434"/>
    <w:rsid w:val="00885485"/>
    <w:rsid w:val="00885653"/>
    <w:rsid w:val="00885846"/>
    <w:rsid w:val="0088598F"/>
    <w:rsid w:val="00885B27"/>
    <w:rsid w:val="00885CFD"/>
    <w:rsid w:val="00885E51"/>
    <w:rsid w:val="0088602B"/>
    <w:rsid w:val="00886059"/>
    <w:rsid w:val="00886223"/>
    <w:rsid w:val="00886348"/>
    <w:rsid w:val="008863D3"/>
    <w:rsid w:val="008866ED"/>
    <w:rsid w:val="00886971"/>
    <w:rsid w:val="00886AC7"/>
    <w:rsid w:val="00886CB1"/>
    <w:rsid w:val="00886F75"/>
    <w:rsid w:val="00886F84"/>
    <w:rsid w:val="00886FAF"/>
    <w:rsid w:val="008870F6"/>
    <w:rsid w:val="00887219"/>
    <w:rsid w:val="00887249"/>
    <w:rsid w:val="0088736E"/>
    <w:rsid w:val="008874FF"/>
    <w:rsid w:val="008878A7"/>
    <w:rsid w:val="00887A40"/>
    <w:rsid w:val="00887A81"/>
    <w:rsid w:val="00887BDB"/>
    <w:rsid w:val="00887F43"/>
    <w:rsid w:val="008900B8"/>
    <w:rsid w:val="008900EF"/>
    <w:rsid w:val="00890121"/>
    <w:rsid w:val="008901D5"/>
    <w:rsid w:val="00890397"/>
    <w:rsid w:val="0089045C"/>
    <w:rsid w:val="00890757"/>
    <w:rsid w:val="00890A72"/>
    <w:rsid w:val="00890B06"/>
    <w:rsid w:val="00890BD9"/>
    <w:rsid w:val="00890BF0"/>
    <w:rsid w:val="00890D34"/>
    <w:rsid w:val="00890D73"/>
    <w:rsid w:val="00890EB6"/>
    <w:rsid w:val="00891234"/>
    <w:rsid w:val="008916E3"/>
    <w:rsid w:val="00891D2A"/>
    <w:rsid w:val="00891D8B"/>
    <w:rsid w:val="00892049"/>
    <w:rsid w:val="00892248"/>
    <w:rsid w:val="008922C4"/>
    <w:rsid w:val="008922E0"/>
    <w:rsid w:val="008922F9"/>
    <w:rsid w:val="0089236B"/>
    <w:rsid w:val="00892616"/>
    <w:rsid w:val="008928C7"/>
    <w:rsid w:val="00892CDB"/>
    <w:rsid w:val="00892D64"/>
    <w:rsid w:val="00892E17"/>
    <w:rsid w:val="00892FA7"/>
    <w:rsid w:val="00893042"/>
    <w:rsid w:val="008934D9"/>
    <w:rsid w:val="00893592"/>
    <w:rsid w:val="008936E2"/>
    <w:rsid w:val="00893898"/>
    <w:rsid w:val="00893C95"/>
    <w:rsid w:val="00893DA3"/>
    <w:rsid w:val="00893E81"/>
    <w:rsid w:val="00893ED7"/>
    <w:rsid w:val="008940B6"/>
    <w:rsid w:val="0089423B"/>
    <w:rsid w:val="00894281"/>
    <w:rsid w:val="008942A0"/>
    <w:rsid w:val="008942A7"/>
    <w:rsid w:val="008942D2"/>
    <w:rsid w:val="00894444"/>
    <w:rsid w:val="008944A9"/>
    <w:rsid w:val="00894712"/>
    <w:rsid w:val="008947E3"/>
    <w:rsid w:val="0089492E"/>
    <w:rsid w:val="00894989"/>
    <w:rsid w:val="00894C6D"/>
    <w:rsid w:val="00894C7C"/>
    <w:rsid w:val="00894CEF"/>
    <w:rsid w:val="00894D64"/>
    <w:rsid w:val="00895016"/>
    <w:rsid w:val="008950B2"/>
    <w:rsid w:val="008951F6"/>
    <w:rsid w:val="00895374"/>
    <w:rsid w:val="008953FF"/>
    <w:rsid w:val="00895482"/>
    <w:rsid w:val="00895765"/>
    <w:rsid w:val="008958C8"/>
    <w:rsid w:val="008959A2"/>
    <w:rsid w:val="008959BC"/>
    <w:rsid w:val="008959F1"/>
    <w:rsid w:val="00895A00"/>
    <w:rsid w:val="00895A87"/>
    <w:rsid w:val="00895B2A"/>
    <w:rsid w:val="00896104"/>
    <w:rsid w:val="00896198"/>
    <w:rsid w:val="008961D5"/>
    <w:rsid w:val="00896551"/>
    <w:rsid w:val="008965CA"/>
    <w:rsid w:val="00896658"/>
    <w:rsid w:val="0089672B"/>
    <w:rsid w:val="00896ACF"/>
    <w:rsid w:val="00896BEA"/>
    <w:rsid w:val="00896CC5"/>
    <w:rsid w:val="00896DBA"/>
    <w:rsid w:val="00896EF1"/>
    <w:rsid w:val="00896F55"/>
    <w:rsid w:val="00896F6B"/>
    <w:rsid w:val="00897383"/>
    <w:rsid w:val="00897512"/>
    <w:rsid w:val="008975E3"/>
    <w:rsid w:val="00897669"/>
    <w:rsid w:val="0089774C"/>
    <w:rsid w:val="008978DF"/>
    <w:rsid w:val="0089798C"/>
    <w:rsid w:val="008979B9"/>
    <w:rsid w:val="00897A62"/>
    <w:rsid w:val="00897BF9"/>
    <w:rsid w:val="00897D56"/>
    <w:rsid w:val="008A0122"/>
    <w:rsid w:val="008A015C"/>
    <w:rsid w:val="008A02C1"/>
    <w:rsid w:val="008A04A9"/>
    <w:rsid w:val="008A06EC"/>
    <w:rsid w:val="008A0712"/>
    <w:rsid w:val="008A07BE"/>
    <w:rsid w:val="008A0868"/>
    <w:rsid w:val="008A0998"/>
    <w:rsid w:val="008A0A9E"/>
    <w:rsid w:val="008A0AD4"/>
    <w:rsid w:val="008A0B2C"/>
    <w:rsid w:val="008A0B5D"/>
    <w:rsid w:val="008A0B65"/>
    <w:rsid w:val="008A0B91"/>
    <w:rsid w:val="008A1311"/>
    <w:rsid w:val="008A13C1"/>
    <w:rsid w:val="008A1531"/>
    <w:rsid w:val="008A1578"/>
    <w:rsid w:val="008A15AA"/>
    <w:rsid w:val="008A15D7"/>
    <w:rsid w:val="008A179A"/>
    <w:rsid w:val="008A17DD"/>
    <w:rsid w:val="008A1882"/>
    <w:rsid w:val="008A1904"/>
    <w:rsid w:val="008A1B2B"/>
    <w:rsid w:val="008A1B4B"/>
    <w:rsid w:val="008A1B69"/>
    <w:rsid w:val="008A1BF7"/>
    <w:rsid w:val="008A1C9F"/>
    <w:rsid w:val="008A1CF8"/>
    <w:rsid w:val="008A1D25"/>
    <w:rsid w:val="008A1E42"/>
    <w:rsid w:val="008A1FFC"/>
    <w:rsid w:val="008A2047"/>
    <w:rsid w:val="008A2072"/>
    <w:rsid w:val="008A2162"/>
    <w:rsid w:val="008A246C"/>
    <w:rsid w:val="008A26C3"/>
    <w:rsid w:val="008A2900"/>
    <w:rsid w:val="008A29BC"/>
    <w:rsid w:val="008A2AFD"/>
    <w:rsid w:val="008A2C35"/>
    <w:rsid w:val="008A2E20"/>
    <w:rsid w:val="008A2E69"/>
    <w:rsid w:val="008A2EBE"/>
    <w:rsid w:val="008A3015"/>
    <w:rsid w:val="008A30F9"/>
    <w:rsid w:val="008A3141"/>
    <w:rsid w:val="008A3243"/>
    <w:rsid w:val="008A3425"/>
    <w:rsid w:val="008A3665"/>
    <w:rsid w:val="008A36A6"/>
    <w:rsid w:val="008A3796"/>
    <w:rsid w:val="008A3A02"/>
    <w:rsid w:val="008A3C68"/>
    <w:rsid w:val="008A3CC1"/>
    <w:rsid w:val="008A3D32"/>
    <w:rsid w:val="008A3E5F"/>
    <w:rsid w:val="008A4069"/>
    <w:rsid w:val="008A41BF"/>
    <w:rsid w:val="008A4255"/>
    <w:rsid w:val="008A43A9"/>
    <w:rsid w:val="008A4442"/>
    <w:rsid w:val="008A4462"/>
    <w:rsid w:val="008A44A5"/>
    <w:rsid w:val="008A4509"/>
    <w:rsid w:val="008A48DB"/>
    <w:rsid w:val="008A48E1"/>
    <w:rsid w:val="008A4A55"/>
    <w:rsid w:val="008A4A5D"/>
    <w:rsid w:val="008A4A63"/>
    <w:rsid w:val="008A4A67"/>
    <w:rsid w:val="008A4AD8"/>
    <w:rsid w:val="008A4CC8"/>
    <w:rsid w:val="008A4E1C"/>
    <w:rsid w:val="008A4EF0"/>
    <w:rsid w:val="008A4F38"/>
    <w:rsid w:val="008A4FA4"/>
    <w:rsid w:val="008A515E"/>
    <w:rsid w:val="008A5256"/>
    <w:rsid w:val="008A52DE"/>
    <w:rsid w:val="008A5683"/>
    <w:rsid w:val="008A56CD"/>
    <w:rsid w:val="008A590A"/>
    <w:rsid w:val="008A5C50"/>
    <w:rsid w:val="008A5C54"/>
    <w:rsid w:val="008A6017"/>
    <w:rsid w:val="008A6082"/>
    <w:rsid w:val="008A6213"/>
    <w:rsid w:val="008A6214"/>
    <w:rsid w:val="008A62BC"/>
    <w:rsid w:val="008A6A0A"/>
    <w:rsid w:val="008A6A10"/>
    <w:rsid w:val="008A6BA2"/>
    <w:rsid w:val="008A6C1B"/>
    <w:rsid w:val="008A6C53"/>
    <w:rsid w:val="008A6D52"/>
    <w:rsid w:val="008A6E79"/>
    <w:rsid w:val="008A6FD1"/>
    <w:rsid w:val="008A6FD5"/>
    <w:rsid w:val="008A6FE1"/>
    <w:rsid w:val="008A7026"/>
    <w:rsid w:val="008A70A0"/>
    <w:rsid w:val="008A731B"/>
    <w:rsid w:val="008A73C9"/>
    <w:rsid w:val="008A78C6"/>
    <w:rsid w:val="008A7C3A"/>
    <w:rsid w:val="008A7EEB"/>
    <w:rsid w:val="008B005F"/>
    <w:rsid w:val="008B018B"/>
    <w:rsid w:val="008B0F46"/>
    <w:rsid w:val="008B109E"/>
    <w:rsid w:val="008B10DD"/>
    <w:rsid w:val="008B116F"/>
    <w:rsid w:val="008B15B4"/>
    <w:rsid w:val="008B1668"/>
    <w:rsid w:val="008B19A1"/>
    <w:rsid w:val="008B1A55"/>
    <w:rsid w:val="008B1CE1"/>
    <w:rsid w:val="008B1E7B"/>
    <w:rsid w:val="008B21E3"/>
    <w:rsid w:val="008B22B0"/>
    <w:rsid w:val="008B22C1"/>
    <w:rsid w:val="008B2340"/>
    <w:rsid w:val="008B24C7"/>
    <w:rsid w:val="008B25C9"/>
    <w:rsid w:val="008B267A"/>
    <w:rsid w:val="008B270B"/>
    <w:rsid w:val="008B2BE7"/>
    <w:rsid w:val="008B2C21"/>
    <w:rsid w:val="008B2C28"/>
    <w:rsid w:val="008B2C57"/>
    <w:rsid w:val="008B2DF6"/>
    <w:rsid w:val="008B2F78"/>
    <w:rsid w:val="008B30F0"/>
    <w:rsid w:val="008B32E1"/>
    <w:rsid w:val="008B3301"/>
    <w:rsid w:val="008B33A0"/>
    <w:rsid w:val="008B3722"/>
    <w:rsid w:val="008B3AA7"/>
    <w:rsid w:val="008B3BA1"/>
    <w:rsid w:val="008B3C6C"/>
    <w:rsid w:val="008B3D9D"/>
    <w:rsid w:val="008B3EA8"/>
    <w:rsid w:val="008B3EEB"/>
    <w:rsid w:val="008B3F82"/>
    <w:rsid w:val="008B412C"/>
    <w:rsid w:val="008B41B7"/>
    <w:rsid w:val="008B430A"/>
    <w:rsid w:val="008B4355"/>
    <w:rsid w:val="008B4424"/>
    <w:rsid w:val="008B444A"/>
    <w:rsid w:val="008B4517"/>
    <w:rsid w:val="008B4713"/>
    <w:rsid w:val="008B476D"/>
    <w:rsid w:val="008B488C"/>
    <w:rsid w:val="008B4B77"/>
    <w:rsid w:val="008B4EC3"/>
    <w:rsid w:val="008B4F60"/>
    <w:rsid w:val="008B5598"/>
    <w:rsid w:val="008B5741"/>
    <w:rsid w:val="008B5786"/>
    <w:rsid w:val="008B5AC4"/>
    <w:rsid w:val="008B5C5A"/>
    <w:rsid w:val="008B5D92"/>
    <w:rsid w:val="008B5EA0"/>
    <w:rsid w:val="008B60F4"/>
    <w:rsid w:val="008B60F9"/>
    <w:rsid w:val="008B6197"/>
    <w:rsid w:val="008B626D"/>
    <w:rsid w:val="008B642D"/>
    <w:rsid w:val="008B657C"/>
    <w:rsid w:val="008B6719"/>
    <w:rsid w:val="008B6B5A"/>
    <w:rsid w:val="008B6D07"/>
    <w:rsid w:val="008B6EA9"/>
    <w:rsid w:val="008B7022"/>
    <w:rsid w:val="008B707B"/>
    <w:rsid w:val="008B70C3"/>
    <w:rsid w:val="008B71B4"/>
    <w:rsid w:val="008B71CC"/>
    <w:rsid w:val="008B779A"/>
    <w:rsid w:val="008B7B97"/>
    <w:rsid w:val="008B7C04"/>
    <w:rsid w:val="008B7F85"/>
    <w:rsid w:val="008C00BB"/>
    <w:rsid w:val="008C0124"/>
    <w:rsid w:val="008C01AF"/>
    <w:rsid w:val="008C025C"/>
    <w:rsid w:val="008C0823"/>
    <w:rsid w:val="008C0A9F"/>
    <w:rsid w:val="008C0E33"/>
    <w:rsid w:val="008C0FDA"/>
    <w:rsid w:val="008C1160"/>
    <w:rsid w:val="008C12D9"/>
    <w:rsid w:val="008C149D"/>
    <w:rsid w:val="008C14E8"/>
    <w:rsid w:val="008C16E6"/>
    <w:rsid w:val="008C17A8"/>
    <w:rsid w:val="008C1855"/>
    <w:rsid w:val="008C1977"/>
    <w:rsid w:val="008C1AE1"/>
    <w:rsid w:val="008C1C86"/>
    <w:rsid w:val="008C1CF6"/>
    <w:rsid w:val="008C1D92"/>
    <w:rsid w:val="008C1DB1"/>
    <w:rsid w:val="008C21E0"/>
    <w:rsid w:val="008C22E3"/>
    <w:rsid w:val="008C2354"/>
    <w:rsid w:val="008C24A1"/>
    <w:rsid w:val="008C24DA"/>
    <w:rsid w:val="008C2669"/>
    <w:rsid w:val="008C266C"/>
    <w:rsid w:val="008C27CE"/>
    <w:rsid w:val="008C28C6"/>
    <w:rsid w:val="008C3088"/>
    <w:rsid w:val="008C32CB"/>
    <w:rsid w:val="008C356A"/>
    <w:rsid w:val="008C36F5"/>
    <w:rsid w:val="008C38AC"/>
    <w:rsid w:val="008C38E1"/>
    <w:rsid w:val="008C3917"/>
    <w:rsid w:val="008C397D"/>
    <w:rsid w:val="008C3B6D"/>
    <w:rsid w:val="008C3D4D"/>
    <w:rsid w:val="008C3DB3"/>
    <w:rsid w:val="008C3F90"/>
    <w:rsid w:val="008C4017"/>
    <w:rsid w:val="008C4182"/>
    <w:rsid w:val="008C441C"/>
    <w:rsid w:val="008C4449"/>
    <w:rsid w:val="008C4740"/>
    <w:rsid w:val="008C4748"/>
    <w:rsid w:val="008C4757"/>
    <w:rsid w:val="008C4D9A"/>
    <w:rsid w:val="008C4DAF"/>
    <w:rsid w:val="008C5141"/>
    <w:rsid w:val="008C5294"/>
    <w:rsid w:val="008C5381"/>
    <w:rsid w:val="008C571F"/>
    <w:rsid w:val="008C5742"/>
    <w:rsid w:val="008C57E0"/>
    <w:rsid w:val="008C588D"/>
    <w:rsid w:val="008C58D5"/>
    <w:rsid w:val="008C598F"/>
    <w:rsid w:val="008C5DDB"/>
    <w:rsid w:val="008C613B"/>
    <w:rsid w:val="008C61EB"/>
    <w:rsid w:val="008C63C8"/>
    <w:rsid w:val="008C64BB"/>
    <w:rsid w:val="008C6683"/>
    <w:rsid w:val="008C683D"/>
    <w:rsid w:val="008C6946"/>
    <w:rsid w:val="008C697B"/>
    <w:rsid w:val="008C6B25"/>
    <w:rsid w:val="008C6BCE"/>
    <w:rsid w:val="008C6DC5"/>
    <w:rsid w:val="008C6EC0"/>
    <w:rsid w:val="008C7131"/>
    <w:rsid w:val="008C71EB"/>
    <w:rsid w:val="008C73C1"/>
    <w:rsid w:val="008C77B9"/>
    <w:rsid w:val="008C77F3"/>
    <w:rsid w:val="008C7BD3"/>
    <w:rsid w:val="008C7BE7"/>
    <w:rsid w:val="008C7C7B"/>
    <w:rsid w:val="008C7D5D"/>
    <w:rsid w:val="008D0348"/>
    <w:rsid w:val="008D0460"/>
    <w:rsid w:val="008D0541"/>
    <w:rsid w:val="008D07A3"/>
    <w:rsid w:val="008D0812"/>
    <w:rsid w:val="008D08ED"/>
    <w:rsid w:val="008D0BBE"/>
    <w:rsid w:val="008D0EBB"/>
    <w:rsid w:val="008D0FD5"/>
    <w:rsid w:val="008D0FE4"/>
    <w:rsid w:val="008D1061"/>
    <w:rsid w:val="008D10A4"/>
    <w:rsid w:val="008D1166"/>
    <w:rsid w:val="008D1270"/>
    <w:rsid w:val="008D1470"/>
    <w:rsid w:val="008D14B2"/>
    <w:rsid w:val="008D14D9"/>
    <w:rsid w:val="008D15E5"/>
    <w:rsid w:val="008D1698"/>
    <w:rsid w:val="008D169C"/>
    <w:rsid w:val="008D1831"/>
    <w:rsid w:val="008D18BD"/>
    <w:rsid w:val="008D1A89"/>
    <w:rsid w:val="008D1D4D"/>
    <w:rsid w:val="008D1E76"/>
    <w:rsid w:val="008D1E82"/>
    <w:rsid w:val="008D1E9B"/>
    <w:rsid w:val="008D1F45"/>
    <w:rsid w:val="008D21F1"/>
    <w:rsid w:val="008D23A8"/>
    <w:rsid w:val="008D24F3"/>
    <w:rsid w:val="008D25DC"/>
    <w:rsid w:val="008D26EA"/>
    <w:rsid w:val="008D280D"/>
    <w:rsid w:val="008D291D"/>
    <w:rsid w:val="008D2D59"/>
    <w:rsid w:val="008D2E09"/>
    <w:rsid w:val="008D2EEF"/>
    <w:rsid w:val="008D2FCE"/>
    <w:rsid w:val="008D30CC"/>
    <w:rsid w:val="008D30D5"/>
    <w:rsid w:val="008D31C0"/>
    <w:rsid w:val="008D3232"/>
    <w:rsid w:val="008D32C9"/>
    <w:rsid w:val="008D3505"/>
    <w:rsid w:val="008D383D"/>
    <w:rsid w:val="008D3B6B"/>
    <w:rsid w:val="008D3B75"/>
    <w:rsid w:val="008D3BD2"/>
    <w:rsid w:val="008D3C32"/>
    <w:rsid w:val="008D3EC3"/>
    <w:rsid w:val="008D3FFC"/>
    <w:rsid w:val="008D4010"/>
    <w:rsid w:val="008D40C0"/>
    <w:rsid w:val="008D41D6"/>
    <w:rsid w:val="008D41FA"/>
    <w:rsid w:val="008D4243"/>
    <w:rsid w:val="008D4334"/>
    <w:rsid w:val="008D4370"/>
    <w:rsid w:val="008D44A7"/>
    <w:rsid w:val="008D454A"/>
    <w:rsid w:val="008D4622"/>
    <w:rsid w:val="008D466E"/>
    <w:rsid w:val="008D49EC"/>
    <w:rsid w:val="008D4CB0"/>
    <w:rsid w:val="008D4DB2"/>
    <w:rsid w:val="008D4FD5"/>
    <w:rsid w:val="008D5049"/>
    <w:rsid w:val="008D51E6"/>
    <w:rsid w:val="008D543A"/>
    <w:rsid w:val="008D552B"/>
    <w:rsid w:val="008D5672"/>
    <w:rsid w:val="008D56AC"/>
    <w:rsid w:val="008D57CE"/>
    <w:rsid w:val="008D5817"/>
    <w:rsid w:val="008D5C38"/>
    <w:rsid w:val="008D5D68"/>
    <w:rsid w:val="008D5E3A"/>
    <w:rsid w:val="008D6053"/>
    <w:rsid w:val="008D6322"/>
    <w:rsid w:val="008D657D"/>
    <w:rsid w:val="008D65F0"/>
    <w:rsid w:val="008D660F"/>
    <w:rsid w:val="008D680E"/>
    <w:rsid w:val="008D6946"/>
    <w:rsid w:val="008D6B68"/>
    <w:rsid w:val="008D6B85"/>
    <w:rsid w:val="008D6C16"/>
    <w:rsid w:val="008D6C46"/>
    <w:rsid w:val="008D6E28"/>
    <w:rsid w:val="008D6E8B"/>
    <w:rsid w:val="008D7209"/>
    <w:rsid w:val="008D7304"/>
    <w:rsid w:val="008D737F"/>
    <w:rsid w:val="008D757F"/>
    <w:rsid w:val="008D771A"/>
    <w:rsid w:val="008D78BB"/>
    <w:rsid w:val="008D7965"/>
    <w:rsid w:val="008D7971"/>
    <w:rsid w:val="008D7988"/>
    <w:rsid w:val="008D7B36"/>
    <w:rsid w:val="008D7B54"/>
    <w:rsid w:val="008D7C6A"/>
    <w:rsid w:val="008D7D4B"/>
    <w:rsid w:val="008D7DCA"/>
    <w:rsid w:val="008E004C"/>
    <w:rsid w:val="008E014E"/>
    <w:rsid w:val="008E02A3"/>
    <w:rsid w:val="008E033B"/>
    <w:rsid w:val="008E038B"/>
    <w:rsid w:val="008E06B3"/>
    <w:rsid w:val="008E0A4F"/>
    <w:rsid w:val="008E0C79"/>
    <w:rsid w:val="008E0D49"/>
    <w:rsid w:val="008E0D6E"/>
    <w:rsid w:val="008E0F6B"/>
    <w:rsid w:val="008E1036"/>
    <w:rsid w:val="008E1055"/>
    <w:rsid w:val="008E1118"/>
    <w:rsid w:val="008E1196"/>
    <w:rsid w:val="008E1302"/>
    <w:rsid w:val="008E1377"/>
    <w:rsid w:val="008E14ED"/>
    <w:rsid w:val="008E1692"/>
    <w:rsid w:val="008E173B"/>
    <w:rsid w:val="008E1CA0"/>
    <w:rsid w:val="008E1CCE"/>
    <w:rsid w:val="008E1D76"/>
    <w:rsid w:val="008E1E0C"/>
    <w:rsid w:val="008E1E9D"/>
    <w:rsid w:val="008E1F4D"/>
    <w:rsid w:val="008E1FED"/>
    <w:rsid w:val="008E2334"/>
    <w:rsid w:val="008E235F"/>
    <w:rsid w:val="008E2742"/>
    <w:rsid w:val="008E27A7"/>
    <w:rsid w:val="008E27D2"/>
    <w:rsid w:val="008E281E"/>
    <w:rsid w:val="008E2B4C"/>
    <w:rsid w:val="008E2B6E"/>
    <w:rsid w:val="008E2E26"/>
    <w:rsid w:val="008E32C8"/>
    <w:rsid w:val="008E33FB"/>
    <w:rsid w:val="008E35F7"/>
    <w:rsid w:val="008E367B"/>
    <w:rsid w:val="008E36E9"/>
    <w:rsid w:val="008E36F4"/>
    <w:rsid w:val="008E37D8"/>
    <w:rsid w:val="008E3A6A"/>
    <w:rsid w:val="008E40EF"/>
    <w:rsid w:val="008E43CD"/>
    <w:rsid w:val="008E4552"/>
    <w:rsid w:val="008E467D"/>
    <w:rsid w:val="008E4929"/>
    <w:rsid w:val="008E4972"/>
    <w:rsid w:val="008E4974"/>
    <w:rsid w:val="008E4A79"/>
    <w:rsid w:val="008E4BD4"/>
    <w:rsid w:val="008E4DA5"/>
    <w:rsid w:val="008E555D"/>
    <w:rsid w:val="008E57A7"/>
    <w:rsid w:val="008E59B4"/>
    <w:rsid w:val="008E5B15"/>
    <w:rsid w:val="008E5BF2"/>
    <w:rsid w:val="008E5F73"/>
    <w:rsid w:val="008E6178"/>
    <w:rsid w:val="008E62EF"/>
    <w:rsid w:val="008E6416"/>
    <w:rsid w:val="008E64A1"/>
    <w:rsid w:val="008E64E9"/>
    <w:rsid w:val="008E660A"/>
    <w:rsid w:val="008E67D7"/>
    <w:rsid w:val="008E6807"/>
    <w:rsid w:val="008E6A2E"/>
    <w:rsid w:val="008E6B9C"/>
    <w:rsid w:val="008E6C67"/>
    <w:rsid w:val="008E6D22"/>
    <w:rsid w:val="008E6F53"/>
    <w:rsid w:val="008E7208"/>
    <w:rsid w:val="008E720D"/>
    <w:rsid w:val="008E7260"/>
    <w:rsid w:val="008E738A"/>
    <w:rsid w:val="008E7427"/>
    <w:rsid w:val="008E7713"/>
    <w:rsid w:val="008E7979"/>
    <w:rsid w:val="008F0031"/>
    <w:rsid w:val="008F00A4"/>
    <w:rsid w:val="008F00D7"/>
    <w:rsid w:val="008F00E6"/>
    <w:rsid w:val="008F0221"/>
    <w:rsid w:val="008F0374"/>
    <w:rsid w:val="008F0388"/>
    <w:rsid w:val="008F0B0A"/>
    <w:rsid w:val="008F136C"/>
    <w:rsid w:val="008F15E2"/>
    <w:rsid w:val="008F15E6"/>
    <w:rsid w:val="008F1691"/>
    <w:rsid w:val="008F17E7"/>
    <w:rsid w:val="008F18D8"/>
    <w:rsid w:val="008F19C3"/>
    <w:rsid w:val="008F1A38"/>
    <w:rsid w:val="008F1AD4"/>
    <w:rsid w:val="008F1B94"/>
    <w:rsid w:val="008F1BCA"/>
    <w:rsid w:val="008F1C1C"/>
    <w:rsid w:val="008F1C70"/>
    <w:rsid w:val="008F1C85"/>
    <w:rsid w:val="008F1D94"/>
    <w:rsid w:val="008F22B3"/>
    <w:rsid w:val="008F2694"/>
    <w:rsid w:val="008F27DC"/>
    <w:rsid w:val="008F2928"/>
    <w:rsid w:val="008F296A"/>
    <w:rsid w:val="008F29D5"/>
    <w:rsid w:val="008F2E11"/>
    <w:rsid w:val="008F2F57"/>
    <w:rsid w:val="008F3041"/>
    <w:rsid w:val="008F30B1"/>
    <w:rsid w:val="008F311C"/>
    <w:rsid w:val="008F3169"/>
    <w:rsid w:val="008F32C3"/>
    <w:rsid w:val="008F33A9"/>
    <w:rsid w:val="008F363E"/>
    <w:rsid w:val="008F3642"/>
    <w:rsid w:val="008F36D1"/>
    <w:rsid w:val="008F3893"/>
    <w:rsid w:val="008F3985"/>
    <w:rsid w:val="008F3B63"/>
    <w:rsid w:val="008F3CB2"/>
    <w:rsid w:val="008F3E7A"/>
    <w:rsid w:val="008F3F5A"/>
    <w:rsid w:val="008F41F9"/>
    <w:rsid w:val="008F4421"/>
    <w:rsid w:val="008F44A9"/>
    <w:rsid w:val="008F457F"/>
    <w:rsid w:val="008F45A5"/>
    <w:rsid w:val="008F4688"/>
    <w:rsid w:val="008F46F7"/>
    <w:rsid w:val="008F47B8"/>
    <w:rsid w:val="008F4853"/>
    <w:rsid w:val="008F4855"/>
    <w:rsid w:val="008F4921"/>
    <w:rsid w:val="008F494C"/>
    <w:rsid w:val="008F4996"/>
    <w:rsid w:val="008F4A74"/>
    <w:rsid w:val="008F4BD2"/>
    <w:rsid w:val="008F4C06"/>
    <w:rsid w:val="008F4F76"/>
    <w:rsid w:val="008F518F"/>
    <w:rsid w:val="008F52D5"/>
    <w:rsid w:val="008F54A2"/>
    <w:rsid w:val="008F5559"/>
    <w:rsid w:val="008F5836"/>
    <w:rsid w:val="008F593A"/>
    <w:rsid w:val="008F5947"/>
    <w:rsid w:val="008F5E40"/>
    <w:rsid w:val="008F5E9D"/>
    <w:rsid w:val="008F5F8A"/>
    <w:rsid w:val="008F5FC6"/>
    <w:rsid w:val="008F61F6"/>
    <w:rsid w:val="008F6283"/>
    <w:rsid w:val="008F63CD"/>
    <w:rsid w:val="008F655C"/>
    <w:rsid w:val="008F68D8"/>
    <w:rsid w:val="008F6995"/>
    <w:rsid w:val="008F69DA"/>
    <w:rsid w:val="008F69F0"/>
    <w:rsid w:val="008F6C87"/>
    <w:rsid w:val="008F6EF4"/>
    <w:rsid w:val="008F6FC7"/>
    <w:rsid w:val="008F70F7"/>
    <w:rsid w:val="008F72CD"/>
    <w:rsid w:val="008F72E3"/>
    <w:rsid w:val="008F7B82"/>
    <w:rsid w:val="008F7C2D"/>
    <w:rsid w:val="008F7CAB"/>
    <w:rsid w:val="008F7FA3"/>
    <w:rsid w:val="0090002D"/>
    <w:rsid w:val="0090009A"/>
    <w:rsid w:val="009002F8"/>
    <w:rsid w:val="009003C1"/>
    <w:rsid w:val="0090066B"/>
    <w:rsid w:val="0090078E"/>
    <w:rsid w:val="009009A7"/>
    <w:rsid w:val="009009E2"/>
    <w:rsid w:val="00900B5C"/>
    <w:rsid w:val="00900D7A"/>
    <w:rsid w:val="00900DDC"/>
    <w:rsid w:val="00901024"/>
    <w:rsid w:val="009011BC"/>
    <w:rsid w:val="009015A3"/>
    <w:rsid w:val="00901699"/>
    <w:rsid w:val="00901786"/>
    <w:rsid w:val="0090196C"/>
    <w:rsid w:val="00901B31"/>
    <w:rsid w:val="00901B6C"/>
    <w:rsid w:val="00901CAF"/>
    <w:rsid w:val="00901EE6"/>
    <w:rsid w:val="00901EF4"/>
    <w:rsid w:val="00902287"/>
    <w:rsid w:val="00902754"/>
    <w:rsid w:val="009029C3"/>
    <w:rsid w:val="00902BDF"/>
    <w:rsid w:val="00902C03"/>
    <w:rsid w:val="00902C9A"/>
    <w:rsid w:val="00902D12"/>
    <w:rsid w:val="00902EB2"/>
    <w:rsid w:val="00902F6A"/>
    <w:rsid w:val="00902FAE"/>
    <w:rsid w:val="00903040"/>
    <w:rsid w:val="00903252"/>
    <w:rsid w:val="00903917"/>
    <w:rsid w:val="00903932"/>
    <w:rsid w:val="00903975"/>
    <w:rsid w:val="009039A1"/>
    <w:rsid w:val="00903D15"/>
    <w:rsid w:val="00903E7F"/>
    <w:rsid w:val="00903F2E"/>
    <w:rsid w:val="00904639"/>
    <w:rsid w:val="0090473B"/>
    <w:rsid w:val="009047D4"/>
    <w:rsid w:val="00904832"/>
    <w:rsid w:val="009048B9"/>
    <w:rsid w:val="00904C5B"/>
    <w:rsid w:val="00904CD7"/>
    <w:rsid w:val="00904DBB"/>
    <w:rsid w:val="00904ED5"/>
    <w:rsid w:val="0090503E"/>
    <w:rsid w:val="00905383"/>
    <w:rsid w:val="00905604"/>
    <w:rsid w:val="009059E2"/>
    <w:rsid w:val="00905A83"/>
    <w:rsid w:val="00905B8B"/>
    <w:rsid w:val="00905C18"/>
    <w:rsid w:val="00905EE6"/>
    <w:rsid w:val="0090624A"/>
    <w:rsid w:val="0090629F"/>
    <w:rsid w:val="00906468"/>
    <w:rsid w:val="009067A3"/>
    <w:rsid w:val="009067E0"/>
    <w:rsid w:val="009068CA"/>
    <w:rsid w:val="009069C0"/>
    <w:rsid w:val="00906C83"/>
    <w:rsid w:val="00906CDC"/>
    <w:rsid w:val="00906DE1"/>
    <w:rsid w:val="00907017"/>
    <w:rsid w:val="0090736E"/>
    <w:rsid w:val="009074AC"/>
    <w:rsid w:val="009075F1"/>
    <w:rsid w:val="009076D9"/>
    <w:rsid w:val="00907B34"/>
    <w:rsid w:val="00907C1B"/>
    <w:rsid w:val="00907E59"/>
    <w:rsid w:val="00907EB6"/>
    <w:rsid w:val="00907EE2"/>
    <w:rsid w:val="0091036C"/>
    <w:rsid w:val="0091048C"/>
    <w:rsid w:val="009105FB"/>
    <w:rsid w:val="00910646"/>
    <w:rsid w:val="0091078D"/>
    <w:rsid w:val="00910993"/>
    <w:rsid w:val="00910CDF"/>
    <w:rsid w:val="00910EBF"/>
    <w:rsid w:val="009113F4"/>
    <w:rsid w:val="00911409"/>
    <w:rsid w:val="009114EF"/>
    <w:rsid w:val="00911825"/>
    <w:rsid w:val="00911B43"/>
    <w:rsid w:val="00911B4D"/>
    <w:rsid w:val="00911EBE"/>
    <w:rsid w:val="00911EBF"/>
    <w:rsid w:val="00911F7E"/>
    <w:rsid w:val="00911FD7"/>
    <w:rsid w:val="009120F8"/>
    <w:rsid w:val="009121CB"/>
    <w:rsid w:val="009122FD"/>
    <w:rsid w:val="00912358"/>
    <w:rsid w:val="00912445"/>
    <w:rsid w:val="00912483"/>
    <w:rsid w:val="00912A9C"/>
    <w:rsid w:val="00912AF9"/>
    <w:rsid w:val="00912BDE"/>
    <w:rsid w:val="00912DC4"/>
    <w:rsid w:val="00912E15"/>
    <w:rsid w:val="00912EEA"/>
    <w:rsid w:val="00912F76"/>
    <w:rsid w:val="00912F9F"/>
    <w:rsid w:val="00912FAB"/>
    <w:rsid w:val="009133DA"/>
    <w:rsid w:val="00913463"/>
    <w:rsid w:val="00913530"/>
    <w:rsid w:val="0091383A"/>
    <w:rsid w:val="00913A75"/>
    <w:rsid w:val="00913AD5"/>
    <w:rsid w:val="00913D6E"/>
    <w:rsid w:val="00913EA8"/>
    <w:rsid w:val="00913EB8"/>
    <w:rsid w:val="00913F2C"/>
    <w:rsid w:val="00914075"/>
    <w:rsid w:val="00914081"/>
    <w:rsid w:val="0091410F"/>
    <w:rsid w:val="00914181"/>
    <w:rsid w:val="009142E6"/>
    <w:rsid w:val="00914324"/>
    <w:rsid w:val="00914382"/>
    <w:rsid w:val="00914444"/>
    <w:rsid w:val="009145F3"/>
    <w:rsid w:val="00914668"/>
    <w:rsid w:val="00914918"/>
    <w:rsid w:val="00914B07"/>
    <w:rsid w:val="00914B0D"/>
    <w:rsid w:val="00914B6C"/>
    <w:rsid w:val="009150D0"/>
    <w:rsid w:val="0091521B"/>
    <w:rsid w:val="00915474"/>
    <w:rsid w:val="0091553D"/>
    <w:rsid w:val="009156CC"/>
    <w:rsid w:val="009157C5"/>
    <w:rsid w:val="00915A57"/>
    <w:rsid w:val="00915BFB"/>
    <w:rsid w:val="00915C09"/>
    <w:rsid w:val="00915C33"/>
    <w:rsid w:val="00915DC3"/>
    <w:rsid w:val="00915EB2"/>
    <w:rsid w:val="00915F21"/>
    <w:rsid w:val="00915FAE"/>
    <w:rsid w:val="0091639D"/>
    <w:rsid w:val="009163B0"/>
    <w:rsid w:val="009166ED"/>
    <w:rsid w:val="009167FA"/>
    <w:rsid w:val="009168A1"/>
    <w:rsid w:val="00916907"/>
    <w:rsid w:val="00916908"/>
    <w:rsid w:val="00916AFE"/>
    <w:rsid w:val="00916B29"/>
    <w:rsid w:val="00916B38"/>
    <w:rsid w:val="00916E1F"/>
    <w:rsid w:val="00916E41"/>
    <w:rsid w:val="00916FD1"/>
    <w:rsid w:val="00917089"/>
    <w:rsid w:val="009172A3"/>
    <w:rsid w:val="00917304"/>
    <w:rsid w:val="009173A2"/>
    <w:rsid w:val="009174D9"/>
    <w:rsid w:val="00917783"/>
    <w:rsid w:val="00917791"/>
    <w:rsid w:val="00917A48"/>
    <w:rsid w:val="00917B84"/>
    <w:rsid w:val="00917BBC"/>
    <w:rsid w:val="00917D3C"/>
    <w:rsid w:val="009201EB"/>
    <w:rsid w:val="00920335"/>
    <w:rsid w:val="00920390"/>
    <w:rsid w:val="009203A4"/>
    <w:rsid w:val="00920426"/>
    <w:rsid w:val="009204AC"/>
    <w:rsid w:val="009205F3"/>
    <w:rsid w:val="009206E2"/>
    <w:rsid w:val="00920C25"/>
    <w:rsid w:val="00920D07"/>
    <w:rsid w:val="00920F1B"/>
    <w:rsid w:val="009211A0"/>
    <w:rsid w:val="009211EE"/>
    <w:rsid w:val="0092130B"/>
    <w:rsid w:val="0092180B"/>
    <w:rsid w:val="00921859"/>
    <w:rsid w:val="00921A78"/>
    <w:rsid w:val="00921BE5"/>
    <w:rsid w:val="00921C18"/>
    <w:rsid w:val="00921CEA"/>
    <w:rsid w:val="00921D9B"/>
    <w:rsid w:val="00921F07"/>
    <w:rsid w:val="009220FC"/>
    <w:rsid w:val="00922127"/>
    <w:rsid w:val="00922269"/>
    <w:rsid w:val="00922288"/>
    <w:rsid w:val="00922414"/>
    <w:rsid w:val="0092241F"/>
    <w:rsid w:val="009226F2"/>
    <w:rsid w:val="009226FA"/>
    <w:rsid w:val="00922840"/>
    <w:rsid w:val="009228D0"/>
    <w:rsid w:val="00922938"/>
    <w:rsid w:val="00922A97"/>
    <w:rsid w:val="00922D12"/>
    <w:rsid w:val="0092310C"/>
    <w:rsid w:val="009232AD"/>
    <w:rsid w:val="0092341D"/>
    <w:rsid w:val="009234DD"/>
    <w:rsid w:val="00923521"/>
    <w:rsid w:val="0092360F"/>
    <w:rsid w:val="009236BC"/>
    <w:rsid w:val="00923749"/>
    <w:rsid w:val="00923941"/>
    <w:rsid w:val="00923B9A"/>
    <w:rsid w:val="00923BDE"/>
    <w:rsid w:val="00923F56"/>
    <w:rsid w:val="00924324"/>
    <w:rsid w:val="00924351"/>
    <w:rsid w:val="00924373"/>
    <w:rsid w:val="00924377"/>
    <w:rsid w:val="009243FE"/>
    <w:rsid w:val="00924441"/>
    <w:rsid w:val="00924634"/>
    <w:rsid w:val="009248E6"/>
    <w:rsid w:val="0092491C"/>
    <w:rsid w:val="00924A35"/>
    <w:rsid w:val="00924A4F"/>
    <w:rsid w:val="00924BA5"/>
    <w:rsid w:val="00924D0F"/>
    <w:rsid w:val="0092513F"/>
    <w:rsid w:val="009256C5"/>
    <w:rsid w:val="009257EB"/>
    <w:rsid w:val="0092581F"/>
    <w:rsid w:val="009258DE"/>
    <w:rsid w:val="009258EA"/>
    <w:rsid w:val="00925C83"/>
    <w:rsid w:val="00925DD5"/>
    <w:rsid w:val="00925E89"/>
    <w:rsid w:val="00926014"/>
    <w:rsid w:val="00926017"/>
    <w:rsid w:val="00926029"/>
    <w:rsid w:val="0092626F"/>
    <w:rsid w:val="0092658F"/>
    <w:rsid w:val="00926ABA"/>
    <w:rsid w:val="00926BA2"/>
    <w:rsid w:val="00926E11"/>
    <w:rsid w:val="00926F73"/>
    <w:rsid w:val="0092710A"/>
    <w:rsid w:val="009274CB"/>
    <w:rsid w:val="0092772B"/>
    <w:rsid w:val="00927879"/>
    <w:rsid w:val="00927976"/>
    <w:rsid w:val="00927B82"/>
    <w:rsid w:val="00927BDF"/>
    <w:rsid w:val="00927E60"/>
    <w:rsid w:val="00930140"/>
    <w:rsid w:val="00930168"/>
    <w:rsid w:val="00930321"/>
    <w:rsid w:val="0093032A"/>
    <w:rsid w:val="0093036F"/>
    <w:rsid w:val="009303AF"/>
    <w:rsid w:val="009303FC"/>
    <w:rsid w:val="009305A9"/>
    <w:rsid w:val="00930602"/>
    <w:rsid w:val="009306FB"/>
    <w:rsid w:val="009307E0"/>
    <w:rsid w:val="00930ADD"/>
    <w:rsid w:val="00930FEB"/>
    <w:rsid w:val="009314BF"/>
    <w:rsid w:val="00931532"/>
    <w:rsid w:val="0093161A"/>
    <w:rsid w:val="009317FF"/>
    <w:rsid w:val="009318E6"/>
    <w:rsid w:val="00931B12"/>
    <w:rsid w:val="00931CBC"/>
    <w:rsid w:val="00931CD4"/>
    <w:rsid w:val="0093216E"/>
    <w:rsid w:val="00932327"/>
    <w:rsid w:val="009324D0"/>
    <w:rsid w:val="0093259B"/>
    <w:rsid w:val="00932721"/>
    <w:rsid w:val="00932797"/>
    <w:rsid w:val="009327A1"/>
    <w:rsid w:val="00932972"/>
    <w:rsid w:val="00932CC7"/>
    <w:rsid w:val="009331CF"/>
    <w:rsid w:val="00933363"/>
    <w:rsid w:val="00933458"/>
    <w:rsid w:val="0093369A"/>
    <w:rsid w:val="009336A6"/>
    <w:rsid w:val="0093395E"/>
    <w:rsid w:val="00933A91"/>
    <w:rsid w:val="00933AC8"/>
    <w:rsid w:val="00933B91"/>
    <w:rsid w:val="00933C33"/>
    <w:rsid w:val="00933C6A"/>
    <w:rsid w:val="00933D86"/>
    <w:rsid w:val="00933EB4"/>
    <w:rsid w:val="00933F66"/>
    <w:rsid w:val="00934085"/>
    <w:rsid w:val="009342F5"/>
    <w:rsid w:val="0093480F"/>
    <w:rsid w:val="009349BB"/>
    <w:rsid w:val="00934C4E"/>
    <w:rsid w:val="00934D17"/>
    <w:rsid w:val="00935190"/>
    <w:rsid w:val="0093533F"/>
    <w:rsid w:val="00935692"/>
    <w:rsid w:val="00935878"/>
    <w:rsid w:val="00935980"/>
    <w:rsid w:val="00935B3B"/>
    <w:rsid w:val="00935B48"/>
    <w:rsid w:val="00935D2A"/>
    <w:rsid w:val="00935E28"/>
    <w:rsid w:val="00935E6E"/>
    <w:rsid w:val="0093603C"/>
    <w:rsid w:val="009360BD"/>
    <w:rsid w:val="00936265"/>
    <w:rsid w:val="009362F1"/>
    <w:rsid w:val="00936474"/>
    <w:rsid w:val="009365AD"/>
    <w:rsid w:val="009365B3"/>
    <w:rsid w:val="00936602"/>
    <w:rsid w:val="00936844"/>
    <w:rsid w:val="009369C4"/>
    <w:rsid w:val="00936BAD"/>
    <w:rsid w:val="00936CA1"/>
    <w:rsid w:val="00936F69"/>
    <w:rsid w:val="00936FC0"/>
    <w:rsid w:val="00937277"/>
    <w:rsid w:val="00937366"/>
    <w:rsid w:val="009373C2"/>
    <w:rsid w:val="0093744D"/>
    <w:rsid w:val="009378A1"/>
    <w:rsid w:val="00937978"/>
    <w:rsid w:val="00937981"/>
    <w:rsid w:val="009379D5"/>
    <w:rsid w:val="00937CF6"/>
    <w:rsid w:val="00937FAB"/>
    <w:rsid w:val="00937FB0"/>
    <w:rsid w:val="009401D9"/>
    <w:rsid w:val="0094033A"/>
    <w:rsid w:val="0094038F"/>
    <w:rsid w:val="009405CC"/>
    <w:rsid w:val="009405D6"/>
    <w:rsid w:val="009405DD"/>
    <w:rsid w:val="00940606"/>
    <w:rsid w:val="00940663"/>
    <w:rsid w:val="009407FC"/>
    <w:rsid w:val="0094086B"/>
    <w:rsid w:val="00940A62"/>
    <w:rsid w:val="00940B06"/>
    <w:rsid w:val="00940D98"/>
    <w:rsid w:val="0094121B"/>
    <w:rsid w:val="0094151E"/>
    <w:rsid w:val="0094157A"/>
    <w:rsid w:val="0094198C"/>
    <w:rsid w:val="00941AE6"/>
    <w:rsid w:val="00941B1C"/>
    <w:rsid w:val="00941DF2"/>
    <w:rsid w:val="009420BF"/>
    <w:rsid w:val="009420F2"/>
    <w:rsid w:val="00942117"/>
    <w:rsid w:val="0094222C"/>
    <w:rsid w:val="009424EE"/>
    <w:rsid w:val="0094298A"/>
    <w:rsid w:val="009429E5"/>
    <w:rsid w:val="00942A00"/>
    <w:rsid w:val="00942B06"/>
    <w:rsid w:val="00942B17"/>
    <w:rsid w:val="00942B19"/>
    <w:rsid w:val="00942BE4"/>
    <w:rsid w:val="00942BF7"/>
    <w:rsid w:val="00942D7B"/>
    <w:rsid w:val="0094338A"/>
    <w:rsid w:val="0094344C"/>
    <w:rsid w:val="00943529"/>
    <w:rsid w:val="009436B7"/>
    <w:rsid w:val="00943839"/>
    <w:rsid w:val="00943FCD"/>
    <w:rsid w:val="00944099"/>
    <w:rsid w:val="0094412E"/>
    <w:rsid w:val="009441EF"/>
    <w:rsid w:val="009443AB"/>
    <w:rsid w:val="009443E6"/>
    <w:rsid w:val="009447AF"/>
    <w:rsid w:val="00944891"/>
    <w:rsid w:val="00944A51"/>
    <w:rsid w:val="00944A89"/>
    <w:rsid w:val="00944B16"/>
    <w:rsid w:val="00944D80"/>
    <w:rsid w:val="00944E15"/>
    <w:rsid w:val="00944EDB"/>
    <w:rsid w:val="00944F5D"/>
    <w:rsid w:val="009451B1"/>
    <w:rsid w:val="009451CA"/>
    <w:rsid w:val="00945334"/>
    <w:rsid w:val="0094548C"/>
    <w:rsid w:val="00945505"/>
    <w:rsid w:val="0094553B"/>
    <w:rsid w:val="00945721"/>
    <w:rsid w:val="009457B9"/>
    <w:rsid w:val="0094592C"/>
    <w:rsid w:val="00945A92"/>
    <w:rsid w:val="00945AFC"/>
    <w:rsid w:val="00945BAD"/>
    <w:rsid w:val="00945BFB"/>
    <w:rsid w:val="00945C36"/>
    <w:rsid w:val="00945CC7"/>
    <w:rsid w:val="00945DB8"/>
    <w:rsid w:val="00945E8B"/>
    <w:rsid w:val="00945F21"/>
    <w:rsid w:val="00945F71"/>
    <w:rsid w:val="00945FC7"/>
    <w:rsid w:val="00946137"/>
    <w:rsid w:val="00946370"/>
    <w:rsid w:val="009463CD"/>
    <w:rsid w:val="00946486"/>
    <w:rsid w:val="00946746"/>
    <w:rsid w:val="0094695E"/>
    <w:rsid w:val="00946AE3"/>
    <w:rsid w:val="00946D23"/>
    <w:rsid w:val="00946DD7"/>
    <w:rsid w:val="00946E76"/>
    <w:rsid w:val="00947015"/>
    <w:rsid w:val="009470E7"/>
    <w:rsid w:val="0094730B"/>
    <w:rsid w:val="0094730F"/>
    <w:rsid w:val="00947462"/>
    <w:rsid w:val="009475CD"/>
    <w:rsid w:val="009475FB"/>
    <w:rsid w:val="00947654"/>
    <w:rsid w:val="0094777A"/>
    <w:rsid w:val="0094785E"/>
    <w:rsid w:val="00947E57"/>
    <w:rsid w:val="0095019D"/>
    <w:rsid w:val="0095027A"/>
    <w:rsid w:val="0095031B"/>
    <w:rsid w:val="009503B3"/>
    <w:rsid w:val="0095046B"/>
    <w:rsid w:val="0095052B"/>
    <w:rsid w:val="009507E4"/>
    <w:rsid w:val="00950A3A"/>
    <w:rsid w:val="00950ABC"/>
    <w:rsid w:val="00950F4C"/>
    <w:rsid w:val="00951113"/>
    <w:rsid w:val="009512A6"/>
    <w:rsid w:val="00951415"/>
    <w:rsid w:val="009514B9"/>
    <w:rsid w:val="00951D39"/>
    <w:rsid w:val="00951D69"/>
    <w:rsid w:val="00951D79"/>
    <w:rsid w:val="009520E9"/>
    <w:rsid w:val="0095249C"/>
    <w:rsid w:val="009525E3"/>
    <w:rsid w:val="00952606"/>
    <w:rsid w:val="009528F4"/>
    <w:rsid w:val="009528FE"/>
    <w:rsid w:val="0095296C"/>
    <w:rsid w:val="00952A9C"/>
    <w:rsid w:val="00952C1B"/>
    <w:rsid w:val="00952DC1"/>
    <w:rsid w:val="00952EBA"/>
    <w:rsid w:val="00952FF4"/>
    <w:rsid w:val="009531C0"/>
    <w:rsid w:val="00953290"/>
    <w:rsid w:val="009533C3"/>
    <w:rsid w:val="009533DB"/>
    <w:rsid w:val="00953428"/>
    <w:rsid w:val="00953717"/>
    <w:rsid w:val="0095396D"/>
    <w:rsid w:val="009539FA"/>
    <w:rsid w:val="00953AB7"/>
    <w:rsid w:val="00953AC8"/>
    <w:rsid w:val="00953BFF"/>
    <w:rsid w:val="00953E30"/>
    <w:rsid w:val="00953F37"/>
    <w:rsid w:val="00954035"/>
    <w:rsid w:val="00954316"/>
    <w:rsid w:val="00954611"/>
    <w:rsid w:val="009546AB"/>
    <w:rsid w:val="009547BD"/>
    <w:rsid w:val="00954877"/>
    <w:rsid w:val="00954983"/>
    <w:rsid w:val="00954ACA"/>
    <w:rsid w:val="00954CB8"/>
    <w:rsid w:val="00954CED"/>
    <w:rsid w:val="00954D9B"/>
    <w:rsid w:val="00954DB0"/>
    <w:rsid w:val="00954E2B"/>
    <w:rsid w:val="0095526B"/>
    <w:rsid w:val="009552C1"/>
    <w:rsid w:val="0095541B"/>
    <w:rsid w:val="0095546A"/>
    <w:rsid w:val="009555C8"/>
    <w:rsid w:val="0095570A"/>
    <w:rsid w:val="00955748"/>
    <w:rsid w:val="00955934"/>
    <w:rsid w:val="00956095"/>
    <w:rsid w:val="009560F6"/>
    <w:rsid w:val="0095612C"/>
    <w:rsid w:val="00956239"/>
    <w:rsid w:val="009562D5"/>
    <w:rsid w:val="00956455"/>
    <w:rsid w:val="009564B3"/>
    <w:rsid w:val="009564F9"/>
    <w:rsid w:val="00956654"/>
    <w:rsid w:val="00956D81"/>
    <w:rsid w:val="00956DAB"/>
    <w:rsid w:val="00956FFC"/>
    <w:rsid w:val="009570F9"/>
    <w:rsid w:val="0095712C"/>
    <w:rsid w:val="0095719F"/>
    <w:rsid w:val="0095735F"/>
    <w:rsid w:val="0095739B"/>
    <w:rsid w:val="00957410"/>
    <w:rsid w:val="0095776C"/>
    <w:rsid w:val="00957842"/>
    <w:rsid w:val="00957955"/>
    <w:rsid w:val="00957BF7"/>
    <w:rsid w:val="00957C32"/>
    <w:rsid w:val="00957C88"/>
    <w:rsid w:val="00957CD5"/>
    <w:rsid w:val="00957DA6"/>
    <w:rsid w:val="00957E44"/>
    <w:rsid w:val="00957EAE"/>
    <w:rsid w:val="00957FD0"/>
    <w:rsid w:val="009601DB"/>
    <w:rsid w:val="009602DB"/>
    <w:rsid w:val="009602F6"/>
    <w:rsid w:val="0096030D"/>
    <w:rsid w:val="009603B5"/>
    <w:rsid w:val="009604F1"/>
    <w:rsid w:val="0096060B"/>
    <w:rsid w:val="00960809"/>
    <w:rsid w:val="00960B24"/>
    <w:rsid w:val="00960CC1"/>
    <w:rsid w:val="00960EF3"/>
    <w:rsid w:val="0096118B"/>
    <w:rsid w:val="009614B9"/>
    <w:rsid w:val="009616D5"/>
    <w:rsid w:val="00961880"/>
    <w:rsid w:val="00961C04"/>
    <w:rsid w:val="00961C5C"/>
    <w:rsid w:val="00961C79"/>
    <w:rsid w:val="00961CA1"/>
    <w:rsid w:val="00961D37"/>
    <w:rsid w:val="00961D47"/>
    <w:rsid w:val="00961DB1"/>
    <w:rsid w:val="00962049"/>
    <w:rsid w:val="009622B8"/>
    <w:rsid w:val="009623D2"/>
    <w:rsid w:val="0096242E"/>
    <w:rsid w:val="00962661"/>
    <w:rsid w:val="0096295E"/>
    <w:rsid w:val="00962A0E"/>
    <w:rsid w:val="00962FB8"/>
    <w:rsid w:val="009630E4"/>
    <w:rsid w:val="0096320F"/>
    <w:rsid w:val="009632F9"/>
    <w:rsid w:val="00963423"/>
    <w:rsid w:val="00963732"/>
    <w:rsid w:val="009639D0"/>
    <w:rsid w:val="00963AB5"/>
    <w:rsid w:val="00963B39"/>
    <w:rsid w:val="00963BDA"/>
    <w:rsid w:val="00963FF9"/>
    <w:rsid w:val="0096400B"/>
    <w:rsid w:val="00964252"/>
    <w:rsid w:val="00964336"/>
    <w:rsid w:val="00964747"/>
    <w:rsid w:val="00964792"/>
    <w:rsid w:val="009647EB"/>
    <w:rsid w:val="00964822"/>
    <w:rsid w:val="0096482F"/>
    <w:rsid w:val="00964AF2"/>
    <w:rsid w:val="00964B0F"/>
    <w:rsid w:val="00964C30"/>
    <w:rsid w:val="00964C3C"/>
    <w:rsid w:val="00964C85"/>
    <w:rsid w:val="00964CCF"/>
    <w:rsid w:val="00964D2B"/>
    <w:rsid w:val="00964EBD"/>
    <w:rsid w:val="00964F7D"/>
    <w:rsid w:val="00965047"/>
    <w:rsid w:val="00965093"/>
    <w:rsid w:val="0096525F"/>
    <w:rsid w:val="00965308"/>
    <w:rsid w:val="00965361"/>
    <w:rsid w:val="00965440"/>
    <w:rsid w:val="00965535"/>
    <w:rsid w:val="00965571"/>
    <w:rsid w:val="00965864"/>
    <w:rsid w:val="0096597A"/>
    <w:rsid w:val="009659BC"/>
    <w:rsid w:val="009659F1"/>
    <w:rsid w:val="00965BA7"/>
    <w:rsid w:val="00965C9F"/>
    <w:rsid w:val="00965FAE"/>
    <w:rsid w:val="0096620A"/>
    <w:rsid w:val="0096640A"/>
    <w:rsid w:val="0096657B"/>
    <w:rsid w:val="009666F4"/>
    <w:rsid w:val="00966786"/>
    <w:rsid w:val="00966BED"/>
    <w:rsid w:val="00966CBE"/>
    <w:rsid w:val="009671B5"/>
    <w:rsid w:val="00967262"/>
    <w:rsid w:val="009672F2"/>
    <w:rsid w:val="0096792E"/>
    <w:rsid w:val="00967B88"/>
    <w:rsid w:val="00967D3A"/>
    <w:rsid w:val="00967E0F"/>
    <w:rsid w:val="00967E11"/>
    <w:rsid w:val="00967E25"/>
    <w:rsid w:val="00967F0D"/>
    <w:rsid w:val="0097018D"/>
    <w:rsid w:val="00970293"/>
    <w:rsid w:val="00970384"/>
    <w:rsid w:val="0097051F"/>
    <w:rsid w:val="00970542"/>
    <w:rsid w:val="00970973"/>
    <w:rsid w:val="00970D15"/>
    <w:rsid w:val="00970F6D"/>
    <w:rsid w:val="00970F98"/>
    <w:rsid w:val="00971021"/>
    <w:rsid w:val="00971168"/>
    <w:rsid w:val="00971222"/>
    <w:rsid w:val="009715B9"/>
    <w:rsid w:val="0097162F"/>
    <w:rsid w:val="00971817"/>
    <w:rsid w:val="009718A3"/>
    <w:rsid w:val="00971B72"/>
    <w:rsid w:val="009721FC"/>
    <w:rsid w:val="00972269"/>
    <w:rsid w:val="00972398"/>
    <w:rsid w:val="009723E0"/>
    <w:rsid w:val="00972513"/>
    <w:rsid w:val="00972623"/>
    <w:rsid w:val="009727D3"/>
    <w:rsid w:val="00972909"/>
    <w:rsid w:val="009729BD"/>
    <w:rsid w:val="00972C66"/>
    <w:rsid w:val="00972C67"/>
    <w:rsid w:val="00972D9D"/>
    <w:rsid w:val="00972E70"/>
    <w:rsid w:val="00972E97"/>
    <w:rsid w:val="00972FCC"/>
    <w:rsid w:val="009730D6"/>
    <w:rsid w:val="009731CE"/>
    <w:rsid w:val="009731E0"/>
    <w:rsid w:val="00973499"/>
    <w:rsid w:val="00973569"/>
    <w:rsid w:val="009735E1"/>
    <w:rsid w:val="009736B7"/>
    <w:rsid w:val="00973746"/>
    <w:rsid w:val="00973A0B"/>
    <w:rsid w:val="00973B8B"/>
    <w:rsid w:val="00973E70"/>
    <w:rsid w:val="00973F4B"/>
    <w:rsid w:val="00974024"/>
    <w:rsid w:val="00974229"/>
    <w:rsid w:val="0097438A"/>
    <w:rsid w:val="009744E3"/>
    <w:rsid w:val="0097451E"/>
    <w:rsid w:val="0097458C"/>
    <w:rsid w:val="00974689"/>
    <w:rsid w:val="009749D0"/>
    <w:rsid w:val="009749D7"/>
    <w:rsid w:val="00974A4C"/>
    <w:rsid w:val="00974B0B"/>
    <w:rsid w:val="00974CBB"/>
    <w:rsid w:val="00974D52"/>
    <w:rsid w:val="00974E16"/>
    <w:rsid w:val="00974E97"/>
    <w:rsid w:val="00974EA2"/>
    <w:rsid w:val="009750E7"/>
    <w:rsid w:val="00975134"/>
    <w:rsid w:val="009751CC"/>
    <w:rsid w:val="00975266"/>
    <w:rsid w:val="00975352"/>
    <w:rsid w:val="00975453"/>
    <w:rsid w:val="0097551B"/>
    <w:rsid w:val="00975657"/>
    <w:rsid w:val="009758A6"/>
    <w:rsid w:val="00975994"/>
    <w:rsid w:val="00975D9E"/>
    <w:rsid w:val="00975E7B"/>
    <w:rsid w:val="0097633E"/>
    <w:rsid w:val="009764CA"/>
    <w:rsid w:val="00976A89"/>
    <w:rsid w:val="00976AED"/>
    <w:rsid w:val="00976B86"/>
    <w:rsid w:val="00976FA7"/>
    <w:rsid w:val="009771BC"/>
    <w:rsid w:val="0097720A"/>
    <w:rsid w:val="0097730C"/>
    <w:rsid w:val="00977336"/>
    <w:rsid w:val="0097753A"/>
    <w:rsid w:val="00977549"/>
    <w:rsid w:val="009779A9"/>
    <w:rsid w:val="00977C5B"/>
    <w:rsid w:val="00977CB4"/>
    <w:rsid w:val="00977DA0"/>
    <w:rsid w:val="00977F88"/>
    <w:rsid w:val="00980140"/>
    <w:rsid w:val="0098018C"/>
    <w:rsid w:val="00980353"/>
    <w:rsid w:val="00980385"/>
    <w:rsid w:val="009803DA"/>
    <w:rsid w:val="0098047E"/>
    <w:rsid w:val="00980511"/>
    <w:rsid w:val="00980868"/>
    <w:rsid w:val="00980AB5"/>
    <w:rsid w:val="00980AD3"/>
    <w:rsid w:val="00980BA6"/>
    <w:rsid w:val="00980CE8"/>
    <w:rsid w:val="00980CFB"/>
    <w:rsid w:val="00980E4B"/>
    <w:rsid w:val="00980E8F"/>
    <w:rsid w:val="00980EAB"/>
    <w:rsid w:val="00980EAD"/>
    <w:rsid w:val="00980EF2"/>
    <w:rsid w:val="00981029"/>
    <w:rsid w:val="00981058"/>
    <w:rsid w:val="0098105B"/>
    <w:rsid w:val="009818E2"/>
    <w:rsid w:val="0098196E"/>
    <w:rsid w:val="00981BC5"/>
    <w:rsid w:val="00981F93"/>
    <w:rsid w:val="00981FC6"/>
    <w:rsid w:val="009820BC"/>
    <w:rsid w:val="0098218B"/>
    <w:rsid w:val="009822CF"/>
    <w:rsid w:val="00982433"/>
    <w:rsid w:val="00982572"/>
    <w:rsid w:val="00982593"/>
    <w:rsid w:val="009829C9"/>
    <w:rsid w:val="00982E86"/>
    <w:rsid w:val="0098300B"/>
    <w:rsid w:val="00983219"/>
    <w:rsid w:val="00983342"/>
    <w:rsid w:val="009833AC"/>
    <w:rsid w:val="00983414"/>
    <w:rsid w:val="009835A8"/>
    <w:rsid w:val="009836C6"/>
    <w:rsid w:val="00983745"/>
    <w:rsid w:val="009838CD"/>
    <w:rsid w:val="00983963"/>
    <w:rsid w:val="00983AC8"/>
    <w:rsid w:val="00983AD2"/>
    <w:rsid w:val="00983D15"/>
    <w:rsid w:val="00984247"/>
    <w:rsid w:val="00984293"/>
    <w:rsid w:val="00984545"/>
    <w:rsid w:val="009845B0"/>
    <w:rsid w:val="00984612"/>
    <w:rsid w:val="00984890"/>
    <w:rsid w:val="00984A39"/>
    <w:rsid w:val="00984A71"/>
    <w:rsid w:val="00984ED8"/>
    <w:rsid w:val="00984EE4"/>
    <w:rsid w:val="00984FAC"/>
    <w:rsid w:val="009850FA"/>
    <w:rsid w:val="00985716"/>
    <w:rsid w:val="0098597F"/>
    <w:rsid w:val="00985A1B"/>
    <w:rsid w:val="00985BD6"/>
    <w:rsid w:val="00985C3C"/>
    <w:rsid w:val="00985CE1"/>
    <w:rsid w:val="00986520"/>
    <w:rsid w:val="00986680"/>
    <w:rsid w:val="00986689"/>
    <w:rsid w:val="009866D1"/>
    <w:rsid w:val="00986734"/>
    <w:rsid w:val="009867C0"/>
    <w:rsid w:val="009867EA"/>
    <w:rsid w:val="00986877"/>
    <w:rsid w:val="00986FA0"/>
    <w:rsid w:val="009870A0"/>
    <w:rsid w:val="0098710F"/>
    <w:rsid w:val="00987128"/>
    <w:rsid w:val="00987194"/>
    <w:rsid w:val="0098755B"/>
    <w:rsid w:val="00987707"/>
    <w:rsid w:val="00990225"/>
    <w:rsid w:val="00990538"/>
    <w:rsid w:val="0099082E"/>
    <w:rsid w:val="009909ED"/>
    <w:rsid w:val="00990A71"/>
    <w:rsid w:val="00990A92"/>
    <w:rsid w:val="00990B34"/>
    <w:rsid w:val="00990BA0"/>
    <w:rsid w:val="00990BDC"/>
    <w:rsid w:val="00990D40"/>
    <w:rsid w:val="00990DB5"/>
    <w:rsid w:val="00991020"/>
    <w:rsid w:val="0099145E"/>
    <w:rsid w:val="0099149B"/>
    <w:rsid w:val="009917EE"/>
    <w:rsid w:val="0099182F"/>
    <w:rsid w:val="009919CC"/>
    <w:rsid w:val="009919FE"/>
    <w:rsid w:val="00991A21"/>
    <w:rsid w:val="00991A99"/>
    <w:rsid w:val="00991B86"/>
    <w:rsid w:val="00991E9C"/>
    <w:rsid w:val="00991F0E"/>
    <w:rsid w:val="00992025"/>
    <w:rsid w:val="0099206D"/>
    <w:rsid w:val="00992189"/>
    <w:rsid w:val="00992389"/>
    <w:rsid w:val="00992505"/>
    <w:rsid w:val="009925D7"/>
    <w:rsid w:val="009928C1"/>
    <w:rsid w:val="009928D7"/>
    <w:rsid w:val="009928E1"/>
    <w:rsid w:val="00992936"/>
    <w:rsid w:val="00992B10"/>
    <w:rsid w:val="00992D1A"/>
    <w:rsid w:val="009932A2"/>
    <w:rsid w:val="009932E3"/>
    <w:rsid w:val="009933B9"/>
    <w:rsid w:val="00993A8C"/>
    <w:rsid w:val="00993A98"/>
    <w:rsid w:val="00993D2F"/>
    <w:rsid w:val="00993D98"/>
    <w:rsid w:val="00993EA9"/>
    <w:rsid w:val="00993F6C"/>
    <w:rsid w:val="00993F7A"/>
    <w:rsid w:val="00994100"/>
    <w:rsid w:val="0099415F"/>
    <w:rsid w:val="0099430B"/>
    <w:rsid w:val="009944FF"/>
    <w:rsid w:val="0099475B"/>
    <w:rsid w:val="00994785"/>
    <w:rsid w:val="0099485B"/>
    <w:rsid w:val="009949A1"/>
    <w:rsid w:val="00994BD6"/>
    <w:rsid w:val="00994EFD"/>
    <w:rsid w:val="0099509D"/>
    <w:rsid w:val="009950A2"/>
    <w:rsid w:val="009951B2"/>
    <w:rsid w:val="00995267"/>
    <w:rsid w:val="0099545A"/>
    <w:rsid w:val="00995497"/>
    <w:rsid w:val="009954B5"/>
    <w:rsid w:val="009955C9"/>
    <w:rsid w:val="00995620"/>
    <w:rsid w:val="0099598E"/>
    <w:rsid w:val="00995994"/>
    <w:rsid w:val="00995A46"/>
    <w:rsid w:val="00995BEB"/>
    <w:rsid w:val="00995D6A"/>
    <w:rsid w:val="00995E83"/>
    <w:rsid w:val="00995FD1"/>
    <w:rsid w:val="0099614C"/>
    <w:rsid w:val="00996568"/>
    <w:rsid w:val="00996722"/>
    <w:rsid w:val="00996817"/>
    <w:rsid w:val="0099687E"/>
    <w:rsid w:val="00996A4F"/>
    <w:rsid w:val="00996B7A"/>
    <w:rsid w:val="00996C02"/>
    <w:rsid w:val="00996CE0"/>
    <w:rsid w:val="00996D17"/>
    <w:rsid w:val="00997008"/>
    <w:rsid w:val="00997037"/>
    <w:rsid w:val="00997276"/>
    <w:rsid w:val="00997278"/>
    <w:rsid w:val="00997340"/>
    <w:rsid w:val="00997393"/>
    <w:rsid w:val="009974F8"/>
    <w:rsid w:val="009975DE"/>
    <w:rsid w:val="00997635"/>
    <w:rsid w:val="009976EF"/>
    <w:rsid w:val="009979CF"/>
    <w:rsid w:val="00997CD5"/>
    <w:rsid w:val="009A02EE"/>
    <w:rsid w:val="009A0348"/>
    <w:rsid w:val="009A03A7"/>
    <w:rsid w:val="009A065A"/>
    <w:rsid w:val="009A0697"/>
    <w:rsid w:val="009A0721"/>
    <w:rsid w:val="009A0EFF"/>
    <w:rsid w:val="009A0F3E"/>
    <w:rsid w:val="009A1351"/>
    <w:rsid w:val="009A13C1"/>
    <w:rsid w:val="009A174F"/>
    <w:rsid w:val="009A1944"/>
    <w:rsid w:val="009A19AD"/>
    <w:rsid w:val="009A1B72"/>
    <w:rsid w:val="009A2033"/>
    <w:rsid w:val="009A2586"/>
    <w:rsid w:val="009A2598"/>
    <w:rsid w:val="009A26E9"/>
    <w:rsid w:val="009A2736"/>
    <w:rsid w:val="009A277B"/>
    <w:rsid w:val="009A2821"/>
    <w:rsid w:val="009A2B5F"/>
    <w:rsid w:val="009A2CBD"/>
    <w:rsid w:val="009A2D31"/>
    <w:rsid w:val="009A2DEC"/>
    <w:rsid w:val="009A2E62"/>
    <w:rsid w:val="009A302A"/>
    <w:rsid w:val="009A3031"/>
    <w:rsid w:val="009A30C5"/>
    <w:rsid w:val="009A327E"/>
    <w:rsid w:val="009A331E"/>
    <w:rsid w:val="009A3340"/>
    <w:rsid w:val="009A33C1"/>
    <w:rsid w:val="009A3421"/>
    <w:rsid w:val="009A350A"/>
    <w:rsid w:val="009A3573"/>
    <w:rsid w:val="009A3670"/>
    <w:rsid w:val="009A3A98"/>
    <w:rsid w:val="009A3D51"/>
    <w:rsid w:val="009A3E56"/>
    <w:rsid w:val="009A3FDD"/>
    <w:rsid w:val="009A4078"/>
    <w:rsid w:val="009A409A"/>
    <w:rsid w:val="009A4176"/>
    <w:rsid w:val="009A427B"/>
    <w:rsid w:val="009A43E9"/>
    <w:rsid w:val="009A46C5"/>
    <w:rsid w:val="009A480D"/>
    <w:rsid w:val="009A4896"/>
    <w:rsid w:val="009A4923"/>
    <w:rsid w:val="009A50FE"/>
    <w:rsid w:val="009A5112"/>
    <w:rsid w:val="009A5214"/>
    <w:rsid w:val="009A5287"/>
    <w:rsid w:val="009A537C"/>
    <w:rsid w:val="009A53B2"/>
    <w:rsid w:val="009A546B"/>
    <w:rsid w:val="009A54C9"/>
    <w:rsid w:val="009A56ED"/>
    <w:rsid w:val="009A56F4"/>
    <w:rsid w:val="009A56FF"/>
    <w:rsid w:val="009A5701"/>
    <w:rsid w:val="009A593D"/>
    <w:rsid w:val="009A5E33"/>
    <w:rsid w:val="009A5EC3"/>
    <w:rsid w:val="009A6211"/>
    <w:rsid w:val="009A62E2"/>
    <w:rsid w:val="009A62FF"/>
    <w:rsid w:val="009A6321"/>
    <w:rsid w:val="009A6385"/>
    <w:rsid w:val="009A63F3"/>
    <w:rsid w:val="009A674B"/>
    <w:rsid w:val="009A67CE"/>
    <w:rsid w:val="009A6C7F"/>
    <w:rsid w:val="009A6DF2"/>
    <w:rsid w:val="009A6FD0"/>
    <w:rsid w:val="009A7438"/>
    <w:rsid w:val="009A748B"/>
    <w:rsid w:val="009A74D3"/>
    <w:rsid w:val="009A7524"/>
    <w:rsid w:val="009A7586"/>
    <w:rsid w:val="009A7736"/>
    <w:rsid w:val="009A784A"/>
    <w:rsid w:val="009A796D"/>
    <w:rsid w:val="009A79A7"/>
    <w:rsid w:val="009A7A7D"/>
    <w:rsid w:val="009A7ADA"/>
    <w:rsid w:val="009A7DBB"/>
    <w:rsid w:val="009A7EA2"/>
    <w:rsid w:val="009A7EBA"/>
    <w:rsid w:val="009A7F19"/>
    <w:rsid w:val="009A7F39"/>
    <w:rsid w:val="009B000C"/>
    <w:rsid w:val="009B01BE"/>
    <w:rsid w:val="009B0540"/>
    <w:rsid w:val="009B077A"/>
    <w:rsid w:val="009B08B9"/>
    <w:rsid w:val="009B0ADF"/>
    <w:rsid w:val="009B0CB8"/>
    <w:rsid w:val="009B1021"/>
    <w:rsid w:val="009B1076"/>
    <w:rsid w:val="009B10B8"/>
    <w:rsid w:val="009B1334"/>
    <w:rsid w:val="009B13EC"/>
    <w:rsid w:val="009B199A"/>
    <w:rsid w:val="009B1CF3"/>
    <w:rsid w:val="009B2139"/>
    <w:rsid w:val="009B21F7"/>
    <w:rsid w:val="009B22AE"/>
    <w:rsid w:val="009B22CB"/>
    <w:rsid w:val="009B2466"/>
    <w:rsid w:val="009B2607"/>
    <w:rsid w:val="009B27FE"/>
    <w:rsid w:val="009B2B5C"/>
    <w:rsid w:val="009B2B9D"/>
    <w:rsid w:val="009B2D14"/>
    <w:rsid w:val="009B2EBC"/>
    <w:rsid w:val="009B325C"/>
    <w:rsid w:val="009B32EA"/>
    <w:rsid w:val="009B3347"/>
    <w:rsid w:val="009B359E"/>
    <w:rsid w:val="009B3966"/>
    <w:rsid w:val="009B3A10"/>
    <w:rsid w:val="009B3A64"/>
    <w:rsid w:val="009B3A7E"/>
    <w:rsid w:val="009B3A9F"/>
    <w:rsid w:val="009B3B7B"/>
    <w:rsid w:val="009B3EA6"/>
    <w:rsid w:val="009B41B4"/>
    <w:rsid w:val="009B42CD"/>
    <w:rsid w:val="009B43FB"/>
    <w:rsid w:val="009B4426"/>
    <w:rsid w:val="009B451D"/>
    <w:rsid w:val="009B4610"/>
    <w:rsid w:val="009B4774"/>
    <w:rsid w:val="009B4849"/>
    <w:rsid w:val="009B498A"/>
    <w:rsid w:val="009B49E3"/>
    <w:rsid w:val="009B4DBA"/>
    <w:rsid w:val="009B4E25"/>
    <w:rsid w:val="009B4FBC"/>
    <w:rsid w:val="009B518D"/>
    <w:rsid w:val="009B5200"/>
    <w:rsid w:val="009B5403"/>
    <w:rsid w:val="009B57FD"/>
    <w:rsid w:val="009B5BA2"/>
    <w:rsid w:val="009B6096"/>
    <w:rsid w:val="009B6421"/>
    <w:rsid w:val="009B64AC"/>
    <w:rsid w:val="009B660B"/>
    <w:rsid w:val="009B66E6"/>
    <w:rsid w:val="009B67E3"/>
    <w:rsid w:val="009B6A39"/>
    <w:rsid w:val="009B6AFD"/>
    <w:rsid w:val="009B6C17"/>
    <w:rsid w:val="009B6D61"/>
    <w:rsid w:val="009B6D7F"/>
    <w:rsid w:val="009B6DF6"/>
    <w:rsid w:val="009B6E57"/>
    <w:rsid w:val="009B6F58"/>
    <w:rsid w:val="009B7159"/>
    <w:rsid w:val="009B72DF"/>
    <w:rsid w:val="009B73BF"/>
    <w:rsid w:val="009B74FD"/>
    <w:rsid w:val="009B759B"/>
    <w:rsid w:val="009B775E"/>
    <w:rsid w:val="009B77E3"/>
    <w:rsid w:val="009B7884"/>
    <w:rsid w:val="009B7932"/>
    <w:rsid w:val="009B798E"/>
    <w:rsid w:val="009B7B79"/>
    <w:rsid w:val="009B7C34"/>
    <w:rsid w:val="009B7DD3"/>
    <w:rsid w:val="009B7FE3"/>
    <w:rsid w:val="009C040B"/>
    <w:rsid w:val="009C050F"/>
    <w:rsid w:val="009C05BB"/>
    <w:rsid w:val="009C05E9"/>
    <w:rsid w:val="009C0744"/>
    <w:rsid w:val="009C0A4B"/>
    <w:rsid w:val="009C0A51"/>
    <w:rsid w:val="009C0BD9"/>
    <w:rsid w:val="009C0E30"/>
    <w:rsid w:val="009C0F20"/>
    <w:rsid w:val="009C101C"/>
    <w:rsid w:val="009C1059"/>
    <w:rsid w:val="009C10EA"/>
    <w:rsid w:val="009C1103"/>
    <w:rsid w:val="009C1107"/>
    <w:rsid w:val="009C117A"/>
    <w:rsid w:val="009C139E"/>
    <w:rsid w:val="009C149C"/>
    <w:rsid w:val="009C14E4"/>
    <w:rsid w:val="009C1592"/>
    <w:rsid w:val="009C166E"/>
    <w:rsid w:val="009C1698"/>
    <w:rsid w:val="009C16BF"/>
    <w:rsid w:val="009C1739"/>
    <w:rsid w:val="009C17E1"/>
    <w:rsid w:val="009C1938"/>
    <w:rsid w:val="009C1966"/>
    <w:rsid w:val="009C1BE8"/>
    <w:rsid w:val="009C1C24"/>
    <w:rsid w:val="009C1D8F"/>
    <w:rsid w:val="009C1E60"/>
    <w:rsid w:val="009C1E81"/>
    <w:rsid w:val="009C1E87"/>
    <w:rsid w:val="009C216C"/>
    <w:rsid w:val="009C21A1"/>
    <w:rsid w:val="009C220E"/>
    <w:rsid w:val="009C230B"/>
    <w:rsid w:val="009C23FE"/>
    <w:rsid w:val="009C2685"/>
    <w:rsid w:val="009C2689"/>
    <w:rsid w:val="009C28F0"/>
    <w:rsid w:val="009C2C9A"/>
    <w:rsid w:val="009C2CAA"/>
    <w:rsid w:val="009C2DEA"/>
    <w:rsid w:val="009C303D"/>
    <w:rsid w:val="009C30E1"/>
    <w:rsid w:val="009C3232"/>
    <w:rsid w:val="009C35DE"/>
    <w:rsid w:val="009C3691"/>
    <w:rsid w:val="009C3815"/>
    <w:rsid w:val="009C3B49"/>
    <w:rsid w:val="009C3C60"/>
    <w:rsid w:val="009C3C6C"/>
    <w:rsid w:val="009C3EFE"/>
    <w:rsid w:val="009C3FC5"/>
    <w:rsid w:val="009C3FE1"/>
    <w:rsid w:val="009C40A4"/>
    <w:rsid w:val="009C40D8"/>
    <w:rsid w:val="009C40E9"/>
    <w:rsid w:val="009C4164"/>
    <w:rsid w:val="009C434D"/>
    <w:rsid w:val="009C465D"/>
    <w:rsid w:val="009C4895"/>
    <w:rsid w:val="009C4962"/>
    <w:rsid w:val="009C4B4B"/>
    <w:rsid w:val="009C4C6F"/>
    <w:rsid w:val="009C4DC7"/>
    <w:rsid w:val="009C54AB"/>
    <w:rsid w:val="009C589C"/>
    <w:rsid w:val="009C5979"/>
    <w:rsid w:val="009C5A0A"/>
    <w:rsid w:val="009C5A18"/>
    <w:rsid w:val="009C5CE2"/>
    <w:rsid w:val="009C5D22"/>
    <w:rsid w:val="009C5D4B"/>
    <w:rsid w:val="009C5E43"/>
    <w:rsid w:val="009C5F29"/>
    <w:rsid w:val="009C6099"/>
    <w:rsid w:val="009C618A"/>
    <w:rsid w:val="009C61DD"/>
    <w:rsid w:val="009C6321"/>
    <w:rsid w:val="009C64AE"/>
    <w:rsid w:val="009C64E5"/>
    <w:rsid w:val="009C6615"/>
    <w:rsid w:val="009C6682"/>
    <w:rsid w:val="009C669E"/>
    <w:rsid w:val="009C66F4"/>
    <w:rsid w:val="009C6841"/>
    <w:rsid w:val="009C68BB"/>
    <w:rsid w:val="009C68F8"/>
    <w:rsid w:val="009C697E"/>
    <w:rsid w:val="009C6AD8"/>
    <w:rsid w:val="009C6B7D"/>
    <w:rsid w:val="009C6D9B"/>
    <w:rsid w:val="009C6DA4"/>
    <w:rsid w:val="009C6E33"/>
    <w:rsid w:val="009C6E85"/>
    <w:rsid w:val="009C7057"/>
    <w:rsid w:val="009C73DF"/>
    <w:rsid w:val="009C74D4"/>
    <w:rsid w:val="009C75A2"/>
    <w:rsid w:val="009C75BD"/>
    <w:rsid w:val="009C762E"/>
    <w:rsid w:val="009C7670"/>
    <w:rsid w:val="009C7908"/>
    <w:rsid w:val="009C791B"/>
    <w:rsid w:val="009C7AEA"/>
    <w:rsid w:val="009C7B2B"/>
    <w:rsid w:val="009C7B3F"/>
    <w:rsid w:val="009C7B90"/>
    <w:rsid w:val="009C7CF4"/>
    <w:rsid w:val="009C7E7A"/>
    <w:rsid w:val="009C7F89"/>
    <w:rsid w:val="009D01D7"/>
    <w:rsid w:val="009D03DE"/>
    <w:rsid w:val="009D052A"/>
    <w:rsid w:val="009D055A"/>
    <w:rsid w:val="009D05D1"/>
    <w:rsid w:val="009D0619"/>
    <w:rsid w:val="009D061A"/>
    <w:rsid w:val="009D071C"/>
    <w:rsid w:val="009D0959"/>
    <w:rsid w:val="009D09A8"/>
    <w:rsid w:val="009D0A12"/>
    <w:rsid w:val="009D0C65"/>
    <w:rsid w:val="009D0DCA"/>
    <w:rsid w:val="009D0EE7"/>
    <w:rsid w:val="009D104E"/>
    <w:rsid w:val="009D10C6"/>
    <w:rsid w:val="009D11E8"/>
    <w:rsid w:val="009D1214"/>
    <w:rsid w:val="009D14A1"/>
    <w:rsid w:val="009D1602"/>
    <w:rsid w:val="009D1731"/>
    <w:rsid w:val="009D1784"/>
    <w:rsid w:val="009D194C"/>
    <w:rsid w:val="009D1C4A"/>
    <w:rsid w:val="009D1DF6"/>
    <w:rsid w:val="009D1ECB"/>
    <w:rsid w:val="009D1F8A"/>
    <w:rsid w:val="009D1F98"/>
    <w:rsid w:val="009D2046"/>
    <w:rsid w:val="009D23AD"/>
    <w:rsid w:val="009D24D0"/>
    <w:rsid w:val="009D257F"/>
    <w:rsid w:val="009D25E4"/>
    <w:rsid w:val="009D25F5"/>
    <w:rsid w:val="009D26DD"/>
    <w:rsid w:val="009D276E"/>
    <w:rsid w:val="009D286C"/>
    <w:rsid w:val="009D2AFA"/>
    <w:rsid w:val="009D2B89"/>
    <w:rsid w:val="009D2CD2"/>
    <w:rsid w:val="009D2D05"/>
    <w:rsid w:val="009D2D46"/>
    <w:rsid w:val="009D2E30"/>
    <w:rsid w:val="009D2E96"/>
    <w:rsid w:val="009D2EB0"/>
    <w:rsid w:val="009D3443"/>
    <w:rsid w:val="009D349D"/>
    <w:rsid w:val="009D3539"/>
    <w:rsid w:val="009D35A6"/>
    <w:rsid w:val="009D3653"/>
    <w:rsid w:val="009D3942"/>
    <w:rsid w:val="009D3AF7"/>
    <w:rsid w:val="009D3D7A"/>
    <w:rsid w:val="009D3ED5"/>
    <w:rsid w:val="009D41D0"/>
    <w:rsid w:val="009D44BA"/>
    <w:rsid w:val="009D4507"/>
    <w:rsid w:val="009D46F2"/>
    <w:rsid w:val="009D4774"/>
    <w:rsid w:val="009D4786"/>
    <w:rsid w:val="009D4A69"/>
    <w:rsid w:val="009D4AD9"/>
    <w:rsid w:val="009D4F29"/>
    <w:rsid w:val="009D5293"/>
    <w:rsid w:val="009D5326"/>
    <w:rsid w:val="009D56B2"/>
    <w:rsid w:val="009D574D"/>
    <w:rsid w:val="009D57E0"/>
    <w:rsid w:val="009D5916"/>
    <w:rsid w:val="009D5930"/>
    <w:rsid w:val="009D5966"/>
    <w:rsid w:val="009D5C3D"/>
    <w:rsid w:val="009D5D87"/>
    <w:rsid w:val="009D5E13"/>
    <w:rsid w:val="009D5E1C"/>
    <w:rsid w:val="009D6003"/>
    <w:rsid w:val="009D607A"/>
    <w:rsid w:val="009D60AD"/>
    <w:rsid w:val="009D60FF"/>
    <w:rsid w:val="009D61E2"/>
    <w:rsid w:val="009D61E9"/>
    <w:rsid w:val="009D649E"/>
    <w:rsid w:val="009D6766"/>
    <w:rsid w:val="009D67D2"/>
    <w:rsid w:val="009D69D5"/>
    <w:rsid w:val="009D6ACF"/>
    <w:rsid w:val="009D6B71"/>
    <w:rsid w:val="009D6C2D"/>
    <w:rsid w:val="009D6D8F"/>
    <w:rsid w:val="009D6EAB"/>
    <w:rsid w:val="009D702E"/>
    <w:rsid w:val="009D723C"/>
    <w:rsid w:val="009D7472"/>
    <w:rsid w:val="009D747B"/>
    <w:rsid w:val="009D752B"/>
    <w:rsid w:val="009D7534"/>
    <w:rsid w:val="009D76DA"/>
    <w:rsid w:val="009D7751"/>
    <w:rsid w:val="009D776E"/>
    <w:rsid w:val="009D787D"/>
    <w:rsid w:val="009D7896"/>
    <w:rsid w:val="009D7903"/>
    <w:rsid w:val="009D7AE4"/>
    <w:rsid w:val="009D7AF0"/>
    <w:rsid w:val="009D7E0E"/>
    <w:rsid w:val="009D7FBF"/>
    <w:rsid w:val="009E03A3"/>
    <w:rsid w:val="009E081E"/>
    <w:rsid w:val="009E08AF"/>
    <w:rsid w:val="009E0DC2"/>
    <w:rsid w:val="009E0DEB"/>
    <w:rsid w:val="009E0F8E"/>
    <w:rsid w:val="009E115C"/>
    <w:rsid w:val="009E1217"/>
    <w:rsid w:val="009E142F"/>
    <w:rsid w:val="009E1594"/>
    <w:rsid w:val="009E15EA"/>
    <w:rsid w:val="009E1611"/>
    <w:rsid w:val="009E1623"/>
    <w:rsid w:val="009E17DA"/>
    <w:rsid w:val="009E1FB8"/>
    <w:rsid w:val="009E2039"/>
    <w:rsid w:val="009E203F"/>
    <w:rsid w:val="009E210A"/>
    <w:rsid w:val="009E258F"/>
    <w:rsid w:val="009E263B"/>
    <w:rsid w:val="009E26D4"/>
    <w:rsid w:val="009E2755"/>
    <w:rsid w:val="009E2827"/>
    <w:rsid w:val="009E2867"/>
    <w:rsid w:val="009E2E3B"/>
    <w:rsid w:val="009E2F4C"/>
    <w:rsid w:val="009E313C"/>
    <w:rsid w:val="009E3245"/>
    <w:rsid w:val="009E3335"/>
    <w:rsid w:val="009E3375"/>
    <w:rsid w:val="009E3622"/>
    <w:rsid w:val="009E363D"/>
    <w:rsid w:val="009E3664"/>
    <w:rsid w:val="009E36C2"/>
    <w:rsid w:val="009E3808"/>
    <w:rsid w:val="009E3A24"/>
    <w:rsid w:val="009E3C11"/>
    <w:rsid w:val="009E3D3F"/>
    <w:rsid w:val="009E3DFA"/>
    <w:rsid w:val="009E3E61"/>
    <w:rsid w:val="009E3EF0"/>
    <w:rsid w:val="009E403B"/>
    <w:rsid w:val="009E40BD"/>
    <w:rsid w:val="009E4562"/>
    <w:rsid w:val="009E470B"/>
    <w:rsid w:val="009E47DA"/>
    <w:rsid w:val="009E485B"/>
    <w:rsid w:val="009E48F1"/>
    <w:rsid w:val="009E4A63"/>
    <w:rsid w:val="009E4A86"/>
    <w:rsid w:val="009E4BD8"/>
    <w:rsid w:val="009E4C68"/>
    <w:rsid w:val="009E4D26"/>
    <w:rsid w:val="009E4D79"/>
    <w:rsid w:val="009E508D"/>
    <w:rsid w:val="009E5220"/>
    <w:rsid w:val="009E5371"/>
    <w:rsid w:val="009E54E4"/>
    <w:rsid w:val="009E54E6"/>
    <w:rsid w:val="009E5912"/>
    <w:rsid w:val="009E5BF8"/>
    <w:rsid w:val="009E5CEF"/>
    <w:rsid w:val="009E5DE7"/>
    <w:rsid w:val="009E61AA"/>
    <w:rsid w:val="009E632B"/>
    <w:rsid w:val="009E636E"/>
    <w:rsid w:val="009E678D"/>
    <w:rsid w:val="009E6835"/>
    <w:rsid w:val="009E6A78"/>
    <w:rsid w:val="009E6AF0"/>
    <w:rsid w:val="009E6BCE"/>
    <w:rsid w:val="009E6D14"/>
    <w:rsid w:val="009E6D2A"/>
    <w:rsid w:val="009E6E0A"/>
    <w:rsid w:val="009E6E82"/>
    <w:rsid w:val="009E6F57"/>
    <w:rsid w:val="009E72E5"/>
    <w:rsid w:val="009E7676"/>
    <w:rsid w:val="009E7808"/>
    <w:rsid w:val="009E7989"/>
    <w:rsid w:val="009E79E6"/>
    <w:rsid w:val="009E7AA3"/>
    <w:rsid w:val="009E7CE6"/>
    <w:rsid w:val="009F00B7"/>
    <w:rsid w:val="009F0113"/>
    <w:rsid w:val="009F01F6"/>
    <w:rsid w:val="009F026B"/>
    <w:rsid w:val="009F03FE"/>
    <w:rsid w:val="009F053F"/>
    <w:rsid w:val="009F070A"/>
    <w:rsid w:val="009F0855"/>
    <w:rsid w:val="009F0B1F"/>
    <w:rsid w:val="009F0BBC"/>
    <w:rsid w:val="009F0C24"/>
    <w:rsid w:val="009F0C96"/>
    <w:rsid w:val="009F0CA3"/>
    <w:rsid w:val="009F0D1E"/>
    <w:rsid w:val="009F0FB7"/>
    <w:rsid w:val="009F1113"/>
    <w:rsid w:val="009F166F"/>
    <w:rsid w:val="009F1DCF"/>
    <w:rsid w:val="009F1E39"/>
    <w:rsid w:val="009F1FFD"/>
    <w:rsid w:val="009F2201"/>
    <w:rsid w:val="009F224C"/>
    <w:rsid w:val="009F2397"/>
    <w:rsid w:val="009F2531"/>
    <w:rsid w:val="009F25C8"/>
    <w:rsid w:val="009F29C4"/>
    <w:rsid w:val="009F29E8"/>
    <w:rsid w:val="009F2ABD"/>
    <w:rsid w:val="009F2DA3"/>
    <w:rsid w:val="009F2E61"/>
    <w:rsid w:val="009F30B9"/>
    <w:rsid w:val="009F346A"/>
    <w:rsid w:val="009F36AE"/>
    <w:rsid w:val="009F3713"/>
    <w:rsid w:val="009F3749"/>
    <w:rsid w:val="009F39F0"/>
    <w:rsid w:val="009F39F8"/>
    <w:rsid w:val="009F3B71"/>
    <w:rsid w:val="009F3CCA"/>
    <w:rsid w:val="009F3D6D"/>
    <w:rsid w:val="009F3E55"/>
    <w:rsid w:val="009F4006"/>
    <w:rsid w:val="009F421E"/>
    <w:rsid w:val="009F4268"/>
    <w:rsid w:val="009F4490"/>
    <w:rsid w:val="009F4614"/>
    <w:rsid w:val="009F4739"/>
    <w:rsid w:val="009F4871"/>
    <w:rsid w:val="009F4894"/>
    <w:rsid w:val="009F49E3"/>
    <w:rsid w:val="009F4BD4"/>
    <w:rsid w:val="009F4D32"/>
    <w:rsid w:val="009F4D36"/>
    <w:rsid w:val="009F4DBE"/>
    <w:rsid w:val="009F4E1B"/>
    <w:rsid w:val="009F50A1"/>
    <w:rsid w:val="009F50E1"/>
    <w:rsid w:val="009F53F5"/>
    <w:rsid w:val="009F5653"/>
    <w:rsid w:val="009F5A7C"/>
    <w:rsid w:val="009F5B4F"/>
    <w:rsid w:val="009F5B69"/>
    <w:rsid w:val="009F5C51"/>
    <w:rsid w:val="009F5F94"/>
    <w:rsid w:val="009F6167"/>
    <w:rsid w:val="009F632A"/>
    <w:rsid w:val="009F6452"/>
    <w:rsid w:val="009F64FB"/>
    <w:rsid w:val="009F69A1"/>
    <w:rsid w:val="009F69CF"/>
    <w:rsid w:val="009F6B4D"/>
    <w:rsid w:val="009F6C6B"/>
    <w:rsid w:val="009F6E49"/>
    <w:rsid w:val="009F7281"/>
    <w:rsid w:val="009F72C5"/>
    <w:rsid w:val="009F7424"/>
    <w:rsid w:val="009F7503"/>
    <w:rsid w:val="009F76E1"/>
    <w:rsid w:val="009F77E8"/>
    <w:rsid w:val="009F791A"/>
    <w:rsid w:val="009F7B6B"/>
    <w:rsid w:val="009F7EF8"/>
    <w:rsid w:val="00A0025E"/>
    <w:rsid w:val="00A003EB"/>
    <w:rsid w:val="00A003FF"/>
    <w:rsid w:val="00A00671"/>
    <w:rsid w:val="00A00D5E"/>
    <w:rsid w:val="00A00DB5"/>
    <w:rsid w:val="00A00E2E"/>
    <w:rsid w:val="00A00E62"/>
    <w:rsid w:val="00A00E65"/>
    <w:rsid w:val="00A00F93"/>
    <w:rsid w:val="00A0138D"/>
    <w:rsid w:val="00A01490"/>
    <w:rsid w:val="00A015EA"/>
    <w:rsid w:val="00A0160C"/>
    <w:rsid w:val="00A01701"/>
    <w:rsid w:val="00A01738"/>
    <w:rsid w:val="00A01A75"/>
    <w:rsid w:val="00A01AB5"/>
    <w:rsid w:val="00A01C30"/>
    <w:rsid w:val="00A01C82"/>
    <w:rsid w:val="00A01F85"/>
    <w:rsid w:val="00A01FEF"/>
    <w:rsid w:val="00A02105"/>
    <w:rsid w:val="00A0218F"/>
    <w:rsid w:val="00A021D9"/>
    <w:rsid w:val="00A021EB"/>
    <w:rsid w:val="00A022A5"/>
    <w:rsid w:val="00A023E9"/>
    <w:rsid w:val="00A025D0"/>
    <w:rsid w:val="00A026E3"/>
    <w:rsid w:val="00A02734"/>
    <w:rsid w:val="00A02DE2"/>
    <w:rsid w:val="00A02FED"/>
    <w:rsid w:val="00A0301B"/>
    <w:rsid w:val="00A03026"/>
    <w:rsid w:val="00A03039"/>
    <w:rsid w:val="00A031F1"/>
    <w:rsid w:val="00A03401"/>
    <w:rsid w:val="00A03420"/>
    <w:rsid w:val="00A03544"/>
    <w:rsid w:val="00A03814"/>
    <w:rsid w:val="00A03817"/>
    <w:rsid w:val="00A03A58"/>
    <w:rsid w:val="00A03A73"/>
    <w:rsid w:val="00A03AFE"/>
    <w:rsid w:val="00A03F6E"/>
    <w:rsid w:val="00A0446E"/>
    <w:rsid w:val="00A044A4"/>
    <w:rsid w:val="00A046B4"/>
    <w:rsid w:val="00A047BD"/>
    <w:rsid w:val="00A048B4"/>
    <w:rsid w:val="00A0499D"/>
    <w:rsid w:val="00A049B9"/>
    <w:rsid w:val="00A04B08"/>
    <w:rsid w:val="00A04B1C"/>
    <w:rsid w:val="00A04C12"/>
    <w:rsid w:val="00A04CE4"/>
    <w:rsid w:val="00A04E84"/>
    <w:rsid w:val="00A04F9D"/>
    <w:rsid w:val="00A04FFE"/>
    <w:rsid w:val="00A05001"/>
    <w:rsid w:val="00A054FA"/>
    <w:rsid w:val="00A05531"/>
    <w:rsid w:val="00A05597"/>
    <w:rsid w:val="00A05710"/>
    <w:rsid w:val="00A05747"/>
    <w:rsid w:val="00A058F7"/>
    <w:rsid w:val="00A05929"/>
    <w:rsid w:val="00A059D6"/>
    <w:rsid w:val="00A059EE"/>
    <w:rsid w:val="00A05D6A"/>
    <w:rsid w:val="00A05EE8"/>
    <w:rsid w:val="00A05EF2"/>
    <w:rsid w:val="00A0613B"/>
    <w:rsid w:val="00A062E1"/>
    <w:rsid w:val="00A0636F"/>
    <w:rsid w:val="00A0685A"/>
    <w:rsid w:val="00A0687D"/>
    <w:rsid w:val="00A06977"/>
    <w:rsid w:val="00A06A77"/>
    <w:rsid w:val="00A06AFA"/>
    <w:rsid w:val="00A06D10"/>
    <w:rsid w:val="00A06DC7"/>
    <w:rsid w:val="00A06EF1"/>
    <w:rsid w:val="00A07216"/>
    <w:rsid w:val="00A07EA5"/>
    <w:rsid w:val="00A07EA9"/>
    <w:rsid w:val="00A07EB3"/>
    <w:rsid w:val="00A07F18"/>
    <w:rsid w:val="00A1014E"/>
    <w:rsid w:val="00A101E0"/>
    <w:rsid w:val="00A102A3"/>
    <w:rsid w:val="00A103D5"/>
    <w:rsid w:val="00A104C4"/>
    <w:rsid w:val="00A10955"/>
    <w:rsid w:val="00A109FD"/>
    <w:rsid w:val="00A10D21"/>
    <w:rsid w:val="00A11039"/>
    <w:rsid w:val="00A110B7"/>
    <w:rsid w:val="00A111D8"/>
    <w:rsid w:val="00A11239"/>
    <w:rsid w:val="00A113DE"/>
    <w:rsid w:val="00A114C0"/>
    <w:rsid w:val="00A11DFE"/>
    <w:rsid w:val="00A11E7B"/>
    <w:rsid w:val="00A11EB2"/>
    <w:rsid w:val="00A11F3E"/>
    <w:rsid w:val="00A11FCA"/>
    <w:rsid w:val="00A11FDA"/>
    <w:rsid w:val="00A1201A"/>
    <w:rsid w:val="00A12262"/>
    <w:rsid w:val="00A1254E"/>
    <w:rsid w:val="00A12836"/>
    <w:rsid w:val="00A1290C"/>
    <w:rsid w:val="00A1296A"/>
    <w:rsid w:val="00A12ACB"/>
    <w:rsid w:val="00A12B3D"/>
    <w:rsid w:val="00A12F2A"/>
    <w:rsid w:val="00A12F9F"/>
    <w:rsid w:val="00A1311D"/>
    <w:rsid w:val="00A13215"/>
    <w:rsid w:val="00A13422"/>
    <w:rsid w:val="00A13599"/>
    <w:rsid w:val="00A13675"/>
    <w:rsid w:val="00A137EA"/>
    <w:rsid w:val="00A13ABE"/>
    <w:rsid w:val="00A13AE8"/>
    <w:rsid w:val="00A13AF8"/>
    <w:rsid w:val="00A13B67"/>
    <w:rsid w:val="00A13E59"/>
    <w:rsid w:val="00A14164"/>
    <w:rsid w:val="00A14409"/>
    <w:rsid w:val="00A14584"/>
    <w:rsid w:val="00A14936"/>
    <w:rsid w:val="00A14AD2"/>
    <w:rsid w:val="00A14C1C"/>
    <w:rsid w:val="00A14F0E"/>
    <w:rsid w:val="00A14F64"/>
    <w:rsid w:val="00A14FA0"/>
    <w:rsid w:val="00A1519A"/>
    <w:rsid w:val="00A15320"/>
    <w:rsid w:val="00A153B7"/>
    <w:rsid w:val="00A1540D"/>
    <w:rsid w:val="00A1548B"/>
    <w:rsid w:val="00A15562"/>
    <w:rsid w:val="00A155EF"/>
    <w:rsid w:val="00A15734"/>
    <w:rsid w:val="00A159DA"/>
    <w:rsid w:val="00A15A27"/>
    <w:rsid w:val="00A15B16"/>
    <w:rsid w:val="00A15CF1"/>
    <w:rsid w:val="00A15F83"/>
    <w:rsid w:val="00A162EF"/>
    <w:rsid w:val="00A163B8"/>
    <w:rsid w:val="00A16509"/>
    <w:rsid w:val="00A16586"/>
    <w:rsid w:val="00A16679"/>
    <w:rsid w:val="00A16AAD"/>
    <w:rsid w:val="00A16B98"/>
    <w:rsid w:val="00A1703C"/>
    <w:rsid w:val="00A170B7"/>
    <w:rsid w:val="00A1714E"/>
    <w:rsid w:val="00A17598"/>
    <w:rsid w:val="00A176B1"/>
    <w:rsid w:val="00A1779A"/>
    <w:rsid w:val="00A17844"/>
    <w:rsid w:val="00A17CF4"/>
    <w:rsid w:val="00A17DD3"/>
    <w:rsid w:val="00A17FE7"/>
    <w:rsid w:val="00A2000D"/>
    <w:rsid w:val="00A20103"/>
    <w:rsid w:val="00A2021D"/>
    <w:rsid w:val="00A203A8"/>
    <w:rsid w:val="00A20520"/>
    <w:rsid w:val="00A207C2"/>
    <w:rsid w:val="00A207D4"/>
    <w:rsid w:val="00A208C1"/>
    <w:rsid w:val="00A208F4"/>
    <w:rsid w:val="00A209B9"/>
    <w:rsid w:val="00A209D4"/>
    <w:rsid w:val="00A20A63"/>
    <w:rsid w:val="00A20B09"/>
    <w:rsid w:val="00A20BA9"/>
    <w:rsid w:val="00A20DD9"/>
    <w:rsid w:val="00A20E3C"/>
    <w:rsid w:val="00A20F2B"/>
    <w:rsid w:val="00A21004"/>
    <w:rsid w:val="00A210EE"/>
    <w:rsid w:val="00A2121D"/>
    <w:rsid w:val="00A212D1"/>
    <w:rsid w:val="00A213C0"/>
    <w:rsid w:val="00A21493"/>
    <w:rsid w:val="00A21504"/>
    <w:rsid w:val="00A21998"/>
    <w:rsid w:val="00A21B4C"/>
    <w:rsid w:val="00A21B9E"/>
    <w:rsid w:val="00A21BC7"/>
    <w:rsid w:val="00A21BCF"/>
    <w:rsid w:val="00A21E7D"/>
    <w:rsid w:val="00A22007"/>
    <w:rsid w:val="00A2210D"/>
    <w:rsid w:val="00A2221F"/>
    <w:rsid w:val="00A22438"/>
    <w:rsid w:val="00A225C1"/>
    <w:rsid w:val="00A225EA"/>
    <w:rsid w:val="00A22600"/>
    <w:rsid w:val="00A228C1"/>
    <w:rsid w:val="00A228FC"/>
    <w:rsid w:val="00A22C87"/>
    <w:rsid w:val="00A22CA3"/>
    <w:rsid w:val="00A22E9A"/>
    <w:rsid w:val="00A22ED7"/>
    <w:rsid w:val="00A230FD"/>
    <w:rsid w:val="00A23263"/>
    <w:rsid w:val="00A23288"/>
    <w:rsid w:val="00A23377"/>
    <w:rsid w:val="00A234D6"/>
    <w:rsid w:val="00A235FF"/>
    <w:rsid w:val="00A23609"/>
    <w:rsid w:val="00A23884"/>
    <w:rsid w:val="00A24139"/>
    <w:rsid w:val="00A2451B"/>
    <w:rsid w:val="00A2490A"/>
    <w:rsid w:val="00A249AD"/>
    <w:rsid w:val="00A24AC9"/>
    <w:rsid w:val="00A24FCE"/>
    <w:rsid w:val="00A2533C"/>
    <w:rsid w:val="00A25397"/>
    <w:rsid w:val="00A2551A"/>
    <w:rsid w:val="00A255D1"/>
    <w:rsid w:val="00A255D8"/>
    <w:rsid w:val="00A25654"/>
    <w:rsid w:val="00A256E7"/>
    <w:rsid w:val="00A256F2"/>
    <w:rsid w:val="00A25936"/>
    <w:rsid w:val="00A25C9C"/>
    <w:rsid w:val="00A25E24"/>
    <w:rsid w:val="00A261EC"/>
    <w:rsid w:val="00A263DA"/>
    <w:rsid w:val="00A264BC"/>
    <w:rsid w:val="00A264C7"/>
    <w:rsid w:val="00A265C9"/>
    <w:rsid w:val="00A266A1"/>
    <w:rsid w:val="00A26708"/>
    <w:rsid w:val="00A2680C"/>
    <w:rsid w:val="00A26952"/>
    <w:rsid w:val="00A2699C"/>
    <w:rsid w:val="00A269B7"/>
    <w:rsid w:val="00A26A02"/>
    <w:rsid w:val="00A26AFE"/>
    <w:rsid w:val="00A26F97"/>
    <w:rsid w:val="00A2700C"/>
    <w:rsid w:val="00A27063"/>
    <w:rsid w:val="00A270A7"/>
    <w:rsid w:val="00A270DE"/>
    <w:rsid w:val="00A27256"/>
    <w:rsid w:val="00A27399"/>
    <w:rsid w:val="00A274F5"/>
    <w:rsid w:val="00A2752E"/>
    <w:rsid w:val="00A276EA"/>
    <w:rsid w:val="00A277DF"/>
    <w:rsid w:val="00A27954"/>
    <w:rsid w:val="00A27A1D"/>
    <w:rsid w:val="00A27D6E"/>
    <w:rsid w:val="00A27E98"/>
    <w:rsid w:val="00A27FE2"/>
    <w:rsid w:val="00A3034E"/>
    <w:rsid w:val="00A303C9"/>
    <w:rsid w:val="00A304BC"/>
    <w:rsid w:val="00A309CA"/>
    <w:rsid w:val="00A30D68"/>
    <w:rsid w:val="00A30DA5"/>
    <w:rsid w:val="00A31047"/>
    <w:rsid w:val="00A31253"/>
    <w:rsid w:val="00A316ED"/>
    <w:rsid w:val="00A31765"/>
    <w:rsid w:val="00A31892"/>
    <w:rsid w:val="00A31C99"/>
    <w:rsid w:val="00A31E14"/>
    <w:rsid w:val="00A31F08"/>
    <w:rsid w:val="00A31F2A"/>
    <w:rsid w:val="00A31F6A"/>
    <w:rsid w:val="00A32327"/>
    <w:rsid w:val="00A32399"/>
    <w:rsid w:val="00A32433"/>
    <w:rsid w:val="00A32650"/>
    <w:rsid w:val="00A3268B"/>
    <w:rsid w:val="00A327C0"/>
    <w:rsid w:val="00A327DA"/>
    <w:rsid w:val="00A32806"/>
    <w:rsid w:val="00A32830"/>
    <w:rsid w:val="00A3284B"/>
    <w:rsid w:val="00A3285C"/>
    <w:rsid w:val="00A32974"/>
    <w:rsid w:val="00A32D56"/>
    <w:rsid w:val="00A32F0C"/>
    <w:rsid w:val="00A32F61"/>
    <w:rsid w:val="00A32FCB"/>
    <w:rsid w:val="00A32FF0"/>
    <w:rsid w:val="00A330E6"/>
    <w:rsid w:val="00A3312E"/>
    <w:rsid w:val="00A33366"/>
    <w:rsid w:val="00A33551"/>
    <w:rsid w:val="00A336DC"/>
    <w:rsid w:val="00A3387E"/>
    <w:rsid w:val="00A33C6A"/>
    <w:rsid w:val="00A33DB6"/>
    <w:rsid w:val="00A33DEA"/>
    <w:rsid w:val="00A33EA3"/>
    <w:rsid w:val="00A33EBD"/>
    <w:rsid w:val="00A33EFA"/>
    <w:rsid w:val="00A33F1D"/>
    <w:rsid w:val="00A33FD9"/>
    <w:rsid w:val="00A34057"/>
    <w:rsid w:val="00A3412C"/>
    <w:rsid w:val="00A34134"/>
    <w:rsid w:val="00A34411"/>
    <w:rsid w:val="00A34659"/>
    <w:rsid w:val="00A346F5"/>
    <w:rsid w:val="00A34783"/>
    <w:rsid w:val="00A347F6"/>
    <w:rsid w:val="00A34ABB"/>
    <w:rsid w:val="00A34AF1"/>
    <w:rsid w:val="00A34B20"/>
    <w:rsid w:val="00A34F75"/>
    <w:rsid w:val="00A34F99"/>
    <w:rsid w:val="00A34FE0"/>
    <w:rsid w:val="00A35001"/>
    <w:rsid w:val="00A35618"/>
    <w:rsid w:val="00A358D6"/>
    <w:rsid w:val="00A358E2"/>
    <w:rsid w:val="00A35968"/>
    <w:rsid w:val="00A35A44"/>
    <w:rsid w:val="00A35B9E"/>
    <w:rsid w:val="00A35E07"/>
    <w:rsid w:val="00A36066"/>
    <w:rsid w:val="00A3620D"/>
    <w:rsid w:val="00A363C7"/>
    <w:rsid w:val="00A36499"/>
    <w:rsid w:val="00A364B5"/>
    <w:rsid w:val="00A3659F"/>
    <w:rsid w:val="00A368C6"/>
    <w:rsid w:val="00A36E6A"/>
    <w:rsid w:val="00A36F96"/>
    <w:rsid w:val="00A3715D"/>
    <w:rsid w:val="00A371DA"/>
    <w:rsid w:val="00A372A6"/>
    <w:rsid w:val="00A37408"/>
    <w:rsid w:val="00A3742D"/>
    <w:rsid w:val="00A37562"/>
    <w:rsid w:val="00A3777E"/>
    <w:rsid w:val="00A3782B"/>
    <w:rsid w:val="00A378BF"/>
    <w:rsid w:val="00A3790D"/>
    <w:rsid w:val="00A405B3"/>
    <w:rsid w:val="00A405B5"/>
    <w:rsid w:val="00A4067B"/>
    <w:rsid w:val="00A4086E"/>
    <w:rsid w:val="00A40C9B"/>
    <w:rsid w:val="00A41104"/>
    <w:rsid w:val="00A412CF"/>
    <w:rsid w:val="00A41738"/>
    <w:rsid w:val="00A4193C"/>
    <w:rsid w:val="00A41A00"/>
    <w:rsid w:val="00A41BA3"/>
    <w:rsid w:val="00A41CD7"/>
    <w:rsid w:val="00A41DE3"/>
    <w:rsid w:val="00A41E91"/>
    <w:rsid w:val="00A41F3F"/>
    <w:rsid w:val="00A41F5A"/>
    <w:rsid w:val="00A421B2"/>
    <w:rsid w:val="00A42466"/>
    <w:rsid w:val="00A424EE"/>
    <w:rsid w:val="00A42735"/>
    <w:rsid w:val="00A427AC"/>
    <w:rsid w:val="00A4295A"/>
    <w:rsid w:val="00A429E5"/>
    <w:rsid w:val="00A42B3A"/>
    <w:rsid w:val="00A42D69"/>
    <w:rsid w:val="00A42F96"/>
    <w:rsid w:val="00A43043"/>
    <w:rsid w:val="00A43076"/>
    <w:rsid w:val="00A432D3"/>
    <w:rsid w:val="00A433FB"/>
    <w:rsid w:val="00A43496"/>
    <w:rsid w:val="00A434FD"/>
    <w:rsid w:val="00A43561"/>
    <w:rsid w:val="00A436D7"/>
    <w:rsid w:val="00A43861"/>
    <w:rsid w:val="00A438F6"/>
    <w:rsid w:val="00A439C3"/>
    <w:rsid w:val="00A43BF0"/>
    <w:rsid w:val="00A43DC0"/>
    <w:rsid w:val="00A43EBD"/>
    <w:rsid w:val="00A442DD"/>
    <w:rsid w:val="00A44625"/>
    <w:rsid w:val="00A44A54"/>
    <w:rsid w:val="00A44D46"/>
    <w:rsid w:val="00A44E95"/>
    <w:rsid w:val="00A45027"/>
    <w:rsid w:val="00A45133"/>
    <w:rsid w:val="00A452AB"/>
    <w:rsid w:val="00A4540C"/>
    <w:rsid w:val="00A45469"/>
    <w:rsid w:val="00A4568B"/>
    <w:rsid w:val="00A45693"/>
    <w:rsid w:val="00A456B1"/>
    <w:rsid w:val="00A45749"/>
    <w:rsid w:val="00A458DB"/>
    <w:rsid w:val="00A45990"/>
    <w:rsid w:val="00A45A28"/>
    <w:rsid w:val="00A45B0C"/>
    <w:rsid w:val="00A45B62"/>
    <w:rsid w:val="00A45C93"/>
    <w:rsid w:val="00A45F8E"/>
    <w:rsid w:val="00A461AB"/>
    <w:rsid w:val="00A461B2"/>
    <w:rsid w:val="00A46227"/>
    <w:rsid w:val="00A4646A"/>
    <w:rsid w:val="00A4646B"/>
    <w:rsid w:val="00A466B9"/>
    <w:rsid w:val="00A46751"/>
    <w:rsid w:val="00A46862"/>
    <w:rsid w:val="00A468B2"/>
    <w:rsid w:val="00A46A90"/>
    <w:rsid w:val="00A46AB2"/>
    <w:rsid w:val="00A47350"/>
    <w:rsid w:val="00A473CB"/>
    <w:rsid w:val="00A475DE"/>
    <w:rsid w:val="00A4770E"/>
    <w:rsid w:val="00A47779"/>
    <w:rsid w:val="00A47A11"/>
    <w:rsid w:val="00A47A7A"/>
    <w:rsid w:val="00A47FA8"/>
    <w:rsid w:val="00A5030A"/>
    <w:rsid w:val="00A50957"/>
    <w:rsid w:val="00A50C65"/>
    <w:rsid w:val="00A50DE6"/>
    <w:rsid w:val="00A50EE9"/>
    <w:rsid w:val="00A51380"/>
    <w:rsid w:val="00A51526"/>
    <w:rsid w:val="00A5155D"/>
    <w:rsid w:val="00A51571"/>
    <w:rsid w:val="00A515DF"/>
    <w:rsid w:val="00A515E1"/>
    <w:rsid w:val="00A51604"/>
    <w:rsid w:val="00A516ED"/>
    <w:rsid w:val="00A51713"/>
    <w:rsid w:val="00A517A2"/>
    <w:rsid w:val="00A5186D"/>
    <w:rsid w:val="00A51A51"/>
    <w:rsid w:val="00A51AA6"/>
    <w:rsid w:val="00A51C21"/>
    <w:rsid w:val="00A51C86"/>
    <w:rsid w:val="00A51C99"/>
    <w:rsid w:val="00A51E1E"/>
    <w:rsid w:val="00A51EE4"/>
    <w:rsid w:val="00A52055"/>
    <w:rsid w:val="00A520D5"/>
    <w:rsid w:val="00A520E1"/>
    <w:rsid w:val="00A520EE"/>
    <w:rsid w:val="00A5215B"/>
    <w:rsid w:val="00A522A3"/>
    <w:rsid w:val="00A524FB"/>
    <w:rsid w:val="00A52552"/>
    <w:rsid w:val="00A52669"/>
    <w:rsid w:val="00A526FB"/>
    <w:rsid w:val="00A5279B"/>
    <w:rsid w:val="00A528A2"/>
    <w:rsid w:val="00A529BB"/>
    <w:rsid w:val="00A529C2"/>
    <w:rsid w:val="00A52A82"/>
    <w:rsid w:val="00A52D52"/>
    <w:rsid w:val="00A52E63"/>
    <w:rsid w:val="00A52EDD"/>
    <w:rsid w:val="00A52FC6"/>
    <w:rsid w:val="00A5312F"/>
    <w:rsid w:val="00A531C1"/>
    <w:rsid w:val="00A532E5"/>
    <w:rsid w:val="00A53494"/>
    <w:rsid w:val="00A534F4"/>
    <w:rsid w:val="00A53651"/>
    <w:rsid w:val="00A53664"/>
    <w:rsid w:val="00A53B67"/>
    <w:rsid w:val="00A53BC3"/>
    <w:rsid w:val="00A53BD3"/>
    <w:rsid w:val="00A53CEF"/>
    <w:rsid w:val="00A5419C"/>
    <w:rsid w:val="00A54232"/>
    <w:rsid w:val="00A543EB"/>
    <w:rsid w:val="00A54431"/>
    <w:rsid w:val="00A54440"/>
    <w:rsid w:val="00A5444B"/>
    <w:rsid w:val="00A54467"/>
    <w:rsid w:val="00A5447D"/>
    <w:rsid w:val="00A54628"/>
    <w:rsid w:val="00A54961"/>
    <w:rsid w:val="00A54C57"/>
    <w:rsid w:val="00A54E89"/>
    <w:rsid w:val="00A5501D"/>
    <w:rsid w:val="00A55423"/>
    <w:rsid w:val="00A555DE"/>
    <w:rsid w:val="00A558EF"/>
    <w:rsid w:val="00A55BA9"/>
    <w:rsid w:val="00A55CA2"/>
    <w:rsid w:val="00A55EB0"/>
    <w:rsid w:val="00A55F44"/>
    <w:rsid w:val="00A56241"/>
    <w:rsid w:val="00A5626F"/>
    <w:rsid w:val="00A56288"/>
    <w:rsid w:val="00A56355"/>
    <w:rsid w:val="00A563B3"/>
    <w:rsid w:val="00A563BD"/>
    <w:rsid w:val="00A567D5"/>
    <w:rsid w:val="00A56881"/>
    <w:rsid w:val="00A56905"/>
    <w:rsid w:val="00A56BB0"/>
    <w:rsid w:val="00A56D50"/>
    <w:rsid w:val="00A56FB0"/>
    <w:rsid w:val="00A56FB4"/>
    <w:rsid w:val="00A572AE"/>
    <w:rsid w:val="00A5746E"/>
    <w:rsid w:val="00A574C0"/>
    <w:rsid w:val="00A5760F"/>
    <w:rsid w:val="00A5794E"/>
    <w:rsid w:val="00A57C7C"/>
    <w:rsid w:val="00A57C9C"/>
    <w:rsid w:val="00A57CA4"/>
    <w:rsid w:val="00A57E86"/>
    <w:rsid w:val="00A57F3D"/>
    <w:rsid w:val="00A6035F"/>
    <w:rsid w:val="00A6060F"/>
    <w:rsid w:val="00A6078B"/>
    <w:rsid w:val="00A607E3"/>
    <w:rsid w:val="00A609EC"/>
    <w:rsid w:val="00A60A82"/>
    <w:rsid w:val="00A60E1B"/>
    <w:rsid w:val="00A60E97"/>
    <w:rsid w:val="00A60EB4"/>
    <w:rsid w:val="00A611A4"/>
    <w:rsid w:val="00A611F3"/>
    <w:rsid w:val="00A61440"/>
    <w:rsid w:val="00A614D1"/>
    <w:rsid w:val="00A6153F"/>
    <w:rsid w:val="00A61547"/>
    <w:rsid w:val="00A6173A"/>
    <w:rsid w:val="00A61777"/>
    <w:rsid w:val="00A617A3"/>
    <w:rsid w:val="00A617A8"/>
    <w:rsid w:val="00A618F3"/>
    <w:rsid w:val="00A619F0"/>
    <w:rsid w:val="00A61AA2"/>
    <w:rsid w:val="00A61B67"/>
    <w:rsid w:val="00A61D68"/>
    <w:rsid w:val="00A61EA5"/>
    <w:rsid w:val="00A62109"/>
    <w:rsid w:val="00A6214E"/>
    <w:rsid w:val="00A62798"/>
    <w:rsid w:val="00A627AD"/>
    <w:rsid w:val="00A627D3"/>
    <w:rsid w:val="00A6286B"/>
    <w:rsid w:val="00A6299E"/>
    <w:rsid w:val="00A62ACE"/>
    <w:rsid w:val="00A62B8A"/>
    <w:rsid w:val="00A62BA6"/>
    <w:rsid w:val="00A62CDC"/>
    <w:rsid w:val="00A62D57"/>
    <w:rsid w:val="00A62F6A"/>
    <w:rsid w:val="00A6305D"/>
    <w:rsid w:val="00A63060"/>
    <w:rsid w:val="00A633BF"/>
    <w:rsid w:val="00A633D0"/>
    <w:rsid w:val="00A6373C"/>
    <w:rsid w:val="00A63859"/>
    <w:rsid w:val="00A63B3D"/>
    <w:rsid w:val="00A63CEA"/>
    <w:rsid w:val="00A63CEE"/>
    <w:rsid w:val="00A63E5A"/>
    <w:rsid w:val="00A63E90"/>
    <w:rsid w:val="00A64062"/>
    <w:rsid w:val="00A64345"/>
    <w:rsid w:val="00A6465F"/>
    <w:rsid w:val="00A64A6B"/>
    <w:rsid w:val="00A64B75"/>
    <w:rsid w:val="00A6508F"/>
    <w:rsid w:val="00A650B8"/>
    <w:rsid w:val="00A6515C"/>
    <w:rsid w:val="00A65202"/>
    <w:rsid w:val="00A656D3"/>
    <w:rsid w:val="00A65A6E"/>
    <w:rsid w:val="00A65ACC"/>
    <w:rsid w:val="00A65BAB"/>
    <w:rsid w:val="00A660BE"/>
    <w:rsid w:val="00A661D7"/>
    <w:rsid w:val="00A6646B"/>
    <w:rsid w:val="00A664A0"/>
    <w:rsid w:val="00A66572"/>
    <w:rsid w:val="00A6667A"/>
    <w:rsid w:val="00A666EE"/>
    <w:rsid w:val="00A66778"/>
    <w:rsid w:val="00A66BC8"/>
    <w:rsid w:val="00A66F29"/>
    <w:rsid w:val="00A66F3D"/>
    <w:rsid w:val="00A6713A"/>
    <w:rsid w:val="00A671BB"/>
    <w:rsid w:val="00A677CD"/>
    <w:rsid w:val="00A677F7"/>
    <w:rsid w:val="00A679DA"/>
    <w:rsid w:val="00A67A22"/>
    <w:rsid w:val="00A67DD8"/>
    <w:rsid w:val="00A70078"/>
    <w:rsid w:val="00A7013B"/>
    <w:rsid w:val="00A702E6"/>
    <w:rsid w:val="00A70305"/>
    <w:rsid w:val="00A70324"/>
    <w:rsid w:val="00A7042A"/>
    <w:rsid w:val="00A7043D"/>
    <w:rsid w:val="00A7059A"/>
    <w:rsid w:val="00A70884"/>
    <w:rsid w:val="00A70C03"/>
    <w:rsid w:val="00A70D85"/>
    <w:rsid w:val="00A70DE3"/>
    <w:rsid w:val="00A70FF1"/>
    <w:rsid w:val="00A71174"/>
    <w:rsid w:val="00A712D4"/>
    <w:rsid w:val="00A713E9"/>
    <w:rsid w:val="00A71457"/>
    <w:rsid w:val="00A717E4"/>
    <w:rsid w:val="00A71859"/>
    <w:rsid w:val="00A71A60"/>
    <w:rsid w:val="00A71EE7"/>
    <w:rsid w:val="00A72385"/>
    <w:rsid w:val="00A72391"/>
    <w:rsid w:val="00A724AE"/>
    <w:rsid w:val="00A7262E"/>
    <w:rsid w:val="00A7263E"/>
    <w:rsid w:val="00A726E0"/>
    <w:rsid w:val="00A7270E"/>
    <w:rsid w:val="00A72745"/>
    <w:rsid w:val="00A7275B"/>
    <w:rsid w:val="00A728B5"/>
    <w:rsid w:val="00A729A0"/>
    <w:rsid w:val="00A72AC3"/>
    <w:rsid w:val="00A72C90"/>
    <w:rsid w:val="00A72D40"/>
    <w:rsid w:val="00A72DFC"/>
    <w:rsid w:val="00A73127"/>
    <w:rsid w:val="00A73255"/>
    <w:rsid w:val="00A734AF"/>
    <w:rsid w:val="00A734BE"/>
    <w:rsid w:val="00A73652"/>
    <w:rsid w:val="00A73A0C"/>
    <w:rsid w:val="00A73AB3"/>
    <w:rsid w:val="00A73B3E"/>
    <w:rsid w:val="00A73D29"/>
    <w:rsid w:val="00A73D72"/>
    <w:rsid w:val="00A7416A"/>
    <w:rsid w:val="00A7458E"/>
    <w:rsid w:val="00A745BE"/>
    <w:rsid w:val="00A7464B"/>
    <w:rsid w:val="00A74821"/>
    <w:rsid w:val="00A748FA"/>
    <w:rsid w:val="00A749C4"/>
    <w:rsid w:val="00A74A6A"/>
    <w:rsid w:val="00A74AF9"/>
    <w:rsid w:val="00A74EF5"/>
    <w:rsid w:val="00A75026"/>
    <w:rsid w:val="00A75061"/>
    <w:rsid w:val="00A754E8"/>
    <w:rsid w:val="00A75553"/>
    <w:rsid w:val="00A75602"/>
    <w:rsid w:val="00A75709"/>
    <w:rsid w:val="00A758BD"/>
    <w:rsid w:val="00A75A50"/>
    <w:rsid w:val="00A75ADE"/>
    <w:rsid w:val="00A75D4E"/>
    <w:rsid w:val="00A75D6B"/>
    <w:rsid w:val="00A75DA6"/>
    <w:rsid w:val="00A75DB6"/>
    <w:rsid w:val="00A76078"/>
    <w:rsid w:val="00A760D5"/>
    <w:rsid w:val="00A765E9"/>
    <w:rsid w:val="00A767A5"/>
    <w:rsid w:val="00A7680C"/>
    <w:rsid w:val="00A7697C"/>
    <w:rsid w:val="00A76C23"/>
    <w:rsid w:val="00A76D3D"/>
    <w:rsid w:val="00A76ED0"/>
    <w:rsid w:val="00A76F29"/>
    <w:rsid w:val="00A76F9D"/>
    <w:rsid w:val="00A772A8"/>
    <w:rsid w:val="00A77445"/>
    <w:rsid w:val="00A774F1"/>
    <w:rsid w:val="00A7779B"/>
    <w:rsid w:val="00A7784F"/>
    <w:rsid w:val="00A7787E"/>
    <w:rsid w:val="00A778A5"/>
    <w:rsid w:val="00A77ADB"/>
    <w:rsid w:val="00A77CED"/>
    <w:rsid w:val="00A77E9C"/>
    <w:rsid w:val="00A77EE9"/>
    <w:rsid w:val="00A80304"/>
    <w:rsid w:val="00A80360"/>
    <w:rsid w:val="00A80655"/>
    <w:rsid w:val="00A807B9"/>
    <w:rsid w:val="00A80847"/>
    <w:rsid w:val="00A80973"/>
    <w:rsid w:val="00A80A5A"/>
    <w:rsid w:val="00A80D8C"/>
    <w:rsid w:val="00A80DDA"/>
    <w:rsid w:val="00A80F15"/>
    <w:rsid w:val="00A80FA7"/>
    <w:rsid w:val="00A81093"/>
    <w:rsid w:val="00A810E7"/>
    <w:rsid w:val="00A81268"/>
    <w:rsid w:val="00A812DD"/>
    <w:rsid w:val="00A8133D"/>
    <w:rsid w:val="00A813DA"/>
    <w:rsid w:val="00A81401"/>
    <w:rsid w:val="00A814B3"/>
    <w:rsid w:val="00A8167E"/>
    <w:rsid w:val="00A817AF"/>
    <w:rsid w:val="00A81999"/>
    <w:rsid w:val="00A81D0F"/>
    <w:rsid w:val="00A81E82"/>
    <w:rsid w:val="00A81F15"/>
    <w:rsid w:val="00A82047"/>
    <w:rsid w:val="00A82131"/>
    <w:rsid w:val="00A82407"/>
    <w:rsid w:val="00A82432"/>
    <w:rsid w:val="00A82549"/>
    <w:rsid w:val="00A825E7"/>
    <w:rsid w:val="00A825FF"/>
    <w:rsid w:val="00A82C83"/>
    <w:rsid w:val="00A82F15"/>
    <w:rsid w:val="00A82FE2"/>
    <w:rsid w:val="00A83000"/>
    <w:rsid w:val="00A83084"/>
    <w:rsid w:val="00A8316F"/>
    <w:rsid w:val="00A83202"/>
    <w:rsid w:val="00A83410"/>
    <w:rsid w:val="00A83602"/>
    <w:rsid w:val="00A8366C"/>
    <w:rsid w:val="00A83B5E"/>
    <w:rsid w:val="00A83B70"/>
    <w:rsid w:val="00A83C8A"/>
    <w:rsid w:val="00A83CB9"/>
    <w:rsid w:val="00A83D4A"/>
    <w:rsid w:val="00A83EAE"/>
    <w:rsid w:val="00A84126"/>
    <w:rsid w:val="00A84232"/>
    <w:rsid w:val="00A84427"/>
    <w:rsid w:val="00A8445D"/>
    <w:rsid w:val="00A84787"/>
    <w:rsid w:val="00A84790"/>
    <w:rsid w:val="00A8496A"/>
    <w:rsid w:val="00A849F9"/>
    <w:rsid w:val="00A84AE4"/>
    <w:rsid w:val="00A84C9E"/>
    <w:rsid w:val="00A84E43"/>
    <w:rsid w:val="00A850CE"/>
    <w:rsid w:val="00A85303"/>
    <w:rsid w:val="00A85319"/>
    <w:rsid w:val="00A85330"/>
    <w:rsid w:val="00A854FA"/>
    <w:rsid w:val="00A85BBA"/>
    <w:rsid w:val="00A85BFB"/>
    <w:rsid w:val="00A85C97"/>
    <w:rsid w:val="00A85E26"/>
    <w:rsid w:val="00A85F2B"/>
    <w:rsid w:val="00A85FA6"/>
    <w:rsid w:val="00A85FB5"/>
    <w:rsid w:val="00A86035"/>
    <w:rsid w:val="00A86511"/>
    <w:rsid w:val="00A86792"/>
    <w:rsid w:val="00A867A7"/>
    <w:rsid w:val="00A8696E"/>
    <w:rsid w:val="00A86A0D"/>
    <w:rsid w:val="00A86A0E"/>
    <w:rsid w:val="00A86BD0"/>
    <w:rsid w:val="00A86D0B"/>
    <w:rsid w:val="00A86D49"/>
    <w:rsid w:val="00A86F3F"/>
    <w:rsid w:val="00A8709C"/>
    <w:rsid w:val="00A87148"/>
    <w:rsid w:val="00A871A8"/>
    <w:rsid w:val="00A876BC"/>
    <w:rsid w:val="00A877E3"/>
    <w:rsid w:val="00A87895"/>
    <w:rsid w:val="00A87BAA"/>
    <w:rsid w:val="00A87DB5"/>
    <w:rsid w:val="00A9005E"/>
    <w:rsid w:val="00A901E2"/>
    <w:rsid w:val="00A901EF"/>
    <w:rsid w:val="00A90430"/>
    <w:rsid w:val="00A90611"/>
    <w:rsid w:val="00A906BD"/>
    <w:rsid w:val="00A906C9"/>
    <w:rsid w:val="00A90838"/>
    <w:rsid w:val="00A90EB8"/>
    <w:rsid w:val="00A91017"/>
    <w:rsid w:val="00A912D2"/>
    <w:rsid w:val="00A91410"/>
    <w:rsid w:val="00A91438"/>
    <w:rsid w:val="00A9154C"/>
    <w:rsid w:val="00A9154E"/>
    <w:rsid w:val="00A91591"/>
    <w:rsid w:val="00A915C2"/>
    <w:rsid w:val="00A918AE"/>
    <w:rsid w:val="00A918C0"/>
    <w:rsid w:val="00A918C7"/>
    <w:rsid w:val="00A91904"/>
    <w:rsid w:val="00A919F3"/>
    <w:rsid w:val="00A91A1B"/>
    <w:rsid w:val="00A91A91"/>
    <w:rsid w:val="00A91BA9"/>
    <w:rsid w:val="00A91BE6"/>
    <w:rsid w:val="00A91CD7"/>
    <w:rsid w:val="00A91DAF"/>
    <w:rsid w:val="00A91E55"/>
    <w:rsid w:val="00A91E76"/>
    <w:rsid w:val="00A91E8D"/>
    <w:rsid w:val="00A91F37"/>
    <w:rsid w:val="00A920C1"/>
    <w:rsid w:val="00A92237"/>
    <w:rsid w:val="00A9238D"/>
    <w:rsid w:val="00A924BF"/>
    <w:rsid w:val="00A92874"/>
    <w:rsid w:val="00A92973"/>
    <w:rsid w:val="00A92A81"/>
    <w:rsid w:val="00A92FAD"/>
    <w:rsid w:val="00A9302E"/>
    <w:rsid w:val="00A93054"/>
    <w:rsid w:val="00A933A4"/>
    <w:rsid w:val="00A93481"/>
    <w:rsid w:val="00A934D1"/>
    <w:rsid w:val="00A93699"/>
    <w:rsid w:val="00A936EA"/>
    <w:rsid w:val="00A93766"/>
    <w:rsid w:val="00A93C03"/>
    <w:rsid w:val="00A93C28"/>
    <w:rsid w:val="00A93DA6"/>
    <w:rsid w:val="00A93F25"/>
    <w:rsid w:val="00A93F33"/>
    <w:rsid w:val="00A9438C"/>
    <w:rsid w:val="00A944EC"/>
    <w:rsid w:val="00A9455F"/>
    <w:rsid w:val="00A945ED"/>
    <w:rsid w:val="00A9463D"/>
    <w:rsid w:val="00A94696"/>
    <w:rsid w:val="00A94714"/>
    <w:rsid w:val="00A948E0"/>
    <w:rsid w:val="00A949F8"/>
    <w:rsid w:val="00A94C73"/>
    <w:rsid w:val="00A94CA6"/>
    <w:rsid w:val="00A94E01"/>
    <w:rsid w:val="00A951C5"/>
    <w:rsid w:val="00A952A1"/>
    <w:rsid w:val="00A95319"/>
    <w:rsid w:val="00A953BE"/>
    <w:rsid w:val="00A9543E"/>
    <w:rsid w:val="00A95532"/>
    <w:rsid w:val="00A95580"/>
    <w:rsid w:val="00A958EE"/>
    <w:rsid w:val="00A958FC"/>
    <w:rsid w:val="00A95A96"/>
    <w:rsid w:val="00A95DFC"/>
    <w:rsid w:val="00A95FE4"/>
    <w:rsid w:val="00A960CE"/>
    <w:rsid w:val="00A961CD"/>
    <w:rsid w:val="00A961E9"/>
    <w:rsid w:val="00A96268"/>
    <w:rsid w:val="00A962A9"/>
    <w:rsid w:val="00A96365"/>
    <w:rsid w:val="00A96526"/>
    <w:rsid w:val="00A966F9"/>
    <w:rsid w:val="00A9696D"/>
    <w:rsid w:val="00A969F2"/>
    <w:rsid w:val="00A96BD0"/>
    <w:rsid w:val="00A96C3B"/>
    <w:rsid w:val="00A96C68"/>
    <w:rsid w:val="00A96E90"/>
    <w:rsid w:val="00A97099"/>
    <w:rsid w:val="00A97592"/>
    <w:rsid w:val="00A9760C"/>
    <w:rsid w:val="00A977F4"/>
    <w:rsid w:val="00A97AD8"/>
    <w:rsid w:val="00A97BD2"/>
    <w:rsid w:val="00A97D16"/>
    <w:rsid w:val="00A97E71"/>
    <w:rsid w:val="00A97EC9"/>
    <w:rsid w:val="00A97EF5"/>
    <w:rsid w:val="00AA00A5"/>
    <w:rsid w:val="00AA010C"/>
    <w:rsid w:val="00AA03D1"/>
    <w:rsid w:val="00AA04B5"/>
    <w:rsid w:val="00AA05BA"/>
    <w:rsid w:val="00AA06BD"/>
    <w:rsid w:val="00AA06E5"/>
    <w:rsid w:val="00AA06EB"/>
    <w:rsid w:val="00AA09BE"/>
    <w:rsid w:val="00AA0CFD"/>
    <w:rsid w:val="00AA0E11"/>
    <w:rsid w:val="00AA0E86"/>
    <w:rsid w:val="00AA0E89"/>
    <w:rsid w:val="00AA10EA"/>
    <w:rsid w:val="00AA123F"/>
    <w:rsid w:val="00AA125B"/>
    <w:rsid w:val="00AA165D"/>
    <w:rsid w:val="00AA166A"/>
    <w:rsid w:val="00AA17DB"/>
    <w:rsid w:val="00AA18B0"/>
    <w:rsid w:val="00AA1BAD"/>
    <w:rsid w:val="00AA1EF7"/>
    <w:rsid w:val="00AA1F78"/>
    <w:rsid w:val="00AA1FC0"/>
    <w:rsid w:val="00AA1FD4"/>
    <w:rsid w:val="00AA21ED"/>
    <w:rsid w:val="00AA2237"/>
    <w:rsid w:val="00AA238E"/>
    <w:rsid w:val="00AA26E5"/>
    <w:rsid w:val="00AA2836"/>
    <w:rsid w:val="00AA2967"/>
    <w:rsid w:val="00AA29D4"/>
    <w:rsid w:val="00AA2A01"/>
    <w:rsid w:val="00AA2AE8"/>
    <w:rsid w:val="00AA2C78"/>
    <w:rsid w:val="00AA2D04"/>
    <w:rsid w:val="00AA2E33"/>
    <w:rsid w:val="00AA2F82"/>
    <w:rsid w:val="00AA3142"/>
    <w:rsid w:val="00AA3267"/>
    <w:rsid w:val="00AA3327"/>
    <w:rsid w:val="00AA34DF"/>
    <w:rsid w:val="00AA369E"/>
    <w:rsid w:val="00AA373E"/>
    <w:rsid w:val="00AA3EDD"/>
    <w:rsid w:val="00AA3F6C"/>
    <w:rsid w:val="00AA3FA4"/>
    <w:rsid w:val="00AA42D9"/>
    <w:rsid w:val="00AA46A6"/>
    <w:rsid w:val="00AA4703"/>
    <w:rsid w:val="00AA4A2C"/>
    <w:rsid w:val="00AA4A71"/>
    <w:rsid w:val="00AA4AAC"/>
    <w:rsid w:val="00AA4AFA"/>
    <w:rsid w:val="00AA4B02"/>
    <w:rsid w:val="00AA4B06"/>
    <w:rsid w:val="00AA4BF0"/>
    <w:rsid w:val="00AA4C12"/>
    <w:rsid w:val="00AA4C48"/>
    <w:rsid w:val="00AA4D24"/>
    <w:rsid w:val="00AA5080"/>
    <w:rsid w:val="00AA5189"/>
    <w:rsid w:val="00AA5284"/>
    <w:rsid w:val="00AA5366"/>
    <w:rsid w:val="00AA594B"/>
    <w:rsid w:val="00AA596E"/>
    <w:rsid w:val="00AA59F4"/>
    <w:rsid w:val="00AA5AF9"/>
    <w:rsid w:val="00AA5CCD"/>
    <w:rsid w:val="00AA5E37"/>
    <w:rsid w:val="00AA6327"/>
    <w:rsid w:val="00AA649B"/>
    <w:rsid w:val="00AA6926"/>
    <w:rsid w:val="00AA7038"/>
    <w:rsid w:val="00AA7055"/>
    <w:rsid w:val="00AA7208"/>
    <w:rsid w:val="00AA73A0"/>
    <w:rsid w:val="00AA73B2"/>
    <w:rsid w:val="00AA75C8"/>
    <w:rsid w:val="00AA774E"/>
    <w:rsid w:val="00AA7808"/>
    <w:rsid w:val="00AA78F6"/>
    <w:rsid w:val="00AA7983"/>
    <w:rsid w:val="00AB0017"/>
    <w:rsid w:val="00AB03DB"/>
    <w:rsid w:val="00AB08D5"/>
    <w:rsid w:val="00AB0A99"/>
    <w:rsid w:val="00AB0B97"/>
    <w:rsid w:val="00AB0D71"/>
    <w:rsid w:val="00AB0EB6"/>
    <w:rsid w:val="00AB0EE4"/>
    <w:rsid w:val="00AB1032"/>
    <w:rsid w:val="00AB1070"/>
    <w:rsid w:val="00AB10BD"/>
    <w:rsid w:val="00AB1245"/>
    <w:rsid w:val="00AB12A3"/>
    <w:rsid w:val="00AB1391"/>
    <w:rsid w:val="00AB13B3"/>
    <w:rsid w:val="00AB13DA"/>
    <w:rsid w:val="00AB140B"/>
    <w:rsid w:val="00AB1460"/>
    <w:rsid w:val="00AB15F1"/>
    <w:rsid w:val="00AB1604"/>
    <w:rsid w:val="00AB1978"/>
    <w:rsid w:val="00AB1C4D"/>
    <w:rsid w:val="00AB1D98"/>
    <w:rsid w:val="00AB1E11"/>
    <w:rsid w:val="00AB207B"/>
    <w:rsid w:val="00AB25AB"/>
    <w:rsid w:val="00AB2A01"/>
    <w:rsid w:val="00AB2D4C"/>
    <w:rsid w:val="00AB2D50"/>
    <w:rsid w:val="00AB2D9E"/>
    <w:rsid w:val="00AB2F53"/>
    <w:rsid w:val="00AB2F5A"/>
    <w:rsid w:val="00AB33E0"/>
    <w:rsid w:val="00AB3573"/>
    <w:rsid w:val="00AB35FB"/>
    <w:rsid w:val="00AB3957"/>
    <w:rsid w:val="00AB399F"/>
    <w:rsid w:val="00AB39F2"/>
    <w:rsid w:val="00AB3C36"/>
    <w:rsid w:val="00AB3DD3"/>
    <w:rsid w:val="00AB3E08"/>
    <w:rsid w:val="00AB3F7E"/>
    <w:rsid w:val="00AB400D"/>
    <w:rsid w:val="00AB4076"/>
    <w:rsid w:val="00AB4273"/>
    <w:rsid w:val="00AB42F2"/>
    <w:rsid w:val="00AB4536"/>
    <w:rsid w:val="00AB46C0"/>
    <w:rsid w:val="00AB47D6"/>
    <w:rsid w:val="00AB4846"/>
    <w:rsid w:val="00AB488E"/>
    <w:rsid w:val="00AB48B4"/>
    <w:rsid w:val="00AB4BBA"/>
    <w:rsid w:val="00AB4C4E"/>
    <w:rsid w:val="00AB4DBA"/>
    <w:rsid w:val="00AB4DE7"/>
    <w:rsid w:val="00AB4E91"/>
    <w:rsid w:val="00AB4EC4"/>
    <w:rsid w:val="00AB4ED5"/>
    <w:rsid w:val="00AB4F5E"/>
    <w:rsid w:val="00AB5001"/>
    <w:rsid w:val="00AB50A7"/>
    <w:rsid w:val="00AB51F8"/>
    <w:rsid w:val="00AB53C9"/>
    <w:rsid w:val="00AB542B"/>
    <w:rsid w:val="00AB5823"/>
    <w:rsid w:val="00AB58BA"/>
    <w:rsid w:val="00AB5A29"/>
    <w:rsid w:val="00AB5A98"/>
    <w:rsid w:val="00AB5BD9"/>
    <w:rsid w:val="00AB5DEA"/>
    <w:rsid w:val="00AB6386"/>
    <w:rsid w:val="00AB63D0"/>
    <w:rsid w:val="00AB64DB"/>
    <w:rsid w:val="00AB6527"/>
    <w:rsid w:val="00AB6564"/>
    <w:rsid w:val="00AB65D2"/>
    <w:rsid w:val="00AB6642"/>
    <w:rsid w:val="00AB6689"/>
    <w:rsid w:val="00AB6819"/>
    <w:rsid w:val="00AB6A59"/>
    <w:rsid w:val="00AB6ADB"/>
    <w:rsid w:val="00AB6CD3"/>
    <w:rsid w:val="00AB6D3D"/>
    <w:rsid w:val="00AB6D57"/>
    <w:rsid w:val="00AB6E65"/>
    <w:rsid w:val="00AB6E68"/>
    <w:rsid w:val="00AB6EB3"/>
    <w:rsid w:val="00AB6F2A"/>
    <w:rsid w:val="00AB6F5B"/>
    <w:rsid w:val="00AB71D6"/>
    <w:rsid w:val="00AB728D"/>
    <w:rsid w:val="00AB73C3"/>
    <w:rsid w:val="00AB7414"/>
    <w:rsid w:val="00AB7C75"/>
    <w:rsid w:val="00AB7C91"/>
    <w:rsid w:val="00AB7D3F"/>
    <w:rsid w:val="00AB7E0D"/>
    <w:rsid w:val="00AB7F80"/>
    <w:rsid w:val="00AC0100"/>
    <w:rsid w:val="00AC014F"/>
    <w:rsid w:val="00AC02FF"/>
    <w:rsid w:val="00AC045A"/>
    <w:rsid w:val="00AC0528"/>
    <w:rsid w:val="00AC06A6"/>
    <w:rsid w:val="00AC0A26"/>
    <w:rsid w:val="00AC0D71"/>
    <w:rsid w:val="00AC12DF"/>
    <w:rsid w:val="00AC13BC"/>
    <w:rsid w:val="00AC1629"/>
    <w:rsid w:val="00AC1A74"/>
    <w:rsid w:val="00AC1C6D"/>
    <w:rsid w:val="00AC1DE4"/>
    <w:rsid w:val="00AC1E0B"/>
    <w:rsid w:val="00AC1F40"/>
    <w:rsid w:val="00AC1F7C"/>
    <w:rsid w:val="00AC2342"/>
    <w:rsid w:val="00AC2393"/>
    <w:rsid w:val="00AC247A"/>
    <w:rsid w:val="00AC24D6"/>
    <w:rsid w:val="00AC2879"/>
    <w:rsid w:val="00AC28CC"/>
    <w:rsid w:val="00AC2928"/>
    <w:rsid w:val="00AC2940"/>
    <w:rsid w:val="00AC2B42"/>
    <w:rsid w:val="00AC2D2F"/>
    <w:rsid w:val="00AC2D31"/>
    <w:rsid w:val="00AC2D35"/>
    <w:rsid w:val="00AC2FFA"/>
    <w:rsid w:val="00AC3115"/>
    <w:rsid w:val="00AC316B"/>
    <w:rsid w:val="00AC32CB"/>
    <w:rsid w:val="00AC3335"/>
    <w:rsid w:val="00AC35D6"/>
    <w:rsid w:val="00AC361C"/>
    <w:rsid w:val="00AC365A"/>
    <w:rsid w:val="00AC3886"/>
    <w:rsid w:val="00AC38B4"/>
    <w:rsid w:val="00AC3AE5"/>
    <w:rsid w:val="00AC4023"/>
    <w:rsid w:val="00AC4232"/>
    <w:rsid w:val="00AC431C"/>
    <w:rsid w:val="00AC435B"/>
    <w:rsid w:val="00AC44CE"/>
    <w:rsid w:val="00AC4760"/>
    <w:rsid w:val="00AC4939"/>
    <w:rsid w:val="00AC4C2D"/>
    <w:rsid w:val="00AC4D7E"/>
    <w:rsid w:val="00AC4E27"/>
    <w:rsid w:val="00AC4E30"/>
    <w:rsid w:val="00AC4EEC"/>
    <w:rsid w:val="00AC4FBA"/>
    <w:rsid w:val="00AC508B"/>
    <w:rsid w:val="00AC520E"/>
    <w:rsid w:val="00AC5377"/>
    <w:rsid w:val="00AC54D0"/>
    <w:rsid w:val="00AC55A7"/>
    <w:rsid w:val="00AC5692"/>
    <w:rsid w:val="00AC579D"/>
    <w:rsid w:val="00AC57A4"/>
    <w:rsid w:val="00AC57A5"/>
    <w:rsid w:val="00AC57E3"/>
    <w:rsid w:val="00AC5AC5"/>
    <w:rsid w:val="00AC5BE9"/>
    <w:rsid w:val="00AC5D21"/>
    <w:rsid w:val="00AC5DD7"/>
    <w:rsid w:val="00AC60B4"/>
    <w:rsid w:val="00AC63BC"/>
    <w:rsid w:val="00AC63C3"/>
    <w:rsid w:val="00AC64A5"/>
    <w:rsid w:val="00AC652F"/>
    <w:rsid w:val="00AC6626"/>
    <w:rsid w:val="00AC6AB8"/>
    <w:rsid w:val="00AC6C70"/>
    <w:rsid w:val="00AC6CCE"/>
    <w:rsid w:val="00AC6E54"/>
    <w:rsid w:val="00AC6EB4"/>
    <w:rsid w:val="00AC7060"/>
    <w:rsid w:val="00AC7138"/>
    <w:rsid w:val="00AC7155"/>
    <w:rsid w:val="00AC71BD"/>
    <w:rsid w:val="00AC72C1"/>
    <w:rsid w:val="00AC7506"/>
    <w:rsid w:val="00AC759E"/>
    <w:rsid w:val="00AC77E5"/>
    <w:rsid w:val="00AC7839"/>
    <w:rsid w:val="00AC7851"/>
    <w:rsid w:val="00AC790D"/>
    <w:rsid w:val="00AC7989"/>
    <w:rsid w:val="00AC79C8"/>
    <w:rsid w:val="00AC7BD8"/>
    <w:rsid w:val="00AC7CDB"/>
    <w:rsid w:val="00AC7E79"/>
    <w:rsid w:val="00AC7F11"/>
    <w:rsid w:val="00AD0130"/>
    <w:rsid w:val="00AD0195"/>
    <w:rsid w:val="00AD0196"/>
    <w:rsid w:val="00AD01CC"/>
    <w:rsid w:val="00AD0236"/>
    <w:rsid w:val="00AD0339"/>
    <w:rsid w:val="00AD062F"/>
    <w:rsid w:val="00AD096A"/>
    <w:rsid w:val="00AD0A0A"/>
    <w:rsid w:val="00AD0AB4"/>
    <w:rsid w:val="00AD0C63"/>
    <w:rsid w:val="00AD0E41"/>
    <w:rsid w:val="00AD0F29"/>
    <w:rsid w:val="00AD0FF6"/>
    <w:rsid w:val="00AD1213"/>
    <w:rsid w:val="00AD1231"/>
    <w:rsid w:val="00AD14AB"/>
    <w:rsid w:val="00AD16E0"/>
    <w:rsid w:val="00AD1723"/>
    <w:rsid w:val="00AD17C9"/>
    <w:rsid w:val="00AD17CE"/>
    <w:rsid w:val="00AD1927"/>
    <w:rsid w:val="00AD19F6"/>
    <w:rsid w:val="00AD1B3B"/>
    <w:rsid w:val="00AD1B75"/>
    <w:rsid w:val="00AD1B9C"/>
    <w:rsid w:val="00AD1E9B"/>
    <w:rsid w:val="00AD1FC7"/>
    <w:rsid w:val="00AD22B3"/>
    <w:rsid w:val="00AD22EB"/>
    <w:rsid w:val="00AD2395"/>
    <w:rsid w:val="00AD24DF"/>
    <w:rsid w:val="00AD2518"/>
    <w:rsid w:val="00AD25C9"/>
    <w:rsid w:val="00AD25F0"/>
    <w:rsid w:val="00AD291B"/>
    <w:rsid w:val="00AD2C20"/>
    <w:rsid w:val="00AD2C4F"/>
    <w:rsid w:val="00AD2C77"/>
    <w:rsid w:val="00AD2D81"/>
    <w:rsid w:val="00AD2EC3"/>
    <w:rsid w:val="00AD2EE8"/>
    <w:rsid w:val="00AD2FB2"/>
    <w:rsid w:val="00AD3053"/>
    <w:rsid w:val="00AD3116"/>
    <w:rsid w:val="00AD3390"/>
    <w:rsid w:val="00AD3444"/>
    <w:rsid w:val="00AD380F"/>
    <w:rsid w:val="00AD3AFF"/>
    <w:rsid w:val="00AD3F00"/>
    <w:rsid w:val="00AD413E"/>
    <w:rsid w:val="00AD41AA"/>
    <w:rsid w:val="00AD4398"/>
    <w:rsid w:val="00AD4576"/>
    <w:rsid w:val="00AD4712"/>
    <w:rsid w:val="00AD485E"/>
    <w:rsid w:val="00AD492A"/>
    <w:rsid w:val="00AD4AB1"/>
    <w:rsid w:val="00AD4C16"/>
    <w:rsid w:val="00AD4C71"/>
    <w:rsid w:val="00AD4E0D"/>
    <w:rsid w:val="00AD4F00"/>
    <w:rsid w:val="00AD5387"/>
    <w:rsid w:val="00AD53BA"/>
    <w:rsid w:val="00AD53C1"/>
    <w:rsid w:val="00AD58B6"/>
    <w:rsid w:val="00AD5975"/>
    <w:rsid w:val="00AD59E3"/>
    <w:rsid w:val="00AD5B97"/>
    <w:rsid w:val="00AD5DC3"/>
    <w:rsid w:val="00AD5E43"/>
    <w:rsid w:val="00AD6119"/>
    <w:rsid w:val="00AD619D"/>
    <w:rsid w:val="00AD63DB"/>
    <w:rsid w:val="00AD6422"/>
    <w:rsid w:val="00AD6465"/>
    <w:rsid w:val="00AD64B6"/>
    <w:rsid w:val="00AD6555"/>
    <w:rsid w:val="00AD6632"/>
    <w:rsid w:val="00AD6761"/>
    <w:rsid w:val="00AD6798"/>
    <w:rsid w:val="00AD68AB"/>
    <w:rsid w:val="00AD690B"/>
    <w:rsid w:val="00AD6CC7"/>
    <w:rsid w:val="00AD6DF3"/>
    <w:rsid w:val="00AD6E0B"/>
    <w:rsid w:val="00AD6E22"/>
    <w:rsid w:val="00AD6F4E"/>
    <w:rsid w:val="00AD708F"/>
    <w:rsid w:val="00AD71B6"/>
    <w:rsid w:val="00AD71CE"/>
    <w:rsid w:val="00AD7596"/>
    <w:rsid w:val="00AD7737"/>
    <w:rsid w:val="00AD79CC"/>
    <w:rsid w:val="00AD7BC6"/>
    <w:rsid w:val="00AD7D26"/>
    <w:rsid w:val="00AE010E"/>
    <w:rsid w:val="00AE0147"/>
    <w:rsid w:val="00AE01CF"/>
    <w:rsid w:val="00AE020E"/>
    <w:rsid w:val="00AE02AC"/>
    <w:rsid w:val="00AE0383"/>
    <w:rsid w:val="00AE041A"/>
    <w:rsid w:val="00AE051F"/>
    <w:rsid w:val="00AE0653"/>
    <w:rsid w:val="00AE07EF"/>
    <w:rsid w:val="00AE0807"/>
    <w:rsid w:val="00AE09D4"/>
    <w:rsid w:val="00AE0A1D"/>
    <w:rsid w:val="00AE0BC7"/>
    <w:rsid w:val="00AE0C4F"/>
    <w:rsid w:val="00AE0CCF"/>
    <w:rsid w:val="00AE0E66"/>
    <w:rsid w:val="00AE0F50"/>
    <w:rsid w:val="00AE1099"/>
    <w:rsid w:val="00AE1177"/>
    <w:rsid w:val="00AE135E"/>
    <w:rsid w:val="00AE154D"/>
    <w:rsid w:val="00AE1597"/>
    <w:rsid w:val="00AE1748"/>
    <w:rsid w:val="00AE174A"/>
    <w:rsid w:val="00AE1840"/>
    <w:rsid w:val="00AE18B3"/>
    <w:rsid w:val="00AE191F"/>
    <w:rsid w:val="00AE19B0"/>
    <w:rsid w:val="00AE1B55"/>
    <w:rsid w:val="00AE1BF5"/>
    <w:rsid w:val="00AE1D2C"/>
    <w:rsid w:val="00AE1E6B"/>
    <w:rsid w:val="00AE1F57"/>
    <w:rsid w:val="00AE1FA7"/>
    <w:rsid w:val="00AE1FDE"/>
    <w:rsid w:val="00AE20A1"/>
    <w:rsid w:val="00AE2167"/>
    <w:rsid w:val="00AE2245"/>
    <w:rsid w:val="00AE224C"/>
    <w:rsid w:val="00AE258A"/>
    <w:rsid w:val="00AE2664"/>
    <w:rsid w:val="00AE29A4"/>
    <w:rsid w:val="00AE2D98"/>
    <w:rsid w:val="00AE2E61"/>
    <w:rsid w:val="00AE3197"/>
    <w:rsid w:val="00AE322B"/>
    <w:rsid w:val="00AE3270"/>
    <w:rsid w:val="00AE331D"/>
    <w:rsid w:val="00AE3344"/>
    <w:rsid w:val="00AE348B"/>
    <w:rsid w:val="00AE3C6E"/>
    <w:rsid w:val="00AE422D"/>
    <w:rsid w:val="00AE42A9"/>
    <w:rsid w:val="00AE436B"/>
    <w:rsid w:val="00AE44CD"/>
    <w:rsid w:val="00AE44EA"/>
    <w:rsid w:val="00AE462F"/>
    <w:rsid w:val="00AE4686"/>
    <w:rsid w:val="00AE46D2"/>
    <w:rsid w:val="00AE4727"/>
    <w:rsid w:val="00AE49CB"/>
    <w:rsid w:val="00AE4A2E"/>
    <w:rsid w:val="00AE4E46"/>
    <w:rsid w:val="00AE4FD1"/>
    <w:rsid w:val="00AE5198"/>
    <w:rsid w:val="00AE554E"/>
    <w:rsid w:val="00AE5853"/>
    <w:rsid w:val="00AE5A93"/>
    <w:rsid w:val="00AE5C40"/>
    <w:rsid w:val="00AE5DA8"/>
    <w:rsid w:val="00AE5EE3"/>
    <w:rsid w:val="00AE5F3E"/>
    <w:rsid w:val="00AE6009"/>
    <w:rsid w:val="00AE6072"/>
    <w:rsid w:val="00AE6097"/>
    <w:rsid w:val="00AE62B7"/>
    <w:rsid w:val="00AE6364"/>
    <w:rsid w:val="00AE63BF"/>
    <w:rsid w:val="00AE6432"/>
    <w:rsid w:val="00AE646A"/>
    <w:rsid w:val="00AE65D2"/>
    <w:rsid w:val="00AE6689"/>
    <w:rsid w:val="00AE672C"/>
    <w:rsid w:val="00AE676F"/>
    <w:rsid w:val="00AE67BA"/>
    <w:rsid w:val="00AE69F4"/>
    <w:rsid w:val="00AE6B4B"/>
    <w:rsid w:val="00AE723E"/>
    <w:rsid w:val="00AE76F9"/>
    <w:rsid w:val="00AE7895"/>
    <w:rsid w:val="00AE7A24"/>
    <w:rsid w:val="00AE7AAD"/>
    <w:rsid w:val="00AE7C66"/>
    <w:rsid w:val="00AF01A4"/>
    <w:rsid w:val="00AF0424"/>
    <w:rsid w:val="00AF05E5"/>
    <w:rsid w:val="00AF0621"/>
    <w:rsid w:val="00AF0959"/>
    <w:rsid w:val="00AF099E"/>
    <w:rsid w:val="00AF0BFB"/>
    <w:rsid w:val="00AF0E24"/>
    <w:rsid w:val="00AF1460"/>
    <w:rsid w:val="00AF16B8"/>
    <w:rsid w:val="00AF17E8"/>
    <w:rsid w:val="00AF19DD"/>
    <w:rsid w:val="00AF1A7E"/>
    <w:rsid w:val="00AF1B03"/>
    <w:rsid w:val="00AF1B49"/>
    <w:rsid w:val="00AF1CA7"/>
    <w:rsid w:val="00AF1CCE"/>
    <w:rsid w:val="00AF206B"/>
    <w:rsid w:val="00AF21C2"/>
    <w:rsid w:val="00AF2231"/>
    <w:rsid w:val="00AF232D"/>
    <w:rsid w:val="00AF23E0"/>
    <w:rsid w:val="00AF23FC"/>
    <w:rsid w:val="00AF2491"/>
    <w:rsid w:val="00AF24B7"/>
    <w:rsid w:val="00AF2548"/>
    <w:rsid w:val="00AF265E"/>
    <w:rsid w:val="00AF2721"/>
    <w:rsid w:val="00AF2747"/>
    <w:rsid w:val="00AF2775"/>
    <w:rsid w:val="00AF27FC"/>
    <w:rsid w:val="00AF2B6A"/>
    <w:rsid w:val="00AF2BA2"/>
    <w:rsid w:val="00AF2E82"/>
    <w:rsid w:val="00AF2F84"/>
    <w:rsid w:val="00AF2FC3"/>
    <w:rsid w:val="00AF2FD5"/>
    <w:rsid w:val="00AF3119"/>
    <w:rsid w:val="00AF3241"/>
    <w:rsid w:val="00AF32F6"/>
    <w:rsid w:val="00AF3320"/>
    <w:rsid w:val="00AF341A"/>
    <w:rsid w:val="00AF3510"/>
    <w:rsid w:val="00AF3516"/>
    <w:rsid w:val="00AF36D4"/>
    <w:rsid w:val="00AF3923"/>
    <w:rsid w:val="00AF3A10"/>
    <w:rsid w:val="00AF3A1D"/>
    <w:rsid w:val="00AF3CAC"/>
    <w:rsid w:val="00AF3E43"/>
    <w:rsid w:val="00AF3E7D"/>
    <w:rsid w:val="00AF3E7E"/>
    <w:rsid w:val="00AF3FA3"/>
    <w:rsid w:val="00AF408E"/>
    <w:rsid w:val="00AF4445"/>
    <w:rsid w:val="00AF46ED"/>
    <w:rsid w:val="00AF48A1"/>
    <w:rsid w:val="00AF491F"/>
    <w:rsid w:val="00AF4A4F"/>
    <w:rsid w:val="00AF4AD1"/>
    <w:rsid w:val="00AF4B41"/>
    <w:rsid w:val="00AF4BE3"/>
    <w:rsid w:val="00AF4C22"/>
    <w:rsid w:val="00AF4DBB"/>
    <w:rsid w:val="00AF4F2F"/>
    <w:rsid w:val="00AF4FDC"/>
    <w:rsid w:val="00AF501C"/>
    <w:rsid w:val="00AF514C"/>
    <w:rsid w:val="00AF53DE"/>
    <w:rsid w:val="00AF55A9"/>
    <w:rsid w:val="00AF5692"/>
    <w:rsid w:val="00AF5784"/>
    <w:rsid w:val="00AF5B08"/>
    <w:rsid w:val="00AF5F18"/>
    <w:rsid w:val="00AF6115"/>
    <w:rsid w:val="00AF618E"/>
    <w:rsid w:val="00AF61A1"/>
    <w:rsid w:val="00AF61AB"/>
    <w:rsid w:val="00AF62EF"/>
    <w:rsid w:val="00AF62FB"/>
    <w:rsid w:val="00AF645C"/>
    <w:rsid w:val="00AF653A"/>
    <w:rsid w:val="00AF6699"/>
    <w:rsid w:val="00AF676D"/>
    <w:rsid w:val="00AF680F"/>
    <w:rsid w:val="00AF6894"/>
    <w:rsid w:val="00AF6C10"/>
    <w:rsid w:val="00AF6D81"/>
    <w:rsid w:val="00AF6DB2"/>
    <w:rsid w:val="00AF6FB3"/>
    <w:rsid w:val="00AF701B"/>
    <w:rsid w:val="00AF71E9"/>
    <w:rsid w:val="00AF7243"/>
    <w:rsid w:val="00AF7255"/>
    <w:rsid w:val="00AF7459"/>
    <w:rsid w:val="00AF745D"/>
    <w:rsid w:val="00AF761D"/>
    <w:rsid w:val="00AF7A04"/>
    <w:rsid w:val="00AF7A78"/>
    <w:rsid w:val="00AF7B20"/>
    <w:rsid w:val="00AF7B6E"/>
    <w:rsid w:val="00B0002F"/>
    <w:rsid w:val="00B00241"/>
    <w:rsid w:val="00B003F4"/>
    <w:rsid w:val="00B00598"/>
    <w:rsid w:val="00B00755"/>
    <w:rsid w:val="00B00910"/>
    <w:rsid w:val="00B00A40"/>
    <w:rsid w:val="00B00A63"/>
    <w:rsid w:val="00B00B13"/>
    <w:rsid w:val="00B00E27"/>
    <w:rsid w:val="00B010B5"/>
    <w:rsid w:val="00B01422"/>
    <w:rsid w:val="00B01705"/>
    <w:rsid w:val="00B0170B"/>
    <w:rsid w:val="00B01810"/>
    <w:rsid w:val="00B01BB3"/>
    <w:rsid w:val="00B01C2E"/>
    <w:rsid w:val="00B01C5E"/>
    <w:rsid w:val="00B01D32"/>
    <w:rsid w:val="00B01D66"/>
    <w:rsid w:val="00B01E4A"/>
    <w:rsid w:val="00B01EB8"/>
    <w:rsid w:val="00B01F0D"/>
    <w:rsid w:val="00B020C4"/>
    <w:rsid w:val="00B0216F"/>
    <w:rsid w:val="00B02589"/>
    <w:rsid w:val="00B0277D"/>
    <w:rsid w:val="00B028DC"/>
    <w:rsid w:val="00B028FA"/>
    <w:rsid w:val="00B02AFF"/>
    <w:rsid w:val="00B02FC2"/>
    <w:rsid w:val="00B03066"/>
    <w:rsid w:val="00B0337B"/>
    <w:rsid w:val="00B034A1"/>
    <w:rsid w:val="00B03666"/>
    <w:rsid w:val="00B0368C"/>
    <w:rsid w:val="00B036B2"/>
    <w:rsid w:val="00B0387A"/>
    <w:rsid w:val="00B039D4"/>
    <w:rsid w:val="00B03B10"/>
    <w:rsid w:val="00B03CAE"/>
    <w:rsid w:val="00B03E7A"/>
    <w:rsid w:val="00B0401D"/>
    <w:rsid w:val="00B041AC"/>
    <w:rsid w:val="00B0426E"/>
    <w:rsid w:val="00B0432F"/>
    <w:rsid w:val="00B04389"/>
    <w:rsid w:val="00B04585"/>
    <w:rsid w:val="00B045E6"/>
    <w:rsid w:val="00B047D7"/>
    <w:rsid w:val="00B049B5"/>
    <w:rsid w:val="00B04BD4"/>
    <w:rsid w:val="00B04CDD"/>
    <w:rsid w:val="00B04D00"/>
    <w:rsid w:val="00B04E07"/>
    <w:rsid w:val="00B04E0A"/>
    <w:rsid w:val="00B04F2E"/>
    <w:rsid w:val="00B04FB8"/>
    <w:rsid w:val="00B0509B"/>
    <w:rsid w:val="00B05129"/>
    <w:rsid w:val="00B051E9"/>
    <w:rsid w:val="00B0527A"/>
    <w:rsid w:val="00B05586"/>
    <w:rsid w:val="00B055DD"/>
    <w:rsid w:val="00B05803"/>
    <w:rsid w:val="00B05963"/>
    <w:rsid w:val="00B059BB"/>
    <w:rsid w:val="00B059E6"/>
    <w:rsid w:val="00B059FB"/>
    <w:rsid w:val="00B05A7C"/>
    <w:rsid w:val="00B05E77"/>
    <w:rsid w:val="00B05EE2"/>
    <w:rsid w:val="00B05F3A"/>
    <w:rsid w:val="00B06041"/>
    <w:rsid w:val="00B061D6"/>
    <w:rsid w:val="00B06573"/>
    <w:rsid w:val="00B06577"/>
    <w:rsid w:val="00B0659C"/>
    <w:rsid w:val="00B06770"/>
    <w:rsid w:val="00B06878"/>
    <w:rsid w:val="00B068F1"/>
    <w:rsid w:val="00B06932"/>
    <w:rsid w:val="00B06CD3"/>
    <w:rsid w:val="00B06D92"/>
    <w:rsid w:val="00B06EA9"/>
    <w:rsid w:val="00B06EC4"/>
    <w:rsid w:val="00B06F22"/>
    <w:rsid w:val="00B06F4C"/>
    <w:rsid w:val="00B0706B"/>
    <w:rsid w:val="00B07230"/>
    <w:rsid w:val="00B0724B"/>
    <w:rsid w:val="00B07263"/>
    <w:rsid w:val="00B072BF"/>
    <w:rsid w:val="00B07359"/>
    <w:rsid w:val="00B07438"/>
    <w:rsid w:val="00B075CA"/>
    <w:rsid w:val="00B07783"/>
    <w:rsid w:val="00B0785D"/>
    <w:rsid w:val="00B07882"/>
    <w:rsid w:val="00B07CC9"/>
    <w:rsid w:val="00B07D43"/>
    <w:rsid w:val="00B07E84"/>
    <w:rsid w:val="00B07F87"/>
    <w:rsid w:val="00B1032B"/>
    <w:rsid w:val="00B10341"/>
    <w:rsid w:val="00B103A2"/>
    <w:rsid w:val="00B104C9"/>
    <w:rsid w:val="00B10592"/>
    <w:rsid w:val="00B10640"/>
    <w:rsid w:val="00B10881"/>
    <w:rsid w:val="00B108AC"/>
    <w:rsid w:val="00B10A95"/>
    <w:rsid w:val="00B10AAC"/>
    <w:rsid w:val="00B10B3D"/>
    <w:rsid w:val="00B10DFF"/>
    <w:rsid w:val="00B10E64"/>
    <w:rsid w:val="00B10EC4"/>
    <w:rsid w:val="00B10F44"/>
    <w:rsid w:val="00B1126B"/>
    <w:rsid w:val="00B1134E"/>
    <w:rsid w:val="00B114BB"/>
    <w:rsid w:val="00B1156D"/>
    <w:rsid w:val="00B116DA"/>
    <w:rsid w:val="00B1180A"/>
    <w:rsid w:val="00B1194E"/>
    <w:rsid w:val="00B11990"/>
    <w:rsid w:val="00B11A08"/>
    <w:rsid w:val="00B11C04"/>
    <w:rsid w:val="00B11F81"/>
    <w:rsid w:val="00B124C0"/>
    <w:rsid w:val="00B12672"/>
    <w:rsid w:val="00B12A4B"/>
    <w:rsid w:val="00B12E7E"/>
    <w:rsid w:val="00B131C7"/>
    <w:rsid w:val="00B133AC"/>
    <w:rsid w:val="00B135BB"/>
    <w:rsid w:val="00B13670"/>
    <w:rsid w:val="00B137E6"/>
    <w:rsid w:val="00B13910"/>
    <w:rsid w:val="00B13996"/>
    <w:rsid w:val="00B13BA3"/>
    <w:rsid w:val="00B13C13"/>
    <w:rsid w:val="00B1414D"/>
    <w:rsid w:val="00B141BD"/>
    <w:rsid w:val="00B14322"/>
    <w:rsid w:val="00B1452B"/>
    <w:rsid w:val="00B1486C"/>
    <w:rsid w:val="00B1495C"/>
    <w:rsid w:val="00B149E6"/>
    <w:rsid w:val="00B14B43"/>
    <w:rsid w:val="00B14BD5"/>
    <w:rsid w:val="00B14C84"/>
    <w:rsid w:val="00B14CF7"/>
    <w:rsid w:val="00B14F06"/>
    <w:rsid w:val="00B14F69"/>
    <w:rsid w:val="00B14F94"/>
    <w:rsid w:val="00B15002"/>
    <w:rsid w:val="00B153B3"/>
    <w:rsid w:val="00B15427"/>
    <w:rsid w:val="00B154DC"/>
    <w:rsid w:val="00B15884"/>
    <w:rsid w:val="00B158C6"/>
    <w:rsid w:val="00B158CB"/>
    <w:rsid w:val="00B15D0D"/>
    <w:rsid w:val="00B16035"/>
    <w:rsid w:val="00B16171"/>
    <w:rsid w:val="00B161FD"/>
    <w:rsid w:val="00B166DA"/>
    <w:rsid w:val="00B16713"/>
    <w:rsid w:val="00B1675F"/>
    <w:rsid w:val="00B168DD"/>
    <w:rsid w:val="00B16950"/>
    <w:rsid w:val="00B16CE5"/>
    <w:rsid w:val="00B16D63"/>
    <w:rsid w:val="00B16FFE"/>
    <w:rsid w:val="00B171A1"/>
    <w:rsid w:val="00B1741E"/>
    <w:rsid w:val="00B177B9"/>
    <w:rsid w:val="00B17806"/>
    <w:rsid w:val="00B1780E"/>
    <w:rsid w:val="00B179BF"/>
    <w:rsid w:val="00B179F6"/>
    <w:rsid w:val="00B17A07"/>
    <w:rsid w:val="00B17A4E"/>
    <w:rsid w:val="00B17B6A"/>
    <w:rsid w:val="00B17C38"/>
    <w:rsid w:val="00B17EB1"/>
    <w:rsid w:val="00B17FAF"/>
    <w:rsid w:val="00B2002C"/>
    <w:rsid w:val="00B2024E"/>
    <w:rsid w:val="00B20315"/>
    <w:rsid w:val="00B205D1"/>
    <w:rsid w:val="00B2076C"/>
    <w:rsid w:val="00B2084C"/>
    <w:rsid w:val="00B2092C"/>
    <w:rsid w:val="00B20CE0"/>
    <w:rsid w:val="00B20D4A"/>
    <w:rsid w:val="00B20E06"/>
    <w:rsid w:val="00B20EDA"/>
    <w:rsid w:val="00B20F12"/>
    <w:rsid w:val="00B211A1"/>
    <w:rsid w:val="00B21213"/>
    <w:rsid w:val="00B2128F"/>
    <w:rsid w:val="00B214E2"/>
    <w:rsid w:val="00B21513"/>
    <w:rsid w:val="00B219EE"/>
    <w:rsid w:val="00B21BB0"/>
    <w:rsid w:val="00B21CB2"/>
    <w:rsid w:val="00B22088"/>
    <w:rsid w:val="00B220B3"/>
    <w:rsid w:val="00B22247"/>
    <w:rsid w:val="00B2225C"/>
    <w:rsid w:val="00B222AD"/>
    <w:rsid w:val="00B2231E"/>
    <w:rsid w:val="00B2238B"/>
    <w:rsid w:val="00B223D8"/>
    <w:rsid w:val="00B22792"/>
    <w:rsid w:val="00B229F4"/>
    <w:rsid w:val="00B22A00"/>
    <w:rsid w:val="00B22CD7"/>
    <w:rsid w:val="00B22CFC"/>
    <w:rsid w:val="00B22D5E"/>
    <w:rsid w:val="00B23060"/>
    <w:rsid w:val="00B23081"/>
    <w:rsid w:val="00B233B8"/>
    <w:rsid w:val="00B23473"/>
    <w:rsid w:val="00B23643"/>
    <w:rsid w:val="00B236BC"/>
    <w:rsid w:val="00B23965"/>
    <w:rsid w:val="00B23B26"/>
    <w:rsid w:val="00B23D3D"/>
    <w:rsid w:val="00B23DEE"/>
    <w:rsid w:val="00B23E9F"/>
    <w:rsid w:val="00B23EFB"/>
    <w:rsid w:val="00B24032"/>
    <w:rsid w:val="00B24103"/>
    <w:rsid w:val="00B2457C"/>
    <w:rsid w:val="00B24603"/>
    <w:rsid w:val="00B24718"/>
    <w:rsid w:val="00B247D3"/>
    <w:rsid w:val="00B249D8"/>
    <w:rsid w:val="00B24A00"/>
    <w:rsid w:val="00B24AB0"/>
    <w:rsid w:val="00B24AFB"/>
    <w:rsid w:val="00B24C9E"/>
    <w:rsid w:val="00B24E1B"/>
    <w:rsid w:val="00B24FAC"/>
    <w:rsid w:val="00B25118"/>
    <w:rsid w:val="00B25226"/>
    <w:rsid w:val="00B252D4"/>
    <w:rsid w:val="00B254EC"/>
    <w:rsid w:val="00B256E3"/>
    <w:rsid w:val="00B257FF"/>
    <w:rsid w:val="00B2585C"/>
    <w:rsid w:val="00B25958"/>
    <w:rsid w:val="00B25B6D"/>
    <w:rsid w:val="00B25CA8"/>
    <w:rsid w:val="00B25CC9"/>
    <w:rsid w:val="00B25D19"/>
    <w:rsid w:val="00B25DF3"/>
    <w:rsid w:val="00B25E77"/>
    <w:rsid w:val="00B26267"/>
    <w:rsid w:val="00B26275"/>
    <w:rsid w:val="00B2635A"/>
    <w:rsid w:val="00B263D6"/>
    <w:rsid w:val="00B26556"/>
    <w:rsid w:val="00B26612"/>
    <w:rsid w:val="00B26896"/>
    <w:rsid w:val="00B26A54"/>
    <w:rsid w:val="00B26B5A"/>
    <w:rsid w:val="00B26C22"/>
    <w:rsid w:val="00B26CB0"/>
    <w:rsid w:val="00B2719C"/>
    <w:rsid w:val="00B27229"/>
    <w:rsid w:val="00B27502"/>
    <w:rsid w:val="00B27650"/>
    <w:rsid w:val="00B279C1"/>
    <w:rsid w:val="00B27B45"/>
    <w:rsid w:val="00B27BBD"/>
    <w:rsid w:val="00B27BD3"/>
    <w:rsid w:val="00B30382"/>
    <w:rsid w:val="00B303F4"/>
    <w:rsid w:val="00B3054E"/>
    <w:rsid w:val="00B306BE"/>
    <w:rsid w:val="00B30723"/>
    <w:rsid w:val="00B30B49"/>
    <w:rsid w:val="00B30C99"/>
    <w:rsid w:val="00B30CAA"/>
    <w:rsid w:val="00B30EC3"/>
    <w:rsid w:val="00B3106E"/>
    <w:rsid w:val="00B311F0"/>
    <w:rsid w:val="00B314B9"/>
    <w:rsid w:val="00B315A4"/>
    <w:rsid w:val="00B3171B"/>
    <w:rsid w:val="00B317AB"/>
    <w:rsid w:val="00B31942"/>
    <w:rsid w:val="00B31B5A"/>
    <w:rsid w:val="00B31DEF"/>
    <w:rsid w:val="00B31E7D"/>
    <w:rsid w:val="00B31FA6"/>
    <w:rsid w:val="00B32210"/>
    <w:rsid w:val="00B322ED"/>
    <w:rsid w:val="00B32341"/>
    <w:rsid w:val="00B32480"/>
    <w:rsid w:val="00B32891"/>
    <w:rsid w:val="00B329F3"/>
    <w:rsid w:val="00B32B7E"/>
    <w:rsid w:val="00B32CC7"/>
    <w:rsid w:val="00B32CCF"/>
    <w:rsid w:val="00B32F4C"/>
    <w:rsid w:val="00B32F94"/>
    <w:rsid w:val="00B33110"/>
    <w:rsid w:val="00B33487"/>
    <w:rsid w:val="00B33740"/>
    <w:rsid w:val="00B3387D"/>
    <w:rsid w:val="00B33BCF"/>
    <w:rsid w:val="00B33D94"/>
    <w:rsid w:val="00B33DB1"/>
    <w:rsid w:val="00B33E32"/>
    <w:rsid w:val="00B340D0"/>
    <w:rsid w:val="00B34167"/>
    <w:rsid w:val="00B341B1"/>
    <w:rsid w:val="00B342AF"/>
    <w:rsid w:val="00B34534"/>
    <w:rsid w:val="00B3464D"/>
    <w:rsid w:val="00B347DC"/>
    <w:rsid w:val="00B34D83"/>
    <w:rsid w:val="00B34F31"/>
    <w:rsid w:val="00B34F4A"/>
    <w:rsid w:val="00B353BE"/>
    <w:rsid w:val="00B353D1"/>
    <w:rsid w:val="00B35540"/>
    <w:rsid w:val="00B3559B"/>
    <w:rsid w:val="00B3562B"/>
    <w:rsid w:val="00B35636"/>
    <w:rsid w:val="00B356AB"/>
    <w:rsid w:val="00B35742"/>
    <w:rsid w:val="00B3576A"/>
    <w:rsid w:val="00B3586D"/>
    <w:rsid w:val="00B35BF9"/>
    <w:rsid w:val="00B35D0E"/>
    <w:rsid w:val="00B35D9F"/>
    <w:rsid w:val="00B35E3B"/>
    <w:rsid w:val="00B36419"/>
    <w:rsid w:val="00B364FF"/>
    <w:rsid w:val="00B3654F"/>
    <w:rsid w:val="00B366B8"/>
    <w:rsid w:val="00B36756"/>
    <w:rsid w:val="00B367C2"/>
    <w:rsid w:val="00B367D8"/>
    <w:rsid w:val="00B369EF"/>
    <w:rsid w:val="00B36B96"/>
    <w:rsid w:val="00B36D43"/>
    <w:rsid w:val="00B36EF6"/>
    <w:rsid w:val="00B36F50"/>
    <w:rsid w:val="00B371DA"/>
    <w:rsid w:val="00B372DB"/>
    <w:rsid w:val="00B37625"/>
    <w:rsid w:val="00B376AE"/>
    <w:rsid w:val="00B37EE8"/>
    <w:rsid w:val="00B400BD"/>
    <w:rsid w:val="00B400F5"/>
    <w:rsid w:val="00B40104"/>
    <w:rsid w:val="00B40346"/>
    <w:rsid w:val="00B40395"/>
    <w:rsid w:val="00B40554"/>
    <w:rsid w:val="00B40614"/>
    <w:rsid w:val="00B409AB"/>
    <w:rsid w:val="00B409C5"/>
    <w:rsid w:val="00B40A88"/>
    <w:rsid w:val="00B40B46"/>
    <w:rsid w:val="00B40D4D"/>
    <w:rsid w:val="00B40DEC"/>
    <w:rsid w:val="00B40EA5"/>
    <w:rsid w:val="00B40EBC"/>
    <w:rsid w:val="00B410A1"/>
    <w:rsid w:val="00B411B0"/>
    <w:rsid w:val="00B4144C"/>
    <w:rsid w:val="00B414E5"/>
    <w:rsid w:val="00B415B2"/>
    <w:rsid w:val="00B41779"/>
    <w:rsid w:val="00B418D5"/>
    <w:rsid w:val="00B41A22"/>
    <w:rsid w:val="00B41DAE"/>
    <w:rsid w:val="00B41FC1"/>
    <w:rsid w:val="00B42087"/>
    <w:rsid w:val="00B42321"/>
    <w:rsid w:val="00B4241A"/>
    <w:rsid w:val="00B42562"/>
    <w:rsid w:val="00B425B2"/>
    <w:rsid w:val="00B4274E"/>
    <w:rsid w:val="00B42869"/>
    <w:rsid w:val="00B42A66"/>
    <w:rsid w:val="00B42C2B"/>
    <w:rsid w:val="00B42CBD"/>
    <w:rsid w:val="00B42CF1"/>
    <w:rsid w:val="00B43071"/>
    <w:rsid w:val="00B4310E"/>
    <w:rsid w:val="00B4316B"/>
    <w:rsid w:val="00B43484"/>
    <w:rsid w:val="00B43538"/>
    <w:rsid w:val="00B43667"/>
    <w:rsid w:val="00B437EC"/>
    <w:rsid w:val="00B438F9"/>
    <w:rsid w:val="00B439D0"/>
    <w:rsid w:val="00B43AB0"/>
    <w:rsid w:val="00B43C49"/>
    <w:rsid w:val="00B43C70"/>
    <w:rsid w:val="00B43D0F"/>
    <w:rsid w:val="00B43F7C"/>
    <w:rsid w:val="00B44455"/>
    <w:rsid w:val="00B44640"/>
    <w:rsid w:val="00B44655"/>
    <w:rsid w:val="00B4473D"/>
    <w:rsid w:val="00B44751"/>
    <w:rsid w:val="00B4489F"/>
    <w:rsid w:val="00B448DC"/>
    <w:rsid w:val="00B448E0"/>
    <w:rsid w:val="00B449B3"/>
    <w:rsid w:val="00B44B49"/>
    <w:rsid w:val="00B44F85"/>
    <w:rsid w:val="00B44FBC"/>
    <w:rsid w:val="00B45104"/>
    <w:rsid w:val="00B451F9"/>
    <w:rsid w:val="00B454B6"/>
    <w:rsid w:val="00B456FF"/>
    <w:rsid w:val="00B458FE"/>
    <w:rsid w:val="00B459C9"/>
    <w:rsid w:val="00B45A10"/>
    <w:rsid w:val="00B45B6E"/>
    <w:rsid w:val="00B45BE4"/>
    <w:rsid w:val="00B45CBE"/>
    <w:rsid w:val="00B45EA0"/>
    <w:rsid w:val="00B45FB9"/>
    <w:rsid w:val="00B45FCB"/>
    <w:rsid w:val="00B463B7"/>
    <w:rsid w:val="00B4647E"/>
    <w:rsid w:val="00B46598"/>
    <w:rsid w:val="00B46646"/>
    <w:rsid w:val="00B4669A"/>
    <w:rsid w:val="00B466C3"/>
    <w:rsid w:val="00B466FD"/>
    <w:rsid w:val="00B46A45"/>
    <w:rsid w:val="00B46D04"/>
    <w:rsid w:val="00B46D07"/>
    <w:rsid w:val="00B46D2E"/>
    <w:rsid w:val="00B46E1B"/>
    <w:rsid w:val="00B46F3D"/>
    <w:rsid w:val="00B46F7B"/>
    <w:rsid w:val="00B4706B"/>
    <w:rsid w:val="00B470F9"/>
    <w:rsid w:val="00B47195"/>
    <w:rsid w:val="00B47223"/>
    <w:rsid w:val="00B472B8"/>
    <w:rsid w:val="00B47634"/>
    <w:rsid w:val="00B47889"/>
    <w:rsid w:val="00B4798B"/>
    <w:rsid w:val="00B479BB"/>
    <w:rsid w:val="00B47DB7"/>
    <w:rsid w:val="00B47E61"/>
    <w:rsid w:val="00B501A5"/>
    <w:rsid w:val="00B5030A"/>
    <w:rsid w:val="00B5037B"/>
    <w:rsid w:val="00B50551"/>
    <w:rsid w:val="00B50752"/>
    <w:rsid w:val="00B50A0B"/>
    <w:rsid w:val="00B50D9B"/>
    <w:rsid w:val="00B50ED5"/>
    <w:rsid w:val="00B50F4E"/>
    <w:rsid w:val="00B50F74"/>
    <w:rsid w:val="00B51098"/>
    <w:rsid w:val="00B5109E"/>
    <w:rsid w:val="00B510AB"/>
    <w:rsid w:val="00B51352"/>
    <w:rsid w:val="00B51576"/>
    <w:rsid w:val="00B51635"/>
    <w:rsid w:val="00B5190F"/>
    <w:rsid w:val="00B51BBE"/>
    <w:rsid w:val="00B52325"/>
    <w:rsid w:val="00B528EB"/>
    <w:rsid w:val="00B52B6D"/>
    <w:rsid w:val="00B52D36"/>
    <w:rsid w:val="00B52D39"/>
    <w:rsid w:val="00B52D81"/>
    <w:rsid w:val="00B52DFE"/>
    <w:rsid w:val="00B52E93"/>
    <w:rsid w:val="00B52EBE"/>
    <w:rsid w:val="00B534F7"/>
    <w:rsid w:val="00B5368B"/>
    <w:rsid w:val="00B538AA"/>
    <w:rsid w:val="00B53C05"/>
    <w:rsid w:val="00B53CD5"/>
    <w:rsid w:val="00B53FD0"/>
    <w:rsid w:val="00B54149"/>
    <w:rsid w:val="00B54338"/>
    <w:rsid w:val="00B54375"/>
    <w:rsid w:val="00B54647"/>
    <w:rsid w:val="00B54696"/>
    <w:rsid w:val="00B547A4"/>
    <w:rsid w:val="00B5496B"/>
    <w:rsid w:val="00B55138"/>
    <w:rsid w:val="00B5534F"/>
    <w:rsid w:val="00B55485"/>
    <w:rsid w:val="00B555E1"/>
    <w:rsid w:val="00B55933"/>
    <w:rsid w:val="00B55A82"/>
    <w:rsid w:val="00B55AB6"/>
    <w:rsid w:val="00B55D90"/>
    <w:rsid w:val="00B55E09"/>
    <w:rsid w:val="00B55E65"/>
    <w:rsid w:val="00B560DD"/>
    <w:rsid w:val="00B561BE"/>
    <w:rsid w:val="00B56234"/>
    <w:rsid w:val="00B562D0"/>
    <w:rsid w:val="00B5631F"/>
    <w:rsid w:val="00B566BE"/>
    <w:rsid w:val="00B5692B"/>
    <w:rsid w:val="00B569F1"/>
    <w:rsid w:val="00B56B3B"/>
    <w:rsid w:val="00B56B77"/>
    <w:rsid w:val="00B56C0C"/>
    <w:rsid w:val="00B56CDA"/>
    <w:rsid w:val="00B56DCB"/>
    <w:rsid w:val="00B56F54"/>
    <w:rsid w:val="00B56FA6"/>
    <w:rsid w:val="00B571BE"/>
    <w:rsid w:val="00B5735F"/>
    <w:rsid w:val="00B57368"/>
    <w:rsid w:val="00B57A47"/>
    <w:rsid w:val="00B57A4F"/>
    <w:rsid w:val="00B57C3C"/>
    <w:rsid w:val="00B57C47"/>
    <w:rsid w:val="00B57D82"/>
    <w:rsid w:val="00B602C7"/>
    <w:rsid w:val="00B60593"/>
    <w:rsid w:val="00B605A1"/>
    <w:rsid w:val="00B60690"/>
    <w:rsid w:val="00B606E4"/>
    <w:rsid w:val="00B60B1B"/>
    <w:rsid w:val="00B610A0"/>
    <w:rsid w:val="00B6146F"/>
    <w:rsid w:val="00B61731"/>
    <w:rsid w:val="00B617F8"/>
    <w:rsid w:val="00B6196F"/>
    <w:rsid w:val="00B619A3"/>
    <w:rsid w:val="00B61A88"/>
    <w:rsid w:val="00B61C4C"/>
    <w:rsid w:val="00B61D71"/>
    <w:rsid w:val="00B61EDD"/>
    <w:rsid w:val="00B6223C"/>
    <w:rsid w:val="00B6230E"/>
    <w:rsid w:val="00B62436"/>
    <w:rsid w:val="00B62865"/>
    <w:rsid w:val="00B62876"/>
    <w:rsid w:val="00B628B6"/>
    <w:rsid w:val="00B63342"/>
    <w:rsid w:val="00B63551"/>
    <w:rsid w:val="00B63680"/>
    <w:rsid w:val="00B639AC"/>
    <w:rsid w:val="00B639F9"/>
    <w:rsid w:val="00B63D9F"/>
    <w:rsid w:val="00B641CB"/>
    <w:rsid w:val="00B64353"/>
    <w:rsid w:val="00B6436D"/>
    <w:rsid w:val="00B6452B"/>
    <w:rsid w:val="00B647CE"/>
    <w:rsid w:val="00B64B6D"/>
    <w:rsid w:val="00B64B79"/>
    <w:rsid w:val="00B64E97"/>
    <w:rsid w:val="00B64FC0"/>
    <w:rsid w:val="00B650B9"/>
    <w:rsid w:val="00B6513E"/>
    <w:rsid w:val="00B6521B"/>
    <w:rsid w:val="00B6521D"/>
    <w:rsid w:val="00B6544B"/>
    <w:rsid w:val="00B654BF"/>
    <w:rsid w:val="00B655B3"/>
    <w:rsid w:val="00B65782"/>
    <w:rsid w:val="00B658D6"/>
    <w:rsid w:val="00B658DC"/>
    <w:rsid w:val="00B65BC0"/>
    <w:rsid w:val="00B65BF4"/>
    <w:rsid w:val="00B65C9C"/>
    <w:rsid w:val="00B65DC3"/>
    <w:rsid w:val="00B65E3A"/>
    <w:rsid w:val="00B65F2A"/>
    <w:rsid w:val="00B65F6C"/>
    <w:rsid w:val="00B65F88"/>
    <w:rsid w:val="00B65FB8"/>
    <w:rsid w:val="00B66028"/>
    <w:rsid w:val="00B660E0"/>
    <w:rsid w:val="00B661FD"/>
    <w:rsid w:val="00B66215"/>
    <w:rsid w:val="00B6624B"/>
    <w:rsid w:val="00B6651E"/>
    <w:rsid w:val="00B669B1"/>
    <w:rsid w:val="00B66F61"/>
    <w:rsid w:val="00B66F9F"/>
    <w:rsid w:val="00B6730A"/>
    <w:rsid w:val="00B675FA"/>
    <w:rsid w:val="00B6773D"/>
    <w:rsid w:val="00B678D1"/>
    <w:rsid w:val="00B67E2B"/>
    <w:rsid w:val="00B703AD"/>
    <w:rsid w:val="00B705BF"/>
    <w:rsid w:val="00B7061D"/>
    <w:rsid w:val="00B7068F"/>
    <w:rsid w:val="00B709E3"/>
    <w:rsid w:val="00B70A62"/>
    <w:rsid w:val="00B70FB1"/>
    <w:rsid w:val="00B710F3"/>
    <w:rsid w:val="00B71118"/>
    <w:rsid w:val="00B712E0"/>
    <w:rsid w:val="00B714F2"/>
    <w:rsid w:val="00B715C0"/>
    <w:rsid w:val="00B71A3A"/>
    <w:rsid w:val="00B71D27"/>
    <w:rsid w:val="00B71D67"/>
    <w:rsid w:val="00B71FE5"/>
    <w:rsid w:val="00B72059"/>
    <w:rsid w:val="00B720FA"/>
    <w:rsid w:val="00B721B3"/>
    <w:rsid w:val="00B721EB"/>
    <w:rsid w:val="00B72227"/>
    <w:rsid w:val="00B72280"/>
    <w:rsid w:val="00B72602"/>
    <w:rsid w:val="00B72836"/>
    <w:rsid w:val="00B7289B"/>
    <w:rsid w:val="00B72957"/>
    <w:rsid w:val="00B72A11"/>
    <w:rsid w:val="00B72B84"/>
    <w:rsid w:val="00B72B91"/>
    <w:rsid w:val="00B72C9E"/>
    <w:rsid w:val="00B72D40"/>
    <w:rsid w:val="00B72E58"/>
    <w:rsid w:val="00B72E72"/>
    <w:rsid w:val="00B731A4"/>
    <w:rsid w:val="00B7322B"/>
    <w:rsid w:val="00B7323E"/>
    <w:rsid w:val="00B734C0"/>
    <w:rsid w:val="00B734CB"/>
    <w:rsid w:val="00B736DF"/>
    <w:rsid w:val="00B737B8"/>
    <w:rsid w:val="00B73AD2"/>
    <w:rsid w:val="00B73B14"/>
    <w:rsid w:val="00B73B7B"/>
    <w:rsid w:val="00B73CE0"/>
    <w:rsid w:val="00B740F4"/>
    <w:rsid w:val="00B744AC"/>
    <w:rsid w:val="00B746C6"/>
    <w:rsid w:val="00B747AE"/>
    <w:rsid w:val="00B74816"/>
    <w:rsid w:val="00B74896"/>
    <w:rsid w:val="00B74A0B"/>
    <w:rsid w:val="00B74AC2"/>
    <w:rsid w:val="00B74B39"/>
    <w:rsid w:val="00B74BF2"/>
    <w:rsid w:val="00B751DD"/>
    <w:rsid w:val="00B7529D"/>
    <w:rsid w:val="00B75417"/>
    <w:rsid w:val="00B7545E"/>
    <w:rsid w:val="00B75832"/>
    <w:rsid w:val="00B759EC"/>
    <w:rsid w:val="00B75BB7"/>
    <w:rsid w:val="00B75C68"/>
    <w:rsid w:val="00B75EA9"/>
    <w:rsid w:val="00B760C4"/>
    <w:rsid w:val="00B761FA"/>
    <w:rsid w:val="00B76370"/>
    <w:rsid w:val="00B765A0"/>
    <w:rsid w:val="00B765D6"/>
    <w:rsid w:val="00B7663A"/>
    <w:rsid w:val="00B76654"/>
    <w:rsid w:val="00B76739"/>
    <w:rsid w:val="00B769BA"/>
    <w:rsid w:val="00B76ECF"/>
    <w:rsid w:val="00B76F2A"/>
    <w:rsid w:val="00B773A5"/>
    <w:rsid w:val="00B773B9"/>
    <w:rsid w:val="00B77431"/>
    <w:rsid w:val="00B7757B"/>
    <w:rsid w:val="00B775A5"/>
    <w:rsid w:val="00B77853"/>
    <w:rsid w:val="00B77A02"/>
    <w:rsid w:val="00B77A4D"/>
    <w:rsid w:val="00B77AD0"/>
    <w:rsid w:val="00B77AD4"/>
    <w:rsid w:val="00B77C37"/>
    <w:rsid w:val="00B77CE5"/>
    <w:rsid w:val="00B77E28"/>
    <w:rsid w:val="00B77F11"/>
    <w:rsid w:val="00B8019D"/>
    <w:rsid w:val="00B801FD"/>
    <w:rsid w:val="00B80321"/>
    <w:rsid w:val="00B8053A"/>
    <w:rsid w:val="00B80812"/>
    <w:rsid w:val="00B80880"/>
    <w:rsid w:val="00B80B94"/>
    <w:rsid w:val="00B80BD2"/>
    <w:rsid w:val="00B80CE6"/>
    <w:rsid w:val="00B81016"/>
    <w:rsid w:val="00B81203"/>
    <w:rsid w:val="00B81220"/>
    <w:rsid w:val="00B8129A"/>
    <w:rsid w:val="00B81326"/>
    <w:rsid w:val="00B81426"/>
    <w:rsid w:val="00B814B8"/>
    <w:rsid w:val="00B8174D"/>
    <w:rsid w:val="00B8174E"/>
    <w:rsid w:val="00B81B05"/>
    <w:rsid w:val="00B81BDB"/>
    <w:rsid w:val="00B81DD6"/>
    <w:rsid w:val="00B81F61"/>
    <w:rsid w:val="00B81FAC"/>
    <w:rsid w:val="00B82059"/>
    <w:rsid w:val="00B822E0"/>
    <w:rsid w:val="00B82A28"/>
    <w:rsid w:val="00B82ADD"/>
    <w:rsid w:val="00B82AF9"/>
    <w:rsid w:val="00B82FAA"/>
    <w:rsid w:val="00B82FD9"/>
    <w:rsid w:val="00B83353"/>
    <w:rsid w:val="00B83726"/>
    <w:rsid w:val="00B8381F"/>
    <w:rsid w:val="00B838BA"/>
    <w:rsid w:val="00B83C03"/>
    <w:rsid w:val="00B83DC9"/>
    <w:rsid w:val="00B8437E"/>
    <w:rsid w:val="00B8439C"/>
    <w:rsid w:val="00B843C2"/>
    <w:rsid w:val="00B844DE"/>
    <w:rsid w:val="00B8466E"/>
    <w:rsid w:val="00B8488B"/>
    <w:rsid w:val="00B84965"/>
    <w:rsid w:val="00B84967"/>
    <w:rsid w:val="00B84E48"/>
    <w:rsid w:val="00B850E3"/>
    <w:rsid w:val="00B8538B"/>
    <w:rsid w:val="00B854B4"/>
    <w:rsid w:val="00B85639"/>
    <w:rsid w:val="00B85673"/>
    <w:rsid w:val="00B856DD"/>
    <w:rsid w:val="00B8580B"/>
    <w:rsid w:val="00B85886"/>
    <w:rsid w:val="00B858BC"/>
    <w:rsid w:val="00B85A31"/>
    <w:rsid w:val="00B85A6E"/>
    <w:rsid w:val="00B85B14"/>
    <w:rsid w:val="00B85BF8"/>
    <w:rsid w:val="00B85DDD"/>
    <w:rsid w:val="00B85F8B"/>
    <w:rsid w:val="00B861B5"/>
    <w:rsid w:val="00B865A8"/>
    <w:rsid w:val="00B86685"/>
    <w:rsid w:val="00B86847"/>
    <w:rsid w:val="00B86B0C"/>
    <w:rsid w:val="00B86BDD"/>
    <w:rsid w:val="00B86D23"/>
    <w:rsid w:val="00B86D37"/>
    <w:rsid w:val="00B86DE1"/>
    <w:rsid w:val="00B87045"/>
    <w:rsid w:val="00B870E0"/>
    <w:rsid w:val="00B87203"/>
    <w:rsid w:val="00B87205"/>
    <w:rsid w:val="00B87417"/>
    <w:rsid w:val="00B8751F"/>
    <w:rsid w:val="00B878AA"/>
    <w:rsid w:val="00B878E5"/>
    <w:rsid w:val="00B87A2A"/>
    <w:rsid w:val="00B87E61"/>
    <w:rsid w:val="00B87E9E"/>
    <w:rsid w:val="00B87ED0"/>
    <w:rsid w:val="00B87FCA"/>
    <w:rsid w:val="00B9001D"/>
    <w:rsid w:val="00B900FF"/>
    <w:rsid w:val="00B90134"/>
    <w:rsid w:val="00B90150"/>
    <w:rsid w:val="00B90198"/>
    <w:rsid w:val="00B9047B"/>
    <w:rsid w:val="00B90814"/>
    <w:rsid w:val="00B90891"/>
    <w:rsid w:val="00B90999"/>
    <w:rsid w:val="00B909BA"/>
    <w:rsid w:val="00B90AAB"/>
    <w:rsid w:val="00B90AF8"/>
    <w:rsid w:val="00B90DC7"/>
    <w:rsid w:val="00B90E39"/>
    <w:rsid w:val="00B90E46"/>
    <w:rsid w:val="00B90E6D"/>
    <w:rsid w:val="00B9116C"/>
    <w:rsid w:val="00B9116D"/>
    <w:rsid w:val="00B911AE"/>
    <w:rsid w:val="00B91406"/>
    <w:rsid w:val="00B9143C"/>
    <w:rsid w:val="00B914A6"/>
    <w:rsid w:val="00B91666"/>
    <w:rsid w:val="00B916DC"/>
    <w:rsid w:val="00B9192F"/>
    <w:rsid w:val="00B91A53"/>
    <w:rsid w:val="00B91CFB"/>
    <w:rsid w:val="00B91ED0"/>
    <w:rsid w:val="00B91FAB"/>
    <w:rsid w:val="00B91FB9"/>
    <w:rsid w:val="00B9203D"/>
    <w:rsid w:val="00B922F0"/>
    <w:rsid w:val="00B924A2"/>
    <w:rsid w:val="00B924B9"/>
    <w:rsid w:val="00B92599"/>
    <w:rsid w:val="00B925F8"/>
    <w:rsid w:val="00B926A4"/>
    <w:rsid w:val="00B92706"/>
    <w:rsid w:val="00B9272F"/>
    <w:rsid w:val="00B92A54"/>
    <w:rsid w:val="00B92B58"/>
    <w:rsid w:val="00B92BF4"/>
    <w:rsid w:val="00B92F26"/>
    <w:rsid w:val="00B92F6D"/>
    <w:rsid w:val="00B93281"/>
    <w:rsid w:val="00B933E2"/>
    <w:rsid w:val="00B934D4"/>
    <w:rsid w:val="00B9357A"/>
    <w:rsid w:val="00B9362C"/>
    <w:rsid w:val="00B938E7"/>
    <w:rsid w:val="00B93A53"/>
    <w:rsid w:val="00B93AF5"/>
    <w:rsid w:val="00B93B5E"/>
    <w:rsid w:val="00B93B7C"/>
    <w:rsid w:val="00B93E3A"/>
    <w:rsid w:val="00B93E8F"/>
    <w:rsid w:val="00B94248"/>
    <w:rsid w:val="00B9432E"/>
    <w:rsid w:val="00B9451D"/>
    <w:rsid w:val="00B9489E"/>
    <w:rsid w:val="00B94AFE"/>
    <w:rsid w:val="00B94E65"/>
    <w:rsid w:val="00B94F24"/>
    <w:rsid w:val="00B94F9D"/>
    <w:rsid w:val="00B952E1"/>
    <w:rsid w:val="00B95393"/>
    <w:rsid w:val="00B95565"/>
    <w:rsid w:val="00B956DE"/>
    <w:rsid w:val="00B95837"/>
    <w:rsid w:val="00B959BD"/>
    <w:rsid w:val="00B95EB7"/>
    <w:rsid w:val="00B960F6"/>
    <w:rsid w:val="00B963D4"/>
    <w:rsid w:val="00B9686B"/>
    <w:rsid w:val="00B96909"/>
    <w:rsid w:val="00B96980"/>
    <w:rsid w:val="00B96AD6"/>
    <w:rsid w:val="00B96AED"/>
    <w:rsid w:val="00B96B4D"/>
    <w:rsid w:val="00B96BCA"/>
    <w:rsid w:val="00B96D61"/>
    <w:rsid w:val="00B96D77"/>
    <w:rsid w:val="00B96E44"/>
    <w:rsid w:val="00B96EB4"/>
    <w:rsid w:val="00B96EC7"/>
    <w:rsid w:val="00B9711D"/>
    <w:rsid w:val="00B97170"/>
    <w:rsid w:val="00B973B4"/>
    <w:rsid w:val="00B97506"/>
    <w:rsid w:val="00B9762D"/>
    <w:rsid w:val="00B9797B"/>
    <w:rsid w:val="00B97990"/>
    <w:rsid w:val="00B979F7"/>
    <w:rsid w:val="00B97AA4"/>
    <w:rsid w:val="00B97B0E"/>
    <w:rsid w:val="00B97C7A"/>
    <w:rsid w:val="00B97D95"/>
    <w:rsid w:val="00B97EC7"/>
    <w:rsid w:val="00B97FC0"/>
    <w:rsid w:val="00B97FF6"/>
    <w:rsid w:val="00BA0100"/>
    <w:rsid w:val="00BA016F"/>
    <w:rsid w:val="00BA018C"/>
    <w:rsid w:val="00BA035E"/>
    <w:rsid w:val="00BA0417"/>
    <w:rsid w:val="00BA071E"/>
    <w:rsid w:val="00BA0B9F"/>
    <w:rsid w:val="00BA0C1F"/>
    <w:rsid w:val="00BA0C47"/>
    <w:rsid w:val="00BA0C81"/>
    <w:rsid w:val="00BA0C95"/>
    <w:rsid w:val="00BA0E12"/>
    <w:rsid w:val="00BA0E2E"/>
    <w:rsid w:val="00BA0FA4"/>
    <w:rsid w:val="00BA0FD9"/>
    <w:rsid w:val="00BA111B"/>
    <w:rsid w:val="00BA1183"/>
    <w:rsid w:val="00BA1221"/>
    <w:rsid w:val="00BA156F"/>
    <w:rsid w:val="00BA171F"/>
    <w:rsid w:val="00BA1757"/>
    <w:rsid w:val="00BA1778"/>
    <w:rsid w:val="00BA1787"/>
    <w:rsid w:val="00BA18EE"/>
    <w:rsid w:val="00BA1E55"/>
    <w:rsid w:val="00BA1F4E"/>
    <w:rsid w:val="00BA20FE"/>
    <w:rsid w:val="00BA21AD"/>
    <w:rsid w:val="00BA21D6"/>
    <w:rsid w:val="00BA22B0"/>
    <w:rsid w:val="00BA2490"/>
    <w:rsid w:val="00BA2546"/>
    <w:rsid w:val="00BA29B2"/>
    <w:rsid w:val="00BA2A2A"/>
    <w:rsid w:val="00BA2AB1"/>
    <w:rsid w:val="00BA2CE3"/>
    <w:rsid w:val="00BA2F02"/>
    <w:rsid w:val="00BA3078"/>
    <w:rsid w:val="00BA30C4"/>
    <w:rsid w:val="00BA31C6"/>
    <w:rsid w:val="00BA3258"/>
    <w:rsid w:val="00BA33A6"/>
    <w:rsid w:val="00BA39E2"/>
    <w:rsid w:val="00BA3A1D"/>
    <w:rsid w:val="00BA3B46"/>
    <w:rsid w:val="00BA3DB9"/>
    <w:rsid w:val="00BA4186"/>
    <w:rsid w:val="00BA4C57"/>
    <w:rsid w:val="00BA4CEC"/>
    <w:rsid w:val="00BA4D12"/>
    <w:rsid w:val="00BA4D19"/>
    <w:rsid w:val="00BA4F45"/>
    <w:rsid w:val="00BA5066"/>
    <w:rsid w:val="00BA50B6"/>
    <w:rsid w:val="00BA5462"/>
    <w:rsid w:val="00BA5477"/>
    <w:rsid w:val="00BA55E6"/>
    <w:rsid w:val="00BA56CC"/>
    <w:rsid w:val="00BA572D"/>
    <w:rsid w:val="00BA5861"/>
    <w:rsid w:val="00BA5892"/>
    <w:rsid w:val="00BA58C0"/>
    <w:rsid w:val="00BA5A26"/>
    <w:rsid w:val="00BA5ABB"/>
    <w:rsid w:val="00BA5B29"/>
    <w:rsid w:val="00BA5FEA"/>
    <w:rsid w:val="00BA6055"/>
    <w:rsid w:val="00BA606E"/>
    <w:rsid w:val="00BA616E"/>
    <w:rsid w:val="00BA6173"/>
    <w:rsid w:val="00BA6187"/>
    <w:rsid w:val="00BA6224"/>
    <w:rsid w:val="00BA6406"/>
    <w:rsid w:val="00BA6417"/>
    <w:rsid w:val="00BA67F8"/>
    <w:rsid w:val="00BA6886"/>
    <w:rsid w:val="00BA6A0F"/>
    <w:rsid w:val="00BA7062"/>
    <w:rsid w:val="00BA71A9"/>
    <w:rsid w:val="00BA72AF"/>
    <w:rsid w:val="00BA72C6"/>
    <w:rsid w:val="00BA76FC"/>
    <w:rsid w:val="00BA7793"/>
    <w:rsid w:val="00BA784A"/>
    <w:rsid w:val="00BA787B"/>
    <w:rsid w:val="00BA7940"/>
    <w:rsid w:val="00BA798C"/>
    <w:rsid w:val="00BA7A98"/>
    <w:rsid w:val="00BA7D77"/>
    <w:rsid w:val="00BA7F9A"/>
    <w:rsid w:val="00BB00E8"/>
    <w:rsid w:val="00BB02A5"/>
    <w:rsid w:val="00BB0511"/>
    <w:rsid w:val="00BB0554"/>
    <w:rsid w:val="00BB0577"/>
    <w:rsid w:val="00BB078C"/>
    <w:rsid w:val="00BB08DA"/>
    <w:rsid w:val="00BB0945"/>
    <w:rsid w:val="00BB0CF3"/>
    <w:rsid w:val="00BB0F12"/>
    <w:rsid w:val="00BB14ED"/>
    <w:rsid w:val="00BB1620"/>
    <w:rsid w:val="00BB18B8"/>
    <w:rsid w:val="00BB198C"/>
    <w:rsid w:val="00BB1ABB"/>
    <w:rsid w:val="00BB1B04"/>
    <w:rsid w:val="00BB1B5C"/>
    <w:rsid w:val="00BB1BBD"/>
    <w:rsid w:val="00BB1DDC"/>
    <w:rsid w:val="00BB1E59"/>
    <w:rsid w:val="00BB1F31"/>
    <w:rsid w:val="00BB1FFF"/>
    <w:rsid w:val="00BB2365"/>
    <w:rsid w:val="00BB24AB"/>
    <w:rsid w:val="00BB24FB"/>
    <w:rsid w:val="00BB2595"/>
    <w:rsid w:val="00BB2697"/>
    <w:rsid w:val="00BB2763"/>
    <w:rsid w:val="00BB27BE"/>
    <w:rsid w:val="00BB2C7F"/>
    <w:rsid w:val="00BB2CF1"/>
    <w:rsid w:val="00BB2DFA"/>
    <w:rsid w:val="00BB2E1F"/>
    <w:rsid w:val="00BB2EF4"/>
    <w:rsid w:val="00BB2FCE"/>
    <w:rsid w:val="00BB2FF8"/>
    <w:rsid w:val="00BB3049"/>
    <w:rsid w:val="00BB3191"/>
    <w:rsid w:val="00BB3243"/>
    <w:rsid w:val="00BB33F6"/>
    <w:rsid w:val="00BB34BC"/>
    <w:rsid w:val="00BB35F4"/>
    <w:rsid w:val="00BB3681"/>
    <w:rsid w:val="00BB3782"/>
    <w:rsid w:val="00BB397C"/>
    <w:rsid w:val="00BB39C0"/>
    <w:rsid w:val="00BB3D91"/>
    <w:rsid w:val="00BB3EF5"/>
    <w:rsid w:val="00BB407F"/>
    <w:rsid w:val="00BB412E"/>
    <w:rsid w:val="00BB44EE"/>
    <w:rsid w:val="00BB4757"/>
    <w:rsid w:val="00BB47B2"/>
    <w:rsid w:val="00BB4877"/>
    <w:rsid w:val="00BB488E"/>
    <w:rsid w:val="00BB4C4C"/>
    <w:rsid w:val="00BB4CAE"/>
    <w:rsid w:val="00BB4D65"/>
    <w:rsid w:val="00BB50F2"/>
    <w:rsid w:val="00BB517C"/>
    <w:rsid w:val="00BB5B59"/>
    <w:rsid w:val="00BB5F99"/>
    <w:rsid w:val="00BB6069"/>
    <w:rsid w:val="00BB61CA"/>
    <w:rsid w:val="00BB6336"/>
    <w:rsid w:val="00BB63B6"/>
    <w:rsid w:val="00BB63CB"/>
    <w:rsid w:val="00BB6448"/>
    <w:rsid w:val="00BB65AC"/>
    <w:rsid w:val="00BB6609"/>
    <w:rsid w:val="00BB6740"/>
    <w:rsid w:val="00BB68A9"/>
    <w:rsid w:val="00BB6A41"/>
    <w:rsid w:val="00BB6B56"/>
    <w:rsid w:val="00BB6C0A"/>
    <w:rsid w:val="00BB6F0F"/>
    <w:rsid w:val="00BB6F8F"/>
    <w:rsid w:val="00BB71C5"/>
    <w:rsid w:val="00BB7491"/>
    <w:rsid w:val="00BB76C5"/>
    <w:rsid w:val="00BB7B88"/>
    <w:rsid w:val="00BB7BDF"/>
    <w:rsid w:val="00BB7C0D"/>
    <w:rsid w:val="00BB7C90"/>
    <w:rsid w:val="00BB7C9D"/>
    <w:rsid w:val="00BB7CB0"/>
    <w:rsid w:val="00BB7D9A"/>
    <w:rsid w:val="00BB7DFF"/>
    <w:rsid w:val="00BC01B8"/>
    <w:rsid w:val="00BC04BB"/>
    <w:rsid w:val="00BC0793"/>
    <w:rsid w:val="00BC0B23"/>
    <w:rsid w:val="00BC0D55"/>
    <w:rsid w:val="00BC0DB4"/>
    <w:rsid w:val="00BC0EFD"/>
    <w:rsid w:val="00BC107A"/>
    <w:rsid w:val="00BC13FB"/>
    <w:rsid w:val="00BC184D"/>
    <w:rsid w:val="00BC18CD"/>
    <w:rsid w:val="00BC1B48"/>
    <w:rsid w:val="00BC1B95"/>
    <w:rsid w:val="00BC1BDD"/>
    <w:rsid w:val="00BC20B0"/>
    <w:rsid w:val="00BC2318"/>
    <w:rsid w:val="00BC2393"/>
    <w:rsid w:val="00BC23D4"/>
    <w:rsid w:val="00BC2534"/>
    <w:rsid w:val="00BC2F62"/>
    <w:rsid w:val="00BC304A"/>
    <w:rsid w:val="00BC30C0"/>
    <w:rsid w:val="00BC3355"/>
    <w:rsid w:val="00BC33A0"/>
    <w:rsid w:val="00BC3766"/>
    <w:rsid w:val="00BC37A7"/>
    <w:rsid w:val="00BC3B42"/>
    <w:rsid w:val="00BC3BE6"/>
    <w:rsid w:val="00BC3CB9"/>
    <w:rsid w:val="00BC3D27"/>
    <w:rsid w:val="00BC3D68"/>
    <w:rsid w:val="00BC3E86"/>
    <w:rsid w:val="00BC41DB"/>
    <w:rsid w:val="00BC4224"/>
    <w:rsid w:val="00BC4492"/>
    <w:rsid w:val="00BC4694"/>
    <w:rsid w:val="00BC4798"/>
    <w:rsid w:val="00BC48AD"/>
    <w:rsid w:val="00BC4976"/>
    <w:rsid w:val="00BC4987"/>
    <w:rsid w:val="00BC49FA"/>
    <w:rsid w:val="00BC4A17"/>
    <w:rsid w:val="00BC4B77"/>
    <w:rsid w:val="00BC4B96"/>
    <w:rsid w:val="00BC4CEC"/>
    <w:rsid w:val="00BC4F5E"/>
    <w:rsid w:val="00BC5011"/>
    <w:rsid w:val="00BC50AB"/>
    <w:rsid w:val="00BC51EA"/>
    <w:rsid w:val="00BC52F9"/>
    <w:rsid w:val="00BC5598"/>
    <w:rsid w:val="00BC5641"/>
    <w:rsid w:val="00BC56AF"/>
    <w:rsid w:val="00BC5964"/>
    <w:rsid w:val="00BC5B1D"/>
    <w:rsid w:val="00BC5B98"/>
    <w:rsid w:val="00BC5CB6"/>
    <w:rsid w:val="00BC5D88"/>
    <w:rsid w:val="00BC5EC8"/>
    <w:rsid w:val="00BC5F21"/>
    <w:rsid w:val="00BC5FDF"/>
    <w:rsid w:val="00BC606C"/>
    <w:rsid w:val="00BC6092"/>
    <w:rsid w:val="00BC60C5"/>
    <w:rsid w:val="00BC62DF"/>
    <w:rsid w:val="00BC6380"/>
    <w:rsid w:val="00BC676F"/>
    <w:rsid w:val="00BC67BD"/>
    <w:rsid w:val="00BC67C0"/>
    <w:rsid w:val="00BC685A"/>
    <w:rsid w:val="00BC6A19"/>
    <w:rsid w:val="00BC6AB2"/>
    <w:rsid w:val="00BC6CC4"/>
    <w:rsid w:val="00BC7078"/>
    <w:rsid w:val="00BC7138"/>
    <w:rsid w:val="00BC713D"/>
    <w:rsid w:val="00BC7183"/>
    <w:rsid w:val="00BC71DF"/>
    <w:rsid w:val="00BC723D"/>
    <w:rsid w:val="00BC7273"/>
    <w:rsid w:val="00BC7296"/>
    <w:rsid w:val="00BC72AB"/>
    <w:rsid w:val="00BC7324"/>
    <w:rsid w:val="00BC7A4C"/>
    <w:rsid w:val="00BC7C93"/>
    <w:rsid w:val="00BC7D3A"/>
    <w:rsid w:val="00BC7F52"/>
    <w:rsid w:val="00BD0004"/>
    <w:rsid w:val="00BD0172"/>
    <w:rsid w:val="00BD05E8"/>
    <w:rsid w:val="00BD07DF"/>
    <w:rsid w:val="00BD088F"/>
    <w:rsid w:val="00BD0C39"/>
    <w:rsid w:val="00BD0CEF"/>
    <w:rsid w:val="00BD0F5F"/>
    <w:rsid w:val="00BD1555"/>
    <w:rsid w:val="00BD1691"/>
    <w:rsid w:val="00BD17F8"/>
    <w:rsid w:val="00BD1826"/>
    <w:rsid w:val="00BD18F8"/>
    <w:rsid w:val="00BD1ABB"/>
    <w:rsid w:val="00BD1B96"/>
    <w:rsid w:val="00BD1BDE"/>
    <w:rsid w:val="00BD1C95"/>
    <w:rsid w:val="00BD1E4F"/>
    <w:rsid w:val="00BD1EC6"/>
    <w:rsid w:val="00BD1F3B"/>
    <w:rsid w:val="00BD206B"/>
    <w:rsid w:val="00BD2333"/>
    <w:rsid w:val="00BD2614"/>
    <w:rsid w:val="00BD262F"/>
    <w:rsid w:val="00BD2686"/>
    <w:rsid w:val="00BD2859"/>
    <w:rsid w:val="00BD28AD"/>
    <w:rsid w:val="00BD2939"/>
    <w:rsid w:val="00BD2A35"/>
    <w:rsid w:val="00BD2B71"/>
    <w:rsid w:val="00BD2C4C"/>
    <w:rsid w:val="00BD2C64"/>
    <w:rsid w:val="00BD2E04"/>
    <w:rsid w:val="00BD2E0F"/>
    <w:rsid w:val="00BD3149"/>
    <w:rsid w:val="00BD33E7"/>
    <w:rsid w:val="00BD34F8"/>
    <w:rsid w:val="00BD37D2"/>
    <w:rsid w:val="00BD39F7"/>
    <w:rsid w:val="00BD3A82"/>
    <w:rsid w:val="00BD3AB5"/>
    <w:rsid w:val="00BD3C83"/>
    <w:rsid w:val="00BD3CF5"/>
    <w:rsid w:val="00BD3D0D"/>
    <w:rsid w:val="00BD3FD6"/>
    <w:rsid w:val="00BD3FE3"/>
    <w:rsid w:val="00BD3FEC"/>
    <w:rsid w:val="00BD43F7"/>
    <w:rsid w:val="00BD4500"/>
    <w:rsid w:val="00BD4572"/>
    <w:rsid w:val="00BD46D9"/>
    <w:rsid w:val="00BD475B"/>
    <w:rsid w:val="00BD47A0"/>
    <w:rsid w:val="00BD488E"/>
    <w:rsid w:val="00BD48B2"/>
    <w:rsid w:val="00BD48F6"/>
    <w:rsid w:val="00BD4AAE"/>
    <w:rsid w:val="00BD4ACD"/>
    <w:rsid w:val="00BD4D6E"/>
    <w:rsid w:val="00BD4E1A"/>
    <w:rsid w:val="00BD4E3C"/>
    <w:rsid w:val="00BD4E7A"/>
    <w:rsid w:val="00BD4F4C"/>
    <w:rsid w:val="00BD4F81"/>
    <w:rsid w:val="00BD50CF"/>
    <w:rsid w:val="00BD5135"/>
    <w:rsid w:val="00BD52C4"/>
    <w:rsid w:val="00BD530A"/>
    <w:rsid w:val="00BD536A"/>
    <w:rsid w:val="00BD53B9"/>
    <w:rsid w:val="00BD55A9"/>
    <w:rsid w:val="00BD5692"/>
    <w:rsid w:val="00BD56C7"/>
    <w:rsid w:val="00BD56DF"/>
    <w:rsid w:val="00BD5BD4"/>
    <w:rsid w:val="00BD5E32"/>
    <w:rsid w:val="00BD6413"/>
    <w:rsid w:val="00BD6489"/>
    <w:rsid w:val="00BD6599"/>
    <w:rsid w:val="00BD6643"/>
    <w:rsid w:val="00BD6893"/>
    <w:rsid w:val="00BD6898"/>
    <w:rsid w:val="00BD6942"/>
    <w:rsid w:val="00BD69D4"/>
    <w:rsid w:val="00BD6D2A"/>
    <w:rsid w:val="00BD6DA1"/>
    <w:rsid w:val="00BD7026"/>
    <w:rsid w:val="00BD7082"/>
    <w:rsid w:val="00BD730F"/>
    <w:rsid w:val="00BD7365"/>
    <w:rsid w:val="00BD7695"/>
    <w:rsid w:val="00BD79D9"/>
    <w:rsid w:val="00BD79E3"/>
    <w:rsid w:val="00BD7A6F"/>
    <w:rsid w:val="00BD7C98"/>
    <w:rsid w:val="00BD7DA9"/>
    <w:rsid w:val="00BD7FCF"/>
    <w:rsid w:val="00BE01EB"/>
    <w:rsid w:val="00BE037C"/>
    <w:rsid w:val="00BE03F0"/>
    <w:rsid w:val="00BE0407"/>
    <w:rsid w:val="00BE048C"/>
    <w:rsid w:val="00BE0A30"/>
    <w:rsid w:val="00BE0E6F"/>
    <w:rsid w:val="00BE0FAD"/>
    <w:rsid w:val="00BE105D"/>
    <w:rsid w:val="00BE115E"/>
    <w:rsid w:val="00BE1241"/>
    <w:rsid w:val="00BE136B"/>
    <w:rsid w:val="00BE13CF"/>
    <w:rsid w:val="00BE151D"/>
    <w:rsid w:val="00BE153E"/>
    <w:rsid w:val="00BE16B3"/>
    <w:rsid w:val="00BE177B"/>
    <w:rsid w:val="00BE17A7"/>
    <w:rsid w:val="00BE17E8"/>
    <w:rsid w:val="00BE197B"/>
    <w:rsid w:val="00BE1DB8"/>
    <w:rsid w:val="00BE221D"/>
    <w:rsid w:val="00BE22B2"/>
    <w:rsid w:val="00BE22C3"/>
    <w:rsid w:val="00BE260D"/>
    <w:rsid w:val="00BE2662"/>
    <w:rsid w:val="00BE2893"/>
    <w:rsid w:val="00BE2BE6"/>
    <w:rsid w:val="00BE2DE8"/>
    <w:rsid w:val="00BE2F27"/>
    <w:rsid w:val="00BE2FF2"/>
    <w:rsid w:val="00BE3046"/>
    <w:rsid w:val="00BE3250"/>
    <w:rsid w:val="00BE343E"/>
    <w:rsid w:val="00BE3684"/>
    <w:rsid w:val="00BE3763"/>
    <w:rsid w:val="00BE3AF0"/>
    <w:rsid w:val="00BE3C59"/>
    <w:rsid w:val="00BE3D93"/>
    <w:rsid w:val="00BE408C"/>
    <w:rsid w:val="00BE420B"/>
    <w:rsid w:val="00BE4373"/>
    <w:rsid w:val="00BE45FD"/>
    <w:rsid w:val="00BE466D"/>
    <w:rsid w:val="00BE46BC"/>
    <w:rsid w:val="00BE4718"/>
    <w:rsid w:val="00BE47BA"/>
    <w:rsid w:val="00BE480C"/>
    <w:rsid w:val="00BE49B6"/>
    <w:rsid w:val="00BE4A9C"/>
    <w:rsid w:val="00BE4FAB"/>
    <w:rsid w:val="00BE4FCA"/>
    <w:rsid w:val="00BE5077"/>
    <w:rsid w:val="00BE5516"/>
    <w:rsid w:val="00BE5700"/>
    <w:rsid w:val="00BE5DA0"/>
    <w:rsid w:val="00BE60C0"/>
    <w:rsid w:val="00BE60E1"/>
    <w:rsid w:val="00BE636C"/>
    <w:rsid w:val="00BE6435"/>
    <w:rsid w:val="00BE64B6"/>
    <w:rsid w:val="00BE655F"/>
    <w:rsid w:val="00BE6599"/>
    <w:rsid w:val="00BE659E"/>
    <w:rsid w:val="00BE6844"/>
    <w:rsid w:val="00BE70B1"/>
    <w:rsid w:val="00BE71D4"/>
    <w:rsid w:val="00BE7216"/>
    <w:rsid w:val="00BE78B7"/>
    <w:rsid w:val="00BE7B37"/>
    <w:rsid w:val="00BE7C17"/>
    <w:rsid w:val="00BE7DCC"/>
    <w:rsid w:val="00BF0046"/>
    <w:rsid w:val="00BF0259"/>
    <w:rsid w:val="00BF027D"/>
    <w:rsid w:val="00BF039C"/>
    <w:rsid w:val="00BF06D1"/>
    <w:rsid w:val="00BF07FF"/>
    <w:rsid w:val="00BF0820"/>
    <w:rsid w:val="00BF0902"/>
    <w:rsid w:val="00BF09E5"/>
    <w:rsid w:val="00BF09E9"/>
    <w:rsid w:val="00BF0AB8"/>
    <w:rsid w:val="00BF0BC3"/>
    <w:rsid w:val="00BF0E23"/>
    <w:rsid w:val="00BF10A5"/>
    <w:rsid w:val="00BF10E6"/>
    <w:rsid w:val="00BF10FD"/>
    <w:rsid w:val="00BF148A"/>
    <w:rsid w:val="00BF14E4"/>
    <w:rsid w:val="00BF14FF"/>
    <w:rsid w:val="00BF1793"/>
    <w:rsid w:val="00BF1B65"/>
    <w:rsid w:val="00BF1C78"/>
    <w:rsid w:val="00BF1C8D"/>
    <w:rsid w:val="00BF1CB0"/>
    <w:rsid w:val="00BF1F95"/>
    <w:rsid w:val="00BF20C4"/>
    <w:rsid w:val="00BF2409"/>
    <w:rsid w:val="00BF2430"/>
    <w:rsid w:val="00BF2483"/>
    <w:rsid w:val="00BF24B6"/>
    <w:rsid w:val="00BF28AB"/>
    <w:rsid w:val="00BF2A28"/>
    <w:rsid w:val="00BF2AAD"/>
    <w:rsid w:val="00BF2B37"/>
    <w:rsid w:val="00BF2DA4"/>
    <w:rsid w:val="00BF2E78"/>
    <w:rsid w:val="00BF319B"/>
    <w:rsid w:val="00BF330B"/>
    <w:rsid w:val="00BF3442"/>
    <w:rsid w:val="00BF34F3"/>
    <w:rsid w:val="00BF3559"/>
    <w:rsid w:val="00BF36CC"/>
    <w:rsid w:val="00BF3A92"/>
    <w:rsid w:val="00BF3F08"/>
    <w:rsid w:val="00BF3FEF"/>
    <w:rsid w:val="00BF4082"/>
    <w:rsid w:val="00BF41AE"/>
    <w:rsid w:val="00BF441E"/>
    <w:rsid w:val="00BF44E8"/>
    <w:rsid w:val="00BF45D2"/>
    <w:rsid w:val="00BF4820"/>
    <w:rsid w:val="00BF488E"/>
    <w:rsid w:val="00BF4963"/>
    <w:rsid w:val="00BF499C"/>
    <w:rsid w:val="00BF4A8C"/>
    <w:rsid w:val="00BF4CE8"/>
    <w:rsid w:val="00BF4D3A"/>
    <w:rsid w:val="00BF4D47"/>
    <w:rsid w:val="00BF4E7A"/>
    <w:rsid w:val="00BF4F3C"/>
    <w:rsid w:val="00BF5311"/>
    <w:rsid w:val="00BF5525"/>
    <w:rsid w:val="00BF55DB"/>
    <w:rsid w:val="00BF580D"/>
    <w:rsid w:val="00BF5893"/>
    <w:rsid w:val="00BF5A18"/>
    <w:rsid w:val="00BF5F2A"/>
    <w:rsid w:val="00BF5FD7"/>
    <w:rsid w:val="00BF60CD"/>
    <w:rsid w:val="00BF610A"/>
    <w:rsid w:val="00BF614C"/>
    <w:rsid w:val="00BF64ED"/>
    <w:rsid w:val="00BF656B"/>
    <w:rsid w:val="00BF68FA"/>
    <w:rsid w:val="00BF69A3"/>
    <w:rsid w:val="00BF6BF2"/>
    <w:rsid w:val="00BF6D7A"/>
    <w:rsid w:val="00BF6DFB"/>
    <w:rsid w:val="00BF6F20"/>
    <w:rsid w:val="00BF6FEB"/>
    <w:rsid w:val="00BF71F0"/>
    <w:rsid w:val="00BF7250"/>
    <w:rsid w:val="00BF7368"/>
    <w:rsid w:val="00BF76B5"/>
    <w:rsid w:val="00BF78C7"/>
    <w:rsid w:val="00BF78F1"/>
    <w:rsid w:val="00BF7BF2"/>
    <w:rsid w:val="00BF7F30"/>
    <w:rsid w:val="00BF7FB7"/>
    <w:rsid w:val="00C00180"/>
    <w:rsid w:val="00C002DF"/>
    <w:rsid w:val="00C0040D"/>
    <w:rsid w:val="00C005F9"/>
    <w:rsid w:val="00C0061B"/>
    <w:rsid w:val="00C0061F"/>
    <w:rsid w:val="00C00731"/>
    <w:rsid w:val="00C00D0B"/>
    <w:rsid w:val="00C00DD7"/>
    <w:rsid w:val="00C00DE5"/>
    <w:rsid w:val="00C00E08"/>
    <w:rsid w:val="00C00FA7"/>
    <w:rsid w:val="00C01043"/>
    <w:rsid w:val="00C01248"/>
    <w:rsid w:val="00C01316"/>
    <w:rsid w:val="00C014B6"/>
    <w:rsid w:val="00C01554"/>
    <w:rsid w:val="00C016D5"/>
    <w:rsid w:val="00C018D2"/>
    <w:rsid w:val="00C01C83"/>
    <w:rsid w:val="00C01CCD"/>
    <w:rsid w:val="00C01DF9"/>
    <w:rsid w:val="00C020E4"/>
    <w:rsid w:val="00C0212B"/>
    <w:rsid w:val="00C02247"/>
    <w:rsid w:val="00C02339"/>
    <w:rsid w:val="00C02355"/>
    <w:rsid w:val="00C02450"/>
    <w:rsid w:val="00C024AD"/>
    <w:rsid w:val="00C02580"/>
    <w:rsid w:val="00C026D0"/>
    <w:rsid w:val="00C027BA"/>
    <w:rsid w:val="00C02937"/>
    <w:rsid w:val="00C02B03"/>
    <w:rsid w:val="00C02B5B"/>
    <w:rsid w:val="00C02C64"/>
    <w:rsid w:val="00C02F66"/>
    <w:rsid w:val="00C0322E"/>
    <w:rsid w:val="00C0331C"/>
    <w:rsid w:val="00C0348E"/>
    <w:rsid w:val="00C035E6"/>
    <w:rsid w:val="00C037C2"/>
    <w:rsid w:val="00C03884"/>
    <w:rsid w:val="00C038ED"/>
    <w:rsid w:val="00C03B72"/>
    <w:rsid w:val="00C03BEC"/>
    <w:rsid w:val="00C03E3A"/>
    <w:rsid w:val="00C03EA7"/>
    <w:rsid w:val="00C03FA1"/>
    <w:rsid w:val="00C03FCF"/>
    <w:rsid w:val="00C040B3"/>
    <w:rsid w:val="00C04423"/>
    <w:rsid w:val="00C04467"/>
    <w:rsid w:val="00C0474C"/>
    <w:rsid w:val="00C0491D"/>
    <w:rsid w:val="00C04A81"/>
    <w:rsid w:val="00C04B13"/>
    <w:rsid w:val="00C05180"/>
    <w:rsid w:val="00C0529E"/>
    <w:rsid w:val="00C052EA"/>
    <w:rsid w:val="00C053CF"/>
    <w:rsid w:val="00C055E4"/>
    <w:rsid w:val="00C0572A"/>
    <w:rsid w:val="00C05885"/>
    <w:rsid w:val="00C05B1F"/>
    <w:rsid w:val="00C05DC3"/>
    <w:rsid w:val="00C05DEC"/>
    <w:rsid w:val="00C05E29"/>
    <w:rsid w:val="00C05E45"/>
    <w:rsid w:val="00C05FC6"/>
    <w:rsid w:val="00C062E8"/>
    <w:rsid w:val="00C065DF"/>
    <w:rsid w:val="00C06CBC"/>
    <w:rsid w:val="00C06EFC"/>
    <w:rsid w:val="00C06F71"/>
    <w:rsid w:val="00C070BC"/>
    <w:rsid w:val="00C07305"/>
    <w:rsid w:val="00C07349"/>
    <w:rsid w:val="00C074A6"/>
    <w:rsid w:val="00C0752E"/>
    <w:rsid w:val="00C076C6"/>
    <w:rsid w:val="00C078AE"/>
    <w:rsid w:val="00C07917"/>
    <w:rsid w:val="00C079A7"/>
    <w:rsid w:val="00C07E37"/>
    <w:rsid w:val="00C07F29"/>
    <w:rsid w:val="00C10206"/>
    <w:rsid w:val="00C1023E"/>
    <w:rsid w:val="00C102C7"/>
    <w:rsid w:val="00C1031B"/>
    <w:rsid w:val="00C10418"/>
    <w:rsid w:val="00C10634"/>
    <w:rsid w:val="00C10929"/>
    <w:rsid w:val="00C10A38"/>
    <w:rsid w:val="00C10B54"/>
    <w:rsid w:val="00C10B7E"/>
    <w:rsid w:val="00C10D16"/>
    <w:rsid w:val="00C10D44"/>
    <w:rsid w:val="00C10D8F"/>
    <w:rsid w:val="00C10DE7"/>
    <w:rsid w:val="00C10E43"/>
    <w:rsid w:val="00C10E54"/>
    <w:rsid w:val="00C110B6"/>
    <w:rsid w:val="00C1122E"/>
    <w:rsid w:val="00C11394"/>
    <w:rsid w:val="00C1142F"/>
    <w:rsid w:val="00C11474"/>
    <w:rsid w:val="00C11478"/>
    <w:rsid w:val="00C11784"/>
    <w:rsid w:val="00C117DF"/>
    <w:rsid w:val="00C11A59"/>
    <w:rsid w:val="00C11AFF"/>
    <w:rsid w:val="00C11CAC"/>
    <w:rsid w:val="00C11D3A"/>
    <w:rsid w:val="00C11EA4"/>
    <w:rsid w:val="00C1215C"/>
    <w:rsid w:val="00C12269"/>
    <w:rsid w:val="00C12471"/>
    <w:rsid w:val="00C124B7"/>
    <w:rsid w:val="00C12596"/>
    <w:rsid w:val="00C125B8"/>
    <w:rsid w:val="00C1270E"/>
    <w:rsid w:val="00C128C2"/>
    <w:rsid w:val="00C1296D"/>
    <w:rsid w:val="00C129AA"/>
    <w:rsid w:val="00C12C9B"/>
    <w:rsid w:val="00C12D04"/>
    <w:rsid w:val="00C12DD5"/>
    <w:rsid w:val="00C12E4D"/>
    <w:rsid w:val="00C12ECA"/>
    <w:rsid w:val="00C12F00"/>
    <w:rsid w:val="00C130FD"/>
    <w:rsid w:val="00C1313A"/>
    <w:rsid w:val="00C1318A"/>
    <w:rsid w:val="00C134AA"/>
    <w:rsid w:val="00C135D8"/>
    <w:rsid w:val="00C13608"/>
    <w:rsid w:val="00C1370D"/>
    <w:rsid w:val="00C13777"/>
    <w:rsid w:val="00C138D9"/>
    <w:rsid w:val="00C13930"/>
    <w:rsid w:val="00C13A2C"/>
    <w:rsid w:val="00C13AC0"/>
    <w:rsid w:val="00C13ADC"/>
    <w:rsid w:val="00C13D16"/>
    <w:rsid w:val="00C13EEE"/>
    <w:rsid w:val="00C13FCD"/>
    <w:rsid w:val="00C14092"/>
    <w:rsid w:val="00C143F8"/>
    <w:rsid w:val="00C14542"/>
    <w:rsid w:val="00C14581"/>
    <w:rsid w:val="00C14699"/>
    <w:rsid w:val="00C14A05"/>
    <w:rsid w:val="00C14D02"/>
    <w:rsid w:val="00C14D1D"/>
    <w:rsid w:val="00C14DDA"/>
    <w:rsid w:val="00C153C9"/>
    <w:rsid w:val="00C157D0"/>
    <w:rsid w:val="00C15837"/>
    <w:rsid w:val="00C158CD"/>
    <w:rsid w:val="00C15A88"/>
    <w:rsid w:val="00C15E2E"/>
    <w:rsid w:val="00C15EBD"/>
    <w:rsid w:val="00C16216"/>
    <w:rsid w:val="00C162F0"/>
    <w:rsid w:val="00C162F5"/>
    <w:rsid w:val="00C16490"/>
    <w:rsid w:val="00C16663"/>
    <w:rsid w:val="00C16887"/>
    <w:rsid w:val="00C168FD"/>
    <w:rsid w:val="00C16AB5"/>
    <w:rsid w:val="00C16C17"/>
    <w:rsid w:val="00C16D17"/>
    <w:rsid w:val="00C16D43"/>
    <w:rsid w:val="00C16DB6"/>
    <w:rsid w:val="00C16E99"/>
    <w:rsid w:val="00C16F13"/>
    <w:rsid w:val="00C17244"/>
    <w:rsid w:val="00C172FC"/>
    <w:rsid w:val="00C173B0"/>
    <w:rsid w:val="00C17402"/>
    <w:rsid w:val="00C17421"/>
    <w:rsid w:val="00C1760F"/>
    <w:rsid w:val="00C1769B"/>
    <w:rsid w:val="00C176AA"/>
    <w:rsid w:val="00C176DF"/>
    <w:rsid w:val="00C177EF"/>
    <w:rsid w:val="00C17824"/>
    <w:rsid w:val="00C17933"/>
    <w:rsid w:val="00C17949"/>
    <w:rsid w:val="00C17980"/>
    <w:rsid w:val="00C17B87"/>
    <w:rsid w:val="00C17BAF"/>
    <w:rsid w:val="00C17C96"/>
    <w:rsid w:val="00C205EA"/>
    <w:rsid w:val="00C20709"/>
    <w:rsid w:val="00C20747"/>
    <w:rsid w:val="00C20B0C"/>
    <w:rsid w:val="00C20B91"/>
    <w:rsid w:val="00C20D0A"/>
    <w:rsid w:val="00C20D0C"/>
    <w:rsid w:val="00C20D8F"/>
    <w:rsid w:val="00C20DFD"/>
    <w:rsid w:val="00C20E4A"/>
    <w:rsid w:val="00C20F39"/>
    <w:rsid w:val="00C20F4E"/>
    <w:rsid w:val="00C20F83"/>
    <w:rsid w:val="00C211D6"/>
    <w:rsid w:val="00C21272"/>
    <w:rsid w:val="00C21565"/>
    <w:rsid w:val="00C21929"/>
    <w:rsid w:val="00C21B58"/>
    <w:rsid w:val="00C21D20"/>
    <w:rsid w:val="00C21D89"/>
    <w:rsid w:val="00C21DFB"/>
    <w:rsid w:val="00C21E7A"/>
    <w:rsid w:val="00C220AA"/>
    <w:rsid w:val="00C22268"/>
    <w:rsid w:val="00C22456"/>
    <w:rsid w:val="00C224E7"/>
    <w:rsid w:val="00C22727"/>
    <w:rsid w:val="00C22BD0"/>
    <w:rsid w:val="00C22C12"/>
    <w:rsid w:val="00C22D18"/>
    <w:rsid w:val="00C22F50"/>
    <w:rsid w:val="00C2304A"/>
    <w:rsid w:val="00C231FF"/>
    <w:rsid w:val="00C23507"/>
    <w:rsid w:val="00C23784"/>
    <w:rsid w:val="00C238C7"/>
    <w:rsid w:val="00C239CD"/>
    <w:rsid w:val="00C23A19"/>
    <w:rsid w:val="00C23A62"/>
    <w:rsid w:val="00C23A76"/>
    <w:rsid w:val="00C23AD1"/>
    <w:rsid w:val="00C23C6F"/>
    <w:rsid w:val="00C23CB2"/>
    <w:rsid w:val="00C23D7B"/>
    <w:rsid w:val="00C23E14"/>
    <w:rsid w:val="00C23F2F"/>
    <w:rsid w:val="00C24310"/>
    <w:rsid w:val="00C243DE"/>
    <w:rsid w:val="00C243F0"/>
    <w:rsid w:val="00C24833"/>
    <w:rsid w:val="00C24870"/>
    <w:rsid w:val="00C24ADF"/>
    <w:rsid w:val="00C24C91"/>
    <w:rsid w:val="00C24FE3"/>
    <w:rsid w:val="00C250E9"/>
    <w:rsid w:val="00C250FA"/>
    <w:rsid w:val="00C25101"/>
    <w:rsid w:val="00C2529A"/>
    <w:rsid w:val="00C2556D"/>
    <w:rsid w:val="00C2566A"/>
    <w:rsid w:val="00C257F1"/>
    <w:rsid w:val="00C25813"/>
    <w:rsid w:val="00C25821"/>
    <w:rsid w:val="00C2598E"/>
    <w:rsid w:val="00C259BD"/>
    <w:rsid w:val="00C25A6C"/>
    <w:rsid w:val="00C25A70"/>
    <w:rsid w:val="00C25B84"/>
    <w:rsid w:val="00C25BCE"/>
    <w:rsid w:val="00C25BDF"/>
    <w:rsid w:val="00C25D18"/>
    <w:rsid w:val="00C25D9D"/>
    <w:rsid w:val="00C25E6F"/>
    <w:rsid w:val="00C26030"/>
    <w:rsid w:val="00C26367"/>
    <w:rsid w:val="00C2637F"/>
    <w:rsid w:val="00C263B6"/>
    <w:rsid w:val="00C2659C"/>
    <w:rsid w:val="00C265A2"/>
    <w:rsid w:val="00C26708"/>
    <w:rsid w:val="00C268C2"/>
    <w:rsid w:val="00C26AD7"/>
    <w:rsid w:val="00C26D82"/>
    <w:rsid w:val="00C26F38"/>
    <w:rsid w:val="00C2713C"/>
    <w:rsid w:val="00C2713D"/>
    <w:rsid w:val="00C27473"/>
    <w:rsid w:val="00C2758D"/>
    <w:rsid w:val="00C276C0"/>
    <w:rsid w:val="00C278A9"/>
    <w:rsid w:val="00C27B21"/>
    <w:rsid w:val="00C27CA2"/>
    <w:rsid w:val="00C27D37"/>
    <w:rsid w:val="00C27D3E"/>
    <w:rsid w:val="00C27FE7"/>
    <w:rsid w:val="00C30066"/>
    <w:rsid w:val="00C30253"/>
    <w:rsid w:val="00C302DE"/>
    <w:rsid w:val="00C303F6"/>
    <w:rsid w:val="00C30688"/>
    <w:rsid w:val="00C30863"/>
    <w:rsid w:val="00C30884"/>
    <w:rsid w:val="00C308C7"/>
    <w:rsid w:val="00C30977"/>
    <w:rsid w:val="00C30A39"/>
    <w:rsid w:val="00C30AEC"/>
    <w:rsid w:val="00C30D38"/>
    <w:rsid w:val="00C30D4C"/>
    <w:rsid w:val="00C31229"/>
    <w:rsid w:val="00C31247"/>
    <w:rsid w:val="00C314E8"/>
    <w:rsid w:val="00C3159F"/>
    <w:rsid w:val="00C31776"/>
    <w:rsid w:val="00C31874"/>
    <w:rsid w:val="00C31A50"/>
    <w:rsid w:val="00C31AB2"/>
    <w:rsid w:val="00C31AFF"/>
    <w:rsid w:val="00C31B00"/>
    <w:rsid w:val="00C31F74"/>
    <w:rsid w:val="00C31F93"/>
    <w:rsid w:val="00C31FE3"/>
    <w:rsid w:val="00C31FE8"/>
    <w:rsid w:val="00C32076"/>
    <w:rsid w:val="00C320BC"/>
    <w:rsid w:val="00C321FD"/>
    <w:rsid w:val="00C3236D"/>
    <w:rsid w:val="00C3246A"/>
    <w:rsid w:val="00C324B6"/>
    <w:rsid w:val="00C32596"/>
    <w:rsid w:val="00C32779"/>
    <w:rsid w:val="00C32B14"/>
    <w:rsid w:val="00C32C30"/>
    <w:rsid w:val="00C32D02"/>
    <w:rsid w:val="00C32D5F"/>
    <w:rsid w:val="00C32D94"/>
    <w:rsid w:val="00C32FBB"/>
    <w:rsid w:val="00C332CF"/>
    <w:rsid w:val="00C33311"/>
    <w:rsid w:val="00C334A5"/>
    <w:rsid w:val="00C33747"/>
    <w:rsid w:val="00C33968"/>
    <w:rsid w:val="00C339A9"/>
    <w:rsid w:val="00C33D30"/>
    <w:rsid w:val="00C33E32"/>
    <w:rsid w:val="00C33F26"/>
    <w:rsid w:val="00C33F49"/>
    <w:rsid w:val="00C33F4A"/>
    <w:rsid w:val="00C33F97"/>
    <w:rsid w:val="00C3410A"/>
    <w:rsid w:val="00C342CA"/>
    <w:rsid w:val="00C3431E"/>
    <w:rsid w:val="00C34333"/>
    <w:rsid w:val="00C3439B"/>
    <w:rsid w:val="00C34444"/>
    <w:rsid w:val="00C34530"/>
    <w:rsid w:val="00C34909"/>
    <w:rsid w:val="00C349EA"/>
    <w:rsid w:val="00C34ABB"/>
    <w:rsid w:val="00C34CA3"/>
    <w:rsid w:val="00C34CC3"/>
    <w:rsid w:val="00C34E3F"/>
    <w:rsid w:val="00C351AD"/>
    <w:rsid w:val="00C352A1"/>
    <w:rsid w:val="00C35698"/>
    <w:rsid w:val="00C356A0"/>
    <w:rsid w:val="00C35A10"/>
    <w:rsid w:val="00C360D4"/>
    <w:rsid w:val="00C3628F"/>
    <w:rsid w:val="00C363C7"/>
    <w:rsid w:val="00C3649C"/>
    <w:rsid w:val="00C366C0"/>
    <w:rsid w:val="00C366EB"/>
    <w:rsid w:val="00C3691B"/>
    <w:rsid w:val="00C36D47"/>
    <w:rsid w:val="00C37097"/>
    <w:rsid w:val="00C3709E"/>
    <w:rsid w:val="00C37325"/>
    <w:rsid w:val="00C37339"/>
    <w:rsid w:val="00C373B6"/>
    <w:rsid w:val="00C37461"/>
    <w:rsid w:val="00C3749F"/>
    <w:rsid w:val="00C376A4"/>
    <w:rsid w:val="00C37759"/>
    <w:rsid w:val="00C378FB"/>
    <w:rsid w:val="00C37C4B"/>
    <w:rsid w:val="00C37C73"/>
    <w:rsid w:val="00C37E10"/>
    <w:rsid w:val="00C400A4"/>
    <w:rsid w:val="00C400A7"/>
    <w:rsid w:val="00C4012E"/>
    <w:rsid w:val="00C4021E"/>
    <w:rsid w:val="00C4023C"/>
    <w:rsid w:val="00C4040E"/>
    <w:rsid w:val="00C4061B"/>
    <w:rsid w:val="00C40855"/>
    <w:rsid w:val="00C40858"/>
    <w:rsid w:val="00C408C5"/>
    <w:rsid w:val="00C40BB7"/>
    <w:rsid w:val="00C40BDA"/>
    <w:rsid w:val="00C40E04"/>
    <w:rsid w:val="00C40FB4"/>
    <w:rsid w:val="00C41030"/>
    <w:rsid w:val="00C411C5"/>
    <w:rsid w:val="00C412A2"/>
    <w:rsid w:val="00C41452"/>
    <w:rsid w:val="00C416F4"/>
    <w:rsid w:val="00C417B3"/>
    <w:rsid w:val="00C41A52"/>
    <w:rsid w:val="00C41B27"/>
    <w:rsid w:val="00C41B6A"/>
    <w:rsid w:val="00C41B93"/>
    <w:rsid w:val="00C41DED"/>
    <w:rsid w:val="00C41E26"/>
    <w:rsid w:val="00C4200C"/>
    <w:rsid w:val="00C42180"/>
    <w:rsid w:val="00C42346"/>
    <w:rsid w:val="00C42446"/>
    <w:rsid w:val="00C42615"/>
    <w:rsid w:val="00C4269B"/>
    <w:rsid w:val="00C42853"/>
    <w:rsid w:val="00C428E2"/>
    <w:rsid w:val="00C4293B"/>
    <w:rsid w:val="00C42ABC"/>
    <w:rsid w:val="00C42B36"/>
    <w:rsid w:val="00C42CD0"/>
    <w:rsid w:val="00C42CF9"/>
    <w:rsid w:val="00C43140"/>
    <w:rsid w:val="00C431A8"/>
    <w:rsid w:val="00C4338A"/>
    <w:rsid w:val="00C433B3"/>
    <w:rsid w:val="00C4360E"/>
    <w:rsid w:val="00C4365B"/>
    <w:rsid w:val="00C437DC"/>
    <w:rsid w:val="00C43928"/>
    <w:rsid w:val="00C43AA5"/>
    <w:rsid w:val="00C43BEC"/>
    <w:rsid w:val="00C43D8E"/>
    <w:rsid w:val="00C4403A"/>
    <w:rsid w:val="00C44087"/>
    <w:rsid w:val="00C4410C"/>
    <w:rsid w:val="00C441BE"/>
    <w:rsid w:val="00C441CC"/>
    <w:rsid w:val="00C44292"/>
    <w:rsid w:val="00C4447F"/>
    <w:rsid w:val="00C445F5"/>
    <w:rsid w:val="00C447C4"/>
    <w:rsid w:val="00C448B2"/>
    <w:rsid w:val="00C449F6"/>
    <w:rsid w:val="00C44A67"/>
    <w:rsid w:val="00C44C56"/>
    <w:rsid w:val="00C44E54"/>
    <w:rsid w:val="00C44FCE"/>
    <w:rsid w:val="00C45017"/>
    <w:rsid w:val="00C4535B"/>
    <w:rsid w:val="00C454A3"/>
    <w:rsid w:val="00C4577F"/>
    <w:rsid w:val="00C4585F"/>
    <w:rsid w:val="00C458ED"/>
    <w:rsid w:val="00C458F2"/>
    <w:rsid w:val="00C45A6F"/>
    <w:rsid w:val="00C45AC1"/>
    <w:rsid w:val="00C45AF5"/>
    <w:rsid w:val="00C45B71"/>
    <w:rsid w:val="00C45C3C"/>
    <w:rsid w:val="00C45D3D"/>
    <w:rsid w:val="00C45F66"/>
    <w:rsid w:val="00C461CB"/>
    <w:rsid w:val="00C463CA"/>
    <w:rsid w:val="00C46452"/>
    <w:rsid w:val="00C46607"/>
    <w:rsid w:val="00C468D4"/>
    <w:rsid w:val="00C46974"/>
    <w:rsid w:val="00C46C3D"/>
    <w:rsid w:val="00C46E31"/>
    <w:rsid w:val="00C46E61"/>
    <w:rsid w:val="00C470EF"/>
    <w:rsid w:val="00C4720B"/>
    <w:rsid w:val="00C47379"/>
    <w:rsid w:val="00C473DB"/>
    <w:rsid w:val="00C474D4"/>
    <w:rsid w:val="00C47549"/>
    <w:rsid w:val="00C47580"/>
    <w:rsid w:val="00C475DC"/>
    <w:rsid w:val="00C47723"/>
    <w:rsid w:val="00C477AC"/>
    <w:rsid w:val="00C4790E"/>
    <w:rsid w:val="00C501EF"/>
    <w:rsid w:val="00C5024E"/>
    <w:rsid w:val="00C502AD"/>
    <w:rsid w:val="00C50565"/>
    <w:rsid w:val="00C50B55"/>
    <w:rsid w:val="00C50B94"/>
    <w:rsid w:val="00C50EEE"/>
    <w:rsid w:val="00C5116A"/>
    <w:rsid w:val="00C51309"/>
    <w:rsid w:val="00C514CD"/>
    <w:rsid w:val="00C51563"/>
    <w:rsid w:val="00C51583"/>
    <w:rsid w:val="00C51587"/>
    <w:rsid w:val="00C516BF"/>
    <w:rsid w:val="00C51753"/>
    <w:rsid w:val="00C51814"/>
    <w:rsid w:val="00C51AFB"/>
    <w:rsid w:val="00C51C3F"/>
    <w:rsid w:val="00C51DA0"/>
    <w:rsid w:val="00C5224F"/>
    <w:rsid w:val="00C522B2"/>
    <w:rsid w:val="00C52597"/>
    <w:rsid w:val="00C527C7"/>
    <w:rsid w:val="00C528F9"/>
    <w:rsid w:val="00C5295F"/>
    <w:rsid w:val="00C52A0C"/>
    <w:rsid w:val="00C52A36"/>
    <w:rsid w:val="00C52B7A"/>
    <w:rsid w:val="00C52C7C"/>
    <w:rsid w:val="00C52C95"/>
    <w:rsid w:val="00C52DD9"/>
    <w:rsid w:val="00C52E2E"/>
    <w:rsid w:val="00C52EBC"/>
    <w:rsid w:val="00C53037"/>
    <w:rsid w:val="00C53061"/>
    <w:rsid w:val="00C53463"/>
    <w:rsid w:val="00C5368A"/>
    <w:rsid w:val="00C538EF"/>
    <w:rsid w:val="00C5395B"/>
    <w:rsid w:val="00C53BB9"/>
    <w:rsid w:val="00C53CF4"/>
    <w:rsid w:val="00C53E08"/>
    <w:rsid w:val="00C53E24"/>
    <w:rsid w:val="00C53E32"/>
    <w:rsid w:val="00C53F15"/>
    <w:rsid w:val="00C53F3A"/>
    <w:rsid w:val="00C540DC"/>
    <w:rsid w:val="00C5435A"/>
    <w:rsid w:val="00C543C6"/>
    <w:rsid w:val="00C54484"/>
    <w:rsid w:val="00C54581"/>
    <w:rsid w:val="00C545EE"/>
    <w:rsid w:val="00C54641"/>
    <w:rsid w:val="00C5465A"/>
    <w:rsid w:val="00C549C9"/>
    <w:rsid w:val="00C54CB8"/>
    <w:rsid w:val="00C54E47"/>
    <w:rsid w:val="00C55012"/>
    <w:rsid w:val="00C5506B"/>
    <w:rsid w:val="00C551C2"/>
    <w:rsid w:val="00C551FE"/>
    <w:rsid w:val="00C5537F"/>
    <w:rsid w:val="00C55734"/>
    <w:rsid w:val="00C5596C"/>
    <w:rsid w:val="00C55973"/>
    <w:rsid w:val="00C55A0B"/>
    <w:rsid w:val="00C55BBA"/>
    <w:rsid w:val="00C55D58"/>
    <w:rsid w:val="00C5608A"/>
    <w:rsid w:val="00C56162"/>
    <w:rsid w:val="00C56188"/>
    <w:rsid w:val="00C562B8"/>
    <w:rsid w:val="00C56385"/>
    <w:rsid w:val="00C564C8"/>
    <w:rsid w:val="00C56977"/>
    <w:rsid w:val="00C56A09"/>
    <w:rsid w:val="00C56BC6"/>
    <w:rsid w:val="00C56CD0"/>
    <w:rsid w:val="00C56E62"/>
    <w:rsid w:val="00C56EDD"/>
    <w:rsid w:val="00C570E9"/>
    <w:rsid w:val="00C570F7"/>
    <w:rsid w:val="00C5710E"/>
    <w:rsid w:val="00C57252"/>
    <w:rsid w:val="00C57259"/>
    <w:rsid w:val="00C5736E"/>
    <w:rsid w:val="00C573D9"/>
    <w:rsid w:val="00C57428"/>
    <w:rsid w:val="00C574A9"/>
    <w:rsid w:val="00C57557"/>
    <w:rsid w:val="00C57609"/>
    <w:rsid w:val="00C57799"/>
    <w:rsid w:val="00C578AE"/>
    <w:rsid w:val="00C57A00"/>
    <w:rsid w:val="00C57A28"/>
    <w:rsid w:val="00C57C84"/>
    <w:rsid w:val="00C57E5E"/>
    <w:rsid w:val="00C57F77"/>
    <w:rsid w:val="00C57FF5"/>
    <w:rsid w:val="00C6009B"/>
    <w:rsid w:val="00C600D6"/>
    <w:rsid w:val="00C60190"/>
    <w:rsid w:val="00C6039B"/>
    <w:rsid w:val="00C60480"/>
    <w:rsid w:val="00C60579"/>
    <w:rsid w:val="00C6065A"/>
    <w:rsid w:val="00C606A3"/>
    <w:rsid w:val="00C606D5"/>
    <w:rsid w:val="00C606E1"/>
    <w:rsid w:val="00C606E8"/>
    <w:rsid w:val="00C6078F"/>
    <w:rsid w:val="00C60A91"/>
    <w:rsid w:val="00C60C9D"/>
    <w:rsid w:val="00C60D96"/>
    <w:rsid w:val="00C60E66"/>
    <w:rsid w:val="00C611B9"/>
    <w:rsid w:val="00C61424"/>
    <w:rsid w:val="00C61C8B"/>
    <w:rsid w:val="00C620E5"/>
    <w:rsid w:val="00C62117"/>
    <w:rsid w:val="00C6229F"/>
    <w:rsid w:val="00C623C5"/>
    <w:rsid w:val="00C623C7"/>
    <w:rsid w:val="00C624BE"/>
    <w:rsid w:val="00C62611"/>
    <w:rsid w:val="00C6273A"/>
    <w:rsid w:val="00C627C6"/>
    <w:rsid w:val="00C627F1"/>
    <w:rsid w:val="00C6289F"/>
    <w:rsid w:val="00C629C0"/>
    <w:rsid w:val="00C629EF"/>
    <w:rsid w:val="00C62A1A"/>
    <w:rsid w:val="00C62BCD"/>
    <w:rsid w:val="00C62BDB"/>
    <w:rsid w:val="00C62EB2"/>
    <w:rsid w:val="00C633E3"/>
    <w:rsid w:val="00C63517"/>
    <w:rsid w:val="00C637EB"/>
    <w:rsid w:val="00C638E7"/>
    <w:rsid w:val="00C63A13"/>
    <w:rsid w:val="00C63B35"/>
    <w:rsid w:val="00C63E97"/>
    <w:rsid w:val="00C63EB7"/>
    <w:rsid w:val="00C63F73"/>
    <w:rsid w:val="00C63F89"/>
    <w:rsid w:val="00C64244"/>
    <w:rsid w:val="00C645F2"/>
    <w:rsid w:val="00C64983"/>
    <w:rsid w:val="00C64A38"/>
    <w:rsid w:val="00C64EF3"/>
    <w:rsid w:val="00C650AE"/>
    <w:rsid w:val="00C6516B"/>
    <w:rsid w:val="00C65308"/>
    <w:rsid w:val="00C6549D"/>
    <w:rsid w:val="00C654F4"/>
    <w:rsid w:val="00C65502"/>
    <w:rsid w:val="00C655B8"/>
    <w:rsid w:val="00C65711"/>
    <w:rsid w:val="00C659AF"/>
    <w:rsid w:val="00C65A07"/>
    <w:rsid w:val="00C65AB7"/>
    <w:rsid w:val="00C65B0A"/>
    <w:rsid w:val="00C65C80"/>
    <w:rsid w:val="00C65C8B"/>
    <w:rsid w:val="00C65DF4"/>
    <w:rsid w:val="00C65E46"/>
    <w:rsid w:val="00C65ED7"/>
    <w:rsid w:val="00C660D0"/>
    <w:rsid w:val="00C660DF"/>
    <w:rsid w:val="00C663DD"/>
    <w:rsid w:val="00C664EF"/>
    <w:rsid w:val="00C665DF"/>
    <w:rsid w:val="00C665E4"/>
    <w:rsid w:val="00C666D9"/>
    <w:rsid w:val="00C6673E"/>
    <w:rsid w:val="00C667CC"/>
    <w:rsid w:val="00C668A0"/>
    <w:rsid w:val="00C669DE"/>
    <w:rsid w:val="00C66B1F"/>
    <w:rsid w:val="00C66CD0"/>
    <w:rsid w:val="00C66D0F"/>
    <w:rsid w:val="00C66DF6"/>
    <w:rsid w:val="00C66E37"/>
    <w:rsid w:val="00C66FC6"/>
    <w:rsid w:val="00C67351"/>
    <w:rsid w:val="00C6745F"/>
    <w:rsid w:val="00C67493"/>
    <w:rsid w:val="00C67554"/>
    <w:rsid w:val="00C6769E"/>
    <w:rsid w:val="00C67899"/>
    <w:rsid w:val="00C678A3"/>
    <w:rsid w:val="00C67F3C"/>
    <w:rsid w:val="00C70130"/>
    <w:rsid w:val="00C7025D"/>
    <w:rsid w:val="00C7027F"/>
    <w:rsid w:val="00C7042C"/>
    <w:rsid w:val="00C704ED"/>
    <w:rsid w:val="00C70733"/>
    <w:rsid w:val="00C7081B"/>
    <w:rsid w:val="00C708A8"/>
    <w:rsid w:val="00C70998"/>
    <w:rsid w:val="00C70A39"/>
    <w:rsid w:val="00C70A98"/>
    <w:rsid w:val="00C70BD8"/>
    <w:rsid w:val="00C70FA2"/>
    <w:rsid w:val="00C7117F"/>
    <w:rsid w:val="00C71185"/>
    <w:rsid w:val="00C712D9"/>
    <w:rsid w:val="00C71520"/>
    <w:rsid w:val="00C716FC"/>
    <w:rsid w:val="00C71721"/>
    <w:rsid w:val="00C71981"/>
    <w:rsid w:val="00C71A90"/>
    <w:rsid w:val="00C71ADA"/>
    <w:rsid w:val="00C72311"/>
    <w:rsid w:val="00C7237C"/>
    <w:rsid w:val="00C7279D"/>
    <w:rsid w:val="00C728AE"/>
    <w:rsid w:val="00C729F5"/>
    <w:rsid w:val="00C72CE9"/>
    <w:rsid w:val="00C72E46"/>
    <w:rsid w:val="00C7326A"/>
    <w:rsid w:val="00C7339F"/>
    <w:rsid w:val="00C73837"/>
    <w:rsid w:val="00C73864"/>
    <w:rsid w:val="00C73AEC"/>
    <w:rsid w:val="00C73B56"/>
    <w:rsid w:val="00C73C96"/>
    <w:rsid w:val="00C73DF6"/>
    <w:rsid w:val="00C7405E"/>
    <w:rsid w:val="00C741A9"/>
    <w:rsid w:val="00C741DB"/>
    <w:rsid w:val="00C742D5"/>
    <w:rsid w:val="00C74367"/>
    <w:rsid w:val="00C743C2"/>
    <w:rsid w:val="00C74442"/>
    <w:rsid w:val="00C746A3"/>
    <w:rsid w:val="00C74711"/>
    <w:rsid w:val="00C747AB"/>
    <w:rsid w:val="00C7495E"/>
    <w:rsid w:val="00C74B28"/>
    <w:rsid w:val="00C74BE5"/>
    <w:rsid w:val="00C74D6D"/>
    <w:rsid w:val="00C74E20"/>
    <w:rsid w:val="00C7524F"/>
    <w:rsid w:val="00C752C9"/>
    <w:rsid w:val="00C7544F"/>
    <w:rsid w:val="00C75564"/>
    <w:rsid w:val="00C7571D"/>
    <w:rsid w:val="00C757B5"/>
    <w:rsid w:val="00C75829"/>
    <w:rsid w:val="00C75942"/>
    <w:rsid w:val="00C75A33"/>
    <w:rsid w:val="00C75CD3"/>
    <w:rsid w:val="00C75F26"/>
    <w:rsid w:val="00C76008"/>
    <w:rsid w:val="00C76027"/>
    <w:rsid w:val="00C764BE"/>
    <w:rsid w:val="00C765DB"/>
    <w:rsid w:val="00C769F0"/>
    <w:rsid w:val="00C76B05"/>
    <w:rsid w:val="00C76C3F"/>
    <w:rsid w:val="00C76E7A"/>
    <w:rsid w:val="00C76FE7"/>
    <w:rsid w:val="00C77070"/>
    <w:rsid w:val="00C771A3"/>
    <w:rsid w:val="00C77391"/>
    <w:rsid w:val="00C77436"/>
    <w:rsid w:val="00C775A1"/>
    <w:rsid w:val="00C77606"/>
    <w:rsid w:val="00C777B2"/>
    <w:rsid w:val="00C777F4"/>
    <w:rsid w:val="00C779A1"/>
    <w:rsid w:val="00C77A09"/>
    <w:rsid w:val="00C77A3D"/>
    <w:rsid w:val="00C77B83"/>
    <w:rsid w:val="00C77C2A"/>
    <w:rsid w:val="00C77CCE"/>
    <w:rsid w:val="00C77D33"/>
    <w:rsid w:val="00C80075"/>
    <w:rsid w:val="00C8007C"/>
    <w:rsid w:val="00C80319"/>
    <w:rsid w:val="00C8042D"/>
    <w:rsid w:val="00C80492"/>
    <w:rsid w:val="00C804E0"/>
    <w:rsid w:val="00C804EE"/>
    <w:rsid w:val="00C8055E"/>
    <w:rsid w:val="00C806D7"/>
    <w:rsid w:val="00C80880"/>
    <w:rsid w:val="00C808E6"/>
    <w:rsid w:val="00C80AC8"/>
    <w:rsid w:val="00C80C73"/>
    <w:rsid w:val="00C80E60"/>
    <w:rsid w:val="00C80E8F"/>
    <w:rsid w:val="00C8115C"/>
    <w:rsid w:val="00C8131B"/>
    <w:rsid w:val="00C81527"/>
    <w:rsid w:val="00C81597"/>
    <w:rsid w:val="00C815ED"/>
    <w:rsid w:val="00C81639"/>
    <w:rsid w:val="00C81829"/>
    <w:rsid w:val="00C81C15"/>
    <w:rsid w:val="00C81C8B"/>
    <w:rsid w:val="00C81D8E"/>
    <w:rsid w:val="00C81DBC"/>
    <w:rsid w:val="00C81E0A"/>
    <w:rsid w:val="00C81EAB"/>
    <w:rsid w:val="00C81F73"/>
    <w:rsid w:val="00C82396"/>
    <w:rsid w:val="00C823A8"/>
    <w:rsid w:val="00C826F5"/>
    <w:rsid w:val="00C82822"/>
    <w:rsid w:val="00C82A75"/>
    <w:rsid w:val="00C82CE3"/>
    <w:rsid w:val="00C82FF6"/>
    <w:rsid w:val="00C83087"/>
    <w:rsid w:val="00C8312E"/>
    <w:rsid w:val="00C83142"/>
    <w:rsid w:val="00C831CB"/>
    <w:rsid w:val="00C83219"/>
    <w:rsid w:val="00C83327"/>
    <w:rsid w:val="00C8335E"/>
    <w:rsid w:val="00C8342D"/>
    <w:rsid w:val="00C8347E"/>
    <w:rsid w:val="00C8349D"/>
    <w:rsid w:val="00C836A2"/>
    <w:rsid w:val="00C83736"/>
    <w:rsid w:val="00C8373A"/>
    <w:rsid w:val="00C83934"/>
    <w:rsid w:val="00C83994"/>
    <w:rsid w:val="00C83ACD"/>
    <w:rsid w:val="00C83AF4"/>
    <w:rsid w:val="00C83DDD"/>
    <w:rsid w:val="00C83F28"/>
    <w:rsid w:val="00C8419B"/>
    <w:rsid w:val="00C8429A"/>
    <w:rsid w:val="00C84306"/>
    <w:rsid w:val="00C84366"/>
    <w:rsid w:val="00C84545"/>
    <w:rsid w:val="00C84597"/>
    <w:rsid w:val="00C84667"/>
    <w:rsid w:val="00C8471F"/>
    <w:rsid w:val="00C84A89"/>
    <w:rsid w:val="00C84AD2"/>
    <w:rsid w:val="00C84FB6"/>
    <w:rsid w:val="00C852B9"/>
    <w:rsid w:val="00C852CB"/>
    <w:rsid w:val="00C85432"/>
    <w:rsid w:val="00C856F0"/>
    <w:rsid w:val="00C85755"/>
    <w:rsid w:val="00C8579F"/>
    <w:rsid w:val="00C85816"/>
    <w:rsid w:val="00C85858"/>
    <w:rsid w:val="00C858D2"/>
    <w:rsid w:val="00C85BA8"/>
    <w:rsid w:val="00C85CA4"/>
    <w:rsid w:val="00C85EBE"/>
    <w:rsid w:val="00C8608C"/>
    <w:rsid w:val="00C8616F"/>
    <w:rsid w:val="00C86201"/>
    <w:rsid w:val="00C864B3"/>
    <w:rsid w:val="00C8652E"/>
    <w:rsid w:val="00C8666B"/>
    <w:rsid w:val="00C86679"/>
    <w:rsid w:val="00C86B01"/>
    <w:rsid w:val="00C86CA6"/>
    <w:rsid w:val="00C86E30"/>
    <w:rsid w:val="00C86EE0"/>
    <w:rsid w:val="00C87537"/>
    <w:rsid w:val="00C87806"/>
    <w:rsid w:val="00C87866"/>
    <w:rsid w:val="00C878E3"/>
    <w:rsid w:val="00C87946"/>
    <w:rsid w:val="00C87993"/>
    <w:rsid w:val="00C87A2D"/>
    <w:rsid w:val="00C87B35"/>
    <w:rsid w:val="00C87FEB"/>
    <w:rsid w:val="00C903A4"/>
    <w:rsid w:val="00C90A26"/>
    <w:rsid w:val="00C90B09"/>
    <w:rsid w:val="00C90B14"/>
    <w:rsid w:val="00C90B20"/>
    <w:rsid w:val="00C90D89"/>
    <w:rsid w:val="00C90DAC"/>
    <w:rsid w:val="00C90E50"/>
    <w:rsid w:val="00C90E55"/>
    <w:rsid w:val="00C90F3A"/>
    <w:rsid w:val="00C910C2"/>
    <w:rsid w:val="00C91367"/>
    <w:rsid w:val="00C913D2"/>
    <w:rsid w:val="00C91449"/>
    <w:rsid w:val="00C91B12"/>
    <w:rsid w:val="00C91B84"/>
    <w:rsid w:val="00C91C12"/>
    <w:rsid w:val="00C92060"/>
    <w:rsid w:val="00C92251"/>
    <w:rsid w:val="00C92485"/>
    <w:rsid w:val="00C92568"/>
    <w:rsid w:val="00C926D7"/>
    <w:rsid w:val="00C92725"/>
    <w:rsid w:val="00C927A6"/>
    <w:rsid w:val="00C92934"/>
    <w:rsid w:val="00C929A5"/>
    <w:rsid w:val="00C92B36"/>
    <w:rsid w:val="00C92CDD"/>
    <w:rsid w:val="00C92EF7"/>
    <w:rsid w:val="00C92F5F"/>
    <w:rsid w:val="00C92FA8"/>
    <w:rsid w:val="00C9305B"/>
    <w:rsid w:val="00C93136"/>
    <w:rsid w:val="00C931DD"/>
    <w:rsid w:val="00C9353F"/>
    <w:rsid w:val="00C93667"/>
    <w:rsid w:val="00C936CA"/>
    <w:rsid w:val="00C93734"/>
    <w:rsid w:val="00C93987"/>
    <w:rsid w:val="00C93B01"/>
    <w:rsid w:val="00C93BC9"/>
    <w:rsid w:val="00C93C58"/>
    <w:rsid w:val="00C93C80"/>
    <w:rsid w:val="00C93D5B"/>
    <w:rsid w:val="00C93D95"/>
    <w:rsid w:val="00C93E21"/>
    <w:rsid w:val="00C93E5F"/>
    <w:rsid w:val="00C94135"/>
    <w:rsid w:val="00C94190"/>
    <w:rsid w:val="00C94280"/>
    <w:rsid w:val="00C94296"/>
    <w:rsid w:val="00C9461C"/>
    <w:rsid w:val="00C9478E"/>
    <w:rsid w:val="00C94ACF"/>
    <w:rsid w:val="00C94BFF"/>
    <w:rsid w:val="00C94C12"/>
    <w:rsid w:val="00C94C5B"/>
    <w:rsid w:val="00C94E5A"/>
    <w:rsid w:val="00C94F61"/>
    <w:rsid w:val="00C95102"/>
    <w:rsid w:val="00C9538F"/>
    <w:rsid w:val="00C95465"/>
    <w:rsid w:val="00C95621"/>
    <w:rsid w:val="00C9562D"/>
    <w:rsid w:val="00C95649"/>
    <w:rsid w:val="00C95675"/>
    <w:rsid w:val="00C95B8F"/>
    <w:rsid w:val="00C95C8C"/>
    <w:rsid w:val="00C95D14"/>
    <w:rsid w:val="00C95E9F"/>
    <w:rsid w:val="00C9610F"/>
    <w:rsid w:val="00C96124"/>
    <w:rsid w:val="00C962D0"/>
    <w:rsid w:val="00C964E7"/>
    <w:rsid w:val="00C964EC"/>
    <w:rsid w:val="00C96745"/>
    <w:rsid w:val="00C9682C"/>
    <w:rsid w:val="00C96899"/>
    <w:rsid w:val="00C96D00"/>
    <w:rsid w:val="00C96E45"/>
    <w:rsid w:val="00C97645"/>
    <w:rsid w:val="00C9774D"/>
    <w:rsid w:val="00C9786D"/>
    <w:rsid w:val="00C97A23"/>
    <w:rsid w:val="00C97EAB"/>
    <w:rsid w:val="00C97FC8"/>
    <w:rsid w:val="00C97FE5"/>
    <w:rsid w:val="00CA009F"/>
    <w:rsid w:val="00CA01C5"/>
    <w:rsid w:val="00CA03D2"/>
    <w:rsid w:val="00CA053B"/>
    <w:rsid w:val="00CA06FF"/>
    <w:rsid w:val="00CA073C"/>
    <w:rsid w:val="00CA07C9"/>
    <w:rsid w:val="00CA08C3"/>
    <w:rsid w:val="00CA08F7"/>
    <w:rsid w:val="00CA0DD8"/>
    <w:rsid w:val="00CA0E56"/>
    <w:rsid w:val="00CA113E"/>
    <w:rsid w:val="00CA122E"/>
    <w:rsid w:val="00CA13DA"/>
    <w:rsid w:val="00CA13E1"/>
    <w:rsid w:val="00CA13EC"/>
    <w:rsid w:val="00CA1477"/>
    <w:rsid w:val="00CA14B0"/>
    <w:rsid w:val="00CA160D"/>
    <w:rsid w:val="00CA1616"/>
    <w:rsid w:val="00CA1A25"/>
    <w:rsid w:val="00CA1A40"/>
    <w:rsid w:val="00CA1AF1"/>
    <w:rsid w:val="00CA1D31"/>
    <w:rsid w:val="00CA1D69"/>
    <w:rsid w:val="00CA1D90"/>
    <w:rsid w:val="00CA1E95"/>
    <w:rsid w:val="00CA2129"/>
    <w:rsid w:val="00CA212F"/>
    <w:rsid w:val="00CA2164"/>
    <w:rsid w:val="00CA261B"/>
    <w:rsid w:val="00CA2697"/>
    <w:rsid w:val="00CA295E"/>
    <w:rsid w:val="00CA29BF"/>
    <w:rsid w:val="00CA2F3B"/>
    <w:rsid w:val="00CA2FA2"/>
    <w:rsid w:val="00CA2FC4"/>
    <w:rsid w:val="00CA3061"/>
    <w:rsid w:val="00CA307C"/>
    <w:rsid w:val="00CA3207"/>
    <w:rsid w:val="00CA326A"/>
    <w:rsid w:val="00CA33BE"/>
    <w:rsid w:val="00CA33C9"/>
    <w:rsid w:val="00CA34DA"/>
    <w:rsid w:val="00CA351C"/>
    <w:rsid w:val="00CA356A"/>
    <w:rsid w:val="00CA356C"/>
    <w:rsid w:val="00CA38F2"/>
    <w:rsid w:val="00CA3961"/>
    <w:rsid w:val="00CA3BB4"/>
    <w:rsid w:val="00CA3D04"/>
    <w:rsid w:val="00CA3DED"/>
    <w:rsid w:val="00CA40C5"/>
    <w:rsid w:val="00CA4282"/>
    <w:rsid w:val="00CA42BB"/>
    <w:rsid w:val="00CA42F1"/>
    <w:rsid w:val="00CA4665"/>
    <w:rsid w:val="00CA4685"/>
    <w:rsid w:val="00CA46B0"/>
    <w:rsid w:val="00CA4764"/>
    <w:rsid w:val="00CA47FA"/>
    <w:rsid w:val="00CA485A"/>
    <w:rsid w:val="00CA494F"/>
    <w:rsid w:val="00CA4E3E"/>
    <w:rsid w:val="00CA4F60"/>
    <w:rsid w:val="00CA4F6C"/>
    <w:rsid w:val="00CA5075"/>
    <w:rsid w:val="00CA5218"/>
    <w:rsid w:val="00CA5245"/>
    <w:rsid w:val="00CA52C5"/>
    <w:rsid w:val="00CA554F"/>
    <w:rsid w:val="00CA5746"/>
    <w:rsid w:val="00CA58D1"/>
    <w:rsid w:val="00CA591E"/>
    <w:rsid w:val="00CA59B4"/>
    <w:rsid w:val="00CA5B1F"/>
    <w:rsid w:val="00CA5C9B"/>
    <w:rsid w:val="00CA5D43"/>
    <w:rsid w:val="00CA5F4C"/>
    <w:rsid w:val="00CA601D"/>
    <w:rsid w:val="00CA6198"/>
    <w:rsid w:val="00CA61EF"/>
    <w:rsid w:val="00CA6291"/>
    <w:rsid w:val="00CA62AB"/>
    <w:rsid w:val="00CA6344"/>
    <w:rsid w:val="00CA6354"/>
    <w:rsid w:val="00CA638B"/>
    <w:rsid w:val="00CA63BD"/>
    <w:rsid w:val="00CA6405"/>
    <w:rsid w:val="00CA6475"/>
    <w:rsid w:val="00CA6709"/>
    <w:rsid w:val="00CA6944"/>
    <w:rsid w:val="00CA6A13"/>
    <w:rsid w:val="00CA6A45"/>
    <w:rsid w:val="00CA6D38"/>
    <w:rsid w:val="00CA6D7A"/>
    <w:rsid w:val="00CA6E4F"/>
    <w:rsid w:val="00CA7216"/>
    <w:rsid w:val="00CA790A"/>
    <w:rsid w:val="00CA7999"/>
    <w:rsid w:val="00CA7BE7"/>
    <w:rsid w:val="00CA7BF7"/>
    <w:rsid w:val="00CA7D88"/>
    <w:rsid w:val="00CB0007"/>
    <w:rsid w:val="00CB0194"/>
    <w:rsid w:val="00CB01A7"/>
    <w:rsid w:val="00CB02CF"/>
    <w:rsid w:val="00CB0409"/>
    <w:rsid w:val="00CB0763"/>
    <w:rsid w:val="00CB07A1"/>
    <w:rsid w:val="00CB08AE"/>
    <w:rsid w:val="00CB09CB"/>
    <w:rsid w:val="00CB0B38"/>
    <w:rsid w:val="00CB0B40"/>
    <w:rsid w:val="00CB1338"/>
    <w:rsid w:val="00CB16C0"/>
    <w:rsid w:val="00CB16C1"/>
    <w:rsid w:val="00CB17B2"/>
    <w:rsid w:val="00CB195E"/>
    <w:rsid w:val="00CB19C9"/>
    <w:rsid w:val="00CB1B8F"/>
    <w:rsid w:val="00CB1D50"/>
    <w:rsid w:val="00CB1F1B"/>
    <w:rsid w:val="00CB200B"/>
    <w:rsid w:val="00CB20FF"/>
    <w:rsid w:val="00CB21C6"/>
    <w:rsid w:val="00CB2408"/>
    <w:rsid w:val="00CB2B2F"/>
    <w:rsid w:val="00CB2FEA"/>
    <w:rsid w:val="00CB32A6"/>
    <w:rsid w:val="00CB334F"/>
    <w:rsid w:val="00CB38D9"/>
    <w:rsid w:val="00CB39A3"/>
    <w:rsid w:val="00CB3A3B"/>
    <w:rsid w:val="00CB3C8D"/>
    <w:rsid w:val="00CB3DB9"/>
    <w:rsid w:val="00CB3E4C"/>
    <w:rsid w:val="00CB3EA1"/>
    <w:rsid w:val="00CB3EBB"/>
    <w:rsid w:val="00CB422A"/>
    <w:rsid w:val="00CB42EC"/>
    <w:rsid w:val="00CB44DE"/>
    <w:rsid w:val="00CB456A"/>
    <w:rsid w:val="00CB4609"/>
    <w:rsid w:val="00CB462A"/>
    <w:rsid w:val="00CB4A94"/>
    <w:rsid w:val="00CB4AE1"/>
    <w:rsid w:val="00CB4F4C"/>
    <w:rsid w:val="00CB4F7A"/>
    <w:rsid w:val="00CB50C6"/>
    <w:rsid w:val="00CB521B"/>
    <w:rsid w:val="00CB52B3"/>
    <w:rsid w:val="00CB52EB"/>
    <w:rsid w:val="00CB5583"/>
    <w:rsid w:val="00CB55AD"/>
    <w:rsid w:val="00CB5627"/>
    <w:rsid w:val="00CB57BB"/>
    <w:rsid w:val="00CB5873"/>
    <w:rsid w:val="00CB5992"/>
    <w:rsid w:val="00CB5998"/>
    <w:rsid w:val="00CB5CC6"/>
    <w:rsid w:val="00CB5D4F"/>
    <w:rsid w:val="00CB605D"/>
    <w:rsid w:val="00CB6292"/>
    <w:rsid w:val="00CB647A"/>
    <w:rsid w:val="00CB6484"/>
    <w:rsid w:val="00CB653A"/>
    <w:rsid w:val="00CB6745"/>
    <w:rsid w:val="00CB6E8C"/>
    <w:rsid w:val="00CB7128"/>
    <w:rsid w:val="00CB71E0"/>
    <w:rsid w:val="00CB73D6"/>
    <w:rsid w:val="00CB75A2"/>
    <w:rsid w:val="00CB75CB"/>
    <w:rsid w:val="00CB777A"/>
    <w:rsid w:val="00CB7961"/>
    <w:rsid w:val="00CB79E4"/>
    <w:rsid w:val="00CB7BCD"/>
    <w:rsid w:val="00CB7C42"/>
    <w:rsid w:val="00CB7C5A"/>
    <w:rsid w:val="00CB7D61"/>
    <w:rsid w:val="00CB7D6D"/>
    <w:rsid w:val="00CB7DB5"/>
    <w:rsid w:val="00CB7EE2"/>
    <w:rsid w:val="00CC0103"/>
    <w:rsid w:val="00CC0254"/>
    <w:rsid w:val="00CC026C"/>
    <w:rsid w:val="00CC03A6"/>
    <w:rsid w:val="00CC07FB"/>
    <w:rsid w:val="00CC0858"/>
    <w:rsid w:val="00CC095C"/>
    <w:rsid w:val="00CC0A2E"/>
    <w:rsid w:val="00CC0BBE"/>
    <w:rsid w:val="00CC0D73"/>
    <w:rsid w:val="00CC0D90"/>
    <w:rsid w:val="00CC0FB6"/>
    <w:rsid w:val="00CC101C"/>
    <w:rsid w:val="00CC1026"/>
    <w:rsid w:val="00CC1067"/>
    <w:rsid w:val="00CC10C7"/>
    <w:rsid w:val="00CC10FD"/>
    <w:rsid w:val="00CC113F"/>
    <w:rsid w:val="00CC130A"/>
    <w:rsid w:val="00CC139D"/>
    <w:rsid w:val="00CC16D2"/>
    <w:rsid w:val="00CC17CA"/>
    <w:rsid w:val="00CC17D6"/>
    <w:rsid w:val="00CC1979"/>
    <w:rsid w:val="00CC1A2A"/>
    <w:rsid w:val="00CC1A7C"/>
    <w:rsid w:val="00CC1AFA"/>
    <w:rsid w:val="00CC218C"/>
    <w:rsid w:val="00CC242F"/>
    <w:rsid w:val="00CC26BD"/>
    <w:rsid w:val="00CC283B"/>
    <w:rsid w:val="00CC2840"/>
    <w:rsid w:val="00CC2A0F"/>
    <w:rsid w:val="00CC2C2E"/>
    <w:rsid w:val="00CC2CDF"/>
    <w:rsid w:val="00CC2E02"/>
    <w:rsid w:val="00CC38FA"/>
    <w:rsid w:val="00CC3CBA"/>
    <w:rsid w:val="00CC3D92"/>
    <w:rsid w:val="00CC3EC8"/>
    <w:rsid w:val="00CC3F92"/>
    <w:rsid w:val="00CC4042"/>
    <w:rsid w:val="00CC4212"/>
    <w:rsid w:val="00CC44FF"/>
    <w:rsid w:val="00CC4616"/>
    <w:rsid w:val="00CC4991"/>
    <w:rsid w:val="00CC4C18"/>
    <w:rsid w:val="00CC4EB5"/>
    <w:rsid w:val="00CC51B8"/>
    <w:rsid w:val="00CC51CB"/>
    <w:rsid w:val="00CC5624"/>
    <w:rsid w:val="00CC5671"/>
    <w:rsid w:val="00CC571F"/>
    <w:rsid w:val="00CC5798"/>
    <w:rsid w:val="00CC5915"/>
    <w:rsid w:val="00CC5988"/>
    <w:rsid w:val="00CC59F7"/>
    <w:rsid w:val="00CC5A03"/>
    <w:rsid w:val="00CC5AF8"/>
    <w:rsid w:val="00CC5C25"/>
    <w:rsid w:val="00CC5CD3"/>
    <w:rsid w:val="00CC5CF3"/>
    <w:rsid w:val="00CC5D52"/>
    <w:rsid w:val="00CC5FEF"/>
    <w:rsid w:val="00CC6572"/>
    <w:rsid w:val="00CC6651"/>
    <w:rsid w:val="00CC6D41"/>
    <w:rsid w:val="00CC6DF6"/>
    <w:rsid w:val="00CC6E5B"/>
    <w:rsid w:val="00CC6E88"/>
    <w:rsid w:val="00CC71A2"/>
    <w:rsid w:val="00CC71AA"/>
    <w:rsid w:val="00CC724D"/>
    <w:rsid w:val="00CC727E"/>
    <w:rsid w:val="00CC73C4"/>
    <w:rsid w:val="00CC75EB"/>
    <w:rsid w:val="00CC7632"/>
    <w:rsid w:val="00CC7825"/>
    <w:rsid w:val="00CC7876"/>
    <w:rsid w:val="00CC79F7"/>
    <w:rsid w:val="00CC7A48"/>
    <w:rsid w:val="00CC7D7F"/>
    <w:rsid w:val="00CC7DF1"/>
    <w:rsid w:val="00CD0094"/>
    <w:rsid w:val="00CD00CD"/>
    <w:rsid w:val="00CD011A"/>
    <w:rsid w:val="00CD0296"/>
    <w:rsid w:val="00CD045F"/>
    <w:rsid w:val="00CD0751"/>
    <w:rsid w:val="00CD09B6"/>
    <w:rsid w:val="00CD0B0F"/>
    <w:rsid w:val="00CD0C39"/>
    <w:rsid w:val="00CD0DD4"/>
    <w:rsid w:val="00CD1061"/>
    <w:rsid w:val="00CD11EB"/>
    <w:rsid w:val="00CD1A61"/>
    <w:rsid w:val="00CD1ADA"/>
    <w:rsid w:val="00CD1E5C"/>
    <w:rsid w:val="00CD1E7A"/>
    <w:rsid w:val="00CD1F16"/>
    <w:rsid w:val="00CD2170"/>
    <w:rsid w:val="00CD239A"/>
    <w:rsid w:val="00CD2606"/>
    <w:rsid w:val="00CD2860"/>
    <w:rsid w:val="00CD2C50"/>
    <w:rsid w:val="00CD2E07"/>
    <w:rsid w:val="00CD2E89"/>
    <w:rsid w:val="00CD2F95"/>
    <w:rsid w:val="00CD2FBA"/>
    <w:rsid w:val="00CD3302"/>
    <w:rsid w:val="00CD3595"/>
    <w:rsid w:val="00CD3855"/>
    <w:rsid w:val="00CD3879"/>
    <w:rsid w:val="00CD38BF"/>
    <w:rsid w:val="00CD38CA"/>
    <w:rsid w:val="00CD390B"/>
    <w:rsid w:val="00CD3913"/>
    <w:rsid w:val="00CD3A7C"/>
    <w:rsid w:val="00CD3BB8"/>
    <w:rsid w:val="00CD3C30"/>
    <w:rsid w:val="00CD3DA1"/>
    <w:rsid w:val="00CD3FC1"/>
    <w:rsid w:val="00CD400B"/>
    <w:rsid w:val="00CD4227"/>
    <w:rsid w:val="00CD4365"/>
    <w:rsid w:val="00CD446A"/>
    <w:rsid w:val="00CD4635"/>
    <w:rsid w:val="00CD48A6"/>
    <w:rsid w:val="00CD4986"/>
    <w:rsid w:val="00CD4ADB"/>
    <w:rsid w:val="00CD4B59"/>
    <w:rsid w:val="00CD4B96"/>
    <w:rsid w:val="00CD4BD6"/>
    <w:rsid w:val="00CD4C26"/>
    <w:rsid w:val="00CD4C40"/>
    <w:rsid w:val="00CD4CF2"/>
    <w:rsid w:val="00CD4EAD"/>
    <w:rsid w:val="00CD4EE9"/>
    <w:rsid w:val="00CD4F62"/>
    <w:rsid w:val="00CD5362"/>
    <w:rsid w:val="00CD5375"/>
    <w:rsid w:val="00CD54EC"/>
    <w:rsid w:val="00CD5516"/>
    <w:rsid w:val="00CD57E1"/>
    <w:rsid w:val="00CD5BB0"/>
    <w:rsid w:val="00CD5CD8"/>
    <w:rsid w:val="00CD5EFD"/>
    <w:rsid w:val="00CD645D"/>
    <w:rsid w:val="00CD67AD"/>
    <w:rsid w:val="00CD67F8"/>
    <w:rsid w:val="00CD6978"/>
    <w:rsid w:val="00CD699D"/>
    <w:rsid w:val="00CD69DC"/>
    <w:rsid w:val="00CD6C31"/>
    <w:rsid w:val="00CD6D9E"/>
    <w:rsid w:val="00CD6F20"/>
    <w:rsid w:val="00CD6F76"/>
    <w:rsid w:val="00CD7141"/>
    <w:rsid w:val="00CD75CF"/>
    <w:rsid w:val="00CD7A70"/>
    <w:rsid w:val="00CD7AE5"/>
    <w:rsid w:val="00CD7B15"/>
    <w:rsid w:val="00CD7EE3"/>
    <w:rsid w:val="00CE014A"/>
    <w:rsid w:val="00CE019F"/>
    <w:rsid w:val="00CE01B0"/>
    <w:rsid w:val="00CE023F"/>
    <w:rsid w:val="00CE0359"/>
    <w:rsid w:val="00CE04AF"/>
    <w:rsid w:val="00CE05E3"/>
    <w:rsid w:val="00CE0669"/>
    <w:rsid w:val="00CE0721"/>
    <w:rsid w:val="00CE0C9C"/>
    <w:rsid w:val="00CE0CB3"/>
    <w:rsid w:val="00CE0CC4"/>
    <w:rsid w:val="00CE0DAC"/>
    <w:rsid w:val="00CE0DDE"/>
    <w:rsid w:val="00CE0ED3"/>
    <w:rsid w:val="00CE0EDB"/>
    <w:rsid w:val="00CE1117"/>
    <w:rsid w:val="00CE11B7"/>
    <w:rsid w:val="00CE1272"/>
    <w:rsid w:val="00CE1670"/>
    <w:rsid w:val="00CE16B3"/>
    <w:rsid w:val="00CE186B"/>
    <w:rsid w:val="00CE1B98"/>
    <w:rsid w:val="00CE1CAB"/>
    <w:rsid w:val="00CE1DC8"/>
    <w:rsid w:val="00CE20F4"/>
    <w:rsid w:val="00CE2654"/>
    <w:rsid w:val="00CE281A"/>
    <w:rsid w:val="00CE2B13"/>
    <w:rsid w:val="00CE304A"/>
    <w:rsid w:val="00CE3223"/>
    <w:rsid w:val="00CE3295"/>
    <w:rsid w:val="00CE32ED"/>
    <w:rsid w:val="00CE33BF"/>
    <w:rsid w:val="00CE3945"/>
    <w:rsid w:val="00CE3A37"/>
    <w:rsid w:val="00CE3BAA"/>
    <w:rsid w:val="00CE3DA1"/>
    <w:rsid w:val="00CE3E4C"/>
    <w:rsid w:val="00CE3FAE"/>
    <w:rsid w:val="00CE4251"/>
    <w:rsid w:val="00CE468C"/>
    <w:rsid w:val="00CE469A"/>
    <w:rsid w:val="00CE486D"/>
    <w:rsid w:val="00CE49B0"/>
    <w:rsid w:val="00CE4A55"/>
    <w:rsid w:val="00CE4A5F"/>
    <w:rsid w:val="00CE4ABC"/>
    <w:rsid w:val="00CE4C80"/>
    <w:rsid w:val="00CE4D86"/>
    <w:rsid w:val="00CE501F"/>
    <w:rsid w:val="00CE511E"/>
    <w:rsid w:val="00CE5152"/>
    <w:rsid w:val="00CE5318"/>
    <w:rsid w:val="00CE562C"/>
    <w:rsid w:val="00CE589D"/>
    <w:rsid w:val="00CE5955"/>
    <w:rsid w:val="00CE595B"/>
    <w:rsid w:val="00CE5A95"/>
    <w:rsid w:val="00CE5AA2"/>
    <w:rsid w:val="00CE5B10"/>
    <w:rsid w:val="00CE5B5C"/>
    <w:rsid w:val="00CE5CDB"/>
    <w:rsid w:val="00CE5D4E"/>
    <w:rsid w:val="00CE5DAB"/>
    <w:rsid w:val="00CE5DE1"/>
    <w:rsid w:val="00CE608A"/>
    <w:rsid w:val="00CE6132"/>
    <w:rsid w:val="00CE6375"/>
    <w:rsid w:val="00CE64E0"/>
    <w:rsid w:val="00CE65DE"/>
    <w:rsid w:val="00CE6708"/>
    <w:rsid w:val="00CE679F"/>
    <w:rsid w:val="00CE68E4"/>
    <w:rsid w:val="00CE6D05"/>
    <w:rsid w:val="00CE6D24"/>
    <w:rsid w:val="00CE6EB1"/>
    <w:rsid w:val="00CE734D"/>
    <w:rsid w:val="00CE7461"/>
    <w:rsid w:val="00CE7AC3"/>
    <w:rsid w:val="00CE7BAD"/>
    <w:rsid w:val="00CE7CF0"/>
    <w:rsid w:val="00CF00F6"/>
    <w:rsid w:val="00CF01A1"/>
    <w:rsid w:val="00CF0322"/>
    <w:rsid w:val="00CF0BB3"/>
    <w:rsid w:val="00CF0E6F"/>
    <w:rsid w:val="00CF0ED6"/>
    <w:rsid w:val="00CF0F64"/>
    <w:rsid w:val="00CF1052"/>
    <w:rsid w:val="00CF114E"/>
    <w:rsid w:val="00CF1208"/>
    <w:rsid w:val="00CF1699"/>
    <w:rsid w:val="00CF195C"/>
    <w:rsid w:val="00CF1BD6"/>
    <w:rsid w:val="00CF1C0F"/>
    <w:rsid w:val="00CF1CF3"/>
    <w:rsid w:val="00CF1FDE"/>
    <w:rsid w:val="00CF2094"/>
    <w:rsid w:val="00CF20D8"/>
    <w:rsid w:val="00CF230E"/>
    <w:rsid w:val="00CF283E"/>
    <w:rsid w:val="00CF29F1"/>
    <w:rsid w:val="00CF2A6D"/>
    <w:rsid w:val="00CF2B3C"/>
    <w:rsid w:val="00CF2E3F"/>
    <w:rsid w:val="00CF3188"/>
    <w:rsid w:val="00CF331B"/>
    <w:rsid w:val="00CF333D"/>
    <w:rsid w:val="00CF3C92"/>
    <w:rsid w:val="00CF3F5F"/>
    <w:rsid w:val="00CF3FDA"/>
    <w:rsid w:val="00CF495D"/>
    <w:rsid w:val="00CF4C12"/>
    <w:rsid w:val="00CF4E29"/>
    <w:rsid w:val="00CF4FBE"/>
    <w:rsid w:val="00CF5083"/>
    <w:rsid w:val="00CF51F2"/>
    <w:rsid w:val="00CF51FC"/>
    <w:rsid w:val="00CF59C7"/>
    <w:rsid w:val="00CF5C50"/>
    <w:rsid w:val="00CF5CE9"/>
    <w:rsid w:val="00CF5F70"/>
    <w:rsid w:val="00CF601D"/>
    <w:rsid w:val="00CF603E"/>
    <w:rsid w:val="00CF6062"/>
    <w:rsid w:val="00CF60F0"/>
    <w:rsid w:val="00CF61CD"/>
    <w:rsid w:val="00CF62B9"/>
    <w:rsid w:val="00CF643B"/>
    <w:rsid w:val="00CF6509"/>
    <w:rsid w:val="00CF683A"/>
    <w:rsid w:val="00CF687F"/>
    <w:rsid w:val="00CF6953"/>
    <w:rsid w:val="00CF6998"/>
    <w:rsid w:val="00CF6D4E"/>
    <w:rsid w:val="00CF6DE2"/>
    <w:rsid w:val="00CF726C"/>
    <w:rsid w:val="00CF7319"/>
    <w:rsid w:val="00CF73EB"/>
    <w:rsid w:val="00CF749D"/>
    <w:rsid w:val="00CF751C"/>
    <w:rsid w:val="00CF7619"/>
    <w:rsid w:val="00CF7649"/>
    <w:rsid w:val="00CF776B"/>
    <w:rsid w:val="00CF79BC"/>
    <w:rsid w:val="00CF7D66"/>
    <w:rsid w:val="00D00187"/>
    <w:rsid w:val="00D0021C"/>
    <w:rsid w:val="00D00343"/>
    <w:rsid w:val="00D003FF"/>
    <w:rsid w:val="00D00722"/>
    <w:rsid w:val="00D007C5"/>
    <w:rsid w:val="00D0098F"/>
    <w:rsid w:val="00D00AD2"/>
    <w:rsid w:val="00D00B72"/>
    <w:rsid w:val="00D00D90"/>
    <w:rsid w:val="00D00E06"/>
    <w:rsid w:val="00D00EBB"/>
    <w:rsid w:val="00D010E1"/>
    <w:rsid w:val="00D013F3"/>
    <w:rsid w:val="00D016E4"/>
    <w:rsid w:val="00D01768"/>
    <w:rsid w:val="00D01771"/>
    <w:rsid w:val="00D018B8"/>
    <w:rsid w:val="00D01943"/>
    <w:rsid w:val="00D0197A"/>
    <w:rsid w:val="00D01B23"/>
    <w:rsid w:val="00D01CBE"/>
    <w:rsid w:val="00D01DFA"/>
    <w:rsid w:val="00D01E1A"/>
    <w:rsid w:val="00D01E9E"/>
    <w:rsid w:val="00D02088"/>
    <w:rsid w:val="00D0213F"/>
    <w:rsid w:val="00D02262"/>
    <w:rsid w:val="00D02399"/>
    <w:rsid w:val="00D023BE"/>
    <w:rsid w:val="00D023C8"/>
    <w:rsid w:val="00D02403"/>
    <w:rsid w:val="00D0248D"/>
    <w:rsid w:val="00D026C4"/>
    <w:rsid w:val="00D0277C"/>
    <w:rsid w:val="00D028E9"/>
    <w:rsid w:val="00D02C6A"/>
    <w:rsid w:val="00D02E5D"/>
    <w:rsid w:val="00D02EF3"/>
    <w:rsid w:val="00D02F6E"/>
    <w:rsid w:val="00D031CB"/>
    <w:rsid w:val="00D032D5"/>
    <w:rsid w:val="00D03317"/>
    <w:rsid w:val="00D035D1"/>
    <w:rsid w:val="00D0371C"/>
    <w:rsid w:val="00D03C6E"/>
    <w:rsid w:val="00D03D1B"/>
    <w:rsid w:val="00D03D84"/>
    <w:rsid w:val="00D03DD0"/>
    <w:rsid w:val="00D03F2F"/>
    <w:rsid w:val="00D0432A"/>
    <w:rsid w:val="00D045A5"/>
    <w:rsid w:val="00D048BD"/>
    <w:rsid w:val="00D04A42"/>
    <w:rsid w:val="00D04A94"/>
    <w:rsid w:val="00D04AAB"/>
    <w:rsid w:val="00D04B5E"/>
    <w:rsid w:val="00D04C1F"/>
    <w:rsid w:val="00D04D90"/>
    <w:rsid w:val="00D04F06"/>
    <w:rsid w:val="00D0500E"/>
    <w:rsid w:val="00D050B4"/>
    <w:rsid w:val="00D05148"/>
    <w:rsid w:val="00D052EA"/>
    <w:rsid w:val="00D05387"/>
    <w:rsid w:val="00D05856"/>
    <w:rsid w:val="00D05E70"/>
    <w:rsid w:val="00D05EBE"/>
    <w:rsid w:val="00D05F12"/>
    <w:rsid w:val="00D06042"/>
    <w:rsid w:val="00D06059"/>
    <w:rsid w:val="00D06187"/>
    <w:rsid w:val="00D0618C"/>
    <w:rsid w:val="00D0619B"/>
    <w:rsid w:val="00D06313"/>
    <w:rsid w:val="00D06473"/>
    <w:rsid w:val="00D067CD"/>
    <w:rsid w:val="00D067FA"/>
    <w:rsid w:val="00D06888"/>
    <w:rsid w:val="00D06A6C"/>
    <w:rsid w:val="00D06BDE"/>
    <w:rsid w:val="00D06C15"/>
    <w:rsid w:val="00D06D8D"/>
    <w:rsid w:val="00D06E0D"/>
    <w:rsid w:val="00D06E54"/>
    <w:rsid w:val="00D06F04"/>
    <w:rsid w:val="00D06F17"/>
    <w:rsid w:val="00D07409"/>
    <w:rsid w:val="00D07627"/>
    <w:rsid w:val="00D076F5"/>
    <w:rsid w:val="00D077AA"/>
    <w:rsid w:val="00D07851"/>
    <w:rsid w:val="00D078C6"/>
    <w:rsid w:val="00D079D8"/>
    <w:rsid w:val="00D07C61"/>
    <w:rsid w:val="00D1001A"/>
    <w:rsid w:val="00D10120"/>
    <w:rsid w:val="00D1017C"/>
    <w:rsid w:val="00D10232"/>
    <w:rsid w:val="00D103EF"/>
    <w:rsid w:val="00D1057A"/>
    <w:rsid w:val="00D1069C"/>
    <w:rsid w:val="00D1078E"/>
    <w:rsid w:val="00D10873"/>
    <w:rsid w:val="00D108C6"/>
    <w:rsid w:val="00D108E9"/>
    <w:rsid w:val="00D10953"/>
    <w:rsid w:val="00D109F7"/>
    <w:rsid w:val="00D10A44"/>
    <w:rsid w:val="00D10BBB"/>
    <w:rsid w:val="00D10DCB"/>
    <w:rsid w:val="00D10DF4"/>
    <w:rsid w:val="00D10F43"/>
    <w:rsid w:val="00D1108E"/>
    <w:rsid w:val="00D11580"/>
    <w:rsid w:val="00D116C4"/>
    <w:rsid w:val="00D117FD"/>
    <w:rsid w:val="00D11A20"/>
    <w:rsid w:val="00D11B63"/>
    <w:rsid w:val="00D11CD7"/>
    <w:rsid w:val="00D121EC"/>
    <w:rsid w:val="00D121F4"/>
    <w:rsid w:val="00D122EF"/>
    <w:rsid w:val="00D12807"/>
    <w:rsid w:val="00D12AA8"/>
    <w:rsid w:val="00D12AD1"/>
    <w:rsid w:val="00D12D2A"/>
    <w:rsid w:val="00D12DA7"/>
    <w:rsid w:val="00D12F9B"/>
    <w:rsid w:val="00D130EE"/>
    <w:rsid w:val="00D130F1"/>
    <w:rsid w:val="00D1329F"/>
    <w:rsid w:val="00D1359B"/>
    <w:rsid w:val="00D13644"/>
    <w:rsid w:val="00D13901"/>
    <w:rsid w:val="00D13F68"/>
    <w:rsid w:val="00D14017"/>
    <w:rsid w:val="00D14059"/>
    <w:rsid w:val="00D1409E"/>
    <w:rsid w:val="00D14113"/>
    <w:rsid w:val="00D14161"/>
    <w:rsid w:val="00D144A4"/>
    <w:rsid w:val="00D144A5"/>
    <w:rsid w:val="00D147F1"/>
    <w:rsid w:val="00D148A1"/>
    <w:rsid w:val="00D148EF"/>
    <w:rsid w:val="00D14DBF"/>
    <w:rsid w:val="00D150EC"/>
    <w:rsid w:val="00D152DE"/>
    <w:rsid w:val="00D154D8"/>
    <w:rsid w:val="00D154E4"/>
    <w:rsid w:val="00D158D3"/>
    <w:rsid w:val="00D158D9"/>
    <w:rsid w:val="00D158E1"/>
    <w:rsid w:val="00D15BFC"/>
    <w:rsid w:val="00D15EF2"/>
    <w:rsid w:val="00D16111"/>
    <w:rsid w:val="00D1651F"/>
    <w:rsid w:val="00D165BD"/>
    <w:rsid w:val="00D16750"/>
    <w:rsid w:val="00D16764"/>
    <w:rsid w:val="00D16784"/>
    <w:rsid w:val="00D16918"/>
    <w:rsid w:val="00D16B10"/>
    <w:rsid w:val="00D16CA0"/>
    <w:rsid w:val="00D16D43"/>
    <w:rsid w:val="00D16E5E"/>
    <w:rsid w:val="00D16F24"/>
    <w:rsid w:val="00D17026"/>
    <w:rsid w:val="00D17054"/>
    <w:rsid w:val="00D17322"/>
    <w:rsid w:val="00D17552"/>
    <w:rsid w:val="00D179D0"/>
    <w:rsid w:val="00D17A46"/>
    <w:rsid w:val="00D17CAF"/>
    <w:rsid w:val="00D17E9E"/>
    <w:rsid w:val="00D20180"/>
    <w:rsid w:val="00D2022D"/>
    <w:rsid w:val="00D20253"/>
    <w:rsid w:val="00D205E5"/>
    <w:rsid w:val="00D206E6"/>
    <w:rsid w:val="00D206F3"/>
    <w:rsid w:val="00D2085E"/>
    <w:rsid w:val="00D208FF"/>
    <w:rsid w:val="00D209F4"/>
    <w:rsid w:val="00D20BC6"/>
    <w:rsid w:val="00D20E16"/>
    <w:rsid w:val="00D20E59"/>
    <w:rsid w:val="00D20FB3"/>
    <w:rsid w:val="00D20FC1"/>
    <w:rsid w:val="00D20FE2"/>
    <w:rsid w:val="00D21078"/>
    <w:rsid w:val="00D2110A"/>
    <w:rsid w:val="00D2115B"/>
    <w:rsid w:val="00D211ED"/>
    <w:rsid w:val="00D21321"/>
    <w:rsid w:val="00D2137B"/>
    <w:rsid w:val="00D217EB"/>
    <w:rsid w:val="00D219BC"/>
    <w:rsid w:val="00D21B3F"/>
    <w:rsid w:val="00D21B4C"/>
    <w:rsid w:val="00D21D9B"/>
    <w:rsid w:val="00D21DDA"/>
    <w:rsid w:val="00D21F32"/>
    <w:rsid w:val="00D21FC2"/>
    <w:rsid w:val="00D2200F"/>
    <w:rsid w:val="00D22071"/>
    <w:rsid w:val="00D221A8"/>
    <w:rsid w:val="00D22395"/>
    <w:rsid w:val="00D22403"/>
    <w:rsid w:val="00D22431"/>
    <w:rsid w:val="00D2255F"/>
    <w:rsid w:val="00D225B6"/>
    <w:rsid w:val="00D22637"/>
    <w:rsid w:val="00D22745"/>
    <w:rsid w:val="00D22885"/>
    <w:rsid w:val="00D22ACD"/>
    <w:rsid w:val="00D22AEA"/>
    <w:rsid w:val="00D22B77"/>
    <w:rsid w:val="00D22BB1"/>
    <w:rsid w:val="00D22EB7"/>
    <w:rsid w:val="00D23237"/>
    <w:rsid w:val="00D23278"/>
    <w:rsid w:val="00D2350B"/>
    <w:rsid w:val="00D2350F"/>
    <w:rsid w:val="00D2366C"/>
    <w:rsid w:val="00D236EB"/>
    <w:rsid w:val="00D23762"/>
    <w:rsid w:val="00D238ED"/>
    <w:rsid w:val="00D239B5"/>
    <w:rsid w:val="00D23A4F"/>
    <w:rsid w:val="00D23AAF"/>
    <w:rsid w:val="00D23C3E"/>
    <w:rsid w:val="00D23CF4"/>
    <w:rsid w:val="00D23EA6"/>
    <w:rsid w:val="00D23EE2"/>
    <w:rsid w:val="00D23F8E"/>
    <w:rsid w:val="00D24016"/>
    <w:rsid w:val="00D24264"/>
    <w:rsid w:val="00D243A0"/>
    <w:rsid w:val="00D245E4"/>
    <w:rsid w:val="00D2470E"/>
    <w:rsid w:val="00D24768"/>
    <w:rsid w:val="00D24810"/>
    <w:rsid w:val="00D2482E"/>
    <w:rsid w:val="00D24852"/>
    <w:rsid w:val="00D24A26"/>
    <w:rsid w:val="00D24B57"/>
    <w:rsid w:val="00D24B79"/>
    <w:rsid w:val="00D24CFA"/>
    <w:rsid w:val="00D24ED4"/>
    <w:rsid w:val="00D24F0B"/>
    <w:rsid w:val="00D24F5C"/>
    <w:rsid w:val="00D250FD"/>
    <w:rsid w:val="00D2523F"/>
    <w:rsid w:val="00D25885"/>
    <w:rsid w:val="00D25915"/>
    <w:rsid w:val="00D25F28"/>
    <w:rsid w:val="00D25F79"/>
    <w:rsid w:val="00D26014"/>
    <w:rsid w:val="00D26058"/>
    <w:rsid w:val="00D2627B"/>
    <w:rsid w:val="00D263CE"/>
    <w:rsid w:val="00D26437"/>
    <w:rsid w:val="00D269B9"/>
    <w:rsid w:val="00D26A52"/>
    <w:rsid w:val="00D26C84"/>
    <w:rsid w:val="00D27227"/>
    <w:rsid w:val="00D2722F"/>
    <w:rsid w:val="00D27492"/>
    <w:rsid w:val="00D27504"/>
    <w:rsid w:val="00D277ED"/>
    <w:rsid w:val="00D278FC"/>
    <w:rsid w:val="00D27A3C"/>
    <w:rsid w:val="00D27CF6"/>
    <w:rsid w:val="00D27F9B"/>
    <w:rsid w:val="00D30044"/>
    <w:rsid w:val="00D30239"/>
    <w:rsid w:val="00D30272"/>
    <w:rsid w:val="00D307AB"/>
    <w:rsid w:val="00D307B6"/>
    <w:rsid w:val="00D30C14"/>
    <w:rsid w:val="00D30F17"/>
    <w:rsid w:val="00D30FB0"/>
    <w:rsid w:val="00D3102A"/>
    <w:rsid w:val="00D31422"/>
    <w:rsid w:val="00D31503"/>
    <w:rsid w:val="00D315EC"/>
    <w:rsid w:val="00D31670"/>
    <w:rsid w:val="00D3187E"/>
    <w:rsid w:val="00D31A19"/>
    <w:rsid w:val="00D31AD4"/>
    <w:rsid w:val="00D31C3D"/>
    <w:rsid w:val="00D31E07"/>
    <w:rsid w:val="00D31F7A"/>
    <w:rsid w:val="00D31FEA"/>
    <w:rsid w:val="00D31FFB"/>
    <w:rsid w:val="00D327CC"/>
    <w:rsid w:val="00D327D6"/>
    <w:rsid w:val="00D32A93"/>
    <w:rsid w:val="00D32B84"/>
    <w:rsid w:val="00D32C55"/>
    <w:rsid w:val="00D32E3D"/>
    <w:rsid w:val="00D32E77"/>
    <w:rsid w:val="00D32FE2"/>
    <w:rsid w:val="00D33141"/>
    <w:rsid w:val="00D33229"/>
    <w:rsid w:val="00D3333A"/>
    <w:rsid w:val="00D33537"/>
    <w:rsid w:val="00D33548"/>
    <w:rsid w:val="00D33560"/>
    <w:rsid w:val="00D33A86"/>
    <w:rsid w:val="00D33D61"/>
    <w:rsid w:val="00D33DE8"/>
    <w:rsid w:val="00D33DFF"/>
    <w:rsid w:val="00D33EC9"/>
    <w:rsid w:val="00D33F51"/>
    <w:rsid w:val="00D33FEE"/>
    <w:rsid w:val="00D3416E"/>
    <w:rsid w:val="00D3432B"/>
    <w:rsid w:val="00D3463C"/>
    <w:rsid w:val="00D3465B"/>
    <w:rsid w:val="00D346B8"/>
    <w:rsid w:val="00D3477B"/>
    <w:rsid w:val="00D347EE"/>
    <w:rsid w:val="00D347FF"/>
    <w:rsid w:val="00D3481C"/>
    <w:rsid w:val="00D34899"/>
    <w:rsid w:val="00D349EB"/>
    <w:rsid w:val="00D34AE5"/>
    <w:rsid w:val="00D34D2B"/>
    <w:rsid w:val="00D34EE8"/>
    <w:rsid w:val="00D34F17"/>
    <w:rsid w:val="00D355CC"/>
    <w:rsid w:val="00D35A16"/>
    <w:rsid w:val="00D35AC3"/>
    <w:rsid w:val="00D35BEF"/>
    <w:rsid w:val="00D35C40"/>
    <w:rsid w:val="00D35CD5"/>
    <w:rsid w:val="00D35CEB"/>
    <w:rsid w:val="00D360C8"/>
    <w:rsid w:val="00D3614E"/>
    <w:rsid w:val="00D361CC"/>
    <w:rsid w:val="00D364F7"/>
    <w:rsid w:val="00D3675C"/>
    <w:rsid w:val="00D36790"/>
    <w:rsid w:val="00D368B5"/>
    <w:rsid w:val="00D369E9"/>
    <w:rsid w:val="00D36AF8"/>
    <w:rsid w:val="00D36F30"/>
    <w:rsid w:val="00D3728F"/>
    <w:rsid w:val="00D3750E"/>
    <w:rsid w:val="00D37621"/>
    <w:rsid w:val="00D3765F"/>
    <w:rsid w:val="00D3792E"/>
    <w:rsid w:val="00D379BC"/>
    <w:rsid w:val="00D37CAA"/>
    <w:rsid w:val="00D37EBC"/>
    <w:rsid w:val="00D40375"/>
    <w:rsid w:val="00D40403"/>
    <w:rsid w:val="00D40416"/>
    <w:rsid w:val="00D40605"/>
    <w:rsid w:val="00D40924"/>
    <w:rsid w:val="00D40A01"/>
    <w:rsid w:val="00D40AA9"/>
    <w:rsid w:val="00D40AE9"/>
    <w:rsid w:val="00D40BEF"/>
    <w:rsid w:val="00D40D31"/>
    <w:rsid w:val="00D40DED"/>
    <w:rsid w:val="00D40EC0"/>
    <w:rsid w:val="00D410F5"/>
    <w:rsid w:val="00D41287"/>
    <w:rsid w:val="00D41392"/>
    <w:rsid w:val="00D414C8"/>
    <w:rsid w:val="00D4152C"/>
    <w:rsid w:val="00D41560"/>
    <w:rsid w:val="00D418DD"/>
    <w:rsid w:val="00D41936"/>
    <w:rsid w:val="00D41F56"/>
    <w:rsid w:val="00D42025"/>
    <w:rsid w:val="00D42458"/>
    <w:rsid w:val="00D42492"/>
    <w:rsid w:val="00D425EB"/>
    <w:rsid w:val="00D426E0"/>
    <w:rsid w:val="00D428F8"/>
    <w:rsid w:val="00D42915"/>
    <w:rsid w:val="00D42955"/>
    <w:rsid w:val="00D42A03"/>
    <w:rsid w:val="00D42CFF"/>
    <w:rsid w:val="00D42ED8"/>
    <w:rsid w:val="00D430C5"/>
    <w:rsid w:val="00D4310E"/>
    <w:rsid w:val="00D432B4"/>
    <w:rsid w:val="00D43319"/>
    <w:rsid w:val="00D43327"/>
    <w:rsid w:val="00D433E6"/>
    <w:rsid w:val="00D43493"/>
    <w:rsid w:val="00D437C3"/>
    <w:rsid w:val="00D438CC"/>
    <w:rsid w:val="00D43B64"/>
    <w:rsid w:val="00D43C31"/>
    <w:rsid w:val="00D43EBC"/>
    <w:rsid w:val="00D43FAB"/>
    <w:rsid w:val="00D4414C"/>
    <w:rsid w:val="00D441E1"/>
    <w:rsid w:val="00D44220"/>
    <w:rsid w:val="00D4438C"/>
    <w:rsid w:val="00D44916"/>
    <w:rsid w:val="00D44948"/>
    <w:rsid w:val="00D44AD6"/>
    <w:rsid w:val="00D44B47"/>
    <w:rsid w:val="00D44D6B"/>
    <w:rsid w:val="00D44DDB"/>
    <w:rsid w:val="00D44E1F"/>
    <w:rsid w:val="00D44FE3"/>
    <w:rsid w:val="00D4508E"/>
    <w:rsid w:val="00D45496"/>
    <w:rsid w:val="00D45639"/>
    <w:rsid w:val="00D45644"/>
    <w:rsid w:val="00D4571B"/>
    <w:rsid w:val="00D457A6"/>
    <w:rsid w:val="00D4589F"/>
    <w:rsid w:val="00D45DDB"/>
    <w:rsid w:val="00D46034"/>
    <w:rsid w:val="00D466A8"/>
    <w:rsid w:val="00D46A47"/>
    <w:rsid w:val="00D46C14"/>
    <w:rsid w:val="00D46C6E"/>
    <w:rsid w:val="00D46D6F"/>
    <w:rsid w:val="00D46DAC"/>
    <w:rsid w:val="00D46DEA"/>
    <w:rsid w:val="00D47071"/>
    <w:rsid w:val="00D47094"/>
    <w:rsid w:val="00D470A7"/>
    <w:rsid w:val="00D470EA"/>
    <w:rsid w:val="00D47285"/>
    <w:rsid w:val="00D47390"/>
    <w:rsid w:val="00D47666"/>
    <w:rsid w:val="00D47881"/>
    <w:rsid w:val="00D4797E"/>
    <w:rsid w:val="00D47A13"/>
    <w:rsid w:val="00D47B4A"/>
    <w:rsid w:val="00D47DC5"/>
    <w:rsid w:val="00D47F60"/>
    <w:rsid w:val="00D5009F"/>
    <w:rsid w:val="00D501A2"/>
    <w:rsid w:val="00D504F9"/>
    <w:rsid w:val="00D5066D"/>
    <w:rsid w:val="00D50801"/>
    <w:rsid w:val="00D509E6"/>
    <w:rsid w:val="00D50AF7"/>
    <w:rsid w:val="00D50B84"/>
    <w:rsid w:val="00D50CFE"/>
    <w:rsid w:val="00D50EFF"/>
    <w:rsid w:val="00D5107C"/>
    <w:rsid w:val="00D511AD"/>
    <w:rsid w:val="00D51265"/>
    <w:rsid w:val="00D51321"/>
    <w:rsid w:val="00D513F2"/>
    <w:rsid w:val="00D5145A"/>
    <w:rsid w:val="00D51626"/>
    <w:rsid w:val="00D51864"/>
    <w:rsid w:val="00D519EC"/>
    <w:rsid w:val="00D51B67"/>
    <w:rsid w:val="00D51B7C"/>
    <w:rsid w:val="00D51F40"/>
    <w:rsid w:val="00D51F47"/>
    <w:rsid w:val="00D52242"/>
    <w:rsid w:val="00D5261D"/>
    <w:rsid w:val="00D52657"/>
    <w:rsid w:val="00D528E5"/>
    <w:rsid w:val="00D5291A"/>
    <w:rsid w:val="00D52C4F"/>
    <w:rsid w:val="00D52D10"/>
    <w:rsid w:val="00D52D9A"/>
    <w:rsid w:val="00D52DCC"/>
    <w:rsid w:val="00D52E21"/>
    <w:rsid w:val="00D52E6A"/>
    <w:rsid w:val="00D5304C"/>
    <w:rsid w:val="00D53199"/>
    <w:rsid w:val="00D53323"/>
    <w:rsid w:val="00D53415"/>
    <w:rsid w:val="00D53479"/>
    <w:rsid w:val="00D5355F"/>
    <w:rsid w:val="00D536C0"/>
    <w:rsid w:val="00D539E5"/>
    <w:rsid w:val="00D53BA4"/>
    <w:rsid w:val="00D53CA3"/>
    <w:rsid w:val="00D53D4E"/>
    <w:rsid w:val="00D53ED7"/>
    <w:rsid w:val="00D5414B"/>
    <w:rsid w:val="00D5436C"/>
    <w:rsid w:val="00D543A4"/>
    <w:rsid w:val="00D54434"/>
    <w:rsid w:val="00D54ADD"/>
    <w:rsid w:val="00D54AEB"/>
    <w:rsid w:val="00D54C2E"/>
    <w:rsid w:val="00D54D35"/>
    <w:rsid w:val="00D54D4B"/>
    <w:rsid w:val="00D54D67"/>
    <w:rsid w:val="00D54DD9"/>
    <w:rsid w:val="00D54E38"/>
    <w:rsid w:val="00D54FDB"/>
    <w:rsid w:val="00D55178"/>
    <w:rsid w:val="00D5518E"/>
    <w:rsid w:val="00D5529F"/>
    <w:rsid w:val="00D5551A"/>
    <w:rsid w:val="00D555D1"/>
    <w:rsid w:val="00D55786"/>
    <w:rsid w:val="00D55901"/>
    <w:rsid w:val="00D55945"/>
    <w:rsid w:val="00D55C43"/>
    <w:rsid w:val="00D55CC8"/>
    <w:rsid w:val="00D55D40"/>
    <w:rsid w:val="00D55DE9"/>
    <w:rsid w:val="00D55F33"/>
    <w:rsid w:val="00D560CB"/>
    <w:rsid w:val="00D560D2"/>
    <w:rsid w:val="00D56132"/>
    <w:rsid w:val="00D5630C"/>
    <w:rsid w:val="00D56335"/>
    <w:rsid w:val="00D564CA"/>
    <w:rsid w:val="00D5660D"/>
    <w:rsid w:val="00D5660E"/>
    <w:rsid w:val="00D5666C"/>
    <w:rsid w:val="00D56B9D"/>
    <w:rsid w:val="00D56BB5"/>
    <w:rsid w:val="00D56E1D"/>
    <w:rsid w:val="00D570AE"/>
    <w:rsid w:val="00D57103"/>
    <w:rsid w:val="00D57200"/>
    <w:rsid w:val="00D573E0"/>
    <w:rsid w:val="00D5751A"/>
    <w:rsid w:val="00D575C8"/>
    <w:rsid w:val="00D57618"/>
    <w:rsid w:val="00D5781D"/>
    <w:rsid w:val="00D57888"/>
    <w:rsid w:val="00D57978"/>
    <w:rsid w:val="00D57ADB"/>
    <w:rsid w:val="00D57C14"/>
    <w:rsid w:val="00D57C90"/>
    <w:rsid w:val="00D57C92"/>
    <w:rsid w:val="00D57DD3"/>
    <w:rsid w:val="00D57EC5"/>
    <w:rsid w:val="00D6005A"/>
    <w:rsid w:val="00D6040D"/>
    <w:rsid w:val="00D60688"/>
    <w:rsid w:val="00D608BC"/>
    <w:rsid w:val="00D60B6C"/>
    <w:rsid w:val="00D60E47"/>
    <w:rsid w:val="00D60EFB"/>
    <w:rsid w:val="00D60F88"/>
    <w:rsid w:val="00D6102C"/>
    <w:rsid w:val="00D6119F"/>
    <w:rsid w:val="00D61289"/>
    <w:rsid w:val="00D61295"/>
    <w:rsid w:val="00D612CB"/>
    <w:rsid w:val="00D6130D"/>
    <w:rsid w:val="00D61542"/>
    <w:rsid w:val="00D6160C"/>
    <w:rsid w:val="00D6161B"/>
    <w:rsid w:val="00D617B5"/>
    <w:rsid w:val="00D618D5"/>
    <w:rsid w:val="00D61AFB"/>
    <w:rsid w:val="00D61B22"/>
    <w:rsid w:val="00D61C31"/>
    <w:rsid w:val="00D61CA7"/>
    <w:rsid w:val="00D61D20"/>
    <w:rsid w:val="00D61DE4"/>
    <w:rsid w:val="00D62670"/>
    <w:rsid w:val="00D6274F"/>
    <w:rsid w:val="00D62894"/>
    <w:rsid w:val="00D62B00"/>
    <w:rsid w:val="00D62B3A"/>
    <w:rsid w:val="00D62C33"/>
    <w:rsid w:val="00D631E1"/>
    <w:rsid w:val="00D63390"/>
    <w:rsid w:val="00D633CA"/>
    <w:rsid w:val="00D634F8"/>
    <w:rsid w:val="00D63565"/>
    <w:rsid w:val="00D6367E"/>
    <w:rsid w:val="00D63809"/>
    <w:rsid w:val="00D63A33"/>
    <w:rsid w:val="00D63C71"/>
    <w:rsid w:val="00D63D43"/>
    <w:rsid w:val="00D63EC4"/>
    <w:rsid w:val="00D63EEA"/>
    <w:rsid w:val="00D64010"/>
    <w:rsid w:val="00D641DC"/>
    <w:rsid w:val="00D6430C"/>
    <w:rsid w:val="00D6434F"/>
    <w:rsid w:val="00D64377"/>
    <w:rsid w:val="00D643DC"/>
    <w:rsid w:val="00D644B6"/>
    <w:rsid w:val="00D6458F"/>
    <w:rsid w:val="00D64662"/>
    <w:rsid w:val="00D646F9"/>
    <w:rsid w:val="00D648E7"/>
    <w:rsid w:val="00D64BBD"/>
    <w:rsid w:val="00D64ED3"/>
    <w:rsid w:val="00D64FF6"/>
    <w:rsid w:val="00D65023"/>
    <w:rsid w:val="00D65191"/>
    <w:rsid w:val="00D65219"/>
    <w:rsid w:val="00D652CD"/>
    <w:rsid w:val="00D652E8"/>
    <w:rsid w:val="00D653C5"/>
    <w:rsid w:val="00D654C9"/>
    <w:rsid w:val="00D654FB"/>
    <w:rsid w:val="00D6587C"/>
    <w:rsid w:val="00D6594F"/>
    <w:rsid w:val="00D65A70"/>
    <w:rsid w:val="00D65C99"/>
    <w:rsid w:val="00D6601C"/>
    <w:rsid w:val="00D66200"/>
    <w:rsid w:val="00D66280"/>
    <w:rsid w:val="00D6640B"/>
    <w:rsid w:val="00D6640D"/>
    <w:rsid w:val="00D665D5"/>
    <w:rsid w:val="00D666DF"/>
    <w:rsid w:val="00D66800"/>
    <w:rsid w:val="00D66822"/>
    <w:rsid w:val="00D66B48"/>
    <w:rsid w:val="00D66BB5"/>
    <w:rsid w:val="00D66D0B"/>
    <w:rsid w:val="00D66ED6"/>
    <w:rsid w:val="00D66F67"/>
    <w:rsid w:val="00D67095"/>
    <w:rsid w:val="00D67256"/>
    <w:rsid w:val="00D674C4"/>
    <w:rsid w:val="00D675DA"/>
    <w:rsid w:val="00D6761B"/>
    <w:rsid w:val="00D676BB"/>
    <w:rsid w:val="00D67845"/>
    <w:rsid w:val="00D67B31"/>
    <w:rsid w:val="00D67CD1"/>
    <w:rsid w:val="00D67FAC"/>
    <w:rsid w:val="00D70013"/>
    <w:rsid w:val="00D700E1"/>
    <w:rsid w:val="00D7017B"/>
    <w:rsid w:val="00D701E7"/>
    <w:rsid w:val="00D702E1"/>
    <w:rsid w:val="00D70410"/>
    <w:rsid w:val="00D704A5"/>
    <w:rsid w:val="00D704E3"/>
    <w:rsid w:val="00D7068C"/>
    <w:rsid w:val="00D707AF"/>
    <w:rsid w:val="00D70821"/>
    <w:rsid w:val="00D70897"/>
    <w:rsid w:val="00D708F9"/>
    <w:rsid w:val="00D709D7"/>
    <w:rsid w:val="00D70C2C"/>
    <w:rsid w:val="00D70C7C"/>
    <w:rsid w:val="00D70DD0"/>
    <w:rsid w:val="00D711FB"/>
    <w:rsid w:val="00D713F4"/>
    <w:rsid w:val="00D714AE"/>
    <w:rsid w:val="00D717E8"/>
    <w:rsid w:val="00D71896"/>
    <w:rsid w:val="00D71C23"/>
    <w:rsid w:val="00D71C9B"/>
    <w:rsid w:val="00D721D7"/>
    <w:rsid w:val="00D7243D"/>
    <w:rsid w:val="00D72587"/>
    <w:rsid w:val="00D7272A"/>
    <w:rsid w:val="00D7274B"/>
    <w:rsid w:val="00D727AA"/>
    <w:rsid w:val="00D72BE6"/>
    <w:rsid w:val="00D72C0D"/>
    <w:rsid w:val="00D72DA9"/>
    <w:rsid w:val="00D72EE6"/>
    <w:rsid w:val="00D73078"/>
    <w:rsid w:val="00D731DD"/>
    <w:rsid w:val="00D731F8"/>
    <w:rsid w:val="00D73247"/>
    <w:rsid w:val="00D73518"/>
    <w:rsid w:val="00D7386F"/>
    <w:rsid w:val="00D73A2B"/>
    <w:rsid w:val="00D73BC4"/>
    <w:rsid w:val="00D73BE0"/>
    <w:rsid w:val="00D73C3A"/>
    <w:rsid w:val="00D742EA"/>
    <w:rsid w:val="00D7431F"/>
    <w:rsid w:val="00D743EE"/>
    <w:rsid w:val="00D74482"/>
    <w:rsid w:val="00D749F9"/>
    <w:rsid w:val="00D74BAA"/>
    <w:rsid w:val="00D74CE3"/>
    <w:rsid w:val="00D75044"/>
    <w:rsid w:val="00D75183"/>
    <w:rsid w:val="00D7524B"/>
    <w:rsid w:val="00D752F9"/>
    <w:rsid w:val="00D7534A"/>
    <w:rsid w:val="00D75453"/>
    <w:rsid w:val="00D755D3"/>
    <w:rsid w:val="00D755EE"/>
    <w:rsid w:val="00D7566B"/>
    <w:rsid w:val="00D757F8"/>
    <w:rsid w:val="00D75BDF"/>
    <w:rsid w:val="00D75D9E"/>
    <w:rsid w:val="00D75DFA"/>
    <w:rsid w:val="00D760A8"/>
    <w:rsid w:val="00D7627A"/>
    <w:rsid w:val="00D76292"/>
    <w:rsid w:val="00D76675"/>
    <w:rsid w:val="00D766E2"/>
    <w:rsid w:val="00D766E5"/>
    <w:rsid w:val="00D76E8E"/>
    <w:rsid w:val="00D76EB3"/>
    <w:rsid w:val="00D76F51"/>
    <w:rsid w:val="00D77229"/>
    <w:rsid w:val="00D776B0"/>
    <w:rsid w:val="00D776B4"/>
    <w:rsid w:val="00D777CA"/>
    <w:rsid w:val="00D77910"/>
    <w:rsid w:val="00D77A0C"/>
    <w:rsid w:val="00D77C95"/>
    <w:rsid w:val="00D77D45"/>
    <w:rsid w:val="00D77EF7"/>
    <w:rsid w:val="00D8019A"/>
    <w:rsid w:val="00D80499"/>
    <w:rsid w:val="00D80502"/>
    <w:rsid w:val="00D805C9"/>
    <w:rsid w:val="00D805EC"/>
    <w:rsid w:val="00D807AE"/>
    <w:rsid w:val="00D80A52"/>
    <w:rsid w:val="00D80C74"/>
    <w:rsid w:val="00D80CC2"/>
    <w:rsid w:val="00D80D14"/>
    <w:rsid w:val="00D80E95"/>
    <w:rsid w:val="00D80E97"/>
    <w:rsid w:val="00D813FF"/>
    <w:rsid w:val="00D815D3"/>
    <w:rsid w:val="00D817E6"/>
    <w:rsid w:val="00D81870"/>
    <w:rsid w:val="00D819E3"/>
    <w:rsid w:val="00D81B69"/>
    <w:rsid w:val="00D81C98"/>
    <w:rsid w:val="00D81DA6"/>
    <w:rsid w:val="00D82174"/>
    <w:rsid w:val="00D822E8"/>
    <w:rsid w:val="00D823C0"/>
    <w:rsid w:val="00D8264D"/>
    <w:rsid w:val="00D828CE"/>
    <w:rsid w:val="00D8290C"/>
    <w:rsid w:val="00D82B04"/>
    <w:rsid w:val="00D82C47"/>
    <w:rsid w:val="00D82C7C"/>
    <w:rsid w:val="00D82D84"/>
    <w:rsid w:val="00D82DCC"/>
    <w:rsid w:val="00D82E19"/>
    <w:rsid w:val="00D82E7B"/>
    <w:rsid w:val="00D8302B"/>
    <w:rsid w:val="00D830DC"/>
    <w:rsid w:val="00D831FA"/>
    <w:rsid w:val="00D8323A"/>
    <w:rsid w:val="00D83291"/>
    <w:rsid w:val="00D832DB"/>
    <w:rsid w:val="00D83453"/>
    <w:rsid w:val="00D8347B"/>
    <w:rsid w:val="00D83490"/>
    <w:rsid w:val="00D83545"/>
    <w:rsid w:val="00D8388D"/>
    <w:rsid w:val="00D838DD"/>
    <w:rsid w:val="00D83A44"/>
    <w:rsid w:val="00D843AB"/>
    <w:rsid w:val="00D84500"/>
    <w:rsid w:val="00D84588"/>
    <w:rsid w:val="00D84655"/>
    <w:rsid w:val="00D848ED"/>
    <w:rsid w:val="00D849FE"/>
    <w:rsid w:val="00D84B5E"/>
    <w:rsid w:val="00D84BF7"/>
    <w:rsid w:val="00D84D81"/>
    <w:rsid w:val="00D84DFD"/>
    <w:rsid w:val="00D84E28"/>
    <w:rsid w:val="00D84F38"/>
    <w:rsid w:val="00D84F51"/>
    <w:rsid w:val="00D84F64"/>
    <w:rsid w:val="00D85158"/>
    <w:rsid w:val="00D853F0"/>
    <w:rsid w:val="00D8560A"/>
    <w:rsid w:val="00D8588D"/>
    <w:rsid w:val="00D85905"/>
    <w:rsid w:val="00D85AA2"/>
    <w:rsid w:val="00D85B09"/>
    <w:rsid w:val="00D85DDC"/>
    <w:rsid w:val="00D85DF2"/>
    <w:rsid w:val="00D85E7D"/>
    <w:rsid w:val="00D85E91"/>
    <w:rsid w:val="00D85F95"/>
    <w:rsid w:val="00D8608D"/>
    <w:rsid w:val="00D86172"/>
    <w:rsid w:val="00D862AA"/>
    <w:rsid w:val="00D862BB"/>
    <w:rsid w:val="00D86461"/>
    <w:rsid w:val="00D86660"/>
    <w:rsid w:val="00D866E1"/>
    <w:rsid w:val="00D86890"/>
    <w:rsid w:val="00D86944"/>
    <w:rsid w:val="00D86D59"/>
    <w:rsid w:val="00D86FE5"/>
    <w:rsid w:val="00D86FED"/>
    <w:rsid w:val="00D8708E"/>
    <w:rsid w:val="00D873FB"/>
    <w:rsid w:val="00D874B0"/>
    <w:rsid w:val="00D874C9"/>
    <w:rsid w:val="00D87632"/>
    <w:rsid w:val="00D876C5"/>
    <w:rsid w:val="00D8791B"/>
    <w:rsid w:val="00D879BB"/>
    <w:rsid w:val="00D87FF1"/>
    <w:rsid w:val="00D9048D"/>
    <w:rsid w:val="00D90499"/>
    <w:rsid w:val="00D904D1"/>
    <w:rsid w:val="00D90520"/>
    <w:rsid w:val="00D90604"/>
    <w:rsid w:val="00D906FE"/>
    <w:rsid w:val="00D90863"/>
    <w:rsid w:val="00D9094F"/>
    <w:rsid w:val="00D90A34"/>
    <w:rsid w:val="00D90AC2"/>
    <w:rsid w:val="00D90CDC"/>
    <w:rsid w:val="00D90FE8"/>
    <w:rsid w:val="00D910E5"/>
    <w:rsid w:val="00D911F2"/>
    <w:rsid w:val="00D91473"/>
    <w:rsid w:val="00D91770"/>
    <w:rsid w:val="00D91836"/>
    <w:rsid w:val="00D91910"/>
    <w:rsid w:val="00D9195A"/>
    <w:rsid w:val="00D91AF6"/>
    <w:rsid w:val="00D91FEC"/>
    <w:rsid w:val="00D92001"/>
    <w:rsid w:val="00D92021"/>
    <w:rsid w:val="00D9237E"/>
    <w:rsid w:val="00D92521"/>
    <w:rsid w:val="00D92524"/>
    <w:rsid w:val="00D926B3"/>
    <w:rsid w:val="00D928DB"/>
    <w:rsid w:val="00D92981"/>
    <w:rsid w:val="00D929B4"/>
    <w:rsid w:val="00D92B0C"/>
    <w:rsid w:val="00D92C15"/>
    <w:rsid w:val="00D92CE4"/>
    <w:rsid w:val="00D92E86"/>
    <w:rsid w:val="00D93013"/>
    <w:rsid w:val="00D9315D"/>
    <w:rsid w:val="00D9331F"/>
    <w:rsid w:val="00D934A2"/>
    <w:rsid w:val="00D935A6"/>
    <w:rsid w:val="00D93681"/>
    <w:rsid w:val="00D93804"/>
    <w:rsid w:val="00D938A6"/>
    <w:rsid w:val="00D9393E"/>
    <w:rsid w:val="00D93BD1"/>
    <w:rsid w:val="00D93D50"/>
    <w:rsid w:val="00D93F4E"/>
    <w:rsid w:val="00D93F72"/>
    <w:rsid w:val="00D9408B"/>
    <w:rsid w:val="00D940D6"/>
    <w:rsid w:val="00D9432D"/>
    <w:rsid w:val="00D943D7"/>
    <w:rsid w:val="00D945A7"/>
    <w:rsid w:val="00D94752"/>
    <w:rsid w:val="00D94A2E"/>
    <w:rsid w:val="00D94CA1"/>
    <w:rsid w:val="00D94CFD"/>
    <w:rsid w:val="00D94EC7"/>
    <w:rsid w:val="00D9513B"/>
    <w:rsid w:val="00D95177"/>
    <w:rsid w:val="00D95552"/>
    <w:rsid w:val="00D956E2"/>
    <w:rsid w:val="00D957B6"/>
    <w:rsid w:val="00D958BB"/>
    <w:rsid w:val="00D95A09"/>
    <w:rsid w:val="00D95A2A"/>
    <w:rsid w:val="00D95C84"/>
    <w:rsid w:val="00D95F79"/>
    <w:rsid w:val="00D95FD0"/>
    <w:rsid w:val="00D96026"/>
    <w:rsid w:val="00D96222"/>
    <w:rsid w:val="00D96455"/>
    <w:rsid w:val="00D96491"/>
    <w:rsid w:val="00D964B6"/>
    <w:rsid w:val="00D9659A"/>
    <w:rsid w:val="00D965EF"/>
    <w:rsid w:val="00D96848"/>
    <w:rsid w:val="00D96B1B"/>
    <w:rsid w:val="00D96F9E"/>
    <w:rsid w:val="00D97060"/>
    <w:rsid w:val="00D97070"/>
    <w:rsid w:val="00D976F8"/>
    <w:rsid w:val="00D97729"/>
    <w:rsid w:val="00D979F5"/>
    <w:rsid w:val="00D97C23"/>
    <w:rsid w:val="00D97D28"/>
    <w:rsid w:val="00D97D50"/>
    <w:rsid w:val="00D97FDA"/>
    <w:rsid w:val="00DA01C8"/>
    <w:rsid w:val="00DA0251"/>
    <w:rsid w:val="00DA0267"/>
    <w:rsid w:val="00DA03D2"/>
    <w:rsid w:val="00DA03DB"/>
    <w:rsid w:val="00DA0414"/>
    <w:rsid w:val="00DA0590"/>
    <w:rsid w:val="00DA064E"/>
    <w:rsid w:val="00DA0895"/>
    <w:rsid w:val="00DA09C3"/>
    <w:rsid w:val="00DA0A57"/>
    <w:rsid w:val="00DA0D7C"/>
    <w:rsid w:val="00DA0EB9"/>
    <w:rsid w:val="00DA0F31"/>
    <w:rsid w:val="00DA0F64"/>
    <w:rsid w:val="00DA1272"/>
    <w:rsid w:val="00DA133D"/>
    <w:rsid w:val="00DA1565"/>
    <w:rsid w:val="00DA15A1"/>
    <w:rsid w:val="00DA15F8"/>
    <w:rsid w:val="00DA16B6"/>
    <w:rsid w:val="00DA17BE"/>
    <w:rsid w:val="00DA18C9"/>
    <w:rsid w:val="00DA1C1A"/>
    <w:rsid w:val="00DA1D61"/>
    <w:rsid w:val="00DA1FDB"/>
    <w:rsid w:val="00DA2146"/>
    <w:rsid w:val="00DA2193"/>
    <w:rsid w:val="00DA21B5"/>
    <w:rsid w:val="00DA251D"/>
    <w:rsid w:val="00DA259F"/>
    <w:rsid w:val="00DA286A"/>
    <w:rsid w:val="00DA28BF"/>
    <w:rsid w:val="00DA2A32"/>
    <w:rsid w:val="00DA2A8A"/>
    <w:rsid w:val="00DA2C05"/>
    <w:rsid w:val="00DA3113"/>
    <w:rsid w:val="00DA321C"/>
    <w:rsid w:val="00DA32A0"/>
    <w:rsid w:val="00DA37B4"/>
    <w:rsid w:val="00DA3867"/>
    <w:rsid w:val="00DA3B0F"/>
    <w:rsid w:val="00DA3B35"/>
    <w:rsid w:val="00DA3D8C"/>
    <w:rsid w:val="00DA3EDC"/>
    <w:rsid w:val="00DA41AD"/>
    <w:rsid w:val="00DA41B8"/>
    <w:rsid w:val="00DA4205"/>
    <w:rsid w:val="00DA4316"/>
    <w:rsid w:val="00DA4369"/>
    <w:rsid w:val="00DA46A4"/>
    <w:rsid w:val="00DA46FA"/>
    <w:rsid w:val="00DA4785"/>
    <w:rsid w:val="00DA49B0"/>
    <w:rsid w:val="00DA4A0B"/>
    <w:rsid w:val="00DA4AA5"/>
    <w:rsid w:val="00DA4AC8"/>
    <w:rsid w:val="00DA4CAD"/>
    <w:rsid w:val="00DA4DD9"/>
    <w:rsid w:val="00DA4DF2"/>
    <w:rsid w:val="00DA4F1F"/>
    <w:rsid w:val="00DA4F42"/>
    <w:rsid w:val="00DA50E6"/>
    <w:rsid w:val="00DA5357"/>
    <w:rsid w:val="00DA5641"/>
    <w:rsid w:val="00DA56B4"/>
    <w:rsid w:val="00DA597F"/>
    <w:rsid w:val="00DA5BFD"/>
    <w:rsid w:val="00DA5C3A"/>
    <w:rsid w:val="00DA5C7C"/>
    <w:rsid w:val="00DA5DAA"/>
    <w:rsid w:val="00DA5FC7"/>
    <w:rsid w:val="00DA61B4"/>
    <w:rsid w:val="00DA6275"/>
    <w:rsid w:val="00DA6509"/>
    <w:rsid w:val="00DA6616"/>
    <w:rsid w:val="00DA6645"/>
    <w:rsid w:val="00DA69A6"/>
    <w:rsid w:val="00DA6A94"/>
    <w:rsid w:val="00DA6D3C"/>
    <w:rsid w:val="00DA7594"/>
    <w:rsid w:val="00DA76F8"/>
    <w:rsid w:val="00DA7A11"/>
    <w:rsid w:val="00DA7B77"/>
    <w:rsid w:val="00DA7E58"/>
    <w:rsid w:val="00DB033D"/>
    <w:rsid w:val="00DB055F"/>
    <w:rsid w:val="00DB057E"/>
    <w:rsid w:val="00DB081C"/>
    <w:rsid w:val="00DB0C19"/>
    <w:rsid w:val="00DB0C64"/>
    <w:rsid w:val="00DB0C8B"/>
    <w:rsid w:val="00DB0E9D"/>
    <w:rsid w:val="00DB0FAF"/>
    <w:rsid w:val="00DB1226"/>
    <w:rsid w:val="00DB1358"/>
    <w:rsid w:val="00DB1576"/>
    <w:rsid w:val="00DB1670"/>
    <w:rsid w:val="00DB168A"/>
    <w:rsid w:val="00DB1808"/>
    <w:rsid w:val="00DB1918"/>
    <w:rsid w:val="00DB1A4D"/>
    <w:rsid w:val="00DB1B88"/>
    <w:rsid w:val="00DB1CB5"/>
    <w:rsid w:val="00DB1E2B"/>
    <w:rsid w:val="00DB1F90"/>
    <w:rsid w:val="00DB2253"/>
    <w:rsid w:val="00DB2898"/>
    <w:rsid w:val="00DB2AC3"/>
    <w:rsid w:val="00DB2AD3"/>
    <w:rsid w:val="00DB2AD5"/>
    <w:rsid w:val="00DB2BE4"/>
    <w:rsid w:val="00DB2D6D"/>
    <w:rsid w:val="00DB2E4B"/>
    <w:rsid w:val="00DB2FB6"/>
    <w:rsid w:val="00DB3431"/>
    <w:rsid w:val="00DB3458"/>
    <w:rsid w:val="00DB379C"/>
    <w:rsid w:val="00DB385F"/>
    <w:rsid w:val="00DB3958"/>
    <w:rsid w:val="00DB3A68"/>
    <w:rsid w:val="00DB3B07"/>
    <w:rsid w:val="00DB3C5A"/>
    <w:rsid w:val="00DB3D4B"/>
    <w:rsid w:val="00DB3D7C"/>
    <w:rsid w:val="00DB3D87"/>
    <w:rsid w:val="00DB3DF2"/>
    <w:rsid w:val="00DB41B7"/>
    <w:rsid w:val="00DB435D"/>
    <w:rsid w:val="00DB448C"/>
    <w:rsid w:val="00DB4500"/>
    <w:rsid w:val="00DB457F"/>
    <w:rsid w:val="00DB46DF"/>
    <w:rsid w:val="00DB472E"/>
    <w:rsid w:val="00DB4DDB"/>
    <w:rsid w:val="00DB4EEF"/>
    <w:rsid w:val="00DB4F66"/>
    <w:rsid w:val="00DB4F6C"/>
    <w:rsid w:val="00DB5009"/>
    <w:rsid w:val="00DB5043"/>
    <w:rsid w:val="00DB51AD"/>
    <w:rsid w:val="00DB5493"/>
    <w:rsid w:val="00DB59F8"/>
    <w:rsid w:val="00DB5A3E"/>
    <w:rsid w:val="00DB5B03"/>
    <w:rsid w:val="00DB5B29"/>
    <w:rsid w:val="00DB5D7E"/>
    <w:rsid w:val="00DB5E8B"/>
    <w:rsid w:val="00DB6064"/>
    <w:rsid w:val="00DB6247"/>
    <w:rsid w:val="00DB64D2"/>
    <w:rsid w:val="00DB650A"/>
    <w:rsid w:val="00DB65F2"/>
    <w:rsid w:val="00DB688F"/>
    <w:rsid w:val="00DB6985"/>
    <w:rsid w:val="00DB69ED"/>
    <w:rsid w:val="00DB6A01"/>
    <w:rsid w:val="00DB6B42"/>
    <w:rsid w:val="00DB6BAF"/>
    <w:rsid w:val="00DB6C46"/>
    <w:rsid w:val="00DB6CB8"/>
    <w:rsid w:val="00DB6EE6"/>
    <w:rsid w:val="00DB70A4"/>
    <w:rsid w:val="00DB7270"/>
    <w:rsid w:val="00DB751F"/>
    <w:rsid w:val="00DB7642"/>
    <w:rsid w:val="00DB7965"/>
    <w:rsid w:val="00DB79DD"/>
    <w:rsid w:val="00DB7A3B"/>
    <w:rsid w:val="00DB7A6B"/>
    <w:rsid w:val="00DB7A89"/>
    <w:rsid w:val="00DB7AB7"/>
    <w:rsid w:val="00DB7AC6"/>
    <w:rsid w:val="00DB7B14"/>
    <w:rsid w:val="00DB7D36"/>
    <w:rsid w:val="00DC027C"/>
    <w:rsid w:val="00DC03F1"/>
    <w:rsid w:val="00DC046E"/>
    <w:rsid w:val="00DC0488"/>
    <w:rsid w:val="00DC04F5"/>
    <w:rsid w:val="00DC065F"/>
    <w:rsid w:val="00DC0730"/>
    <w:rsid w:val="00DC08F2"/>
    <w:rsid w:val="00DC0936"/>
    <w:rsid w:val="00DC0AFE"/>
    <w:rsid w:val="00DC0CA8"/>
    <w:rsid w:val="00DC0E20"/>
    <w:rsid w:val="00DC1089"/>
    <w:rsid w:val="00DC114D"/>
    <w:rsid w:val="00DC120F"/>
    <w:rsid w:val="00DC1288"/>
    <w:rsid w:val="00DC1297"/>
    <w:rsid w:val="00DC12DD"/>
    <w:rsid w:val="00DC1311"/>
    <w:rsid w:val="00DC147F"/>
    <w:rsid w:val="00DC15EF"/>
    <w:rsid w:val="00DC171F"/>
    <w:rsid w:val="00DC18DF"/>
    <w:rsid w:val="00DC1AF1"/>
    <w:rsid w:val="00DC1F3E"/>
    <w:rsid w:val="00DC1FC3"/>
    <w:rsid w:val="00DC209D"/>
    <w:rsid w:val="00DC2186"/>
    <w:rsid w:val="00DC21FF"/>
    <w:rsid w:val="00DC22E6"/>
    <w:rsid w:val="00DC24A6"/>
    <w:rsid w:val="00DC27B2"/>
    <w:rsid w:val="00DC2852"/>
    <w:rsid w:val="00DC2A9C"/>
    <w:rsid w:val="00DC2AB1"/>
    <w:rsid w:val="00DC2ACD"/>
    <w:rsid w:val="00DC2C67"/>
    <w:rsid w:val="00DC2E17"/>
    <w:rsid w:val="00DC2EBA"/>
    <w:rsid w:val="00DC2F1D"/>
    <w:rsid w:val="00DC2FB6"/>
    <w:rsid w:val="00DC2FE4"/>
    <w:rsid w:val="00DC30F6"/>
    <w:rsid w:val="00DC3157"/>
    <w:rsid w:val="00DC3467"/>
    <w:rsid w:val="00DC3772"/>
    <w:rsid w:val="00DC380F"/>
    <w:rsid w:val="00DC3976"/>
    <w:rsid w:val="00DC39A0"/>
    <w:rsid w:val="00DC3AD6"/>
    <w:rsid w:val="00DC3BB4"/>
    <w:rsid w:val="00DC3C06"/>
    <w:rsid w:val="00DC3EE0"/>
    <w:rsid w:val="00DC3F12"/>
    <w:rsid w:val="00DC415F"/>
    <w:rsid w:val="00DC4350"/>
    <w:rsid w:val="00DC4660"/>
    <w:rsid w:val="00DC469B"/>
    <w:rsid w:val="00DC4935"/>
    <w:rsid w:val="00DC4B07"/>
    <w:rsid w:val="00DC4B3D"/>
    <w:rsid w:val="00DC4C10"/>
    <w:rsid w:val="00DC4E6F"/>
    <w:rsid w:val="00DC4F8F"/>
    <w:rsid w:val="00DC4FCC"/>
    <w:rsid w:val="00DC504F"/>
    <w:rsid w:val="00DC509C"/>
    <w:rsid w:val="00DC5290"/>
    <w:rsid w:val="00DC543D"/>
    <w:rsid w:val="00DC55FB"/>
    <w:rsid w:val="00DC57A7"/>
    <w:rsid w:val="00DC59A4"/>
    <w:rsid w:val="00DC5A12"/>
    <w:rsid w:val="00DC5A5B"/>
    <w:rsid w:val="00DC5B3D"/>
    <w:rsid w:val="00DC5CBA"/>
    <w:rsid w:val="00DC5D31"/>
    <w:rsid w:val="00DC5EEA"/>
    <w:rsid w:val="00DC5F20"/>
    <w:rsid w:val="00DC63F9"/>
    <w:rsid w:val="00DC6583"/>
    <w:rsid w:val="00DC65D8"/>
    <w:rsid w:val="00DC660D"/>
    <w:rsid w:val="00DC6698"/>
    <w:rsid w:val="00DC66BF"/>
    <w:rsid w:val="00DC6735"/>
    <w:rsid w:val="00DC675F"/>
    <w:rsid w:val="00DC6766"/>
    <w:rsid w:val="00DC6792"/>
    <w:rsid w:val="00DC68CE"/>
    <w:rsid w:val="00DC6921"/>
    <w:rsid w:val="00DC6A8E"/>
    <w:rsid w:val="00DC6D07"/>
    <w:rsid w:val="00DC6D6E"/>
    <w:rsid w:val="00DC6F53"/>
    <w:rsid w:val="00DC6FA0"/>
    <w:rsid w:val="00DC71C5"/>
    <w:rsid w:val="00DC71EA"/>
    <w:rsid w:val="00DC71FD"/>
    <w:rsid w:val="00DC760B"/>
    <w:rsid w:val="00DC768B"/>
    <w:rsid w:val="00DC77C3"/>
    <w:rsid w:val="00DC7853"/>
    <w:rsid w:val="00DC79A7"/>
    <w:rsid w:val="00DC7B41"/>
    <w:rsid w:val="00DC7CE7"/>
    <w:rsid w:val="00DC7EB5"/>
    <w:rsid w:val="00DD024A"/>
    <w:rsid w:val="00DD02DA"/>
    <w:rsid w:val="00DD07E7"/>
    <w:rsid w:val="00DD083C"/>
    <w:rsid w:val="00DD0A58"/>
    <w:rsid w:val="00DD0A94"/>
    <w:rsid w:val="00DD0C8D"/>
    <w:rsid w:val="00DD0FE2"/>
    <w:rsid w:val="00DD1034"/>
    <w:rsid w:val="00DD109C"/>
    <w:rsid w:val="00DD11B6"/>
    <w:rsid w:val="00DD14EB"/>
    <w:rsid w:val="00DD16E4"/>
    <w:rsid w:val="00DD1751"/>
    <w:rsid w:val="00DD178E"/>
    <w:rsid w:val="00DD17B6"/>
    <w:rsid w:val="00DD1AA9"/>
    <w:rsid w:val="00DD1B9C"/>
    <w:rsid w:val="00DD1E75"/>
    <w:rsid w:val="00DD1F08"/>
    <w:rsid w:val="00DD1F2B"/>
    <w:rsid w:val="00DD206F"/>
    <w:rsid w:val="00DD2324"/>
    <w:rsid w:val="00DD2E2E"/>
    <w:rsid w:val="00DD2ECD"/>
    <w:rsid w:val="00DD2F30"/>
    <w:rsid w:val="00DD2F56"/>
    <w:rsid w:val="00DD366A"/>
    <w:rsid w:val="00DD399A"/>
    <w:rsid w:val="00DD39FC"/>
    <w:rsid w:val="00DD40C5"/>
    <w:rsid w:val="00DD412A"/>
    <w:rsid w:val="00DD4499"/>
    <w:rsid w:val="00DD44E2"/>
    <w:rsid w:val="00DD45D9"/>
    <w:rsid w:val="00DD45E5"/>
    <w:rsid w:val="00DD485C"/>
    <w:rsid w:val="00DD4B00"/>
    <w:rsid w:val="00DD4F76"/>
    <w:rsid w:val="00DD513A"/>
    <w:rsid w:val="00DD51BD"/>
    <w:rsid w:val="00DD5492"/>
    <w:rsid w:val="00DD59E4"/>
    <w:rsid w:val="00DD5A1A"/>
    <w:rsid w:val="00DD5A7C"/>
    <w:rsid w:val="00DD5D06"/>
    <w:rsid w:val="00DD5F0C"/>
    <w:rsid w:val="00DD6047"/>
    <w:rsid w:val="00DD6086"/>
    <w:rsid w:val="00DD6433"/>
    <w:rsid w:val="00DD64FB"/>
    <w:rsid w:val="00DD663B"/>
    <w:rsid w:val="00DD6703"/>
    <w:rsid w:val="00DD6C13"/>
    <w:rsid w:val="00DD6D5C"/>
    <w:rsid w:val="00DD6E3D"/>
    <w:rsid w:val="00DD712D"/>
    <w:rsid w:val="00DD725C"/>
    <w:rsid w:val="00DD767C"/>
    <w:rsid w:val="00DD7785"/>
    <w:rsid w:val="00DD7CDE"/>
    <w:rsid w:val="00DD7E0D"/>
    <w:rsid w:val="00DD7E22"/>
    <w:rsid w:val="00DD7E5C"/>
    <w:rsid w:val="00DD7E84"/>
    <w:rsid w:val="00DD7F6A"/>
    <w:rsid w:val="00DE004C"/>
    <w:rsid w:val="00DE0134"/>
    <w:rsid w:val="00DE02FC"/>
    <w:rsid w:val="00DE0373"/>
    <w:rsid w:val="00DE0657"/>
    <w:rsid w:val="00DE06FF"/>
    <w:rsid w:val="00DE0752"/>
    <w:rsid w:val="00DE084E"/>
    <w:rsid w:val="00DE087F"/>
    <w:rsid w:val="00DE0ACF"/>
    <w:rsid w:val="00DE0BA4"/>
    <w:rsid w:val="00DE0C18"/>
    <w:rsid w:val="00DE0D88"/>
    <w:rsid w:val="00DE0FFA"/>
    <w:rsid w:val="00DE129C"/>
    <w:rsid w:val="00DE12AB"/>
    <w:rsid w:val="00DE12D9"/>
    <w:rsid w:val="00DE15F6"/>
    <w:rsid w:val="00DE1635"/>
    <w:rsid w:val="00DE1654"/>
    <w:rsid w:val="00DE175E"/>
    <w:rsid w:val="00DE176B"/>
    <w:rsid w:val="00DE191F"/>
    <w:rsid w:val="00DE1951"/>
    <w:rsid w:val="00DE1A2F"/>
    <w:rsid w:val="00DE1A78"/>
    <w:rsid w:val="00DE1B4E"/>
    <w:rsid w:val="00DE1C44"/>
    <w:rsid w:val="00DE1ECE"/>
    <w:rsid w:val="00DE21B5"/>
    <w:rsid w:val="00DE244F"/>
    <w:rsid w:val="00DE26BA"/>
    <w:rsid w:val="00DE2720"/>
    <w:rsid w:val="00DE3159"/>
    <w:rsid w:val="00DE329B"/>
    <w:rsid w:val="00DE33C6"/>
    <w:rsid w:val="00DE33E2"/>
    <w:rsid w:val="00DE38AF"/>
    <w:rsid w:val="00DE38E8"/>
    <w:rsid w:val="00DE3B40"/>
    <w:rsid w:val="00DE3D71"/>
    <w:rsid w:val="00DE41E2"/>
    <w:rsid w:val="00DE4475"/>
    <w:rsid w:val="00DE4478"/>
    <w:rsid w:val="00DE45D0"/>
    <w:rsid w:val="00DE469C"/>
    <w:rsid w:val="00DE4827"/>
    <w:rsid w:val="00DE48BC"/>
    <w:rsid w:val="00DE48D5"/>
    <w:rsid w:val="00DE4975"/>
    <w:rsid w:val="00DE4B52"/>
    <w:rsid w:val="00DE4D25"/>
    <w:rsid w:val="00DE4D31"/>
    <w:rsid w:val="00DE4E82"/>
    <w:rsid w:val="00DE503D"/>
    <w:rsid w:val="00DE5040"/>
    <w:rsid w:val="00DE50BA"/>
    <w:rsid w:val="00DE5187"/>
    <w:rsid w:val="00DE521F"/>
    <w:rsid w:val="00DE536E"/>
    <w:rsid w:val="00DE53BA"/>
    <w:rsid w:val="00DE53E1"/>
    <w:rsid w:val="00DE5402"/>
    <w:rsid w:val="00DE5552"/>
    <w:rsid w:val="00DE55B7"/>
    <w:rsid w:val="00DE5743"/>
    <w:rsid w:val="00DE5807"/>
    <w:rsid w:val="00DE5CDE"/>
    <w:rsid w:val="00DE60E8"/>
    <w:rsid w:val="00DE61A7"/>
    <w:rsid w:val="00DE620B"/>
    <w:rsid w:val="00DE63C3"/>
    <w:rsid w:val="00DE6410"/>
    <w:rsid w:val="00DE648C"/>
    <w:rsid w:val="00DE65D3"/>
    <w:rsid w:val="00DE6672"/>
    <w:rsid w:val="00DE6845"/>
    <w:rsid w:val="00DE699E"/>
    <w:rsid w:val="00DE69D9"/>
    <w:rsid w:val="00DE6A98"/>
    <w:rsid w:val="00DE6B1E"/>
    <w:rsid w:val="00DE6C36"/>
    <w:rsid w:val="00DE6C8F"/>
    <w:rsid w:val="00DE6CD5"/>
    <w:rsid w:val="00DE6F8C"/>
    <w:rsid w:val="00DE7006"/>
    <w:rsid w:val="00DE712A"/>
    <w:rsid w:val="00DE73EE"/>
    <w:rsid w:val="00DE73F9"/>
    <w:rsid w:val="00DE74F3"/>
    <w:rsid w:val="00DE75E3"/>
    <w:rsid w:val="00DE7728"/>
    <w:rsid w:val="00DE79C1"/>
    <w:rsid w:val="00DE7B0F"/>
    <w:rsid w:val="00DE7D28"/>
    <w:rsid w:val="00DF0044"/>
    <w:rsid w:val="00DF0283"/>
    <w:rsid w:val="00DF03F7"/>
    <w:rsid w:val="00DF0578"/>
    <w:rsid w:val="00DF060B"/>
    <w:rsid w:val="00DF0698"/>
    <w:rsid w:val="00DF08E6"/>
    <w:rsid w:val="00DF0EA6"/>
    <w:rsid w:val="00DF1054"/>
    <w:rsid w:val="00DF133E"/>
    <w:rsid w:val="00DF13D5"/>
    <w:rsid w:val="00DF1426"/>
    <w:rsid w:val="00DF149D"/>
    <w:rsid w:val="00DF14AB"/>
    <w:rsid w:val="00DF15F2"/>
    <w:rsid w:val="00DF172A"/>
    <w:rsid w:val="00DF1A04"/>
    <w:rsid w:val="00DF1D0D"/>
    <w:rsid w:val="00DF1D77"/>
    <w:rsid w:val="00DF1D92"/>
    <w:rsid w:val="00DF1E08"/>
    <w:rsid w:val="00DF1FC6"/>
    <w:rsid w:val="00DF2135"/>
    <w:rsid w:val="00DF218C"/>
    <w:rsid w:val="00DF21CE"/>
    <w:rsid w:val="00DF2243"/>
    <w:rsid w:val="00DF23BE"/>
    <w:rsid w:val="00DF2519"/>
    <w:rsid w:val="00DF25E4"/>
    <w:rsid w:val="00DF2823"/>
    <w:rsid w:val="00DF28CE"/>
    <w:rsid w:val="00DF298B"/>
    <w:rsid w:val="00DF2A56"/>
    <w:rsid w:val="00DF2C15"/>
    <w:rsid w:val="00DF2C82"/>
    <w:rsid w:val="00DF2E21"/>
    <w:rsid w:val="00DF30A0"/>
    <w:rsid w:val="00DF30C6"/>
    <w:rsid w:val="00DF31A7"/>
    <w:rsid w:val="00DF391F"/>
    <w:rsid w:val="00DF399D"/>
    <w:rsid w:val="00DF3AA1"/>
    <w:rsid w:val="00DF3C22"/>
    <w:rsid w:val="00DF3DDA"/>
    <w:rsid w:val="00DF3E45"/>
    <w:rsid w:val="00DF41AD"/>
    <w:rsid w:val="00DF42A1"/>
    <w:rsid w:val="00DF43DA"/>
    <w:rsid w:val="00DF4551"/>
    <w:rsid w:val="00DF45EA"/>
    <w:rsid w:val="00DF4783"/>
    <w:rsid w:val="00DF4892"/>
    <w:rsid w:val="00DF48BA"/>
    <w:rsid w:val="00DF49CC"/>
    <w:rsid w:val="00DF4CB0"/>
    <w:rsid w:val="00DF4F23"/>
    <w:rsid w:val="00DF5019"/>
    <w:rsid w:val="00DF503B"/>
    <w:rsid w:val="00DF5173"/>
    <w:rsid w:val="00DF51B3"/>
    <w:rsid w:val="00DF52B8"/>
    <w:rsid w:val="00DF5589"/>
    <w:rsid w:val="00DF57AB"/>
    <w:rsid w:val="00DF59FB"/>
    <w:rsid w:val="00DF59FC"/>
    <w:rsid w:val="00DF5A34"/>
    <w:rsid w:val="00DF5BAC"/>
    <w:rsid w:val="00DF5C10"/>
    <w:rsid w:val="00DF5C9D"/>
    <w:rsid w:val="00DF5E7D"/>
    <w:rsid w:val="00DF5F78"/>
    <w:rsid w:val="00DF6202"/>
    <w:rsid w:val="00DF6205"/>
    <w:rsid w:val="00DF6252"/>
    <w:rsid w:val="00DF6528"/>
    <w:rsid w:val="00DF65A4"/>
    <w:rsid w:val="00DF661F"/>
    <w:rsid w:val="00DF66C4"/>
    <w:rsid w:val="00DF6A47"/>
    <w:rsid w:val="00DF6B79"/>
    <w:rsid w:val="00DF7145"/>
    <w:rsid w:val="00DF7269"/>
    <w:rsid w:val="00DF72F4"/>
    <w:rsid w:val="00DF7332"/>
    <w:rsid w:val="00DF736C"/>
    <w:rsid w:val="00DF7703"/>
    <w:rsid w:val="00DF7866"/>
    <w:rsid w:val="00DF7A63"/>
    <w:rsid w:val="00DF7A98"/>
    <w:rsid w:val="00DF7AE8"/>
    <w:rsid w:val="00DF7B42"/>
    <w:rsid w:val="00DF7D01"/>
    <w:rsid w:val="00DF7F7B"/>
    <w:rsid w:val="00E0019C"/>
    <w:rsid w:val="00E001CA"/>
    <w:rsid w:val="00E0044A"/>
    <w:rsid w:val="00E004F2"/>
    <w:rsid w:val="00E00505"/>
    <w:rsid w:val="00E00A08"/>
    <w:rsid w:val="00E01014"/>
    <w:rsid w:val="00E01406"/>
    <w:rsid w:val="00E0141A"/>
    <w:rsid w:val="00E01437"/>
    <w:rsid w:val="00E0181D"/>
    <w:rsid w:val="00E018A2"/>
    <w:rsid w:val="00E018A5"/>
    <w:rsid w:val="00E018C7"/>
    <w:rsid w:val="00E019FB"/>
    <w:rsid w:val="00E01CAC"/>
    <w:rsid w:val="00E02009"/>
    <w:rsid w:val="00E020D5"/>
    <w:rsid w:val="00E02294"/>
    <w:rsid w:val="00E0229A"/>
    <w:rsid w:val="00E02706"/>
    <w:rsid w:val="00E0288B"/>
    <w:rsid w:val="00E028E9"/>
    <w:rsid w:val="00E02B0A"/>
    <w:rsid w:val="00E02E5E"/>
    <w:rsid w:val="00E02FD6"/>
    <w:rsid w:val="00E0308E"/>
    <w:rsid w:val="00E031F6"/>
    <w:rsid w:val="00E0331A"/>
    <w:rsid w:val="00E03751"/>
    <w:rsid w:val="00E037A7"/>
    <w:rsid w:val="00E03CC4"/>
    <w:rsid w:val="00E03D72"/>
    <w:rsid w:val="00E03FF7"/>
    <w:rsid w:val="00E0404F"/>
    <w:rsid w:val="00E04190"/>
    <w:rsid w:val="00E044F4"/>
    <w:rsid w:val="00E0457A"/>
    <w:rsid w:val="00E0479E"/>
    <w:rsid w:val="00E047E7"/>
    <w:rsid w:val="00E04836"/>
    <w:rsid w:val="00E04845"/>
    <w:rsid w:val="00E04AE3"/>
    <w:rsid w:val="00E0515E"/>
    <w:rsid w:val="00E052A1"/>
    <w:rsid w:val="00E053BA"/>
    <w:rsid w:val="00E05535"/>
    <w:rsid w:val="00E057F2"/>
    <w:rsid w:val="00E058E0"/>
    <w:rsid w:val="00E05CD2"/>
    <w:rsid w:val="00E05DFC"/>
    <w:rsid w:val="00E05E26"/>
    <w:rsid w:val="00E06634"/>
    <w:rsid w:val="00E067FD"/>
    <w:rsid w:val="00E06898"/>
    <w:rsid w:val="00E0693A"/>
    <w:rsid w:val="00E06966"/>
    <w:rsid w:val="00E06A03"/>
    <w:rsid w:val="00E06B46"/>
    <w:rsid w:val="00E06BDA"/>
    <w:rsid w:val="00E06EE9"/>
    <w:rsid w:val="00E06EED"/>
    <w:rsid w:val="00E07380"/>
    <w:rsid w:val="00E07479"/>
    <w:rsid w:val="00E07584"/>
    <w:rsid w:val="00E075A5"/>
    <w:rsid w:val="00E07612"/>
    <w:rsid w:val="00E076F5"/>
    <w:rsid w:val="00E077FF"/>
    <w:rsid w:val="00E078EB"/>
    <w:rsid w:val="00E079B7"/>
    <w:rsid w:val="00E07B70"/>
    <w:rsid w:val="00E07DFA"/>
    <w:rsid w:val="00E07E5B"/>
    <w:rsid w:val="00E07EBD"/>
    <w:rsid w:val="00E07FC8"/>
    <w:rsid w:val="00E101C8"/>
    <w:rsid w:val="00E1061E"/>
    <w:rsid w:val="00E10697"/>
    <w:rsid w:val="00E106F2"/>
    <w:rsid w:val="00E1073C"/>
    <w:rsid w:val="00E10824"/>
    <w:rsid w:val="00E108C0"/>
    <w:rsid w:val="00E10B0E"/>
    <w:rsid w:val="00E10B39"/>
    <w:rsid w:val="00E10BD8"/>
    <w:rsid w:val="00E10DD8"/>
    <w:rsid w:val="00E10E2A"/>
    <w:rsid w:val="00E10E7F"/>
    <w:rsid w:val="00E10F5D"/>
    <w:rsid w:val="00E113F6"/>
    <w:rsid w:val="00E1170F"/>
    <w:rsid w:val="00E119A4"/>
    <w:rsid w:val="00E119ED"/>
    <w:rsid w:val="00E11B5E"/>
    <w:rsid w:val="00E11DB4"/>
    <w:rsid w:val="00E11E3F"/>
    <w:rsid w:val="00E11F32"/>
    <w:rsid w:val="00E11FBF"/>
    <w:rsid w:val="00E12193"/>
    <w:rsid w:val="00E123B5"/>
    <w:rsid w:val="00E12460"/>
    <w:rsid w:val="00E12787"/>
    <w:rsid w:val="00E12B7C"/>
    <w:rsid w:val="00E12C54"/>
    <w:rsid w:val="00E12D2A"/>
    <w:rsid w:val="00E12D53"/>
    <w:rsid w:val="00E13261"/>
    <w:rsid w:val="00E1348B"/>
    <w:rsid w:val="00E134E4"/>
    <w:rsid w:val="00E1365F"/>
    <w:rsid w:val="00E13699"/>
    <w:rsid w:val="00E13715"/>
    <w:rsid w:val="00E1382E"/>
    <w:rsid w:val="00E13A25"/>
    <w:rsid w:val="00E13A82"/>
    <w:rsid w:val="00E13AA7"/>
    <w:rsid w:val="00E13B70"/>
    <w:rsid w:val="00E13C0F"/>
    <w:rsid w:val="00E13C3E"/>
    <w:rsid w:val="00E13D2B"/>
    <w:rsid w:val="00E13E1E"/>
    <w:rsid w:val="00E1416E"/>
    <w:rsid w:val="00E1428F"/>
    <w:rsid w:val="00E14343"/>
    <w:rsid w:val="00E1449A"/>
    <w:rsid w:val="00E14551"/>
    <w:rsid w:val="00E1458C"/>
    <w:rsid w:val="00E147BF"/>
    <w:rsid w:val="00E14858"/>
    <w:rsid w:val="00E148FE"/>
    <w:rsid w:val="00E14964"/>
    <w:rsid w:val="00E14C6D"/>
    <w:rsid w:val="00E14D48"/>
    <w:rsid w:val="00E14E23"/>
    <w:rsid w:val="00E14FF9"/>
    <w:rsid w:val="00E15151"/>
    <w:rsid w:val="00E153A9"/>
    <w:rsid w:val="00E154E8"/>
    <w:rsid w:val="00E1558D"/>
    <w:rsid w:val="00E15C04"/>
    <w:rsid w:val="00E15CBE"/>
    <w:rsid w:val="00E15D34"/>
    <w:rsid w:val="00E15F7E"/>
    <w:rsid w:val="00E161FF"/>
    <w:rsid w:val="00E16224"/>
    <w:rsid w:val="00E162BB"/>
    <w:rsid w:val="00E1638B"/>
    <w:rsid w:val="00E16462"/>
    <w:rsid w:val="00E165BA"/>
    <w:rsid w:val="00E1665E"/>
    <w:rsid w:val="00E16733"/>
    <w:rsid w:val="00E16813"/>
    <w:rsid w:val="00E16879"/>
    <w:rsid w:val="00E168FB"/>
    <w:rsid w:val="00E16921"/>
    <w:rsid w:val="00E16B4C"/>
    <w:rsid w:val="00E16DEB"/>
    <w:rsid w:val="00E16E46"/>
    <w:rsid w:val="00E172FD"/>
    <w:rsid w:val="00E1737C"/>
    <w:rsid w:val="00E173EB"/>
    <w:rsid w:val="00E1759B"/>
    <w:rsid w:val="00E17622"/>
    <w:rsid w:val="00E17807"/>
    <w:rsid w:val="00E1791D"/>
    <w:rsid w:val="00E17BA7"/>
    <w:rsid w:val="00E17E5C"/>
    <w:rsid w:val="00E17F51"/>
    <w:rsid w:val="00E17F57"/>
    <w:rsid w:val="00E17F94"/>
    <w:rsid w:val="00E201E4"/>
    <w:rsid w:val="00E20450"/>
    <w:rsid w:val="00E20678"/>
    <w:rsid w:val="00E206D4"/>
    <w:rsid w:val="00E206D5"/>
    <w:rsid w:val="00E2070C"/>
    <w:rsid w:val="00E209AC"/>
    <w:rsid w:val="00E20A42"/>
    <w:rsid w:val="00E20A98"/>
    <w:rsid w:val="00E20B04"/>
    <w:rsid w:val="00E21348"/>
    <w:rsid w:val="00E2162E"/>
    <w:rsid w:val="00E21634"/>
    <w:rsid w:val="00E2175E"/>
    <w:rsid w:val="00E218B4"/>
    <w:rsid w:val="00E21A8E"/>
    <w:rsid w:val="00E21ADA"/>
    <w:rsid w:val="00E21B6C"/>
    <w:rsid w:val="00E21BF5"/>
    <w:rsid w:val="00E21DB5"/>
    <w:rsid w:val="00E21DE1"/>
    <w:rsid w:val="00E21E1D"/>
    <w:rsid w:val="00E21FA5"/>
    <w:rsid w:val="00E22267"/>
    <w:rsid w:val="00E224FF"/>
    <w:rsid w:val="00E227AA"/>
    <w:rsid w:val="00E227E7"/>
    <w:rsid w:val="00E229CE"/>
    <w:rsid w:val="00E22F93"/>
    <w:rsid w:val="00E23099"/>
    <w:rsid w:val="00E23255"/>
    <w:rsid w:val="00E23259"/>
    <w:rsid w:val="00E2342D"/>
    <w:rsid w:val="00E234DA"/>
    <w:rsid w:val="00E236E0"/>
    <w:rsid w:val="00E236E7"/>
    <w:rsid w:val="00E23A11"/>
    <w:rsid w:val="00E23BCA"/>
    <w:rsid w:val="00E23BF8"/>
    <w:rsid w:val="00E23DA3"/>
    <w:rsid w:val="00E23F6D"/>
    <w:rsid w:val="00E244B6"/>
    <w:rsid w:val="00E246FC"/>
    <w:rsid w:val="00E24BB5"/>
    <w:rsid w:val="00E24C91"/>
    <w:rsid w:val="00E24D0F"/>
    <w:rsid w:val="00E251CD"/>
    <w:rsid w:val="00E25389"/>
    <w:rsid w:val="00E25490"/>
    <w:rsid w:val="00E254AD"/>
    <w:rsid w:val="00E2561B"/>
    <w:rsid w:val="00E25948"/>
    <w:rsid w:val="00E25C26"/>
    <w:rsid w:val="00E25F13"/>
    <w:rsid w:val="00E26902"/>
    <w:rsid w:val="00E269AC"/>
    <w:rsid w:val="00E269B0"/>
    <w:rsid w:val="00E26C60"/>
    <w:rsid w:val="00E26CDF"/>
    <w:rsid w:val="00E26D04"/>
    <w:rsid w:val="00E26D9E"/>
    <w:rsid w:val="00E26F46"/>
    <w:rsid w:val="00E26F9D"/>
    <w:rsid w:val="00E27181"/>
    <w:rsid w:val="00E27185"/>
    <w:rsid w:val="00E272A0"/>
    <w:rsid w:val="00E272A4"/>
    <w:rsid w:val="00E273C4"/>
    <w:rsid w:val="00E27689"/>
    <w:rsid w:val="00E277E5"/>
    <w:rsid w:val="00E2791E"/>
    <w:rsid w:val="00E27A19"/>
    <w:rsid w:val="00E27B02"/>
    <w:rsid w:val="00E27BC8"/>
    <w:rsid w:val="00E27BD3"/>
    <w:rsid w:val="00E27E54"/>
    <w:rsid w:val="00E27F17"/>
    <w:rsid w:val="00E30076"/>
    <w:rsid w:val="00E3029A"/>
    <w:rsid w:val="00E302A0"/>
    <w:rsid w:val="00E302BD"/>
    <w:rsid w:val="00E3049E"/>
    <w:rsid w:val="00E304B0"/>
    <w:rsid w:val="00E3067F"/>
    <w:rsid w:val="00E30979"/>
    <w:rsid w:val="00E30CC9"/>
    <w:rsid w:val="00E30CDD"/>
    <w:rsid w:val="00E30F04"/>
    <w:rsid w:val="00E31102"/>
    <w:rsid w:val="00E31109"/>
    <w:rsid w:val="00E31206"/>
    <w:rsid w:val="00E315F1"/>
    <w:rsid w:val="00E316B3"/>
    <w:rsid w:val="00E317D6"/>
    <w:rsid w:val="00E31F52"/>
    <w:rsid w:val="00E31F58"/>
    <w:rsid w:val="00E31F8E"/>
    <w:rsid w:val="00E32306"/>
    <w:rsid w:val="00E32396"/>
    <w:rsid w:val="00E323A5"/>
    <w:rsid w:val="00E32BF8"/>
    <w:rsid w:val="00E32D3D"/>
    <w:rsid w:val="00E32E5E"/>
    <w:rsid w:val="00E32FB3"/>
    <w:rsid w:val="00E33671"/>
    <w:rsid w:val="00E338AB"/>
    <w:rsid w:val="00E33A7B"/>
    <w:rsid w:val="00E340C3"/>
    <w:rsid w:val="00E34286"/>
    <w:rsid w:val="00E343C9"/>
    <w:rsid w:val="00E34469"/>
    <w:rsid w:val="00E34611"/>
    <w:rsid w:val="00E34853"/>
    <w:rsid w:val="00E34957"/>
    <w:rsid w:val="00E34B29"/>
    <w:rsid w:val="00E34C50"/>
    <w:rsid w:val="00E34E08"/>
    <w:rsid w:val="00E35035"/>
    <w:rsid w:val="00E352F3"/>
    <w:rsid w:val="00E353D1"/>
    <w:rsid w:val="00E3554B"/>
    <w:rsid w:val="00E355DA"/>
    <w:rsid w:val="00E355FF"/>
    <w:rsid w:val="00E359C0"/>
    <w:rsid w:val="00E35A2F"/>
    <w:rsid w:val="00E35C02"/>
    <w:rsid w:val="00E35D48"/>
    <w:rsid w:val="00E35F1A"/>
    <w:rsid w:val="00E3625E"/>
    <w:rsid w:val="00E3668D"/>
    <w:rsid w:val="00E367AC"/>
    <w:rsid w:val="00E368F7"/>
    <w:rsid w:val="00E369C0"/>
    <w:rsid w:val="00E36A8F"/>
    <w:rsid w:val="00E36B44"/>
    <w:rsid w:val="00E36C71"/>
    <w:rsid w:val="00E36D36"/>
    <w:rsid w:val="00E36F5C"/>
    <w:rsid w:val="00E37241"/>
    <w:rsid w:val="00E374FC"/>
    <w:rsid w:val="00E3761E"/>
    <w:rsid w:val="00E3775A"/>
    <w:rsid w:val="00E37829"/>
    <w:rsid w:val="00E37B85"/>
    <w:rsid w:val="00E37C66"/>
    <w:rsid w:val="00E37F82"/>
    <w:rsid w:val="00E40049"/>
    <w:rsid w:val="00E40476"/>
    <w:rsid w:val="00E40507"/>
    <w:rsid w:val="00E40649"/>
    <w:rsid w:val="00E40808"/>
    <w:rsid w:val="00E40857"/>
    <w:rsid w:val="00E40AB0"/>
    <w:rsid w:val="00E40BD4"/>
    <w:rsid w:val="00E40DE1"/>
    <w:rsid w:val="00E410DD"/>
    <w:rsid w:val="00E41229"/>
    <w:rsid w:val="00E4152E"/>
    <w:rsid w:val="00E41603"/>
    <w:rsid w:val="00E41826"/>
    <w:rsid w:val="00E41844"/>
    <w:rsid w:val="00E41B08"/>
    <w:rsid w:val="00E41B7A"/>
    <w:rsid w:val="00E41C05"/>
    <w:rsid w:val="00E41E2C"/>
    <w:rsid w:val="00E41E92"/>
    <w:rsid w:val="00E41ECB"/>
    <w:rsid w:val="00E41F33"/>
    <w:rsid w:val="00E41F8D"/>
    <w:rsid w:val="00E4205F"/>
    <w:rsid w:val="00E42126"/>
    <w:rsid w:val="00E422BD"/>
    <w:rsid w:val="00E4243E"/>
    <w:rsid w:val="00E42467"/>
    <w:rsid w:val="00E425AE"/>
    <w:rsid w:val="00E4263C"/>
    <w:rsid w:val="00E42926"/>
    <w:rsid w:val="00E42952"/>
    <w:rsid w:val="00E42D2C"/>
    <w:rsid w:val="00E42D59"/>
    <w:rsid w:val="00E42DA1"/>
    <w:rsid w:val="00E42E9C"/>
    <w:rsid w:val="00E42F75"/>
    <w:rsid w:val="00E4313C"/>
    <w:rsid w:val="00E432B2"/>
    <w:rsid w:val="00E43390"/>
    <w:rsid w:val="00E435A1"/>
    <w:rsid w:val="00E436A4"/>
    <w:rsid w:val="00E436FA"/>
    <w:rsid w:val="00E43774"/>
    <w:rsid w:val="00E437BD"/>
    <w:rsid w:val="00E4385B"/>
    <w:rsid w:val="00E438A7"/>
    <w:rsid w:val="00E43935"/>
    <w:rsid w:val="00E439B3"/>
    <w:rsid w:val="00E43B52"/>
    <w:rsid w:val="00E43BD4"/>
    <w:rsid w:val="00E43BF7"/>
    <w:rsid w:val="00E43E94"/>
    <w:rsid w:val="00E43EC2"/>
    <w:rsid w:val="00E4402C"/>
    <w:rsid w:val="00E441F0"/>
    <w:rsid w:val="00E444AC"/>
    <w:rsid w:val="00E447F1"/>
    <w:rsid w:val="00E449F0"/>
    <w:rsid w:val="00E44AAC"/>
    <w:rsid w:val="00E44D1F"/>
    <w:rsid w:val="00E44E9B"/>
    <w:rsid w:val="00E45256"/>
    <w:rsid w:val="00E45787"/>
    <w:rsid w:val="00E458C1"/>
    <w:rsid w:val="00E459EF"/>
    <w:rsid w:val="00E45CCB"/>
    <w:rsid w:val="00E45E59"/>
    <w:rsid w:val="00E45F73"/>
    <w:rsid w:val="00E461F7"/>
    <w:rsid w:val="00E4656B"/>
    <w:rsid w:val="00E465E4"/>
    <w:rsid w:val="00E466CB"/>
    <w:rsid w:val="00E468FC"/>
    <w:rsid w:val="00E46ADE"/>
    <w:rsid w:val="00E46B53"/>
    <w:rsid w:val="00E46C66"/>
    <w:rsid w:val="00E46FEB"/>
    <w:rsid w:val="00E472F6"/>
    <w:rsid w:val="00E4751E"/>
    <w:rsid w:val="00E475A5"/>
    <w:rsid w:val="00E47755"/>
    <w:rsid w:val="00E4795E"/>
    <w:rsid w:val="00E479C4"/>
    <w:rsid w:val="00E47BF6"/>
    <w:rsid w:val="00E50021"/>
    <w:rsid w:val="00E500F8"/>
    <w:rsid w:val="00E50124"/>
    <w:rsid w:val="00E501DD"/>
    <w:rsid w:val="00E502F7"/>
    <w:rsid w:val="00E50426"/>
    <w:rsid w:val="00E5067C"/>
    <w:rsid w:val="00E509C5"/>
    <w:rsid w:val="00E50A20"/>
    <w:rsid w:val="00E50A6B"/>
    <w:rsid w:val="00E51067"/>
    <w:rsid w:val="00E5115F"/>
    <w:rsid w:val="00E5116A"/>
    <w:rsid w:val="00E5126A"/>
    <w:rsid w:val="00E51437"/>
    <w:rsid w:val="00E516B0"/>
    <w:rsid w:val="00E518C3"/>
    <w:rsid w:val="00E519D0"/>
    <w:rsid w:val="00E51B86"/>
    <w:rsid w:val="00E51B88"/>
    <w:rsid w:val="00E51DC0"/>
    <w:rsid w:val="00E51EDF"/>
    <w:rsid w:val="00E52201"/>
    <w:rsid w:val="00E52328"/>
    <w:rsid w:val="00E5249D"/>
    <w:rsid w:val="00E524FF"/>
    <w:rsid w:val="00E526CE"/>
    <w:rsid w:val="00E52A82"/>
    <w:rsid w:val="00E52EEB"/>
    <w:rsid w:val="00E5309E"/>
    <w:rsid w:val="00E53350"/>
    <w:rsid w:val="00E53403"/>
    <w:rsid w:val="00E537A0"/>
    <w:rsid w:val="00E53853"/>
    <w:rsid w:val="00E5398D"/>
    <w:rsid w:val="00E53B69"/>
    <w:rsid w:val="00E53D02"/>
    <w:rsid w:val="00E54071"/>
    <w:rsid w:val="00E5413F"/>
    <w:rsid w:val="00E5423A"/>
    <w:rsid w:val="00E54464"/>
    <w:rsid w:val="00E5467D"/>
    <w:rsid w:val="00E54705"/>
    <w:rsid w:val="00E54D74"/>
    <w:rsid w:val="00E54D99"/>
    <w:rsid w:val="00E54EB3"/>
    <w:rsid w:val="00E550C4"/>
    <w:rsid w:val="00E55278"/>
    <w:rsid w:val="00E55281"/>
    <w:rsid w:val="00E552DE"/>
    <w:rsid w:val="00E555EA"/>
    <w:rsid w:val="00E5577B"/>
    <w:rsid w:val="00E557D9"/>
    <w:rsid w:val="00E55F9F"/>
    <w:rsid w:val="00E55FF9"/>
    <w:rsid w:val="00E56754"/>
    <w:rsid w:val="00E56DC7"/>
    <w:rsid w:val="00E56F7B"/>
    <w:rsid w:val="00E56FB6"/>
    <w:rsid w:val="00E56FF2"/>
    <w:rsid w:val="00E570BA"/>
    <w:rsid w:val="00E570CB"/>
    <w:rsid w:val="00E5712C"/>
    <w:rsid w:val="00E573D2"/>
    <w:rsid w:val="00E57631"/>
    <w:rsid w:val="00E5778C"/>
    <w:rsid w:val="00E577C8"/>
    <w:rsid w:val="00E5787D"/>
    <w:rsid w:val="00E579F8"/>
    <w:rsid w:val="00E57A3E"/>
    <w:rsid w:val="00E57A83"/>
    <w:rsid w:val="00E57AB6"/>
    <w:rsid w:val="00E57ADA"/>
    <w:rsid w:val="00E60439"/>
    <w:rsid w:val="00E6044A"/>
    <w:rsid w:val="00E60460"/>
    <w:rsid w:val="00E60560"/>
    <w:rsid w:val="00E607B8"/>
    <w:rsid w:val="00E608DC"/>
    <w:rsid w:val="00E60A04"/>
    <w:rsid w:val="00E60B6E"/>
    <w:rsid w:val="00E60C11"/>
    <w:rsid w:val="00E61028"/>
    <w:rsid w:val="00E61139"/>
    <w:rsid w:val="00E611A9"/>
    <w:rsid w:val="00E612D3"/>
    <w:rsid w:val="00E614ED"/>
    <w:rsid w:val="00E61517"/>
    <w:rsid w:val="00E61579"/>
    <w:rsid w:val="00E617BC"/>
    <w:rsid w:val="00E61890"/>
    <w:rsid w:val="00E6195C"/>
    <w:rsid w:val="00E61A81"/>
    <w:rsid w:val="00E61B06"/>
    <w:rsid w:val="00E61BA4"/>
    <w:rsid w:val="00E61C47"/>
    <w:rsid w:val="00E61D5B"/>
    <w:rsid w:val="00E61F74"/>
    <w:rsid w:val="00E626C4"/>
    <w:rsid w:val="00E62782"/>
    <w:rsid w:val="00E627BD"/>
    <w:rsid w:val="00E628EA"/>
    <w:rsid w:val="00E62B40"/>
    <w:rsid w:val="00E62D15"/>
    <w:rsid w:val="00E62ED7"/>
    <w:rsid w:val="00E62F50"/>
    <w:rsid w:val="00E62F6A"/>
    <w:rsid w:val="00E62F99"/>
    <w:rsid w:val="00E62FBE"/>
    <w:rsid w:val="00E62FDC"/>
    <w:rsid w:val="00E6307C"/>
    <w:rsid w:val="00E630EC"/>
    <w:rsid w:val="00E630F3"/>
    <w:rsid w:val="00E633F5"/>
    <w:rsid w:val="00E63502"/>
    <w:rsid w:val="00E635DB"/>
    <w:rsid w:val="00E636A8"/>
    <w:rsid w:val="00E637F2"/>
    <w:rsid w:val="00E639D6"/>
    <w:rsid w:val="00E63D4C"/>
    <w:rsid w:val="00E63EDA"/>
    <w:rsid w:val="00E64133"/>
    <w:rsid w:val="00E641CA"/>
    <w:rsid w:val="00E64268"/>
    <w:rsid w:val="00E644E8"/>
    <w:rsid w:val="00E645EA"/>
    <w:rsid w:val="00E646AC"/>
    <w:rsid w:val="00E646D2"/>
    <w:rsid w:val="00E648B1"/>
    <w:rsid w:val="00E649CE"/>
    <w:rsid w:val="00E64A12"/>
    <w:rsid w:val="00E64BF9"/>
    <w:rsid w:val="00E64D79"/>
    <w:rsid w:val="00E64ED2"/>
    <w:rsid w:val="00E64F5B"/>
    <w:rsid w:val="00E64FD4"/>
    <w:rsid w:val="00E651BD"/>
    <w:rsid w:val="00E65208"/>
    <w:rsid w:val="00E652C7"/>
    <w:rsid w:val="00E655DE"/>
    <w:rsid w:val="00E65715"/>
    <w:rsid w:val="00E65719"/>
    <w:rsid w:val="00E65A2A"/>
    <w:rsid w:val="00E65B29"/>
    <w:rsid w:val="00E65DF3"/>
    <w:rsid w:val="00E65E4C"/>
    <w:rsid w:val="00E65E87"/>
    <w:rsid w:val="00E66123"/>
    <w:rsid w:val="00E66279"/>
    <w:rsid w:val="00E66336"/>
    <w:rsid w:val="00E66468"/>
    <w:rsid w:val="00E664A5"/>
    <w:rsid w:val="00E665D8"/>
    <w:rsid w:val="00E665DB"/>
    <w:rsid w:val="00E665E5"/>
    <w:rsid w:val="00E66709"/>
    <w:rsid w:val="00E66999"/>
    <w:rsid w:val="00E66BBC"/>
    <w:rsid w:val="00E66DA3"/>
    <w:rsid w:val="00E66DED"/>
    <w:rsid w:val="00E66E62"/>
    <w:rsid w:val="00E66FD1"/>
    <w:rsid w:val="00E6709E"/>
    <w:rsid w:val="00E670A8"/>
    <w:rsid w:val="00E672AA"/>
    <w:rsid w:val="00E67307"/>
    <w:rsid w:val="00E6730B"/>
    <w:rsid w:val="00E6736C"/>
    <w:rsid w:val="00E6746A"/>
    <w:rsid w:val="00E67520"/>
    <w:rsid w:val="00E67C0E"/>
    <w:rsid w:val="00E67CFC"/>
    <w:rsid w:val="00E67EDE"/>
    <w:rsid w:val="00E67F01"/>
    <w:rsid w:val="00E70089"/>
    <w:rsid w:val="00E70387"/>
    <w:rsid w:val="00E704F1"/>
    <w:rsid w:val="00E70515"/>
    <w:rsid w:val="00E707C3"/>
    <w:rsid w:val="00E70AAF"/>
    <w:rsid w:val="00E70AD3"/>
    <w:rsid w:val="00E70B6C"/>
    <w:rsid w:val="00E70B7C"/>
    <w:rsid w:val="00E70F26"/>
    <w:rsid w:val="00E70F2F"/>
    <w:rsid w:val="00E71023"/>
    <w:rsid w:val="00E7129A"/>
    <w:rsid w:val="00E71330"/>
    <w:rsid w:val="00E713A3"/>
    <w:rsid w:val="00E715C5"/>
    <w:rsid w:val="00E71713"/>
    <w:rsid w:val="00E71782"/>
    <w:rsid w:val="00E71A1B"/>
    <w:rsid w:val="00E71ABC"/>
    <w:rsid w:val="00E71B45"/>
    <w:rsid w:val="00E71C4E"/>
    <w:rsid w:val="00E72021"/>
    <w:rsid w:val="00E72103"/>
    <w:rsid w:val="00E72B4E"/>
    <w:rsid w:val="00E73078"/>
    <w:rsid w:val="00E732B7"/>
    <w:rsid w:val="00E73390"/>
    <w:rsid w:val="00E73464"/>
    <w:rsid w:val="00E7358C"/>
    <w:rsid w:val="00E735D5"/>
    <w:rsid w:val="00E7378C"/>
    <w:rsid w:val="00E737E2"/>
    <w:rsid w:val="00E73BC7"/>
    <w:rsid w:val="00E74275"/>
    <w:rsid w:val="00E7433C"/>
    <w:rsid w:val="00E7438F"/>
    <w:rsid w:val="00E7444C"/>
    <w:rsid w:val="00E7452A"/>
    <w:rsid w:val="00E74579"/>
    <w:rsid w:val="00E745F2"/>
    <w:rsid w:val="00E749AA"/>
    <w:rsid w:val="00E74AD5"/>
    <w:rsid w:val="00E74B8B"/>
    <w:rsid w:val="00E74D65"/>
    <w:rsid w:val="00E74EEA"/>
    <w:rsid w:val="00E74F0A"/>
    <w:rsid w:val="00E750BE"/>
    <w:rsid w:val="00E75316"/>
    <w:rsid w:val="00E7536F"/>
    <w:rsid w:val="00E753AD"/>
    <w:rsid w:val="00E75559"/>
    <w:rsid w:val="00E75745"/>
    <w:rsid w:val="00E75844"/>
    <w:rsid w:val="00E75915"/>
    <w:rsid w:val="00E75A3C"/>
    <w:rsid w:val="00E75AAD"/>
    <w:rsid w:val="00E75B84"/>
    <w:rsid w:val="00E75C14"/>
    <w:rsid w:val="00E75CC5"/>
    <w:rsid w:val="00E75E9B"/>
    <w:rsid w:val="00E75EA9"/>
    <w:rsid w:val="00E75EF9"/>
    <w:rsid w:val="00E75FB6"/>
    <w:rsid w:val="00E760F8"/>
    <w:rsid w:val="00E76C6A"/>
    <w:rsid w:val="00E76F25"/>
    <w:rsid w:val="00E76F77"/>
    <w:rsid w:val="00E7705A"/>
    <w:rsid w:val="00E7731A"/>
    <w:rsid w:val="00E77348"/>
    <w:rsid w:val="00E77372"/>
    <w:rsid w:val="00E7759E"/>
    <w:rsid w:val="00E775C1"/>
    <w:rsid w:val="00E7768D"/>
    <w:rsid w:val="00E7775E"/>
    <w:rsid w:val="00E778D0"/>
    <w:rsid w:val="00E7793E"/>
    <w:rsid w:val="00E77DFC"/>
    <w:rsid w:val="00E805F9"/>
    <w:rsid w:val="00E80659"/>
    <w:rsid w:val="00E80834"/>
    <w:rsid w:val="00E80847"/>
    <w:rsid w:val="00E808B7"/>
    <w:rsid w:val="00E80A76"/>
    <w:rsid w:val="00E80D26"/>
    <w:rsid w:val="00E80E0A"/>
    <w:rsid w:val="00E8108A"/>
    <w:rsid w:val="00E810CA"/>
    <w:rsid w:val="00E813B4"/>
    <w:rsid w:val="00E81431"/>
    <w:rsid w:val="00E8152C"/>
    <w:rsid w:val="00E81959"/>
    <w:rsid w:val="00E81A09"/>
    <w:rsid w:val="00E81AB3"/>
    <w:rsid w:val="00E81AF8"/>
    <w:rsid w:val="00E81EE4"/>
    <w:rsid w:val="00E82572"/>
    <w:rsid w:val="00E826DC"/>
    <w:rsid w:val="00E8290E"/>
    <w:rsid w:val="00E8296D"/>
    <w:rsid w:val="00E829F9"/>
    <w:rsid w:val="00E82A81"/>
    <w:rsid w:val="00E82B51"/>
    <w:rsid w:val="00E82E62"/>
    <w:rsid w:val="00E82F4D"/>
    <w:rsid w:val="00E82FA2"/>
    <w:rsid w:val="00E830B6"/>
    <w:rsid w:val="00E830D1"/>
    <w:rsid w:val="00E8324E"/>
    <w:rsid w:val="00E8335D"/>
    <w:rsid w:val="00E83740"/>
    <w:rsid w:val="00E83875"/>
    <w:rsid w:val="00E83969"/>
    <w:rsid w:val="00E83A33"/>
    <w:rsid w:val="00E83D40"/>
    <w:rsid w:val="00E83EA5"/>
    <w:rsid w:val="00E83EAE"/>
    <w:rsid w:val="00E8410B"/>
    <w:rsid w:val="00E84359"/>
    <w:rsid w:val="00E8455D"/>
    <w:rsid w:val="00E847E4"/>
    <w:rsid w:val="00E84BED"/>
    <w:rsid w:val="00E84C09"/>
    <w:rsid w:val="00E84C1B"/>
    <w:rsid w:val="00E84C28"/>
    <w:rsid w:val="00E84F32"/>
    <w:rsid w:val="00E850D2"/>
    <w:rsid w:val="00E8523B"/>
    <w:rsid w:val="00E852B5"/>
    <w:rsid w:val="00E85373"/>
    <w:rsid w:val="00E856FF"/>
    <w:rsid w:val="00E858DD"/>
    <w:rsid w:val="00E85D3D"/>
    <w:rsid w:val="00E86008"/>
    <w:rsid w:val="00E8617F"/>
    <w:rsid w:val="00E862E3"/>
    <w:rsid w:val="00E863CC"/>
    <w:rsid w:val="00E8663B"/>
    <w:rsid w:val="00E86646"/>
    <w:rsid w:val="00E86781"/>
    <w:rsid w:val="00E869E5"/>
    <w:rsid w:val="00E86B16"/>
    <w:rsid w:val="00E86B20"/>
    <w:rsid w:val="00E86C16"/>
    <w:rsid w:val="00E86E13"/>
    <w:rsid w:val="00E86FB4"/>
    <w:rsid w:val="00E87062"/>
    <w:rsid w:val="00E8745B"/>
    <w:rsid w:val="00E8752F"/>
    <w:rsid w:val="00E87C1A"/>
    <w:rsid w:val="00E87CDD"/>
    <w:rsid w:val="00E87E0A"/>
    <w:rsid w:val="00E87E55"/>
    <w:rsid w:val="00E87F6D"/>
    <w:rsid w:val="00E901FE"/>
    <w:rsid w:val="00E90466"/>
    <w:rsid w:val="00E90492"/>
    <w:rsid w:val="00E909DF"/>
    <w:rsid w:val="00E90A2F"/>
    <w:rsid w:val="00E90AB7"/>
    <w:rsid w:val="00E90EC4"/>
    <w:rsid w:val="00E90F14"/>
    <w:rsid w:val="00E90FC0"/>
    <w:rsid w:val="00E910BF"/>
    <w:rsid w:val="00E91146"/>
    <w:rsid w:val="00E91230"/>
    <w:rsid w:val="00E913BA"/>
    <w:rsid w:val="00E9140E"/>
    <w:rsid w:val="00E914AA"/>
    <w:rsid w:val="00E914C2"/>
    <w:rsid w:val="00E91544"/>
    <w:rsid w:val="00E91549"/>
    <w:rsid w:val="00E916B6"/>
    <w:rsid w:val="00E9195B"/>
    <w:rsid w:val="00E91AA6"/>
    <w:rsid w:val="00E91C35"/>
    <w:rsid w:val="00E91E68"/>
    <w:rsid w:val="00E91ED4"/>
    <w:rsid w:val="00E91FE8"/>
    <w:rsid w:val="00E92231"/>
    <w:rsid w:val="00E922B1"/>
    <w:rsid w:val="00E92517"/>
    <w:rsid w:val="00E925E7"/>
    <w:rsid w:val="00E92AB5"/>
    <w:rsid w:val="00E92DE1"/>
    <w:rsid w:val="00E92F66"/>
    <w:rsid w:val="00E930BB"/>
    <w:rsid w:val="00E931F1"/>
    <w:rsid w:val="00E93293"/>
    <w:rsid w:val="00E935E5"/>
    <w:rsid w:val="00E937FE"/>
    <w:rsid w:val="00E9404B"/>
    <w:rsid w:val="00E94109"/>
    <w:rsid w:val="00E941BF"/>
    <w:rsid w:val="00E9440D"/>
    <w:rsid w:val="00E944D8"/>
    <w:rsid w:val="00E9452E"/>
    <w:rsid w:val="00E94BA8"/>
    <w:rsid w:val="00E94BD8"/>
    <w:rsid w:val="00E94D48"/>
    <w:rsid w:val="00E94FEA"/>
    <w:rsid w:val="00E950A2"/>
    <w:rsid w:val="00E95524"/>
    <w:rsid w:val="00E956A0"/>
    <w:rsid w:val="00E957A5"/>
    <w:rsid w:val="00E9580C"/>
    <w:rsid w:val="00E9595F"/>
    <w:rsid w:val="00E95C51"/>
    <w:rsid w:val="00E95CDF"/>
    <w:rsid w:val="00E95D82"/>
    <w:rsid w:val="00E960E6"/>
    <w:rsid w:val="00E96103"/>
    <w:rsid w:val="00E96108"/>
    <w:rsid w:val="00E96247"/>
    <w:rsid w:val="00E96510"/>
    <w:rsid w:val="00E9682F"/>
    <w:rsid w:val="00E96AB8"/>
    <w:rsid w:val="00E96B16"/>
    <w:rsid w:val="00E96CF5"/>
    <w:rsid w:val="00E9713D"/>
    <w:rsid w:val="00E9717E"/>
    <w:rsid w:val="00E971AB"/>
    <w:rsid w:val="00E9747A"/>
    <w:rsid w:val="00E974BD"/>
    <w:rsid w:val="00E974DE"/>
    <w:rsid w:val="00E97511"/>
    <w:rsid w:val="00E9758A"/>
    <w:rsid w:val="00E97603"/>
    <w:rsid w:val="00E976DB"/>
    <w:rsid w:val="00E97A56"/>
    <w:rsid w:val="00E97AA6"/>
    <w:rsid w:val="00E97AE8"/>
    <w:rsid w:val="00E97CFE"/>
    <w:rsid w:val="00E97F34"/>
    <w:rsid w:val="00EA000A"/>
    <w:rsid w:val="00EA0350"/>
    <w:rsid w:val="00EA0450"/>
    <w:rsid w:val="00EA04E3"/>
    <w:rsid w:val="00EA04E5"/>
    <w:rsid w:val="00EA06E8"/>
    <w:rsid w:val="00EA0714"/>
    <w:rsid w:val="00EA07C0"/>
    <w:rsid w:val="00EA094F"/>
    <w:rsid w:val="00EA0C49"/>
    <w:rsid w:val="00EA0E40"/>
    <w:rsid w:val="00EA0E48"/>
    <w:rsid w:val="00EA0FF6"/>
    <w:rsid w:val="00EA0FF9"/>
    <w:rsid w:val="00EA10B3"/>
    <w:rsid w:val="00EA137D"/>
    <w:rsid w:val="00EA1902"/>
    <w:rsid w:val="00EA1924"/>
    <w:rsid w:val="00EA19B0"/>
    <w:rsid w:val="00EA1A87"/>
    <w:rsid w:val="00EA1F59"/>
    <w:rsid w:val="00EA1F91"/>
    <w:rsid w:val="00EA1F93"/>
    <w:rsid w:val="00EA2207"/>
    <w:rsid w:val="00EA26FC"/>
    <w:rsid w:val="00EA2728"/>
    <w:rsid w:val="00EA2B83"/>
    <w:rsid w:val="00EA2C8D"/>
    <w:rsid w:val="00EA2F77"/>
    <w:rsid w:val="00EA305A"/>
    <w:rsid w:val="00EA3206"/>
    <w:rsid w:val="00EA347F"/>
    <w:rsid w:val="00EA35A6"/>
    <w:rsid w:val="00EA3812"/>
    <w:rsid w:val="00EA38EB"/>
    <w:rsid w:val="00EA3AA3"/>
    <w:rsid w:val="00EA4017"/>
    <w:rsid w:val="00EA404B"/>
    <w:rsid w:val="00EA4474"/>
    <w:rsid w:val="00EA452C"/>
    <w:rsid w:val="00EA4602"/>
    <w:rsid w:val="00EA463C"/>
    <w:rsid w:val="00EA476A"/>
    <w:rsid w:val="00EA481C"/>
    <w:rsid w:val="00EA48EF"/>
    <w:rsid w:val="00EA4BB5"/>
    <w:rsid w:val="00EA4BFF"/>
    <w:rsid w:val="00EA4C51"/>
    <w:rsid w:val="00EA4C78"/>
    <w:rsid w:val="00EA4CF9"/>
    <w:rsid w:val="00EA4D9F"/>
    <w:rsid w:val="00EA4E06"/>
    <w:rsid w:val="00EA4E90"/>
    <w:rsid w:val="00EA4ED7"/>
    <w:rsid w:val="00EA5269"/>
    <w:rsid w:val="00EA53B7"/>
    <w:rsid w:val="00EA5411"/>
    <w:rsid w:val="00EA55A0"/>
    <w:rsid w:val="00EA55B6"/>
    <w:rsid w:val="00EA56C8"/>
    <w:rsid w:val="00EA56F5"/>
    <w:rsid w:val="00EA585C"/>
    <w:rsid w:val="00EA59C1"/>
    <w:rsid w:val="00EA5BF7"/>
    <w:rsid w:val="00EA5C48"/>
    <w:rsid w:val="00EA5CA2"/>
    <w:rsid w:val="00EA5D32"/>
    <w:rsid w:val="00EA5ED7"/>
    <w:rsid w:val="00EA6047"/>
    <w:rsid w:val="00EA6061"/>
    <w:rsid w:val="00EA664B"/>
    <w:rsid w:val="00EA6949"/>
    <w:rsid w:val="00EA6994"/>
    <w:rsid w:val="00EA6A60"/>
    <w:rsid w:val="00EA6B23"/>
    <w:rsid w:val="00EA6CCC"/>
    <w:rsid w:val="00EA6E48"/>
    <w:rsid w:val="00EA7054"/>
    <w:rsid w:val="00EA70C3"/>
    <w:rsid w:val="00EA71CF"/>
    <w:rsid w:val="00EA7213"/>
    <w:rsid w:val="00EA73C9"/>
    <w:rsid w:val="00EA7416"/>
    <w:rsid w:val="00EA7439"/>
    <w:rsid w:val="00EA74BC"/>
    <w:rsid w:val="00EA76B8"/>
    <w:rsid w:val="00EA76E9"/>
    <w:rsid w:val="00EA789D"/>
    <w:rsid w:val="00EA7B7F"/>
    <w:rsid w:val="00EA7CA5"/>
    <w:rsid w:val="00EA7D91"/>
    <w:rsid w:val="00EA7DD2"/>
    <w:rsid w:val="00EA7DFD"/>
    <w:rsid w:val="00EA7F57"/>
    <w:rsid w:val="00EB0231"/>
    <w:rsid w:val="00EB0390"/>
    <w:rsid w:val="00EB0408"/>
    <w:rsid w:val="00EB045D"/>
    <w:rsid w:val="00EB0563"/>
    <w:rsid w:val="00EB06B5"/>
    <w:rsid w:val="00EB07BD"/>
    <w:rsid w:val="00EB08D4"/>
    <w:rsid w:val="00EB08E2"/>
    <w:rsid w:val="00EB0A14"/>
    <w:rsid w:val="00EB0C40"/>
    <w:rsid w:val="00EB0CB9"/>
    <w:rsid w:val="00EB0D45"/>
    <w:rsid w:val="00EB0DF6"/>
    <w:rsid w:val="00EB1081"/>
    <w:rsid w:val="00EB1248"/>
    <w:rsid w:val="00EB1525"/>
    <w:rsid w:val="00EB16D3"/>
    <w:rsid w:val="00EB178E"/>
    <w:rsid w:val="00EB197C"/>
    <w:rsid w:val="00EB1AE8"/>
    <w:rsid w:val="00EB1B16"/>
    <w:rsid w:val="00EB1B49"/>
    <w:rsid w:val="00EB1C54"/>
    <w:rsid w:val="00EB1EC9"/>
    <w:rsid w:val="00EB1FD7"/>
    <w:rsid w:val="00EB2174"/>
    <w:rsid w:val="00EB2216"/>
    <w:rsid w:val="00EB24E3"/>
    <w:rsid w:val="00EB2B05"/>
    <w:rsid w:val="00EB2B7C"/>
    <w:rsid w:val="00EB2B92"/>
    <w:rsid w:val="00EB2D89"/>
    <w:rsid w:val="00EB301B"/>
    <w:rsid w:val="00EB32B3"/>
    <w:rsid w:val="00EB338C"/>
    <w:rsid w:val="00EB360E"/>
    <w:rsid w:val="00EB360F"/>
    <w:rsid w:val="00EB3668"/>
    <w:rsid w:val="00EB372D"/>
    <w:rsid w:val="00EB3771"/>
    <w:rsid w:val="00EB3B51"/>
    <w:rsid w:val="00EB3B75"/>
    <w:rsid w:val="00EB3C2D"/>
    <w:rsid w:val="00EB3CE6"/>
    <w:rsid w:val="00EB3F14"/>
    <w:rsid w:val="00EB4204"/>
    <w:rsid w:val="00EB4212"/>
    <w:rsid w:val="00EB47C8"/>
    <w:rsid w:val="00EB4B06"/>
    <w:rsid w:val="00EB4BE5"/>
    <w:rsid w:val="00EB4DEC"/>
    <w:rsid w:val="00EB4FB7"/>
    <w:rsid w:val="00EB4FC1"/>
    <w:rsid w:val="00EB5161"/>
    <w:rsid w:val="00EB521E"/>
    <w:rsid w:val="00EB534B"/>
    <w:rsid w:val="00EB5565"/>
    <w:rsid w:val="00EB55AC"/>
    <w:rsid w:val="00EB58CB"/>
    <w:rsid w:val="00EB5EF6"/>
    <w:rsid w:val="00EB5F21"/>
    <w:rsid w:val="00EB6063"/>
    <w:rsid w:val="00EB61CE"/>
    <w:rsid w:val="00EB6238"/>
    <w:rsid w:val="00EB626B"/>
    <w:rsid w:val="00EB6301"/>
    <w:rsid w:val="00EB6418"/>
    <w:rsid w:val="00EB645D"/>
    <w:rsid w:val="00EB6481"/>
    <w:rsid w:val="00EB6494"/>
    <w:rsid w:val="00EB64E6"/>
    <w:rsid w:val="00EB6A16"/>
    <w:rsid w:val="00EB6C47"/>
    <w:rsid w:val="00EB6D7A"/>
    <w:rsid w:val="00EB6DD9"/>
    <w:rsid w:val="00EB7014"/>
    <w:rsid w:val="00EB7028"/>
    <w:rsid w:val="00EB70E8"/>
    <w:rsid w:val="00EB7275"/>
    <w:rsid w:val="00EB7813"/>
    <w:rsid w:val="00EB7E83"/>
    <w:rsid w:val="00EB7EDD"/>
    <w:rsid w:val="00EC0251"/>
    <w:rsid w:val="00EC08CA"/>
    <w:rsid w:val="00EC0CDB"/>
    <w:rsid w:val="00EC0E57"/>
    <w:rsid w:val="00EC0EB8"/>
    <w:rsid w:val="00EC0EBF"/>
    <w:rsid w:val="00EC0F6A"/>
    <w:rsid w:val="00EC10AC"/>
    <w:rsid w:val="00EC1100"/>
    <w:rsid w:val="00EC111A"/>
    <w:rsid w:val="00EC1474"/>
    <w:rsid w:val="00EC1490"/>
    <w:rsid w:val="00EC14A5"/>
    <w:rsid w:val="00EC14E9"/>
    <w:rsid w:val="00EC173C"/>
    <w:rsid w:val="00EC1765"/>
    <w:rsid w:val="00EC177A"/>
    <w:rsid w:val="00EC1789"/>
    <w:rsid w:val="00EC17E0"/>
    <w:rsid w:val="00EC17E2"/>
    <w:rsid w:val="00EC1AC5"/>
    <w:rsid w:val="00EC1C13"/>
    <w:rsid w:val="00EC2072"/>
    <w:rsid w:val="00EC209C"/>
    <w:rsid w:val="00EC2144"/>
    <w:rsid w:val="00EC2359"/>
    <w:rsid w:val="00EC25D8"/>
    <w:rsid w:val="00EC279A"/>
    <w:rsid w:val="00EC2810"/>
    <w:rsid w:val="00EC2813"/>
    <w:rsid w:val="00EC2ACB"/>
    <w:rsid w:val="00EC2AEA"/>
    <w:rsid w:val="00EC2BB6"/>
    <w:rsid w:val="00EC2C7B"/>
    <w:rsid w:val="00EC3375"/>
    <w:rsid w:val="00EC3427"/>
    <w:rsid w:val="00EC34CD"/>
    <w:rsid w:val="00EC3590"/>
    <w:rsid w:val="00EC35A2"/>
    <w:rsid w:val="00EC3809"/>
    <w:rsid w:val="00EC3838"/>
    <w:rsid w:val="00EC3955"/>
    <w:rsid w:val="00EC3AEF"/>
    <w:rsid w:val="00EC3E9C"/>
    <w:rsid w:val="00EC416B"/>
    <w:rsid w:val="00EC4352"/>
    <w:rsid w:val="00EC4401"/>
    <w:rsid w:val="00EC440E"/>
    <w:rsid w:val="00EC467D"/>
    <w:rsid w:val="00EC46B2"/>
    <w:rsid w:val="00EC480F"/>
    <w:rsid w:val="00EC48AC"/>
    <w:rsid w:val="00EC49AA"/>
    <w:rsid w:val="00EC49D7"/>
    <w:rsid w:val="00EC4AF6"/>
    <w:rsid w:val="00EC4FCA"/>
    <w:rsid w:val="00EC5147"/>
    <w:rsid w:val="00EC51D6"/>
    <w:rsid w:val="00EC527D"/>
    <w:rsid w:val="00EC5345"/>
    <w:rsid w:val="00EC5372"/>
    <w:rsid w:val="00EC557A"/>
    <w:rsid w:val="00EC5642"/>
    <w:rsid w:val="00EC587F"/>
    <w:rsid w:val="00EC59C4"/>
    <w:rsid w:val="00EC5A18"/>
    <w:rsid w:val="00EC5AB0"/>
    <w:rsid w:val="00EC5B95"/>
    <w:rsid w:val="00EC5C98"/>
    <w:rsid w:val="00EC5D7A"/>
    <w:rsid w:val="00EC5EBA"/>
    <w:rsid w:val="00EC6021"/>
    <w:rsid w:val="00EC60BE"/>
    <w:rsid w:val="00EC615C"/>
    <w:rsid w:val="00EC62F5"/>
    <w:rsid w:val="00EC6545"/>
    <w:rsid w:val="00EC65C6"/>
    <w:rsid w:val="00EC6A0E"/>
    <w:rsid w:val="00EC6A57"/>
    <w:rsid w:val="00EC6E86"/>
    <w:rsid w:val="00EC71C4"/>
    <w:rsid w:val="00EC7441"/>
    <w:rsid w:val="00EC74C4"/>
    <w:rsid w:val="00EC74F9"/>
    <w:rsid w:val="00EC74FA"/>
    <w:rsid w:val="00EC781E"/>
    <w:rsid w:val="00EC799B"/>
    <w:rsid w:val="00EC7A24"/>
    <w:rsid w:val="00EC7A38"/>
    <w:rsid w:val="00EC7C49"/>
    <w:rsid w:val="00EC7D41"/>
    <w:rsid w:val="00EC7D4B"/>
    <w:rsid w:val="00ED0016"/>
    <w:rsid w:val="00ED008A"/>
    <w:rsid w:val="00ED018C"/>
    <w:rsid w:val="00ED057B"/>
    <w:rsid w:val="00ED073B"/>
    <w:rsid w:val="00ED0897"/>
    <w:rsid w:val="00ED091C"/>
    <w:rsid w:val="00ED0B90"/>
    <w:rsid w:val="00ED0BF9"/>
    <w:rsid w:val="00ED0D18"/>
    <w:rsid w:val="00ED0D6D"/>
    <w:rsid w:val="00ED0E67"/>
    <w:rsid w:val="00ED0FC9"/>
    <w:rsid w:val="00ED0FD4"/>
    <w:rsid w:val="00ED1141"/>
    <w:rsid w:val="00ED135E"/>
    <w:rsid w:val="00ED16A1"/>
    <w:rsid w:val="00ED1868"/>
    <w:rsid w:val="00ED18D5"/>
    <w:rsid w:val="00ED1920"/>
    <w:rsid w:val="00ED1970"/>
    <w:rsid w:val="00ED1995"/>
    <w:rsid w:val="00ED19B9"/>
    <w:rsid w:val="00ED1A22"/>
    <w:rsid w:val="00ED1B3E"/>
    <w:rsid w:val="00ED1BAD"/>
    <w:rsid w:val="00ED1CF0"/>
    <w:rsid w:val="00ED1F4E"/>
    <w:rsid w:val="00ED1F5A"/>
    <w:rsid w:val="00ED1F9E"/>
    <w:rsid w:val="00ED20F3"/>
    <w:rsid w:val="00ED2200"/>
    <w:rsid w:val="00ED2445"/>
    <w:rsid w:val="00ED24A9"/>
    <w:rsid w:val="00ED264F"/>
    <w:rsid w:val="00ED2793"/>
    <w:rsid w:val="00ED2B33"/>
    <w:rsid w:val="00ED2C00"/>
    <w:rsid w:val="00ED2E61"/>
    <w:rsid w:val="00ED2E65"/>
    <w:rsid w:val="00ED312F"/>
    <w:rsid w:val="00ED3192"/>
    <w:rsid w:val="00ED3382"/>
    <w:rsid w:val="00ED34F7"/>
    <w:rsid w:val="00ED351E"/>
    <w:rsid w:val="00ED369F"/>
    <w:rsid w:val="00ED3742"/>
    <w:rsid w:val="00ED3A2E"/>
    <w:rsid w:val="00ED3BA2"/>
    <w:rsid w:val="00ED3C49"/>
    <w:rsid w:val="00ED3D53"/>
    <w:rsid w:val="00ED3F12"/>
    <w:rsid w:val="00ED40FD"/>
    <w:rsid w:val="00ED428B"/>
    <w:rsid w:val="00ED47C2"/>
    <w:rsid w:val="00ED4927"/>
    <w:rsid w:val="00ED4C92"/>
    <w:rsid w:val="00ED4DED"/>
    <w:rsid w:val="00ED505B"/>
    <w:rsid w:val="00ED54B3"/>
    <w:rsid w:val="00ED54DB"/>
    <w:rsid w:val="00ED55B4"/>
    <w:rsid w:val="00ED56A5"/>
    <w:rsid w:val="00ED56CE"/>
    <w:rsid w:val="00ED59BF"/>
    <w:rsid w:val="00ED5A52"/>
    <w:rsid w:val="00ED5BD9"/>
    <w:rsid w:val="00ED5C0B"/>
    <w:rsid w:val="00ED5C33"/>
    <w:rsid w:val="00ED61C9"/>
    <w:rsid w:val="00ED62F9"/>
    <w:rsid w:val="00ED62FA"/>
    <w:rsid w:val="00ED6417"/>
    <w:rsid w:val="00ED678C"/>
    <w:rsid w:val="00ED67B9"/>
    <w:rsid w:val="00ED68A0"/>
    <w:rsid w:val="00ED68B6"/>
    <w:rsid w:val="00ED6A8C"/>
    <w:rsid w:val="00ED6DA0"/>
    <w:rsid w:val="00ED6DCE"/>
    <w:rsid w:val="00ED6F5A"/>
    <w:rsid w:val="00ED7137"/>
    <w:rsid w:val="00ED7188"/>
    <w:rsid w:val="00ED72B4"/>
    <w:rsid w:val="00ED7358"/>
    <w:rsid w:val="00ED74AF"/>
    <w:rsid w:val="00ED753D"/>
    <w:rsid w:val="00ED75E4"/>
    <w:rsid w:val="00ED7691"/>
    <w:rsid w:val="00ED770F"/>
    <w:rsid w:val="00ED773D"/>
    <w:rsid w:val="00ED7787"/>
    <w:rsid w:val="00ED77B1"/>
    <w:rsid w:val="00ED789E"/>
    <w:rsid w:val="00ED78B9"/>
    <w:rsid w:val="00ED7B15"/>
    <w:rsid w:val="00ED7BBC"/>
    <w:rsid w:val="00ED7C0E"/>
    <w:rsid w:val="00ED7DEF"/>
    <w:rsid w:val="00ED7F54"/>
    <w:rsid w:val="00EE0040"/>
    <w:rsid w:val="00EE0262"/>
    <w:rsid w:val="00EE06B9"/>
    <w:rsid w:val="00EE0985"/>
    <w:rsid w:val="00EE0C70"/>
    <w:rsid w:val="00EE0D6B"/>
    <w:rsid w:val="00EE0DF7"/>
    <w:rsid w:val="00EE0E21"/>
    <w:rsid w:val="00EE0FF9"/>
    <w:rsid w:val="00EE165E"/>
    <w:rsid w:val="00EE1762"/>
    <w:rsid w:val="00EE17D2"/>
    <w:rsid w:val="00EE19A6"/>
    <w:rsid w:val="00EE1A2D"/>
    <w:rsid w:val="00EE1E18"/>
    <w:rsid w:val="00EE1FE9"/>
    <w:rsid w:val="00EE214E"/>
    <w:rsid w:val="00EE21A5"/>
    <w:rsid w:val="00EE2279"/>
    <w:rsid w:val="00EE26C1"/>
    <w:rsid w:val="00EE26DA"/>
    <w:rsid w:val="00EE27FD"/>
    <w:rsid w:val="00EE2810"/>
    <w:rsid w:val="00EE29D4"/>
    <w:rsid w:val="00EE2B0F"/>
    <w:rsid w:val="00EE2E4C"/>
    <w:rsid w:val="00EE31BB"/>
    <w:rsid w:val="00EE32C4"/>
    <w:rsid w:val="00EE33FD"/>
    <w:rsid w:val="00EE3574"/>
    <w:rsid w:val="00EE38E0"/>
    <w:rsid w:val="00EE3CD5"/>
    <w:rsid w:val="00EE3D12"/>
    <w:rsid w:val="00EE3D41"/>
    <w:rsid w:val="00EE3D8F"/>
    <w:rsid w:val="00EE3E12"/>
    <w:rsid w:val="00EE43D9"/>
    <w:rsid w:val="00EE458F"/>
    <w:rsid w:val="00EE45A0"/>
    <w:rsid w:val="00EE46C8"/>
    <w:rsid w:val="00EE487F"/>
    <w:rsid w:val="00EE4A2F"/>
    <w:rsid w:val="00EE4AEC"/>
    <w:rsid w:val="00EE4B32"/>
    <w:rsid w:val="00EE4C75"/>
    <w:rsid w:val="00EE4D60"/>
    <w:rsid w:val="00EE4D8C"/>
    <w:rsid w:val="00EE4E0A"/>
    <w:rsid w:val="00EE4ED1"/>
    <w:rsid w:val="00EE4FA1"/>
    <w:rsid w:val="00EE518B"/>
    <w:rsid w:val="00EE548A"/>
    <w:rsid w:val="00EE54B1"/>
    <w:rsid w:val="00EE562F"/>
    <w:rsid w:val="00EE56FC"/>
    <w:rsid w:val="00EE584A"/>
    <w:rsid w:val="00EE58A5"/>
    <w:rsid w:val="00EE5BFD"/>
    <w:rsid w:val="00EE5CC2"/>
    <w:rsid w:val="00EE5CD6"/>
    <w:rsid w:val="00EE6074"/>
    <w:rsid w:val="00EE61FB"/>
    <w:rsid w:val="00EE63FF"/>
    <w:rsid w:val="00EE65DD"/>
    <w:rsid w:val="00EE66AA"/>
    <w:rsid w:val="00EE6765"/>
    <w:rsid w:val="00EE6C52"/>
    <w:rsid w:val="00EE6C69"/>
    <w:rsid w:val="00EE7000"/>
    <w:rsid w:val="00EE736A"/>
    <w:rsid w:val="00EE7622"/>
    <w:rsid w:val="00EE7893"/>
    <w:rsid w:val="00EE7906"/>
    <w:rsid w:val="00EE79D0"/>
    <w:rsid w:val="00EE7BD2"/>
    <w:rsid w:val="00EE7D0F"/>
    <w:rsid w:val="00EE7F24"/>
    <w:rsid w:val="00EE7FD1"/>
    <w:rsid w:val="00EF0100"/>
    <w:rsid w:val="00EF0112"/>
    <w:rsid w:val="00EF02C0"/>
    <w:rsid w:val="00EF02EF"/>
    <w:rsid w:val="00EF080B"/>
    <w:rsid w:val="00EF0913"/>
    <w:rsid w:val="00EF0B5F"/>
    <w:rsid w:val="00EF0DB6"/>
    <w:rsid w:val="00EF0E6A"/>
    <w:rsid w:val="00EF0E6C"/>
    <w:rsid w:val="00EF1284"/>
    <w:rsid w:val="00EF171C"/>
    <w:rsid w:val="00EF177F"/>
    <w:rsid w:val="00EF187E"/>
    <w:rsid w:val="00EF1DBF"/>
    <w:rsid w:val="00EF1E0C"/>
    <w:rsid w:val="00EF1E3C"/>
    <w:rsid w:val="00EF24CD"/>
    <w:rsid w:val="00EF264E"/>
    <w:rsid w:val="00EF26F4"/>
    <w:rsid w:val="00EF2716"/>
    <w:rsid w:val="00EF28C7"/>
    <w:rsid w:val="00EF2A26"/>
    <w:rsid w:val="00EF2B0A"/>
    <w:rsid w:val="00EF2F8F"/>
    <w:rsid w:val="00EF2FE9"/>
    <w:rsid w:val="00EF3075"/>
    <w:rsid w:val="00EF31CC"/>
    <w:rsid w:val="00EF322D"/>
    <w:rsid w:val="00EF33CC"/>
    <w:rsid w:val="00EF3597"/>
    <w:rsid w:val="00EF35EC"/>
    <w:rsid w:val="00EF371F"/>
    <w:rsid w:val="00EF38E2"/>
    <w:rsid w:val="00EF3941"/>
    <w:rsid w:val="00EF4065"/>
    <w:rsid w:val="00EF430B"/>
    <w:rsid w:val="00EF44ED"/>
    <w:rsid w:val="00EF46F9"/>
    <w:rsid w:val="00EF49E2"/>
    <w:rsid w:val="00EF4C93"/>
    <w:rsid w:val="00EF4C99"/>
    <w:rsid w:val="00EF4D79"/>
    <w:rsid w:val="00EF4FED"/>
    <w:rsid w:val="00EF511A"/>
    <w:rsid w:val="00EF517B"/>
    <w:rsid w:val="00EF51CE"/>
    <w:rsid w:val="00EF5256"/>
    <w:rsid w:val="00EF5258"/>
    <w:rsid w:val="00EF5296"/>
    <w:rsid w:val="00EF52D7"/>
    <w:rsid w:val="00EF546D"/>
    <w:rsid w:val="00EF54C7"/>
    <w:rsid w:val="00EF54DA"/>
    <w:rsid w:val="00EF5542"/>
    <w:rsid w:val="00EF5581"/>
    <w:rsid w:val="00EF56C5"/>
    <w:rsid w:val="00EF57A4"/>
    <w:rsid w:val="00EF587A"/>
    <w:rsid w:val="00EF58A4"/>
    <w:rsid w:val="00EF594A"/>
    <w:rsid w:val="00EF5B3A"/>
    <w:rsid w:val="00EF5D72"/>
    <w:rsid w:val="00EF5D7A"/>
    <w:rsid w:val="00EF5DAB"/>
    <w:rsid w:val="00EF5E7D"/>
    <w:rsid w:val="00EF60FF"/>
    <w:rsid w:val="00EF627F"/>
    <w:rsid w:val="00EF64FA"/>
    <w:rsid w:val="00EF6596"/>
    <w:rsid w:val="00EF670A"/>
    <w:rsid w:val="00EF6AF5"/>
    <w:rsid w:val="00EF6BA6"/>
    <w:rsid w:val="00EF6C82"/>
    <w:rsid w:val="00EF6DC9"/>
    <w:rsid w:val="00EF6E0C"/>
    <w:rsid w:val="00EF6FB9"/>
    <w:rsid w:val="00EF74E7"/>
    <w:rsid w:val="00EF7760"/>
    <w:rsid w:val="00EF7761"/>
    <w:rsid w:val="00EF77E1"/>
    <w:rsid w:val="00EF7892"/>
    <w:rsid w:val="00EF78CF"/>
    <w:rsid w:val="00EF78E4"/>
    <w:rsid w:val="00EF79D9"/>
    <w:rsid w:val="00EF7D6A"/>
    <w:rsid w:val="00EF7D83"/>
    <w:rsid w:val="00F000D3"/>
    <w:rsid w:val="00F002A4"/>
    <w:rsid w:val="00F00468"/>
    <w:rsid w:val="00F005D6"/>
    <w:rsid w:val="00F00A50"/>
    <w:rsid w:val="00F00C83"/>
    <w:rsid w:val="00F00D8A"/>
    <w:rsid w:val="00F00D90"/>
    <w:rsid w:val="00F00DE0"/>
    <w:rsid w:val="00F00E93"/>
    <w:rsid w:val="00F00EF9"/>
    <w:rsid w:val="00F00F61"/>
    <w:rsid w:val="00F01003"/>
    <w:rsid w:val="00F011DF"/>
    <w:rsid w:val="00F0191E"/>
    <w:rsid w:val="00F01F64"/>
    <w:rsid w:val="00F0207D"/>
    <w:rsid w:val="00F021BC"/>
    <w:rsid w:val="00F023CE"/>
    <w:rsid w:val="00F0241A"/>
    <w:rsid w:val="00F02487"/>
    <w:rsid w:val="00F02723"/>
    <w:rsid w:val="00F02875"/>
    <w:rsid w:val="00F02AFD"/>
    <w:rsid w:val="00F02B55"/>
    <w:rsid w:val="00F02CDB"/>
    <w:rsid w:val="00F02DF0"/>
    <w:rsid w:val="00F02EA4"/>
    <w:rsid w:val="00F03064"/>
    <w:rsid w:val="00F03221"/>
    <w:rsid w:val="00F03373"/>
    <w:rsid w:val="00F033F5"/>
    <w:rsid w:val="00F03419"/>
    <w:rsid w:val="00F034BC"/>
    <w:rsid w:val="00F03736"/>
    <w:rsid w:val="00F038D5"/>
    <w:rsid w:val="00F038DE"/>
    <w:rsid w:val="00F03B9C"/>
    <w:rsid w:val="00F03FC3"/>
    <w:rsid w:val="00F03FC6"/>
    <w:rsid w:val="00F0438B"/>
    <w:rsid w:val="00F04581"/>
    <w:rsid w:val="00F045F6"/>
    <w:rsid w:val="00F04A26"/>
    <w:rsid w:val="00F04AD0"/>
    <w:rsid w:val="00F04B1E"/>
    <w:rsid w:val="00F04CDF"/>
    <w:rsid w:val="00F04D22"/>
    <w:rsid w:val="00F04D25"/>
    <w:rsid w:val="00F0504E"/>
    <w:rsid w:val="00F050B3"/>
    <w:rsid w:val="00F0544F"/>
    <w:rsid w:val="00F05590"/>
    <w:rsid w:val="00F05632"/>
    <w:rsid w:val="00F05656"/>
    <w:rsid w:val="00F05694"/>
    <w:rsid w:val="00F056BC"/>
    <w:rsid w:val="00F0588E"/>
    <w:rsid w:val="00F05ADD"/>
    <w:rsid w:val="00F05C88"/>
    <w:rsid w:val="00F05CA7"/>
    <w:rsid w:val="00F05CE0"/>
    <w:rsid w:val="00F05D98"/>
    <w:rsid w:val="00F05FAF"/>
    <w:rsid w:val="00F0612A"/>
    <w:rsid w:val="00F061E2"/>
    <w:rsid w:val="00F0666F"/>
    <w:rsid w:val="00F06681"/>
    <w:rsid w:val="00F0669D"/>
    <w:rsid w:val="00F0671B"/>
    <w:rsid w:val="00F06744"/>
    <w:rsid w:val="00F0688F"/>
    <w:rsid w:val="00F06A84"/>
    <w:rsid w:val="00F06B37"/>
    <w:rsid w:val="00F06B9B"/>
    <w:rsid w:val="00F06CE9"/>
    <w:rsid w:val="00F06D1B"/>
    <w:rsid w:val="00F06E43"/>
    <w:rsid w:val="00F06F49"/>
    <w:rsid w:val="00F07235"/>
    <w:rsid w:val="00F07276"/>
    <w:rsid w:val="00F072A5"/>
    <w:rsid w:val="00F074B1"/>
    <w:rsid w:val="00F075D9"/>
    <w:rsid w:val="00F076A8"/>
    <w:rsid w:val="00F07734"/>
    <w:rsid w:val="00F0787F"/>
    <w:rsid w:val="00F078F2"/>
    <w:rsid w:val="00F07990"/>
    <w:rsid w:val="00F07A3E"/>
    <w:rsid w:val="00F07B80"/>
    <w:rsid w:val="00F07DBC"/>
    <w:rsid w:val="00F1011A"/>
    <w:rsid w:val="00F102F7"/>
    <w:rsid w:val="00F10393"/>
    <w:rsid w:val="00F10415"/>
    <w:rsid w:val="00F1048C"/>
    <w:rsid w:val="00F10579"/>
    <w:rsid w:val="00F10617"/>
    <w:rsid w:val="00F10752"/>
    <w:rsid w:val="00F1095A"/>
    <w:rsid w:val="00F10AB9"/>
    <w:rsid w:val="00F10DE1"/>
    <w:rsid w:val="00F10E1B"/>
    <w:rsid w:val="00F10EBE"/>
    <w:rsid w:val="00F10F8F"/>
    <w:rsid w:val="00F11115"/>
    <w:rsid w:val="00F1150E"/>
    <w:rsid w:val="00F11546"/>
    <w:rsid w:val="00F11A06"/>
    <w:rsid w:val="00F11A62"/>
    <w:rsid w:val="00F11CA3"/>
    <w:rsid w:val="00F11FF7"/>
    <w:rsid w:val="00F120B0"/>
    <w:rsid w:val="00F123C2"/>
    <w:rsid w:val="00F12467"/>
    <w:rsid w:val="00F125E1"/>
    <w:rsid w:val="00F126E3"/>
    <w:rsid w:val="00F128EE"/>
    <w:rsid w:val="00F12CBF"/>
    <w:rsid w:val="00F12D93"/>
    <w:rsid w:val="00F12E04"/>
    <w:rsid w:val="00F12ECE"/>
    <w:rsid w:val="00F12F1A"/>
    <w:rsid w:val="00F12F41"/>
    <w:rsid w:val="00F12F68"/>
    <w:rsid w:val="00F13152"/>
    <w:rsid w:val="00F132CB"/>
    <w:rsid w:val="00F13436"/>
    <w:rsid w:val="00F13478"/>
    <w:rsid w:val="00F138CA"/>
    <w:rsid w:val="00F13AF1"/>
    <w:rsid w:val="00F13D44"/>
    <w:rsid w:val="00F13E7D"/>
    <w:rsid w:val="00F13F0E"/>
    <w:rsid w:val="00F13FCD"/>
    <w:rsid w:val="00F14017"/>
    <w:rsid w:val="00F14152"/>
    <w:rsid w:val="00F14356"/>
    <w:rsid w:val="00F14405"/>
    <w:rsid w:val="00F1441C"/>
    <w:rsid w:val="00F144BC"/>
    <w:rsid w:val="00F147AC"/>
    <w:rsid w:val="00F147C9"/>
    <w:rsid w:val="00F14823"/>
    <w:rsid w:val="00F148ED"/>
    <w:rsid w:val="00F14963"/>
    <w:rsid w:val="00F14A2F"/>
    <w:rsid w:val="00F14B56"/>
    <w:rsid w:val="00F14D34"/>
    <w:rsid w:val="00F14DD5"/>
    <w:rsid w:val="00F14E57"/>
    <w:rsid w:val="00F14E7E"/>
    <w:rsid w:val="00F14F77"/>
    <w:rsid w:val="00F15277"/>
    <w:rsid w:val="00F15434"/>
    <w:rsid w:val="00F15726"/>
    <w:rsid w:val="00F15742"/>
    <w:rsid w:val="00F15976"/>
    <w:rsid w:val="00F15BC0"/>
    <w:rsid w:val="00F15D5C"/>
    <w:rsid w:val="00F15F04"/>
    <w:rsid w:val="00F16034"/>
    <w:rsid w:val="00F162BB"/>
    <w:rsid w:val="00F1643D"/>
    <w:rsid w:val="00F165DE"/>
    <w:rsid w:val="00F1664F"/>
    <w:rsid w:val="00F1665E"/>
    <w:rsid w:val="00F16661"/>
    <w:rsid w:val="00F16AB6"/>
    <w:rsid w:val="00F16B5C"/>
    <w:rsid w:val="00F16B9D"/>
    <w:rsid w:val="00F16C96"/>
    <w:rsid w:val="00F16CB6"/>
    <w:rsid w:val="00F16D0F"/>
    <w:rsid w:val="00F16DD8"/>
    <w:rsid w:val="00F16E3D"/>
    <w:rsid w:val="00F1767B"/>
    <w:rsid w:val="00F1776C"/>
    <w:rsid w:val="00F17AEF"/>
    <w:rsid w:val="00F17BF5"/>
    <w:rsid w:val="00F17E45"/>
    <w:rsid w:val="00F20026"/>
    <w:rsid w:val="00F20150"/>
    <w:rsid w:val="00F20168"/>
    <w:rsid w:val="00F20266"/>
    <w:rsid w:val="00F20482"/>
    <w:rsid w:val="00F20756"/>
    <w:rsid w:val="00F20840"/>
    <w:rsid w:val="00F20C82"/>
    <w:rsid w:val="00F20F06"/>
    <w:rsid w:val="00F20F8B"/>
    <w:rsid w:val="00F20F98"/>
    <w:rsid w:val="00F21196"/>
    <w:rsid w:val="00F21459"/>
    <w:rsid w:val="00F2156F"/>
    <w:rsid w:val="00F217E4"/>
    <w:rsid w:val="00F219D3"/>
    <w:rsid w:val="00F21A04"/>
    <w:rsid w:val="00F21BDB"/>
    <w:rsid w:val="00F21BE7"/>
    <w:rsid w:val="00F21C1D"/>
    <w:rsid w:val="00F21C24"/>
    <w:rsid w:val="00F21CA0"/>
    <w:rsid w:val="00F21D38"/>
    <w:rsid w:val="00F21D55"/>
    <w:rsid w:val="00F21FFB"/>
    <w:rsid w:val="00F220EF"/>
    <w:rsid w:val="00F22127"/>
    <w:rsid w:val="00F221DB"/>
    <w:rsid w:val="00F2228F"/>
    <w:rsid w:val="00F22529"/>
    <w:rsid w:val="00F226E4"/>
    <w:rsid w:val="00F228AC"/>
    <w:rsid w:val="00F22961"/>
    <w:rsid w:val="00F22AA0"/>
    <w:rsid w:val="00F22C5A"/>
    <w:rsid w:val="00F22E5A"/>
    <w:rsid w:val="00F232AA"/>
    <w:rsid w:val="00F2345A"/>
    <w:rsid w:val="00F234CD"/>
    <w:rsid w:val="00F23950"/>
    <w:rsid w:val="00F23AAB"/>
    <w:rsid w:val="00F23B2E"/>
    <w:rsid w:val="00F23BB7"/>
    <w:rsid w:val="00F23C9D"/>
    <w:rsid w:val="00F23CDE"/>
    <w:rsid w:val="00F23E06"/>
    <w:rsid w:val="00F23E10"/>
    <w:rsid w:val="00F24075"/>
    <w:rsid w:val="00F2410B"/>
    <w:rsid w:val="00F244C3"/>
    <w:rsid w:val="00F2450F"/>
    <w:rsid w:val="00F24530"/>
    <w:rsid w:val="00F24558"/>
    <w:rsid w:val="00F2479B"/>
    <w:rsid w:val="00F2484C"/>
    <w:rsid w:val="00F249A4"/>
    <w:rsid w:val="00F24F87"/>
    <w:rsid w:val="00F25180"/>
    <w:rsid w:val="00F251D6"/>
    <w:rsid w:val="00F2540A"/>
    <w:rsid w:val="00F2543C"/>
    <w:rsid w:val="00F25548"/>
    <w:rsid w:val="00F25659"/>
    <w:rsid w:val="00F256B5"/>
    <w:rsid w:val="00F257D3"/>
    <w:rsid w:val="00F2598A"/>
    <w:rsid w:val="00F26563"/>
    <w:rsid w:val="00F2676D"/>
    <w:rsid w:val="00F26AAD"/>
    <w:rsid w:val="00F26C78"/>
    <w:rsid w:val="00F26ECA"/>
    <w:rsid w:val="00F27004"/>
    <w:rsid w:val="00F27098"/>
    <w:rsid w:val="00F274D0"/>
    <w:rsid w:val="00F27638"/>
    <w:rsid w:val="00F276D7"/>
    <w:rsid w:val="00F27739"/>
    <w:rsid w:val="00F2774F"/>
    <w:rsid w:val="00F279A4"/>
    <w:rsid w:val="00F27E2B"/>
    <w:rsid w:val="00F27E4F"/>
    <w:rsid w:val="00F3055C"/>
    <w:rsid w:val="00F30698"/>
    <w:rsid w:val="00F306AB"/>
    <w:rsid w:val="00F30732"/>
    <w:rsid w:val="00F308B3"/>
    <w:rsid w:val="00F309C5"/>
    <w:rsid w:val="00F30A9F"/>
    <w:rsid w:val="00F30C7D"/>
    <w:rsid w:val="00F30DC2"/>
    <w:rsid w:val="00F30DCC"/>
    <w:rsid w:val="00F30FDA"/>
    <w:rsid w:val="00F31064"/>
    <w:rsid w:val="00F310A1"/>
    <w:rsid w:val="00F311F7"/>
    <w:rsid w:val="00F312B0"/>
    <w:rsid w:val="00F315C9"/>
    <w:rsid w:val="00F31719"/>
    <w:rsid w:val="00F318A1"/>
    <w:rsid w:val="00F319B3"/>
    <w:rsid w:val="00F319F4"/>
    <w:rsid w:val="00F31AAD"/>
    <w:rsid w:val="00F31FA8"/>
    <w:rsid w:val="00F32049"/>
    <w:rsid w:val="00F3228F"/>
    <w:rsid w:val="00F32291"/>
    <w:rsid w:val="00F326B0"/>
    <w:rsid w:val="00F326BC"/>
    <w:rsid w:val="00F3285D"/>
    <w:rsid w:val="00F32BCE"/>
    <w:rsid w:val="00F32C39"/>
    <w:rsid w:val="00F32F61"/>
    <w:rsid w:val="00F334AB"/>
    <w:rsid w:val="00F3354B"/>
    <w:rsid w:val="00F33629"/>
    <w:rsid w:val="00F3391D"/>
    <w:rsid w:val="00F339C6"/>
    <w:rsid w:val="00F33B8D"/>
    <w:rsid w:val="00F33B8E"/>
    <w:rsid w:val="00F33CAE"/>
    <w:rsid w:val="00F33FF4"/>
    <w:rsid w:val="00F34036"/>
    <w:rsid w:val="00F34082"/>
    <w:rsid w:val="00F341F6"/>
    <w:rsid w:val="00F34247"/>
    <w:rsid w:val="00F343C5"/>
    <w:rsid w:val="00F34446"/>
    <w:rsid w:val="00F34532"/>
    <w:rsid w:val="00F347C0"/>
    <w:rsid w:val="00F348D2"/>
    <w:rsid w:val="00F34A5B"/>
    <w:rsid w:val="00F34B03"/>
    <w:rsid w:val="00F34CA5"/>
    <w:rsid w:val="00F34EA6"/>
    <w:rsid w:val="00F35009"/>
    <w:rsid w:val="00F35116"/>
    <w:rsid w:val="00F35299"/>
    <w:rsid w:val="00F35329"/>
    <w:rsid w:val="00F353A8"/>
    <w:rsid w:val="00F355CB"/>
    <w:rsid w:val="00F357EE"/>
    <w:rsid w:val="00F35839"/>
    <w:rsid w:val="00F35871"/>
    <w:rsid w:val="00F35A44"/>
    <w:rsid w:val="00F35C97"/>
    <w:rsid w:val="00F35D02"/>
    <w:rsid w:val="00F35E58"/>
    <w:rsid w:val="00F35F88"/>
    <w:rsid w:val="00F36083"/>
    <w:rsid w:val="00F36120"/>
    <w:rsid w:val="00F36C41"/>
    <w:rsid w:val="00F36CBC"/>
    <w:rsid w:val="00F36F8A"/>
    <w:rsid w:val="00F3713D"/>
    <w:rsid w:val="00F37387"/>
    <w:rsid w:val="00F3752D"/>
    <w:rsid w:val="00F375BD"/>
    <w:rsid w:val="00F37816"/>
    <w:rsid w:val="00F37EC3"/>
    <w:rsid w:val="00F37F89"/>
    <w:rsid w:val="00F37FCD"/>
    <w:rsid w:val="00F37FE9"/>
    <w:rsid w:val="00F40113"/>
    <w:rsid w:val="00F40420"/>
    <w:rsid w:val="00F404E7"/>
    <w:rsid w:val="00F40531"/>
    <w:rsid w:val="00F40719"/>
    <w:rsid w:val="00F40A1F"/>
    <w:rsid w:val="00F40A92"/>
    <w:rsid w:val="00F40B54"/>
    <w:rsid w:val="00F40D10"/>
    <w:rsid w:val="00F40D27"/>
    <w:rsid w:val="00F4105B"/>
    <w:rsid w:val="00F41242"/>
    <w:rsid w:val="00F41421"/>
    <w:rsid w:val="00F4152E"/>
    <w:rsid w:val="00F415E3"/>
    <w:rsid w:val="00F41A3F"/>
    <w:rsid w:val="00F41BE8"/>
    <w:rsid w:val="00F41CB1"/>
    <w:rsid w:val="00F4213B"/>
    <w:rsid w:val="00F42147"/>
    <w:rsid w:val="00F422DD"/>
    <w:rsid w:val="00F422EC"/>
    <w:rsid w:val="00F424D1"/>
    <w:rsid w:val="00F42B9C"/>
    <w:rsid w:val="00F42CE4"/>
    <w:rsid w:val="00F42D30"/>
    <w:rsid w:val="00F42EF6"/>
    <w:rsid w:val="00F42FE6"/>
    <w:rsid w:val="00F4305E"/>
    <w:rsid w:val="00F430BD"/>
    <w:rsid w:val="00F4310C"/>
    <w:rsid w:val="00F4310F"/>
    <w:rsid w:val="00F4315E"/>
    <w:rsid w:val="00F43214"/>
    <w:rsid w:val="00F4350E"/>
    <w:rsid w:val="00F4375B"/>
    <w:rsid w:val="00F438CC"/>
    <w:rsid w:val="00F4391E"/>
    <w:rsid w:val="00F439ED"/>
    <w:rsid w:val="00F43D12"/>
    <w:rsid w:val="00F43D93"/>
    <w:rsid w:val="00F43E71"/>
    <w:rsid w:val="00F4401D"/>
    <w:rsid w:val="00F4407F"/>
    <w:rsid w:val="00F44083"/>
    <w:rsid w:val="00F4419D"/>
    <w:rsid w:val="00F4427E"/>
    <w:rsid w:val="00F443E3"/>
    <w:rsid w:val="00F4442A"/>
    <w:rsid w:val="00F44451"/>
    <w:rsid w:val="00F4455E"/>
    <w:rsid w:val="00F44585"/>
    <w:rsid w:val="00F449C6"/>
    <w:rsid w:val="00F44BE7"/>
    <w:rsid w:val="00F45016"/>
    <w:rsid w:val="00F451FA"/>
    <w:rsid w:val="00F4530D"/>
    <w:rsid w:val="00F45449"/>
    <w:rsid w:val="00F4565D"/>
    <w:rsid w:val="00F45717"/>
    <w:rsid w:val="00F45911"/>
    <w:rsid w:val="00F45955"/>
    <w:rsid w:val="00F45A95"/>
    <w:rsid w:val="00F4603B"/>
    <w:rsid w:val="00F46414"/>
    <w:rsid w:val="00F466E7"/>
    <w:rsid w:val="00F4690D"/>
    <w:rsid w:val="00F46AF9"/>
    <w:rsid w:val="00F46D7C"/>
    <w:rsid w:val="00F46E97"/>
    <w:rsid w:val="00F46EDC"/>
    <w:rsid w:val="00F46FF9"/>
    <w:rsid w:val="00F4708F"/>
    <w:rsid w:val="00F474EE"/>
    <w:rsid w:val="00F476C7"/>
    <w:rsid w:val="00F47944"/>
    <w:rsid w:val="00F47991"/>
    <w:rsid w:val="00F47D3C"/>
    <w:rsid w:val="00F50064"/>
    <w:rsid w:val="00F5015E"/>
    <w:rsid w:val="00F503FE"/>
    <w:rsid w:val="00F50409"/>
    <w:rsid w:val="00F5053E"/>
    <w:rsid w:val="00F505C5"/>
    <w:rsid w:val="00F507EC"/>
    <w:rsid w:val="00F507F7"/>
    <w:rsid w:val="00F508F2"/>
    <w:rsid w:val="00F509E1"/>
    <w:rsid w:val="00F50A37"/>
    <w:rsid w:val="00F50DD1"/>
    <w:rsid w:val="00F50EAF"/>
    <w:rsid w:val="00F511DF"/>
    <w:rsid w:val="00F51328"/>
    <w:rsid w:val="00F5138F"/>
    <w:rsid w:val="00F513A5"/>
    <w:rsid w:val="00F51460"/>
    <w:rsid w:val="00F515DD"/>
    <w:rsid w:val="00F51667"/>
    <w:rsid w:val="00F51688"/>
    <w:rsid w:val="00F51955"/>
    <w:rsid w:val="00F51987"/>
    <w:rsid w:val="00F519FA"/>
    <w:rsid w:val="00F51AA5"/>
    <w:rsid w:val="00F51B99"/>
    <w:rsid w:val="00F51DE6"/>
    <w:rsid w:val="00F51E3D"/>
    <w:rsid w:val="00F5202B"/>
    <w:rsid w:val="00F52146"/>
    <w:rsid w:val="00F52186"/>
    <w:rsid w:val="00F52339"/>
    <w:rsid w:val="00F526EA"/>
    <w:rsid w:val="00F5293B"/>
    <w:rsid w:val="00F52965"/>
    <w:rsid w:val="00F52B86"/>
    <w:rsid w:val="00F52DB1"/>
    <w:rsid w:val="00F52E3B"/>
    <w:rsid w:val="00F52FAA"/>
    <w:rsid w:val="00F52FAF"/>
    <w:rsid w:val="00F52FD2"/>
    <w:rsid w:val="00F53086"/>
    <w:rsid w:val="00F5317E"/>
    <w:rsid w:val="00F531C6"/>
    <w:rsid w:val="00F535E5"/>
    <w:rsid w:val="00F535F7"/>
    <w:rsid w:val="00F53739"/>
    <w:rsid w:val="00F53871"/>
    <w:rsid w:val="00F538D8"/>
    <w:rsid w:val="00F53E73"/>
    <w:rsid w:val="00F53E79"/>
    <w:rsid w:val="00F53F4F"/>
    <w:rsid w:val="00F5420D"/>
    <w:rsid w:val="00F54263"/>
    <w:rsid w:val="00F54303"/>
    <w:rsid w:val="00F544E5"/>
    <w:rsid w:val="00F54547"/>
    <w:rsid w:val="00F546C9"/>
    <w:rsid w:val="00F548FF"/>
    <w:rsid w:val="00F5498A"/>
    <w:rsid w:val="00F54E0D"/>
    <w:rsid w:val="00F54E5F"/>
    <w:rsid w:val="00F55351"/>
    <w:rsid w:val="00F55434"/>
    <w:rsid w:val="00F55667"/>
    <w:rsid w:val="00F556E2"/>
    <w:rsid w:val="00F55727"/>
    <w:rsid w:val="00F557B1"/>
    <w:rsid w:val="00F557D9"/>
    <w:rsid w:val="00F55801"/>
    <w:rsid w:val="00F55C51"/>
    <w:rsid w:val="00F55DC1"/>
    <w:rsid w:val="00F560DD"/>
    <w:rsid w:val="00F56151"/>
    <w:rsid w:val="00F561A6"/>
    <w:rsid w:val="00F56333"/>
    <w:rsid w:val="00F56421"/>
    <w:rsid w:val="00F566E3"/>
    <w:rsid w:val="00F56EA5"/>
    <w:rsid w:val="00F56EAB"/>
    <w:rsid w:val="00F57024"/>
    <w:rsid w:val="00F57026"/>
    <w:rsid w:val="00F57028"/>
    <w:rsid w:val="00F571A1"/>
    <w:rsid w:val="00F57450"/>
    <w:rsid w:val="00F574EC"/>
    <w:rsid w:val="00F575BC"/>
    <w:rsid w:val="00F5769D"/>
    <w:rsid w:val="00F57A87"/>
    <w:rsid w:val="00F57A8F"/>
    <w:rsid w:val="00F57B19"/>
    <w:rsid w:val="00F57BC4"/>
    <w:rsid w:val="00F57BE6"/>
    <w:rsid w:val="00F57CD6"/>
    <w:rsid w:val="00F57EE8"/>
    <w:rsid w:val="00F57F28"/>
    <w:rsid w:val="00F60268"/>
    <w:rsid w:val="00F602D3"/>
    <w:rsid w:val="00F602FB"/>
    <w:rsid w:val="00F60755"/>
    <w:rsid w:val="00F6092F"/>
    <w:rsid w:val="00F60A33"/>
    <w:rsid w:val="00F60F9D"/>
    <w:rsid w:val="00F6105B"/>
    <w:rsid w:val="00F61112"/>
    <w:rsid w:val="00F614B3"/>
    <w:rsid w:val="00F615DE"/>
    <w:rsid w:val="00F61655"/>
    <w:rsid w:val="00F6194B"/>
    <w:rsid w:val="00F6198D"/>
    <w:rsid w:val="00F61A8A"/>
    <w:rsid w:val="00F61B24"/>
    <w:rsid w:val="00F61B26"/>
    <w:rsid w:val="00F62208"/>
    <w:rsid w:val="00F62417"/>
    <w:rsid w:val="00F6263A"/>
    <w:rsid w:val="00F6273B"/>
    <w:rsid w:val="00F62B30"/>
    <w:rsid w:val="00F6313B"/>
    <w:rsid w:val="00F632A7"/>
    <w:rsid w:val="00F633A5"/>
    <w:rsid w:val="00F633E6"/>
    <w:rsid w:val="00F63424"/>
    <w:rsid w:val="00F6359A"/>
    <w:rsid w:val="00F635FF"/>
    <w:rsid w:val="00F63623"/>
    <w:rsid w:val="00F638AB"/>
    <w:rsid w:val="00F639D5"/>
    <w:rsid w:val="00F63AB2"/>
    <w:rsid w:val="00F63ACE"/>
    <w:rsid w:val="00F63B54"/>
    <w:rsid w:val="00F63DCC"/>
    <w:rsid w:val="00F63F92"/>
    <w:rsid w:val="00F6402E"/>
    <w:rsid w:val="00F64178"/>
    <w:rsid w:val="00F641B1"/>
    <w:rsid w:val="00F641D9"/>
    <w:rsid w:val="00F643B0"/>
    <w:rsid w:val="00F644E2"/>
    <w:rsid w:val="00F64898"/>
    <w:rsid w:val="00F64A5D"/>
    <w:rsid w:val="00F64A71"/>
    <w:rsid w:val="00F64A83"/>
    <w:rsid w:val="00F64BBF"/>
    <w:rsid w:val="00F64C11"/>
    <w:rsid w:val="00F64D4D"/>
    <w:rsid w:val="00F64D6D"/>
    <w:rsid w:val="00F64E42"/>
    <w:rsid w:val="00F6534A"/>
    <w:rsid w:val="00F6541D"/>
    <w:rsid w:val="00F65551"/>
    <w:rsid w:val="00F6556A"/>
    <w:rsid w:val="00F656AB"/>
    <w:rsid w:val="00F6580B"/>
    <w:rsid w:val="00F6587E"/>
    <w:rsid w:val="00F65B98"/>
    <w:rsid w:val="00F65C39"/>
    <w:rsid w:val="00F65CB5"/>
    <w:rsid w:val="00F65E01"/>
    <w:rsid w:val="00F65E3E"/>
    <w:rsid w:val="00F66030"/>
    <w:rsid w:val="00F66134"/>
    <w:rsid w:val="00F661A8"/>
    <w:rsid w:val="00F66291"/>
    <w:rsid w:val="00F663F5"/>
    <w:rsid w:val="00F66883"/>
    <w:rsid w:val="00F66888"/>
    <w:rsid w:val="00F66899"/>
    <w:rsid w:val="00F66C27"/>
    <w:rsid w:val="00F66D0B"/>
    <w:rsid w:val="00F67001"/>
    <w:rsid w:val="00F670C5"/>
    <w:rsid w:val="00F670FD"/>
    <w:rsid w:val="00F671B9"/>
    <w:rsid w:val="00F671C4"/>
    <w:rsid w:val="00F6721C"/>
    <w:rsid w:val="00F67259"/>
    <w:rsid w:val="00F67625"/>
    <w:rsid w:val="00F679EF"/>
    <w:rsid w:val="00F67D1F"/>
    <w:rsid w:val="00F67E19"/>
    <w:rsid w:val="00F700F4"/>
    <w:rsid w:val="00F70157"/>
    <w:rsid w:val="00F701AB"/>
    <w:rsid w:val="00F7040C"/>
    <w:rsid w:val="00F70516"/>
    <w:rsid w:val="00F70827"/>
    <w:rsid w:val="00F70897"/>
    <w:rsid w:val="00F70913"/>
    <w:rsid w:val="00F70958"/>
    <w:rsid w:val="00F70B1D"/>
    <w:rsid w:val="00F70B9A"/>
    <w:rsid w:val="00F70C62"/>
    <w:rsid w:val="00F70DD0"/>
    <w:rsid w:val="00F70ED3"/>
    <w:rsid w:val="00F70EF3"/>
    <w:rsid w:val="00F70F29"/>
    <w:rsid w:val="00F710A7"/>
    <w:rsid w:val="00F7141B"/>
    <w:rsid w:val="00F7146D"/>
    <w:rsid w:val="00F7151B"/>
    <w:rsid w:val="00F715B1"/>
    <w:rsid w:val="00F7192B"/>
    <w:rsid w:val="00F719AC"/>
    <w:rsid w:val="00F71ADA"/>
    <w:rsid w:val="00F71BCC"/>
    <w:rsid w:val="00F71BE8"/>
    <w:rsid w:val="00F71CAD"/>
    <w:rsid w:val="00F71F18"/>
    <w:rsid w:val="00F7200E"/>
    <w:rsid w:val="00F722EB"/>
    <w:rsid w:val="00F72587"/>
    <w:rsid w:val="00F72614"/>
    <w:rsid w:val="00F72708"/>
    <w:rsid w:val="00F72835"/>
    <w:rsid w:val="00F728E4"/>
    <w:rsid w:val="00F72A6F"/>
    <w:rsid w:val="00F72C82"/>
    <w:rsid w:val="00F72FD8"/>
    <w:rsid w:val="00F730B0"/>
    <w:rsid w:val="00F73427"/>
    <w:rsid w:val="00F735BE"/>
    <w:rsid w:val="00F7386C"/>
    <w:rsid w:val="00F739AE"/>
    <w:rsid w:val="00F739BC"/>
    <w:rsid w:val="00F739EC"/>
    <w:rsid w:val="00F73B02"/>
    <w:rsid w:val="00F73C25"/>
    <w:rsid w:val="00F73D2C"/>
    <w:rsid w:val="00F73E4D"/>
    <w:rsid w:val="00F73FF4"/>
    <w:rsid w:val="00F740B8"/>
    <w:rsid w:val="00F74109"/>
    <w:rsid w:val="00F74289"/>
    <w:rsid w:val="00F743BF"/>
    <w:rsid w:val="00F744AF"/>
    <w:rsid w:val="00F744F4"/>
    <w:rsid w:val="00F74967"/>
    <w:rsid w:val="00F74A76"/>
    <w:rsid w:val="00F74E9C"/>
    <w:rsid w:val="00F74F3E"/>
    <w:rsid w:val="00F74F83"/>
    <w:rsid w:val="00F75083"/>
    <w:rsid w:val="00F7512A"/>
    <w:rsid w:val="00F751E2"/>
    <w:rsid w:val="00F752C7"/>
    <w:rsid w:val="00F7538F"/>
    <w:rsid w:val="00F75403"/>
    <w:rsid w:val="00F755DD"/>
    <w:rsid w:val="00F757F8"/>
    <w:rsid w:val="00F759E6"/>
    <w:rsid w:val="00F75E36"/>
    <w:rsid w:val="00F75F2D"/>
    <w:rsid w:val="00F75F7D"/>
    <w:rsid w:val="00F7602E"/>
    <w:rsid w:val="00F76132"/>
    <w:rsid w:val="00F76175"/>
    <w:rsid w:val="00F761F1"/>
    <w:rsid w:val="00F763E7"/>
    <w:rsid w:val="00F763F8"/>
    <w:rsid w:val="00F7647A"/>
    <w:rsid w:val="00F76592"/>
    <w:rsid w:val="00F766B0"/>
    <w:rsid w:val="00F767B0"/>
    <w:rsid w:val="00F767D2"/>
    <w:rsid w:val="00F7684D"/>
    <w:rsid w:val="00F769E9"/>
    <w:rsid w:val="00F76B0F"/>
    <w:rsid w:val="00F76C95"/>
    <w:rsid w:val="00F76CE4"/>
    <w:rsid w:val="00F76F04"/>
    <w:rsid w:val="00F770AB"/>
    <w:rsid w:val="00F77446"/>
    <w:rsid w:val="00F7748F"/>
    <w:rsid w:val="00F775A3"/>
    <w:rsid w:val="00F7789E"/>
    <w:rsid w:val="00F779C4"/>
    <w:rsid w:val="00F77A7A"/>
    <w:rsid w:val="00F77B6D"/>
    <w:rsid w:val="00F77C03"/>
    <w:rsid w:val="00F77CEC"/>
    <w:rsid w:val="00F77EC8"/>
    <w:rsid w:val="00F80275"/>
    <w:rsid w:val="00F80346"/>
    <w:rsid w:val="00F80514"/>
    <w:rsid w:val="00F80845"/>
    <w:rsid w:val="00F808F6"/>
    <w:rsid w:val="00F80A37"/>
    <w:rsid w:val="00F80A6B"/>
    <w:rsid w:val="00F80B8F"/>
    <w:rsid w:val="00F80BD1"/>
    <w:rsid w:val="00F80D77"/>
    <w:rsid w:val="00F80F1D"/>
    <w:rsid w:val="00F811CB"/>
    <w:rsid w:val="00F8139A"/>
    <w:rsid w:val="00F81625"/>
    <w:rsid w:val="00F81754"/>
    <w:rsid w:val="00F81972"/>
    <w:rsid w:val="00F8197D"/>
    <w:rsid w:val="00F81B47"/>
    <w:rsid w:val="00F81BB2"/>
    <w:rsid w:val="00F81E70"/>
    <w:rsid w:val="00F81F25"/>
    <w:rsid w:val="00F82246"/>
    <w:rsid w:val="00F82287"/>
    <w:rsid w:val="00F8251B"/>
    <w:rsid w:val="00F82623"/>
    <w:rsid w:val="00F826AA"/>
    <w:rsid w:val="00F82CD5"/>
    <w:rsid w:val="00F830DF"/>
    <w:rsid w:val="00F83152"/>
    <w:rsid w:val="00F83156"/>
    <w:rsid w:val="00F83268"/>
    <w:rsid w:val="00F83306"/>
    <w:rsid w:val="00F833C9"/>
    <w:rsid w:val="00F834FC"/>
    <w:rsid w:val="00F83755"/>
    <w:rsid w:val="00F83805"/>
    <w:rsid w:val="00F838FA"/>
    <w:rsid w:val="00F83907"/>
    <w:rsid w:val="00F83985"/>
    <w:rsid w:val="00F83CDF"/>
    <w:rsid w:val="00F83ECC"/>
    <w:rsid w:val="00F83F04"/>
    <w:rsid w:val="00F83FC5"/>
    <w:rsid w:val="00F841B6"/>
    <w:rsid w:val="00F843B0"/>
    <w:rsid w:val="00F84451"/>
    <w:rsid w:val="00F846FD"/>
    <w:rsid w:val="00F848A5"/>
    <w:rsid w:val="00F848DF"/>
    <w:rsid w:val="00F8497A"/>
    <w:rsid w:val="00F84BE2"/>
    <w:rsid w:val="00F84D00"/>
    <w:rsid w:val="00F853BD"/>
    <w:rsid w:val="00F85587"/>
    <w:rsid w:val="00F8585D"/>
    <w:rsid w:val="00F85899"/>
    <w:rsid w:val="00F85A7B"/>
    <w:rsid w:val="00F85EE5"/>
    <w:rsid w:val="00F86177"/>
    <w:rsid w:val="00F863E7"/>
    <w:rsid w:val="00F86682"/>
    <w:rsid w:val="00F8671E"/>
    <w:rsid w:val="00F8672E"/>
    <w:rsid w:val="00F868D4"/>
    <w:rsid w:val="00F8697D"/>
    <w:rsid w:val="00F86A09"/>
    <w:rsid w:val="00F86A92"/>
    <w:rsid w:val="00F86C7F"/>
    <w:rsid w:val="00F86E4A"/>
    <w:rsid w:val="00F86FCB"/>
    <w:rsid w:val="00F86FE2"/>
    <w:rsid w:val="00F87028"/>
    <w:rsid w:val="00F871E9"/>
    <w:rsid w:val="00F8724F"/>
    <w:rsid w:val="00F87273"/>
    <w:rsid w:val="00F87414"/>
    <w:rsid w:val="00F87573"/>
    <w:rsid w:val="00F8764E"/>
    <w:rsid w:val="00F87750"/>
    <w:rsid w:val="00F8776F"/>
    <w:rsid w:val="00F877F0"/>
    <w:rsid w:val="00F878C5"/>
    <w:rsid w:val="00F87A6B"/>
    <w:rsid w:val="00F87A6E"/>
    <w:rsid w:val="00F87E41"/>
    <w:rsid w:val="00F87EE9"/>
    <w:rsid w:val="00F87F00"/>
    <w:rsid w:val="00F87F1F"/>
    <w:rsid w:val="00F87F45"/>
    <w:rsid w:val="00F87FB7"/>
    <w:rsid w:val="00F900E9"/>
    <w:rsid w:val="00F90218"/>
    <w:rsid w:val="00F90279"/>
    <w:rsid w:val="00F903ED"/>
    <w:rsid w:val="00F906AD"/>
    <w:rsid w:val="00F90851"/>
    <w:rsid w:val="00F90A81"/>
    <w:rsid w:val="00F90DE7"/>
    <w:rsid w:val="00F90F95"/>
    <w:rsid w:val="00F90FC5"/>
    <w:rsid w:val="00F91080"/>
    <w:rsid w:val="00F9109B"/>
    <w:rsid w:val="00F911AC"/>
    <w:rsid w:val="00F9121D"/>
    <w:rsid w:val="00F912B3"/>
    <w:rsid w:val="00F91705"/>
    <w:rsid w:val="00F91896"/>
    <w:rsid w:val="00F91A07"/>
    <w:rsid w:val="00F91B59"/>
    <w:rsid w:val="00F91F93"/>
    <w:rsid w:val="00F92144"/>
    <w:rsid w:val="00F92163"/>
    <w:rsid w:val="00F928C1"/>
    <w:rsid w:val="00F92A30"/>
    <w:rsid w:val="00F92A84"/>
    <w:rsid w:val="00F92AA3"/>
    <w:rsid w:val="00F92B7B"/>
    <w:rsid w:val="00F92D0E"/>
    <w:rsid w:val="00F92EF5"/>
    <w:rsid w:val="00F92F32"/>
    <w:rsid w:val="00F93166"/>
    <w:rsid w:val="00F931BC"/>
    <w:rsid w:val="00F93354"/>
    <w:rsid w:val="00F93451"/>
    <w:rsid w:val="00F93570"/>
    <w:rsid w:val="00F93753"/>
    <w:rsid w:val="00F938B4"/>
    <w:rsid w:val="00F93A3F"/>
    <w:rsid w:val="00F93A81"/>
    <w:rsid w:val="00F93D30"/>
    <w:rsid w:val="00F93EEF"/>
    <w:rsid w:val="00F9403B"/>
    <w:rsid w:val="00F94099"/>
    <w:rsid w:val="00F94254"/>
    <w:rsid w:val="00F944F0"/>
    <w:rsid w:val="00F94673"/>
    <w:rsid w:val="00F94711"/>
    <w:rsid w:val="00F948BF"/>
    <w:rsid w:val="00F94D48"/>
    <w:rsid w:val="00F94D52"/>
    <w:rsid w:val="00F951CA"/>
    <w:rsid w:val="00F9523A"/>
    <w:rsid w:val="00F9525E"/>
    <w:rsid w:val="00F95640"/>
    <w:rsid w:val="00F95A03"/>
    <w:rsid w:val="00F95AD5"/>
    <w:rsid w:val="00F95C01"/>
    <w:rsid w:val="00F95C0A"/>
    <w:rsid w:val="00F95D47"/>
    <w:rsid w:val="00F95EB7"/>
    <w:rsid w:val="00F95F78"/>
    <w:rsid w:val="00F95FEE"/>
    <w:rsid w:val="00F9618B"/>
    <w:rsid w:val="00F9636C"/>
    <w:rsid w:val="00F964FC"/>
    <w:rsid w:val="00F965BA"/>
    <w:rsid w:val="00F96B04"/>
    <w:rsid w:val="00F96B40"/>
    <w:rsid w:val="00F96BC4"/>
    <w:rsid w:val="00F96C81"/>
    <w:rsid w:val="00F96E1E"/>
    <w:rsid w:val="00F96EA3"/>
    <w:rsid w:val="00F96EAA"/>
    <w:rsid w:val="00F970AB"/>
    <w:rsid w:val="00F97135"/>
    <w:rsid w:val="00F974AC"/>
    <w:rsid w:val="00F9775F"/>
    <w:rsid w:val="00F97795"/>
    <w:rsid w:val="00F97A11"/>
    <w:rsid w:val="00F97A2D"/>
    <w:rsid w:val="00F97A63"/>
    <w:rsid w:val="00F97C7D"/>
    <w:rsid w:val="00F97D70"/>
    <w:rsid w:val="00F97E9D"/>
    <w:rsid w:val="00F97F2E"/>
    <w:rsid w:val="00FA059A"/>
    <w:rsid w:val="00FA066F"/>
    <w:rsid w:val="00FA08AC"/>
    <w:rsid w:val="00FA0933"/>
    <w:rsid w:val="00FA0B31"/>
    <w:rsid w:val="00FA0C15"/>
    <w:rsid w:val="00FA0C69"/>
    <w:rsid w:val="00FA0CA2"/>
    <w:rsid w:val="00FA0D16"/>
    <w:rsid w:val="00FA1095"/>
    <w:rsid w:val="00FA10AC"/>
    <w:rsid w:val="00FA1109"/>
    <w:rsid w:val="00FA13E2"/>
    <w:rsid w:val="00FA143F"/>
    <w:rsid w:val="00FA1587"/>
    <w:rsid w:val="00FA1785"/>
    <w:rsid w:val="00FA1793"/>
    <w:rsid w:val="00FA1899"/>
    <w:rsid w:val="00FA1A28"/>
    <w:rsid w:val="00FA1A56"/>
    <w:rsid w:val="00FA1A89"/>
    <w:rsid w:val="00FA1B73"/>
    <w:rsid w:val="00FA1CB0"/>
    <w:rsid w:val="00FA1DC0"/>
    <w:rsid w:val="00FA1FF3"/>
    <w:rsid w:val="00FA20F7"/>
    <w:rsid w:val="00FA23AF"/>
    <w:rsid w:val="00FA241B"/>
    <w:rsid w:val="00FA24D4"/>
    <w:rsid w:val="00FA264A"/>
    <w:rsid w:val="00FA2678"/>
    <w:rsid w:val="00FA2862"/>
    <w:rsid w:val="00FA2A17"/>
    <w:rsid w:val="00FA2B5E"/>
    <w:rsid w:val="00FA2BC5"/>
    <w:rsid w:val="00FA2BD9"/>
    <w:rsid w:val="00FA2D61"/>
    <w:rsid w:val="00FA2F5A"/>
    <w:rsid w:val="00FA2FAA"/>
    <w:rsid w:val="00FA3085"/>
    <w:rsid w:val="00FA35BE"/>
    <w:rsid w:val="00FA36D3"/>
    <w:rsid w:val="00FA3B6B"/>
    <w:rsid w:val="00FA3CDD"/>
    <w:rsid w:val="00FA3CFC"/>
    <w:rsid w:val="00FA3D53"/>
    <w:rsid w:val="00FA426A"/>
    <w:rsid w:val="00FA437F"/>
    <w:rsid w:val="00FA4459"/>
    <w:rsid w:val="00FA45F1"/>
    <w:rsid w:val="00FA4736"/>
    <w:rsid w:val="00FA4829"/>
    <w:rsid w:val="00FA4864"/>
    <w:rsid w:val="00FA48FD"/>
    <w:rsid w:val="00FA4A0E"/>
    <w:rsid w:val="00FA4E32"/>
    <w:rsid w:val="00FA4F14"/>
    <w:rsid w:val="00FA5126"/>
    <w:rsid w:val="00FA524A"/>
    <w:rsid w:val="00FA534A"/>
    <w:rsid w:val="00FA5482"/>
    <w:rsid w:val="00FA5641"/>
    <w:rsid w:val="00FA56A5"/>
    <w:rsid w:val="00FA5812"/>
    <w:rsid w:val="00FA5885"/>
    <w:rsid w:val="00FA5A4A"/>
    <w:rsid w:val="00FA5BA9"/>
    <w:rsid w:val="00FA5BF5"/>
    <w:rsid w:val="00FA5E78"/>
    <w:rsid w:val="00FA6306"/>
    <w:rsid w:val="00FA6A5D"/>
    <w:rsid w:val="00FA6A77"/>
    <w:rsid w:val="00FA6F8E"/>
    <w:rsid w:val="00FA707A"/>
    <w:rsid w:val="00FA7217"/>
    <w:rsid w:val="00FA728C"/>
    <w:rsid w:val="00FA730F"/>
    <w:rsid w:val="00FA73FB"/>
    <w:rsid w:val="00FA75C9"/>
    <w:rsid w:val="00FA771A"/>
    <w:rsid w:val="00FA77D7"/>
    <w:rsid w:val="00FA788F"/>
    <w:rsid w:val="00FA7ABF"/>
    <w:rsid w:val="00FA7BC1"/>
    <w:rsid w:val="00FA7E09"/>
    <w:rsid w:val="00FB0039"/>
    <w:rsid w:val="00FB0105"/>
    <w:rsid w:val="00FB0110"/>
    <w:rsid w:val="00FB01AF"/>
    <w:rsid w:val="00FB01B6"/>
    <w:rsid w:val="00FB0323"/>
    <w:rsid w:val="00FB0442"/>
    <w:rsid w:val="00FB0700"/>
    <w:rsid w:val="00FB0908"/>
    <w:rsid w:val="00FB09D7"/>
    <w:rsid w:val="00FB0A46"/>
    <w:rsid w:val="00FB0C28"/>
    <w:rsid w:val="00FB0D26"/>
    <w:rsid w:val="00FB0E57"/>
    <w:rsid w:val="00FB0FB5"/>
    <w:rsid w:val="00FB12D8"/>
    <w:rsid w:val="00FB143D"/>
    <w:rsid w:val="00FB1611"/>
    <w:rsid w:val="00FB17EF"/>
    <w:rsid w:val="00FB1857"/>
    <w:rsid w:val="00FB19B2"/>
    <w:rsid w:val="00FB19F1"/>
    <w:rsid w:val="00FB1A39"/>
    <w:rsid w:val="00FB1A67"/>
    <w:rsid w:val="00FB1D99"/>
    <w:rsid w:val="00FB1E5F"/>
    <w:rsid w:val="00FB1F93"/>
    <w:rsid w:val="00FB2484"/>
    <w:rsid w:val="00FB25E6"/>
    <w:rsid w:val="00FB25F5"/>
    <w:rsid w:val="00FB2795"/>
    <w:rsid w:val="00FB284F"/>
    <w:rsid w:val="00FB2891"/>
    <w:rsid w:val="00FB28A6"/>
    <w:rsid w:val="00FB2A00"/>
    <w:rsid w:val="00FB2A49"/>
    <w:rsid w:val="00FB2F13"/>
    <w:rsid w:val="00FB303D"/>
    <w:rsid w:val="00FB3168"/>
    <w:rsid w:val="00FB3BD5"/>
    <w:rsid w:val="00FB3CE5"/>
    <w:rsid w:val="00FB3EC0"/>
    <w:rsid w:val="00FB3F88"/>
    <w:rsid w:val="00FB42B4"/>
    <w:rsid w:val="00FB448B"/>
    <w:rsid w:val="00FB4521"/>
    <w:rsid w:val="00FB456C"/>
    <w:rsid w:val="00FB470F"/>
    <w:rsid w:val="00FB4737"/>
    <w:rsid w:val="00FB479A"/>
    <w:rsid w:val="00FB4879"/>
    <w:rsid w:val="00FB4881"/>
    <w:rsid w:val="00FB4994"/>
    <w:rsid w:val="00FB4A03"/>
    <w:rsid w:val="00FB4C0A"/>
    <w:rsid w:val="00FB4C14"/>
    <w:rsid w:val="00FB4DA9"/>
    <w:rsid w:val="00FB5034"/>
    <w:rsid w:val="00FB50C7"/>
    <w:rsid w:val="00FB547D"/>
    <w:rsid w:val="00FB5573"/>
    <w:rsid w:val="00FB5942"/>
    <w:rsid w:val="00FB5AF8"/>
    <w:rsid w:val="00FB5F5C"/>
    <w:rsid w:val="00FB6091"/>
    <w:rsid w:val="00FB6109"/>
    <w:rsid w:val="00FB6149"/>
    <w:rsid w:val="00FB65DC"/>
    <w:rsid w:val="00FB662A"/>
    <w:rsid w:val="00FB6769"/>
    <w:rsid w:val="00FB692D"/>
    <w:rsid w:val="00FB6938"/>
    <w:rsid w:val="00FB6B36"/>
    <w:rsid w:val="00FB6D9B"/>
    <w:rsid w:val="00FB6F45"/>
    <w:rsid w:val="00FB70B0"/>
    <w:rsid w:val="00FB7288"/>
    <w:rsid w:val="00FB74DF"/>
    <w:rsid w:val="00FB753B"/>
    <w:rsid w:val="00FB758D"/>
    <w:rsid w:val="00FB766E"/>
    <w:rsid w:val="00FB7796"/>
    <w:rsid w:val="00FB78BB"/>
    <w:rsid w:val="00FB79BA"/>
    <w:rsid w:val="00FB79DF"/>
    <w:rsid w:val="00FB7BB8"/>
    <w:rsid w:val="00FB7D4D"/>
    <w:rsid w:val="00FB7DCC"/>
    <w:rsid w:val="00FB7DE5"/>
    <w:rsid w:val="00FB7F78"/>
    <w:rsid w:val="00FC00AD"/>
    <w:rsid w:val="00FC0133"/>
    <w:rsid w:val="00FC017E"/>
    <w:rsid w:val="00FC02B5"/>
    <w:rsid w:val="00FC02C4"/>
    <w:rsid w:val="00FC0343"/>
    <w:rsid w:val="00FC0350"/>
    <w:rsid w:val="00FC098A"/>
    <w:rsid w:val="00FC11BB"/>
    <w:rsid w:val="00FC186D"/>
    <w:rsid w:val="00FC1DE2"/>
    <w:rsid w:val="00FC1E0B"/>
    <w:rsid w:val="00FC1FFA"/>
    <w:rsid w:val="00FC2132"/>
    <w:rsid w:val="00FC246D"/>
    <w:rsid w:val="00FC24EC"/>
    <w:rsid w:val="00FC2618"/>
    <w:rsid w:val="00FC2685"/>
    <w:rsid w:val="00FC27D8"/>
    <w:rsid w:val="00FC2923"/>
    <w:rsid w:val="00FC294B"/>
    <w:rsid w:val="00FC29C0"/>
    <w:rsid w:val="00FC2A5E"/>
    <w:rsid w:val="00FC2AD7"/>
    <w:rsid w:val="00FC2B35"/>
    <w:rsid w:val="00FC2BD6"/>
    <w:rsid w:val="00FC2C15"/>
    <w:rsid w:val="00FC2C78"/>
    <w:rsid w:val="00FC2F09"/>
    <w:rsid w:val="00FC2FAB"/>
    <w:rsid w:val="00FC3024"/>
    <w:rsid w:val="00FC316E"/>
    <w:rsid w:val="00FC32D0"/>
    <w:rsid w:val="00FC34C4"/>
    <w:rsid w:val="00FC3518"/>
    <w:rsid w:val="00FC36CC"/>
    <w:rsid w:val="00FC3739"/>
    <w:rsid w:val="00FC392C"/>
    <w:rsid w:val="00FC3D74"/>
    <w:rsid w:val="00FC3E40"/>
    <w:rsid w:val="00FC3EF1"/>
    <w:rsid w:val="00FC408C"/>
    <w:rsid w:val="00FC4388"/>
    <w:rsid w:val="00FC44E6"/>
    <w:rsid w:val="00FC46EE"/>
    <w:rsid w:val="00FC476A"/>
    <w:rsid w:val="00FC4946"/>
    <w:rsid w:val="00FC4DDB"/>
    <w:rsid w:val="00FC51B6"/>
    <w:rsid w:val="00FC549F"/>
    <w:rsid w:val="00FC57A8"/>
    <w:rsid w:val="00FC5AB8"/>
    <w:rsid w:val="00FC5ADD"/>
    <w:rsid w:val="00FC5C6F"/>
    <w:rsid w:val="00FC5D3A"/>
    <w:rsid w:val="00FC5E3E"/>
    <w:rsid w:val="00FC5F5C"/>
    <w:rsid w:val="00FC6086"/>
    <w:rsid w:val="00FC6121"/>
    <w:rsid w:val="00FC6159"/>
    <w:rsid w:val="00FC6821"/>
    <w:rsid w:val="00FC687A"/>
    <w:rsid w:val="00FC6B7F"/>
    <w:rsid w:val="00FC6FE3"/>
    <w:rsid w:val="00FC71ED"/>
    <w:rsid w:val="00FC79E1"/>
    <w:rsid w:val="00FC7B38"/>
    <w:rsid w:val="00FC7C9F"/>
    <w:rsid w:val="00FC7D6C"/>
    <w:rsid w:val="00FC7E13"/>
    <w:rsid w:val="00FC7E33"/>
    <w:rsid w:val="00FC7F6B"/>
    <w:rsid w:val="00FC7F8F"/>
    <w:rsid w:val="00FC7FC0"/>
    <w:rsid w:val="00FD02DB"/>
    <w:rsid w:val="00FD05C9"/>
    <w:rsid w:val="00FD0604"/>
    <w:rsid w:val="00FD098B"/>
    <w:rsid w:val="00FD0A2A"/>
    <w:rsid w:val="00FD0BF2"/>
    <w:rsid w:val="00FD12B4"/>
    <w:rsid w:val="00FD134C"/>
    <w:rsid w:val="00FD13B6"/>
    <w:rsid w:val="00FD1426"/>
    <w:rsid w:val="00FD159E"/>
    <w:rsid w:val="00FD17D2"/>
    <w:rsid w:val="00FD1994"/>
    <w:rsid w:val="00FD1A7D"/>
    <w:rsid w:val="00FD1B3F"/>
    <w:rsid w:val="00FD1B48"/>
    <w:rsid w:val="00FD1DB4"/>
    <w:rsid w:val="00FD1FC3"/>
    <w:rsid w:val="00FD2425"/>
    <w:rsid w:val="00FD2735"/>
    <w:rsid w:val="00FD285E"/>
    <w:rsid w:val="00FD2873"/>
    <w:rsid w:val="00FD2A16"/>
    <w:rsid w:val="00FD2C2E"/>
    <w:rsid w:val="00FD2D02"/>
    <w:rsid w:val="00FD2D27"/>
    <w:rsid w:val="00FD2D99"/>
    <w:rsid w:val="00FD2DEB"/>
    <w:rsid w:val="00FD2E0D"/>
    <w:rsid w:val="00FD2E5D"/>
    <w:rsid w:val="00FD3096"/>
    <w:rsid w:val="00FD3181"/>
    <w:rsid w:val="00FD3227"/>
    <w:rsid w:val="00FD3466"/>
    <w:rsid w:val="00FD3DD0"/>
    <w:rsid w:val="00FD40B5"/>
    <w:rsid w:val="00FD437B"/>
    <w:rsid w:val="00FD43E7"/>
    <w:rsid w:val="00FD460E"/>
    <w:rsid w:val="00FD4784"/>
    <w:rsid w:val="00FD49CA"/>
    <w:rsid w:val="00FD4BAB"/>
    <w:rsid w:val="00FD4CE1"/>
    <w:rsid w:val="00FD4E1D"/>
    <w:rsid w:val="00FD4ED4"/>
    <w:rsid w:val="00FD5354"/>
    <w:rsid w:val="00FD5726"/>
    <w:rsid w:val="00FD576F"/>
    <w:rsid w:val="00FD5847"/>
    <w:rsid w:val="00FD5C58"/>
    <w:rsid w:val="00FD5CDB"/>
    <w:rsid w:val="00FD5CEA"/>
    <w:rsid w:val="00FD6075"/>
    <w:rsid w:val="00FD658C"/>
    <w:rsid w:val="00FD66DA"/>
    <w:rsid w:val="00FD68BA"/>
    <w:rsid w:val="00FD6B6C"/>
    <w:rsid w:val="00FD6CA8"/>
    <w:rsid w:val="00FD6D1D"/>
    <w:rsid w:val="00FD6DD9"/>
    <w:rsid w:val="00FD6F73"/>
    <w:rsid w:val="00FD7006"/>
    <w:rsid w:val="00FD7076"/>
    <w:rsid w:val="00FD7271"/>
    <w:rsid w:val="00FD72AD"/>
    <w:rsid w:val="00FD7315"/>
    <w:rsid w:val="00FD73A2"/>
    <w:rsid w:val="00FD7504"/>
    <w:rsid w:val="00FD7508"/>
    <w:rsid w:val="00FD7953"/>
    <w:rsid w:val="00FD7A11"/>
    <w:rsid w:val="00FD7A2B"/>
    <w:rsid w:val="00FD7BED"/>
    <w:rsid w:val="00FD7CF3"/>
    <w:rsid w:val="00FD7DF1"/>
    <w:rsid w:val="00FD7E3B"/>
    <w:rsid w:val="00FD7EB4"/>
    <w:rsid w:val="00FD7EC7"/>
    <w:rsid w:val="00FD7EFC"/>
    <w:rsid w:val="00FE00D9"/>
    <w:rsid w:val="00FE0120"/>
    <w:rsid w:val="00FE0213"/>
    <w:rsid w:val="00FE0388"/>
    <w:rsid w:val="00FE0438"/>
    <w:rsid w:val="00FE04B5"/>
    <w:rsid w:val="00FE06DF"/>
    <w:rsid w:val="00FE0B46"/>
    <w:rsid w:val="00FE0CA6"/>
    <w:rsid w:val="00FE0D2F"/>
    <w:rsid w:val="00FE0DB3"/>
    <w:rsid w:val="00FE113B"/>
    <w:rsid w:val="00FE115A"/>
    <w:rsid w:val="00FE1283"/>
    <w:rsid w:val="00FE1346"/>
    <w:rsid w:val="00FE139F"/>
    <w:rsid w:val="00FE146D"/>
    <w:rsid w:val="00FE151E"/>
    <w:rsid w:val="00FE153A"/>
    <w:rsid w:val="00FE15C9"/>
    <w:rsid w:val="00FE16FF"/>
    <w:rsid w:val="00FE1738"/>
    <w:rsid w:val="00FE179E"/>
    <w:rsid w:val="00FE17BB"/>
    <w:rsid w:val="00FE17DA"/>
    <w:rsid w:val="00FE18F1"/>
    <w:rsid w:val="00FE1912"/>
    <w:rsid w:val="00FE195F"/>
    <w:rsid w:val="00FE1A2D"/>
    <w:rsid w:val="00FE1A53"/>
    <w:rsid w:val="00FE1C40"/>
    <w:rsid w:val="00FE1E8F"/>
    <w:rsid w:val="00FE1EBD"/>
    <w:rsid w:val="00FE2130"/>
    <w:rsid w:val="00FE2254"/>
    <w:rsid w:val="00FE22C1"/>
    <w:rsid w:val="00FE230A"/>
    <w:rsid w:val="00FE23F9"/>
    <w:rsid w:val="00FE242A"/>
    <w:rsid w:val="00FE2628"/>
    <w:rsid w:val="00FE263A"/>
    <w:rsid w:val="00FE2688"/>
    <w:rsid w:val="00FE2962"/>
    <w:rsid w:val="00FE2D68"/>
    <w:rsid w:val="00FE2DBB"/>
    <w:rsid w:val="00FE2DEC"/>
    <w:rsid w:val="00FE2FA1"/>
    <w:rsid w:val="00FE3089"/>
    <w:rsid w:val="00FE30B3"/>
    <w:rsid w:val="00FE3103"/>
    <w:rsid w:val="00FE32B3"/>
    <w:rsid w:val="00FE32D4"/>
    <w:rsid w:val="00FE3449"/>
    <w:rsid w:val="00FE35C5"/>
    <w:rsid w:val="00FE35E7"/>
    <w:rsid w:val="00FE39E5"/>
    <w:rsid w:val="00FE3ADC"/>
    <w:rsid w:val="00FE3B59"/>
    <w:rsid w:val="00FE3C12"/>
    <w:rsid w:val="00FE3C3B"/>
    <w:rsid w:val="00FE3D09"/>
    <w:rsid w:val="00FE3F11"/>
    <w:rsid w:val="00FE40AF"/>
    <w:rsid w:val="00FE42E2"/>
    <w:rsid w:val="00FE441B"/>
    <w:rsid w:val="00FE442B"/>
    <w:rsid w:val="00FE4AD0"/>
    <w:rsid w:val="00FE4AEB"/>
    <w:rsid w:val="00FE4C23"/>
    <w:rsid w:val="00FE4E9D"/>
    <w:rsid w:val="00FE505B"/>
    <w:rsid w:val="00FE524B"/>
    <w:rsid w:val="00FE542C"/>
    <w:rsid w:val="00FE55A3"/>
    <w:rsid w:val="00FE5633"/>
    <w:rsid w:val="00FE5762"/>
    <w:rsid w:val="00FE57D8"/>
    <w:rsid w:val="00FE58C2"/>
    <w:rsid w:val="00FE5930"/>
    <w:rsid w:val="00FE5937"/>
    <w:rsid w:val="00FE5A77"/>
    <w:rsid w:val="00FE5D00"/>
    <w:rsid w:val="00FE61DF"/>
    <w:rsid w:val="00FE6208"/>
    <w:rsid w:val="00FE62F2"/>
    <w:rsid w:val="00FE6403"/>
    <w:rsid w:val="00FE6916"/>
    <w:rsid w:val="00FE6E22"/>
    <w:rsid w:val="00FE7076"/>
    <w:rsid w:val="00FE7187"/>
    <w:rsid w:val="00FE71FD"/>
    <w:rsid w:val="00FE73A7"/>
    <w:rsid w:val="00FE743B"/>
    <w:rsid w:val="00FE7456"/>
    <w:rsid w:val="00FE7491"/>
    <w:rsid w:val="00FE75E3"/>
    <w:rsid w:val="00FE7806"/>
    <w:rsid w:val="00FE785B"/>
    <w:rsid w:val="00FE7930"/>
    <w:rsid w:val="00FE794C"/>
    <w:rsid w:val="00FE7BC9"/>
    <w:rsid w:val="00FE7D96"/>
    <w:rsid w:val="00FE7E45"/>
    <w:rsid w:val="00FF01ED"/>
    <w:rsid w:val="00FF044E"/>
    <w:rsid w:val="00FF049C"/>
    <w:rsid w:val="00FF07E9"/>
    <w:rsid w:val="00FF0B16"/>
    <w:rsid w:val="00FF0B3B"/>
    <w:rsid w:val="00FF0B41"/>
    <w:rsid w:val="00FF0C0A"/>
    <w:rsid w:val="00FF0D14"/>
    <w:rsid w:val="00FF127C"/>
    <w:rsid w:val="00FF149B"/>
    <w:rsid w:val="00FF152E"/>
    <w:rsid w:val="00FF153A"/>
    <w:rsid w:val="00FF1B29"/>
    <w:rsid w:val="00FF1DB9"/>
    <w:rsid w:val="00FF1EF4"/>
    <w:rsid w:val="00FF1F9D"/>
    <w:rsid w:val="00FF2296"/>
    <w:rsid w:val="00FF25CA"/>
    <w:rsid w:val="00FF26AA"/>
    <w:rsid w:val="00FF272B"/>
    <w:rsid w:val="00FF2807"/>
    <w:rsid w:val="00FF28F3"/>
    <w:rsid w:val="00FF2A51"/>
    <w:rsid w:val="00FF2EFC"/>
    <w:rsid w:val="00FF3091"/>
    <w:rsid w:val="00FF32FB"/>
    <w:rsid w:val="00FF35A0"/>
    <w:rsid w:val="00FF37A3"/>
    <w:rsid w:val="00FF38A8"/>
    <w:rsid w:val="00FF3998"/>
    <w:rsid w:val="00FF39A1"/>
    <w:rsid w:val="00FF39CA"/>
    <w:rsid w:val="00FF3AA0"/>
    <w:rsid w:val="00FF3AC9"/>
    <w:rsid w:val="00FF3BBA"/>
    <w:rsid w:val="00FF3BDB"/>
    <w:rsid w:val="00FF3C58"/>
    <w:rsid w:val="00FF3E17"/>
    <w:rsid w:val="00FF3E66"/>
    <w:rsid w:val="00FF3F1C"/>
    <w:rsid w:val="00FF4051"/>
    <w:rsid w:val="00FF40A9"/>
    <w:rsid w:val="00FF43B8"/>
    <w:rsid w:val="00FF48A7"/>
    <w:rsid w:val="00FF4925"/>
    <w:rsid w:val="00FF4A4C"/>
    <w:rsid w:val="00FF4ABA"/>
    <w:rsid w:val="00FF4D84"/>
    <w:rsid w:val="00FF4D91"/>
    <w:rsid w:val="00FF4DD2"/>
    <w:rsid w:val="00FF4FA4"/>
    <w:rsid w:val="00FF4FE4"/>
    <w:rsid w:val="00FF523F"/>
    <w:rsid w:val="00FF5339"/>
    <w:rsid w:val="00FF5406"/>
    <w:rsid w:val="00FF547B"/>
    <w:rsid w:val="00FF5617"/>
    <w:rsid w:val="00FF5671"/>
    <w:rsid w:val="00FF5849"/>
    <w:rsid w:val="00FF587D"/>
    <w:rsid w:val="00FF5A5C"/>
    <w:rsid w:val="00FF5AE9"/>
    <w:rsid w:val="00FF5AF6"/>
    <w:rsid w:val="00FF5B9E"/>
    <w:rsid w:val="00FF5CE5"/>
    <w:rsid w:val="00FF5ED2"/>
    <w:rsid w:val="00FF6143"/>
    <w:rsid w:val="00FF6223"/>
    <w:rsid w:val="00FF62B6"/>
    <w:rsid w:val="00FF62D2"/>
    <w:rsid w:val="00FF6549"/>
    <w:rsid w:val="00FF65E5"/>
    <w:rsid w:val="00FF672E"/>
    <w:rsid w:val="00FF6733"/>
    <w:rsid w:val="00FF682F"/>
    <w:rsid w:val="00FF6904"/>
    <w:rsid w:val="00FF6913"/>
    <w:rsid w:val="00FF6A2E"/>
    <w:rsid w:val="00FF6AC0"/>
    <w:rsid w:val="00FF6DB0"/>
    <w:rsid w:val="00FF6EDC"/>
    <w:rsid w:val="00FF6FB1"/>
    <w:rsid w:val="00FF6FCA"/>
    <w:rsid w:val="00FF7045"/>
    <w:rsid w:val="00FF7105"/>
    <w:rsid w:val="00FF715E"/>
    <w:rsid w:val="00FF72DE"/>
    <w:rsid w:val="00FF7308"/>
    <w:rsid w:val="00FF760A"/>
    <w:rsid w:val="00FF76E1"/>
    <w:rsid w:val="00FF770E"/>
    <w:rsid w:val="00FF7727"/>
    <w:rsid w:val="00FF7846"/>
    <w:rsid w:val="00FF78F9"/>
    <w:rsid w:val="00FF7956"/>
    <w:rsid w:val="00FF7A3F"/>
    <w:rsid w:val="00FF7B1E"/>
    <w:rsid w:val="00FF7C1A"/>
    <w:rsid w:val="00FF7CCC"/>
    <w:rsid w:val="00FF7CF5"/>
    <w:rsid w:val="00FF7D04"/>
    <w:rsid w:val="00FF7E82"/>
    <w:rsid w:val="00FF7F21"/>
    <w:rsid w:val="00FF7F94"/>
    <w:rsid w:val="00FF7FB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5B5A95D"/>
  <w15:docId w15:val="{70434B15-1C33-49AD-93C5-13F90BAE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48B4"/>
    <w:rPr>
      <w:rFonts w:ascii="Times New Roman" w:eastAsiaTheme="minorHAnsi" w:hAnsi="Times New Roman" w:cs="Times New Roman"/>
      <w:sz w:val="18"/>
      <w:szCs w:val="18"/>
      <w:lang w:eastAsia="en-US"/>
    </w:rPr>
  </w:style>
  <w:style w:type="paragraph" w:styleId="Heading1">
    <w:name w:val="heading 1"/>
    <w:basedOn w:val="Normal"/>
    <w:next w:val="Normal"/>
    <w:link w:val="Heading1Char"/>
    <w:uiPriority w:val="9"/>
    <w:qFormat/>
    <w:rsid w:val="002E0F45"/>
    <w:pPr>
      <w:keepNext/>
      <w:keepLines/>
      <w:spacing w:before="240" w:after="120" w:line="240" w:lineRule="auto"/>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2E0F45"/>
    <w:pPr>
      <w:keepNext/>
      <w:keepLines/>
      <w:spacing w:before="40" w:after="120" w:line="240" w:lineRule="auto"/>
      <w:outlineLvl w:val="1"/>
    </w:pPr>
    <w:rPr>
      <w:rFonts w:asciiTheme="majorHAnsi" w:eastAsiaTheme="majorEastAsia" w:hAnsiTheme="majorHAnsi" w:cstheme="majorBidi"/>
      <w:b/>
      <w:color w:val="000000" w:themeColor="text1"/>
      <w:sz w:val="30"/>
      <w:szCs w:val="26"/>
    </w:rPr>
  </w:style>
  <w:style w:type="paragraph" w:styleId="Heading3">
    <w:name w:val="heading 3"/>
    <w:basedOn w:val="Normal"/>
    <w:next w:val="Normal"/>
    <w:link w:val="Heading3Char"/>
    <w:uiPriority w:val="9"/>
    <w:unhideWhenUsed/>
    <w:qFormat/>
    <w:rsid w:val="002E0F45"/>
    <w:pPr>
      <w:keepNext/>
      <w:keepLines/>
      <w:spacing w:before="40" w:after="120" w:line="240" w:lineRule="auto"/>
      <w:outlineLvl w:val="2"/>
    </w:pPr>
    <w:rPr>
      <w:rFonts w:asciiTheme="majorHAnsi" w:eastAsiaTheme="majorEastAsia" w:hAnsiTheme="majorHAnsi" w:cstheme="majorBidi"/>
      <w:caps/>
      <w:color w:val="000000" w:themeColor="text1"/>
      <w:sz w:val="24"/>
      <w:szCs w:val="24"/>
    </w:rPr>
  </w:style>
  <w:style w:type="paragraph" w:styleId="Heading4">
    <w:name w:val="heading 4"/>
    <w:basedOn w:val="Normal"/>
    <w:next w:val="Normal"/>
    <w:link w:val="Heading4Char"/>
    <w:uiPriority w:val="9"/>
    <w:unhideWhenUsed/>
    <w:qFormat/>
    <w:rsid w:val="002E0F45"/>
    <w:pPr>
      <w:keepNext/>
      <w:keepLines/>
      <w:spacing w:after="120" w:line="240" w:lineRule="auto"/>
      <w:outlineLvl w:val="3"/>
    </w:pPr>
    <w:rPr>
      <w:rFonts w:eastAsiaTheme="majorEastAsia" w:cstheme="majorBidi"/>
      <w:i/>
      <w:iCs/>
      <w:color w:val="000000" w:themeColor="text1"/>
      <w:sz w:val="24"/>
    </w:rPr>
  </w:style>
  <w:style w:type="paragraph" w:styleId="Heading5">
    <w:name w:val="heading 5"/>
    <w:basedOn w:val="Normal"/>
    <w:next w:val="Normal"/>
    <w:link w:val="Heading5Char"/>
    <w:uiPriority w:val="9"/>
    <w:unhideWhenUsed/>
    <w:qFormat/>
    <w:rsid w:val="002E0F45"/>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F45"/>
    <w:rPr>
      <w:rFonts w:asciiTheme="majorHAnsi" w:eastAsiaTheme="majorEastAsia" w:hAnsiTheme="majorHAnsi" w:cstheme="majorBidi"/>
      <w:color w:val="000000" w:themeColor="text1"/>
      <w:sz w:val="32"/>
      <w:szCs w:val="32"/>
      <w:lang w:eastAsia="en-US"/>
    </w:rPr>
  </w:style>
  <w:style w:type="paragraph" w:styleId="NormalWeb">
    <w:name w:val="Normal (Web)"/>
    <w:basedOn w:val="Normal"/>
    <w:link w:val="NormalWebChar"/>
    <w:uiPriority w:val="99"/>
    <w:unhideWhenUsed/>
    <w:rsid w:val="007D48B4"/>
    <w:pPr>
      <w:spacing w:before="100" w:beforeAutospacing="1" w:after="100" w:afterAutospacing="1" w:line="240" w:lineRule="auto"/>
    </w:pPr>
    <w:rPr>
      <w:rFonts w:eastAsia="Times New Roman"/>
      <w:sz w:val="24"/>
      <w:szCs w:val="24"/>
      <w:lang w:eastAsia="ko-KR"/>
    </w:rPr>
  </w:style>
  <w:style w:type="character" w:customStyle="1" w:styleId="NormalWebChar">
    <w:name w:val="Normal (Web) Char"/>
    <w:basedOn w:val="DefaultParagraphFont"/>
    <w:link w:val="NormalWeb"/>
    <w:uiPriority w:val="99"/>
    <w:rsid w:val="007D48B4"/>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E0F45"/>
    <w:rPr>
      <w:rFonts w:asciiTheme="majorHAnsi" w:eastAsiaTheme="majorEastAsia" w:hAnsiTheme="majorHAnsi" w:cstheme="majorBidi"/>
      <w:b/>
      <w:color w:val="000000" w:themeColor="text1"/>
      <w:sz w:val="30"/>
      <w:szCs w:val="26"/>
      <w:lang w:eastAsia="en-US"/>
    </w:rPr>
  </w:style>
  <w:style w:type="character" w:customStyle="1" w:styleId="Heading3Char">
    <w:name w:val="Heading 3 Char"/>
    <w:basedOn w:val="DefaultParagraphFont"/>
    <w:link w:val="Heading3"/>
    <w:uiPriority w:val="9"/>
    <w:rsid w:val="002E0F45"/>
    <w:rPr>
      <w:rFonts w:asciiTheme="majorHAnsi" w:eastAsiaTheme="majorEastAsia" w:hAnsiTheme="majorHAnsi" w:cstheme="majorBidi"/>
      <w:caps/>
      <w:color w:val="000000" w:themeColor="text1"/>
      <w:sz w:val="24"/>
      <w:szCs w:val="24"/>
      <w:lang w:eastAsia="en-US"/>
    </w:rPr>
  </w:style>
  <w:style w:type="character" w:styleId="CommentReference">
    <w:name w:val="annotation reference"/>
    <w:basedOn w:val="DefaultParagraphFont"/>
    <w:uiPriority w:val="99"/>
    <w:semiHidden/>
    <w:unhideWhenUsed/>
    <w:rsid w:val="007D48B4"/>
    <w:rPr>
      <w:sz w:val="16"/>
      <w:szCs w:val="16"/>
    </w:rPr>
  </w:style>
  <w:style w:type="character" w:styleId="FootnoteReference">
    <w:name w:val="footnote reference"/>
    <w:basedOn w:val="DefaultParagraphFont"/>
    <w:uiPriority w:val="99"/>
    <w:semiHidden/>
    <w:unhideWhenUsed/>
    <w:rsid w:val="007D48B4"/>
    <w:rPr>
      <w:vertAlign w:val="superscript"/>
    </w:rPr>
  </w:style>
  <w:style w:type="table" w:styleId="TableGrid">
    <w:name w:val="Table Grid"/>
    <w:basedOn w:val="TableNormal"/>
    <w:uiPriority w:val="39"/>
    <w:rsid w:val="007D48B4"/>
    <w:pPr>
      <w:spacing w:after="0" w:line="240" w:lineRule="auto"/>
    </w:pPr>
    <w:rPr>
      <w:rFonts w:ascii="Times New Roman" w:hAnsi="Times New Roman" w:cs="Times New Roman"/>
      <w:sz w:val="18"/>
      <w:szCs w:val="18"/>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D48B4"/>
    <w:pPr>
      <w:spacing w:after="200" w:line="240" w:lineRule="auto"/>
    </w:pPr>
    <w:rPr>
      <w:rFonts w:eastAsiaTheme="minorEastAsia"/>
      <w:i/>
      <w:iCs/>
      <w:color w:val="44546A" w:themeColor="text2"/>
      <w:lang w:eastAsia="zh-TW"/>
    </w:rPr>
  </w:style>
  <w:style w:type="paragraph" w:styleId="FootnoteText">
    <w:name w:val="footnote text"/>
    <w:basedOn w:val="Normal"/>
    <w:link w:val="FootnoteTextChar"/>
    <w:uiPriority w:val="99"/>
    <w:semiHidden/>
    <w:unhideWhenUsed/>
    <w:rsid w:val="007D48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48B4"/>
    <w:rPr>
      <w:rFonts w:ascii="Times New Roman" w:eastAsiaTheme="minorHAnsi" w:hAnsi="Times New Roman" w:cs="Times New Roman"/>
      <w:sz w:val="20"/>
      <w:szCs w:val="20"/>
      <w:lang w:eastAsia="en-US"/>
    </w:rPr>
  </w:style>
  <w:style w:type="paragraph" w:styleId="CommentText">
    <w:name w:val="annotation text"/>
    <w:basedOn w:val="Normal"/>
    <w:link w:val="CommentTextChar"/>
    <w:uiPriority w:val="99"/>
    <w:unhideWhenUsed/>
    <w:rsid w:val="007D48B4"/>
    <w:pPr>
      <w:spacing w:line="240" w:lineRule="auto"/>
    </w:pPr>
    <w:rPr>
      <w:sz w:val="20"/>
      <w:szCs w:val="20"/>
    </w:rPr>
  </w:style>
  <w:style w:type="character" w:customStyle="1" w:styleId="CommentTextChar">
    <w:name w:val="Comment Text Char"/>
    <w:basedOn w:val="DefaultParagraphFont"/>
    <w:link w:val="CommentText"/>
    <w:uiPriority w:val="99"/>
    <w:rsid w:val="007D48B4"/>
    <w:rPr>
      <w:rFonts w:ascii="Times New Roman" w:eastAsiaTheme="minorHAnsi" w:hAnsi="Times New Roman" w:cs="Times New Roman"/>
      <w:sz w:val="20"/>
      <w:szCs w:val="20"/>
      <w:lang w:eastAsia="en-US"/>
    </w:rPr>
  </w:style>
  <w:style w:type="paragraph" w:styleId="BalloonText">
    <w:name w:val="Balloon Text"/>
    <w:basedOn w:val="Normal"/>
    <w:link w:val="BalloonTextChar"/>
    <w:uiPriority w:val="99"/>
    <w:semiHidden/>
    <w:unhideWhenUsed/>
    <w:rsid w:val="007D48B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D48B4"/>
    <w:rPr>
      <w:rFonts w:ascii="Segoe UI" w:eastAsiaTheme="minorHAnsi" w:hAnsi="Segoe UI" w:cs="Segoe UI"/>
      <w:sz w:val="18"/>
      <w:szCs w:val="18"/>
      <w:lang w:eastAsia="en-US"/>
    </w:rPr>
  </w:style>
  <w:style w:type="character" w:customStyle="1" w:styleId="Heading4Char">
    <w:name w:val="Heading 4 Char"/>
    <w:basedOn w:val="DefaultParagraphFont"/>
    <w:link w:val="Heading4"/>
    <w:uiPriority w:val="9"/>
    <w:rsid w:val="002E0F45"/>
    <w:rPr>
      <w:rFonts w:ascii="Times New Roman" w:eastAsiaTheme="majorEastAsia" w:hAnsi="Times New Roman" w:cstheme="majorBidi"/>
      <w:i/>
      <w:iCs/>
      <w:color w:val="000000" w:themeColor="text1"/>
      <w:sz w:val="24"/>
      <w:szCs w:val="18"/>
      <w:lang w:eastAsia="en-US"/>
    </w:rPr>
  </w:style>
  <w:style w:type="character" w:customStyle="1" w:styleId="Heading5Char">
    <w:name w:val="Heading 5 Char"/>
    <w:basedOn w:val="DefaultParagraphFont"/>
    <w:link w:val="Heading5"/>
    <w:uiPriority w:val="9"/>
    <w:rsid w:val="002E0F45"/>
    <w:rPr>
      <w:rFonts w:asciiTheme="majorHAnsi" w:eastAsiaTheme="majorEastAsia" w:hAnsiTheme="majorHAnsi" w:cstheme="majorBidi"/>
      <w:color w:val="000000" w:themeColor="text1"/>
      <w:sz w:val="18"/>
      <w:szCs w:val="18"/>
      <w:lang w:eastAsia="en-US"/>
    </w:rPr>
  </w:style>
  <w:style w:type="paragraph" w:styleId="CommentSubject">
    <w:name w:val="annotation subject"/>
    <w:basedOn w:val="CommentText"/>
    <w:next w:val="CommentText"/>
    <w:link w:val="CommentSubjectChar"/>
    <w:uiPriority w:val="99"/>
    <w:semiHidden/>
    <w:unhideWhenUsed/>
    <w:rsid w:val="0037512B"/>
    <w:rPr>
      <w:b/>
      <w:bCs/>
    </w:rPr>
  </w:style>
  <w:style w:type="character" w:customStyle="1" w:styleId="CommentSubjectChar">
    <w:name w:val="Comment Subject Char"/>
    <w:basedOn w:val="CommentTextChar"/>
    <w:link w:val="CommentSubject"/>
    <w:uiPriority w:val="99"/>
    <w:semiHidden/>
    <w:rsid w:val="0037512B"/>
    <w:rPr>
      <w:rFonts w:ascii="Times New Roman" w:eastAsiaTheme="minorHAnsi" w:hAnsi="Times New Roman" w:cs="Times New Roman"/>
      <w:b/>
      <w:bCs/>
      <w:sz w:val="20"/>
      <w:szCs w:val="20"/>
      <w:lang w:eastAsia="en-US"/>
    </w:rPr>
  </w:style>
  <w:style w:type="paragraph" w:customStyle="1" w:styleId="EndNoteBibliographyTitle">
    <w:name w:val="EndNote Bibliography Title"/>
    <w:basedOn w:val="Normal"/>
    <w:link w:val="EndNoteBibliographyTitleChar"/>
    <w:rsid w:val="0037512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37512B"/>
    <w:rPr>
      <w:rFonts w:ascii="Times New Roman" w:eastAsiaTheme="minorHAnsi" w:hAnsi="Times New Roman" w:cs="Times New Roman"/>
      <w:noProof/>
      <w:sz w:val="18"/>
      <w:szCs w:val="18"/>
      <w:lang w:val="en-US" w:eastAsia="en-US"/>
    </w:rPr>
  </w:style>
  <w:style w:type="paragraph" w:customStyle="1" w:styleId="EndNoteBibliography">
    <w:name w:val="EndNote Bibliography"/>
    <w:basedOn w:val="Normal"/>
    <w:link w:val="EndNoteBibliographyChar"/>
    <w:rsid w:val="0037512B"/>
    <w:pPr>
      <w:spacing w:line="240" w:lineRule="auto"/>
    </w:pPr>
    <w:rPr>
      <w:noProof/>
      <w:lang w:val="en-US"/>
    </w:rPr>
  </w:style>
  <w:style w:type="character" w:customStyle="1" w:styleId="EndNoteBibliographyChar">
    <w:name w:val="EndNote Bibliography Char"/>
    <w:basedOn w:val="DefaultParagraphFont"/>
    <w:link w:val="EndNoteBibliography"/>
    <w:rsid w:val="0037512B"/>
    <w:rPr>
      <w:rFonts w:ascii="Times New Roman" w:eastAsiaTheme="minorHAnsi" w:hAnsi="Times New Roman" w:cs="Times New Roman"/>
      <w:noProof/>
      <w:sz w:val="18"/>
      <w:szCs w:val="18"/>
      <w:lang w:val="en-US" w:eastAsia="en-US"/>
    </w:rPr>
  </w:style>
  <w:style w:type="character" w:styleId="Hyperlink">
    <w:name w:val="Hyperlink"/>
    <w:basedOn w:val="DefaultParagraphFont"/>
    <w:uiPriority w:val="99"/>
    <w:unhideWhenUsed/>
    <w:rsid w:val="0037512B"/>
    <w:rPr>
      <w:color w:val="0563C1" w:themeColor="hyperlink"/>
      <w:u w:val="single"/>
    </w:rPr>
  </w:style>
  <w:style w:type="character" w:customStyle="1" w:styleId="UnresolvedMention1">
    <w:name w:val="Unresolved Mention1"/>
    <w:basedOn w:val="DefaultParagraphFont"/>
    <w:uiPriority w:val="99"/>
    <w:semiHidden/>
    <w:unhideWhenUsed/>
    <w:rsid w:val="0037512B"/>
    <w:rPr>
      <w:color w:val="808080"/>
      <w:shd w:val="clear" w:color="auto" w:fill="E6E6E6"/>
    </w:rPr>
  </w:style>
  <w:style w:type="paragraph" w:styleId="ListParagraph">
    <w:name w:val="List Paragraph"/>
    <w:basedOn w:val="Normal"/>
    <w:uiPriority w:val="34"/>
    <w:qFormat/>
    <w:rsid w:val="0037512B"/>
    <w:pPr>
      <w:ind w:left="720"/>
      <w:contextualSpacing/>
    </w:pPr>
  </w:style>
  <w:style w:type="paragraph" w:styleId="Header">
    <w:name w:val="header"/>
    <w:basedOn w:val="Normal"/>
    <w:link w:val="HeaderChar"/>
    <w:unhideWhenUsed/>
    <w:rsid w:val="0037512B"/>
    <w:pPr>
      <w:tabs>
        <w:tab w:val="center" w:pos="4513"/>
        <w:tab w:val="right" w:pos="9026"/>
      </w:tabs>
      <w:spacing w:after="0" w:line="240" w:lineRule="auto"/>
    </w:pPr>
  </w:style>
  <w:style w:type="character" w:customStyle="1" w:styleId="HeaderChar">
    <w:name w:val="Header Char"/>
    <w:basedOn w:val="DefaultParagraphFont"/>
    <w:link w:val="Header"/>
    <w:rsid w:val="0037512B"/>
    <w:rPr>
      <w:rFonts w:ascii="Times New Roman" w:eastAsiaTheme="minorHAnsi" w:hAnsi="Times New Roman" w:cs="Times New Roman"/>
      <w:sz w:val="18"/>
      <w:szCs w:val="18"/>
      <w:lang w:eastAsia="en-US"/>
    </w:rPr>
  </w:style>
  <w:style w:type="paragraph" w:styleId="Footer">
    <w:name w:val="footer"/>
    <w:basedOn w:val="Normal"/>
    <w:link w:val="FooterChar"/>
    <w:uiPriority w:val="99"/>
    <w:unhideWhenUsed/>
    <w:rsid w:val="00375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12B"/>
    <w:rPr>
      <w:rFonts w:ascii="Times New Roman" w:eastAsiaTheme="minorHAnsi" w:hAnsi="Times New Roman" w:cs="Times New Roman"/>
      <w:sz w:val="18"/>
      <w:szCs w:val="18"/>
      <w:lang w:eastAsia="en-US"/>
    </w:rPr>
  </w:style>
  <w:style w:type="paragraph" w:styleId="TOCHeading">
    <w:name w:val="TOC Heading"/>
    <w:basedOn w:val="Heading1"/>
    <w:next w:val="Normal"/>
    <w:uiPriority w:val="39"/>
    <w:unhideWhenUsed/>
    <w:qFormat/>
    <w:rsid w:val="0037512B"/>
    <w:pPr>
      <w:outlineLvl w:val="9"/>
    </w:pPr>
    <w:rPr>
      <w:lang w:val="en-US"/>
    </w:rPr>
  </w:style>
  <w:style w:type="paragraph" w:styleId="TOC2">
    <w:name w:val="toc 2"/>
    <w:basedOn w:val="Normal"/>
    <w:next w:val="Normal"/>
    <w:autoRedefine/>
    <w:uiPriority w:val="39"/>
    <w:unhideWhenUsed/>
    <w:rsid w:val="0037512B"/>
    <w:pPr>
      <w:spacing w:after="100"/>
      <w:ind w:left="220"/>
    </w:pPr>
  </w:style>
  <w:style w:type="paragraph" w:styleId="TOC3">
    <w:name w:val="toc 3"/>
    <w:basedOn w:val="Normal"/>
    <w:next w:val="Normal"/>
    <w:autoRedefine/>
    <w:uiPriority w:val="39"/>
    <w:unhideWhenUsed/>
    <w:rsid w:val="0037512B"/>
    <w:pPr>
      <w:spacing w:after="100"/>
      <w:ind w:left="440"/>
    </w:pPr>
  </w:style>
  <w:style w:type="paragraph" w:styleId="TOC1">
    <w:name w:val="toc 1"/>
    <w:basedOn w:val="Normal"/>
    <w:next w:val="Normal"/>
    <w:autoRedefine/>
    <w:uiPriority w:val="39"/>
    <w:unhideWhenUsed/>
    <w:rsid w:val="0037512B"/>
    <w:pPr>
      <w:spacing w:after="100"/>
    </w:pPr>
  </w:style>
  <w:style w:type="paragraph" w:styleId="TableofFigures">
    <w:name w:val="table of figures"/>
    <w:basedOn w:val="Normal"/>
    <w:next w:val="Normal"/>
    <w:uiPriority w:val="99"/>
    <w:unhideWhenUsed/>
    <w:rsid w:val="0037512B"/>
    <w:pPr>
      <w:spacing w:after="0"/>
    </w:pPr>
  </w:style>
  <w:style w:type="paragraph" w:customStyle="1" w:styleId="Default">
    <w:name w:val="Default"/>
    <w:rsid w:val="0037512B"/>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hi-superscript">
    <w:name w:val="hi-superscript"/>
    <w:basedOn w:val="DefaultParagraphFont"/>
    <w:rsid w:val="0037512B"/>
  </w:style>
  <w:style w:type="paragraph" w:customStyle="1" w:styleId="Standard">
    <w:name w:val="Standard"/>
    <w:link w:val="StandardChar"/>
    <w:rsid w:val="0037512B"/>
    <w:pPr>
      <w:suppressAutoHyphens/>
      <w:autoSpaceDN w:val="0"/>
      <w:spacing w:after="200" w:line="276" w:lineRule="auto"/>
      <w:textAlignment w:val="baseline"/>
    </w:pPr>
    <w:rPr>
      <w:rFonts w:ascii="Calibri" w:eastAsia="SimSun" w:hAnsi="Calibri" w:cs="Times New Roman"/>
      <w:kern w:val="3"/>
      <w:sz w:val="18"/>
      <w:szCs w:val="18"/>
    </w:rPr>
  </w:style>
  <w:style w:type="character" w:customStyle="1" w:styleId="StandardChar">
    <w:name w:val="Standard Char"/>
    <w:basedOn w:val="DefaultParagraphFont"/>
    <w:link w:val="Standard"/>
    <w:rsid w:val="0037512B"/>
    <w:rPr>
      <w:rFonts w:ascii="Calibri" w:eastAsia="SimSun" w:hAnsi="Calibri" w:cs="Times New Roman"/>
      <w:kern w:val="3"/>
      <w:sz w:val="18"/>
      <w:szCs w:val="18"/>
    </w:rPr>
  </w:style>
  <w:style w:type="paragraph" w:styleId="NoSpacing">
    <w:name w:val="No Spacing"/>
    <w:uiPriority w:val="1"/>
    <w:qFormat/>
    <w:rsid w:val="0037512B"/>
    <w:pPr>
      <w:spacing w:after="0" w:line="240" w:lineRule="auto"/>
    </w:pPr>
    <w:rPr>
      <w:rFonts w:ascii="Times New Roman" w:eastAsiaTheme="minorHAnsi" w:hAnsi="Times New Roman" w:cs="Times New Roman"/>
      <w:sz w:val="18"/>
      <w:szCs w:val="18"/>
      <w:lang w:eastAsia="en-US"/>
    </w:rPr>
  </w:style>
  <w:style w:type="paragraph" w:styleId="BodyText2">
    <w:name w:val="Body Text 2"/>
    <w:basedOn w:val="Normal"/>
    <w:link w:val="BodyText2Char"/>
    <w:rsid w:val="0037512B"/>
    <w:pPr>
      <w:spacing w:after="0" w:line="240" w:lineRule="auto"/>
    </w:pPr>
    <w:rPr>
      <w:rFonts w:eastAsia="Times New Roman"/>
      <w:b/>
      <w:bCs/>
      <w:sz w:val="24"/>
      <w:szCs w:val="24"/>
    </w:rPr>
  </w:style>
  <w:style w:type="character" w:customStyle="1" w:styleId="BodyText2Char">
    <w:name w:val="Body Text 2 Char"/>
    <w:basedOn w:val="DefaultParagraphFont"/>
    <w:link w:val="BodyText2"/>
    <w:rsid w:val="0037512B"/>
    <w:rPr>
      <w:rFonts w:ascii="Times New Roman" w:eastAsia="Times New Roman" w:hAnsi="Times New Roman" w:cs="Times New Roman"/>
      <w:b/>
      <w:bCs/>
      <w:sz w:val="24"/>
      <w:szCs w:val="24"/>
      <w:lang w:eastAsia="en-US"/>
    </w:rPr>
  </w:style>
  <w:style w:type="paragraph" w:styleId="Revision">
    <w:name w:val="Revision"/>
    <w:hidden/>
    <w:uiPriority w:val="99"/>
    <w:semiHidden/>
    <w:rsid w:val="0037512B"/>
    <w:pPr>
      <w:spacing w:after="0" w:line="240" w:lineRule="auto"/>
    </w:pPr>
    <w:rPr>
      <w:rFonts w:ascii="Times New Roman" w:eastAsiaTheme="minorHAnsi" w:hAnsi="Times New Roman" w:cs="Times New Roman"/>
      <w:sz w:val="18"/>
      <w:szCs w:val="18"/>
      <w:lang w:eastAsia="en-US"/>
    </w:rPr>
  </w:style>
  <w:style w:type="character" w:customStyle="1" w:styleId="UnresolvedMention2">
    <w:name w:val="Unresolved Mention2"/>
    <w:basedOn w:val="DefaultParagraphFont"/>
    <w:uiPriority w:val="99"/>
    <w:semiHidden/>
    <w:unhideWhenUsed/>
    <w:rsid w:val="0037512B"/>
    <w:rPr>
      <w:color w:val="605E5C"/>
      <w:shd w:val="clear" w:color="auto" w:fill="E1DFDD"/>
    </w:rPr>
  </w:style>
  <w:style w:type="character" w:customStyle="1" w:styleId="UnresolvedMention3">
    <w:name w:val="Unresolved Mention3"/>
    <w:basedOn w:val="DefaultParagraphFont"/>
    <w:uiPriority w:val="99"/>
    <w:semiHidden/>
    <w:unhideWhenUsed/>
    <w:rsid w:val="0037512B"/>
    <w:rPr>
      <w:color w:val="605E5C"/>
      <w:shd w:val="clear" w:color="auto" w:fill="E1DFDD"/>
    </w:rPr>
  </w:style>
  <w:style w:type="character" w:customStyle="1" w:styleId="UnresolvedMention4">
    <w:name w:val="Unresolved Mention4"/>
    <w:basedOn w:val="DefaultParagraphFont"/>
    <w:uiPriority w:val="99"/>
    <w:semiHidden/>
    <w:unhideWhenUsed/>
    <w:rsid w:val="0037512B"/>
    <w:rPr>
      <w:color w:val="605E5C"/>
      <w:shd w:val="clear" w:color="auto" w:fill="E1DFDD"/>
    </w:rPr>
  </w:style>
  <w:style w:type="paragraph" w:styleId="EndnoteText">
    <w:name w:val="endnote text"/>
    <w:basedOn w:val="Normal"/>
    <w:link w:val="EndnoteTextChar"/>
    <w:uiPriority w:val="99"/>
    <w:semiHidden/>
    <w:unhideWhenUsed/>
    <w:rsid w:val="003751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512B"/>
    <w:rPr>
      <w:rFonts w:ascii="Times New Roman" w:eastAsiaTheme="minorHAnsi" w:hAnsi="Times New Roman" w:cs="Times New Roman"/>
      <w:sz w:val="20"/>
      <w:szCs w:val="20"/>
      <w:lang w:eastAsia="en-US"/>
    </w:rPr>
  </w:style>
  <w:style w:type="character" w:styleId="EndnoteReference">
    <w:name w:val="endnote reference"/>
    <w:basedOn w:val="DefaultParagraphFont"/>
    <w:uiPriority w:val="99"/>
    <w:semiHidden/>
    <w:unhideWhenUsed/>
    <w:rsid w:val="0037512B"/>
    <w:rPr>
      <w:vertAlign w:val="superscript"/>
    </w:rPr>
  </w:style>
  <w:style w:type="character" w:customStyle="1" w:styleId="UnresolvedMention5">
    <w:name w:val="Unresolved Mention5"/>
    <w:basedOn w:val="DefaultParagraphFont"/>
    <w:uiPriority w:val="99"/>
    <w:semiHidden/>
    <w:unhideWhenUsed/>
    <w:rsid w:val="0037512B"/>
    <w:rPr>
      <w:color w:val="605E5C"/>
      <w:shd w:val="clear" w:color="auto" w:fill="E1DFDD"/>
    </w:rPr>
  </w:style>
  <w:style w:type="character" w:customStyle="1" w:styleId="UnresolvedMention6">
    <w:name w:val="Unresolved Mention6"/>
    <w:basedOn w:val="DefaultParagraphFont"/>
    <w:uiPriority w:val="99"/>
    <w:semiHidden/>
    <w:unhideWhenUsed/>
    <w:rsid w:val="0037512B"/>
    <w:rPr>
      <w:color w:val="605E5C"/>
      <w:shd w:val="clear" w:color="auto" w:fill="E1DFDD"/>
    </w:rPr>
  </w:style>
  <w:style w:type="character" w:customStyle="1" w:styleId="UnresolvedMention7">
    <w:name w:val="Unresolved Mention7"/>
    <w:basedOn w:val="DefaultParagraphFont"/>
    <w:uiPriority w:val="99"/>
    <w:semiHidden/>
    <w:unhideWhenUsed/>
    <w:rsid w:val="0037512B"/>
    <w:rPr>
      <w:color w:val="605E5C"/>
      <w:shd w:val="clear" w:color="auto" w:fill="E1DFDD"/>
    </w:rPr>
  </w:style>
  <w:style w:type="paragraph" w:styleId="TOC4">
    <w:name w:val="toc 4"/>
    <w:basedOn w:val="Normal"/>
    <w:next w:val="Normal"/>
    <w:autoRedefine/>
    <w:uiPriority w:val="39"/>
    <w:unhideWhenUsed/>
    <w:rsid w:val="0037512B"/>
    <w:pPr>
      <w:spacing w:after="100"/>
      <w:ind w:left="660"/>
    </w:pPr>
    <w:rPr>
      <w:rFonts w:asciiTheme="minorHAnsi" w:eastAsiaTheme="minorEastAsia" w:hAnsiTheme="minorHAnsi" w:cstheme="minorBidi"/>
      <w:sz w:val="22"/>
      <w:szCs w:val="22"/>
      <w:lang w:eastAsia="zh-CN"/>
    </w:rPr>
  </w:style>
  <w:style w:type="paragraph" w:styleId="TOC5">
    <w:name w:val="toc 5"/>
    <w:basedOn w:val="Normal"/>
    <w:next w:val="Normal"/>
    <w:autoRedefine/>
    <w:uiPriority w:val="39"/>
    <w:unhideWhenUsed/>
    <w:rsid w:val="0037512B"/>
    <w:pPr>
      <w:spacing w:after="100"/>
      <w:ind w:left="880"/>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37512B"/>
    <w:pPr>
      <w:spacing w:after="100"/>
      <w:ind w:left="1100"/>
    </w:pPr>
    <w:rPr>
      <w:rFonts w:asciiTheme="minorHAnsi" w:eastAsiaTheme="minorEastAsia" w:hAnsiTheme="minorHAnsi" w:cstheme="minorBidi"/>
      <w:sz w:val="22"/>
      <w:szCs w:val="22"/>
      <w:lang w:eastAsia="zh-CN"/>
    </w:rPr>
  </w:style>
  <w:style w:type="paragraph" w:styleId="TOC7">
    <w:name w:val="toc 7"/>
    <w:basedOn w:val="Normal"/>
    <w:next w:val="Normal"/>
    <w:autoRedefine/>
    <w:uiPriority w:val="39"/>
    <w:unhideWhenUsed/>
    <w:rsid w:val="0037512B"/>
    <w:pPr>
      <w:spacing w:after="100"/>
      <w:ind w:left="1320"/>
    </w:pPr>
    <w:rPr>
      <w:rFonts w:asciiTheme="minorHAnsi" w:eastAsiaTheme="minorEastAsia" w:hAnsiTheme="minorHAnsi" w:cstheme="minorBidi"/>
      <w:sz w:val="22"/>
      <w:szCs w:val="22"/>
      <w:lang w:eastAsia="zh-CN"/>
    </w:rPr>
  </w:style>
  <w:style w:type="paragraph" w:styleId="TOC8">
    <w:name w:val="toc 8"/>
    <w:basedOn w:val="Normal"/>
    <w:next w:val="Normal"/>
    <w:autoRedefine/>
    <w:uiPriority w:val="39"/>
    <w:unhideWhenUsed/>
    <w:rsid w:val="0037512B"/>
    <w:pPr>
      <w:spacing w:after="100"/>
      <w:ind w:left="1540"/>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37512B"/>
    <w:pPr>
      <w:spacing w:after="100"/>
      <w:ind w:left="1760"/>
    </w:pPr>
    <w:rPr>
      <w:rFonts w:asciiTheme="minorHAnsi" w:eastAsiaTheme="minorEastAsia" w:hAnsiTheme="minorHAnsi" w:cstheme="minorBidi"/>
      <w:sz w:val="22"/>
      <w:szCs w:val="22"/>
      <w:lang w:eastAsia="zh-CN"/>
    </w:rPr>
  </w:style>
  <w:style w:type="character" w:customStyle="1" w:styleId="UnresolvedMention8">
    <w:name w:val="Unresolved Mention8"/>
    <w:basedOn w:val="DefaultParagraphFont"/>
    <w:uiPriority w:val="99"/>
    <w:semiHidden/>
    <w:unhideWhenUsed/>
    <w:rsid w:val="0037512B"/>
    <w:rPr>
      <w:color w:val="605E5C"/>
      <w:shd w:val="clear" w:color="auto" w:fill="E1DFDD"/>
    </w:rPr>
  </w:style>
  <w:style w:type="paragraph" w:styleId="BodyText">
    <w:name w:val="Body Text"/>
    <w:basedOn w:val="Normal"/>
    <w:link w:val="BodyTextChar"/>
    <w:uiPriority w:val="99"/>
    <w:unhideWhenUsed/>
    <w:rsid w:val="0037512B"/>
    <w:pPr>
      <w:spacing w:after="120"/>
    </w:pPr>
  </w:style>
  <w:style w:type="character" w:customStyle="1" w:styleId="BodyTextChar">
    <w:name w:val="Body Text Char"/>
    <w:basedOn w:val="DefaultParagraphFont"/>
    <w:link w:val="BodyText"/>
    <w:uiPriority w:val="99"/>
    <w:rsid w:val="0037512B"/>
    <w:rPr>
      <w:rFonts w:ascii="Times New Roman" w:eastAsiaTheme="minorHAnsi" w:hAnsi="Times New Roman" w:cs="Times New Roman"/>
      <w:sz w:val="18"/>
      <w:szCs w:val="18"/>
      <w:lang w:eastAsia="en-US"/>
    </w:rPr>
  </w:style>
  <w:style w:type="character" w:styleId="FollowedHyperlink">
    <w:name w:val="FollowedHyperlink"/>
    <w:basedOn w:val="DefaultParagraphFont"/>
    <w:uiPriority w:val="99"/>
    <w:semiHidden/>
    <w:unhideWhenUsed/>
    <w:rsid w:val="0037512B"/>
    <w:rPr>
      <w:color w:val="954F72" w:themeColor="followedHyperlink"/>
      <w:u w:val="single"/>
    </w:rPr>
  </w:style>
  <w:style w:type="character" w:styleId="UnresolvedMention">
    <w:name w:val="Unresolved Mention"/>
    <w:basedOn w:val="DefaultParagraphFont"/>
    <w:uiPriority w:val="99"/>
    <w:semiHidden/>
    <w:unhideWhenUsed/>
    <w:rsid w:val="00A95580"/>
    <w:rPr>
      <w:color w:val="605E5C"/>
      <w:shd w:val="clear" w:color="auto" w:fill="E1DFDD"/>
    </w:rPr>
  </w:style>
  <w:style w:type="character" w:customStyle="1" w:styleId="searchword">
    <w:name w:val="searchword"/>
    <w:basedOn w:val="DefaultParagraphFont"/>
    <w:rsid w:val="0074342D"/>
  </w:style>
  <w:style w:type="paragraph" w:customStyle="1" w:styleId="msonormal0">
    <w:name w:val="msonormal"/>
    <w:basedOn w:val="Normal"/>
    <w:rsid w:val="008B4713"/>
    <w:pPr>
      <w:spacing w:before="100" w:beforeAutospacing="1" w:after="100" w:afterAutospacing="1" w:line="240" w:lineRule="auto"/>
    </w:pPr>
    <w:rPr>
      <w:rFonts w:eastAsia="Times New Roman"/>
      <w:sz w:val="24"/>
      <w:szCs w:val="24"/>
      <w:lang w:eastAsia="en-GB"/>
    </w:rPr>
  </w:style>
  <w:style w:type="paragraph" w:customStyle="1" w:styleId="xl65">
    <w:name w:val="xl65"/>
    <w:basedOn w:val="Normal"/>
    <w:rsid w:val="008B4713"/>
    <w:pPr>
      <w:shd w:val="clear" w:color="000000" w:fill="FFFF00"/>
      <w:spacing w:before="100" w:beforeAutospacing="1" w:after="100" w:afterAutospacing="1" w:line="240" w:lineRule="auto"/>
    </w:pPr>
    <w:rPr>
      <w:rFonts w:eastAsia="Times New Roman"/>
      <w:sz w:val="24"/>
      <w:szCs w:val="24"/>
      <w:lang w:eastAsia="en-GB"/>
    </w:rPr>
  </w:style>
  <w:style w:type="paragraph" w:customStyle="1" w:styleId="xl66">
    <w:name w:val="xl66"/>
    <w:basedOn w:val="Normal"/>
    <w:rsid w:val="008B4713"/>
    <w:pPr>
      <w:shd w:val="clear" w:color="000000" w:fill="FF0000"/>
      <w:spacing w:before="100" w:beforeAutospacing="1" w:after="100" w:afterAutospacing="1" w:line="240" w:lineRule="auto"/>
    </w:pPr>
    <w:rPr>
      <w:rFonts w:eastAsia="Times New Roman"/>
      <w:sz w:val="24"/>
      <w:szCs w:val="24"/>
      <w:lang w:eastAsia="en-GB"/>
    </w:rPr>
  </w:style>
  <w:style w:type="paragraph" w:customStyle="1" w:styleId="xl67">
    <w:name w:val="xl67"/>
    <w:basedOn w:val="Normal"/>
    <w:rsid w:val="008B4713"/>
    <w:pPr>
      <w:shd w:val="clear" w:color="000000" w:fill="FF0000"/>
      <w:spacing w:before="100" w:beforeAutospacing="1" w:after="100" w:afterAutospacing="1" w:line="240" w:lineRule="auto"/>
    </w:pPr>
    <w:rPr>
      <w:rFonts w:eastAsia="Times New Roman"/>
      <w:sz w:val="24"/>
      <w:szCs w:val="24"/>
      <w:lang w:eastAsia="en-GB"/>
    </w:rPr>
  </w:style>
  <w:style w:type="paragraph" w:customStyle="1" w:styleId="xl68">
    <w:name w:val="xl68"/>
    <w:basedOn w:val="Normal"/>
    <w:rsid w:val="008B4713"/>
    <w:pPr>
      <w:shd w:val="clear" w:color="000000" w:fill="00B050"/>
      <w:spacing w:before="100" w:beforeAutospacing="1" w:after="100" w:afterAutospacing="1" w:line="240" w:lineRule="auto"/>
    </w:pPr>
    <w:rPr>
      <w:rFonts w:eastAsia="Times New Roman"/>
      <w:sz w:val="24"/>
      <w:szCs w:val="24"/>
      <w:lang w:eastAsia="en-GB"/>
    </w:rPr>
  </w:style>
  <w:style w:type="paragraph" w:customStyle="1" w:styleId="xl69">
    <w:name w:val="xl69"/>
    <w:basedOn w:val="Normal"/>
    <w:rsid w:val="008B4713"/>
    <w:pPr>
      <w:spacing w:before="100" w:beforeAutospacing="1" w:after="100" w:afterAutospacing="1" w:line="240" w:lineRule="auto"/>
    </w:pPr>
    <w:rPr>
      <w:rFonts w:eastAsia="Times New Roman"/>
      <w:color w:val="FF0000"/>
      <w:sz w:val="24"/>
      <w:szCs w:val="24"/>
      <w:lang w:eastAsia="en-GB"/>
    </w:rPr>
  </w:style>
  <w:style w:type="paragraph" w:customStyle="1" w:styleId="xl70">
    <w:name w:val="xl70"/>
    <w:basedOn w:val="Normal"/>
    <w:rsid w:val="008B4713"/>
    <w:pPr>
      <w:pBdr>
        <w:left w:val="single" w:sz="4" w:space="0" w:color="auto"/>
        <w:right w:val="single" w:sz="4" w:space="0" w:color="auto"/>
      </w:pBdr>
      <w:spacing w:before="100" w:beforeAutospacing="1" w:after="100" w:afterAutospacing="1" w:line="240" w:lineRule="auto"/>
      <w:textAlignment w:val="center"/>
    </w:pPr>
    <w:rPr>
      <w:rFonts w:eastAsia="Times New Roman"/>
      <w:color w:val="0563C1"/>
      <w:sz w:val="24"/>
      <w:szCs w:val="24"/>
      <w:u w:val="single"/>
      <w:lang w:eastAsia="en-GB"/>
    </w:rPr>
  </w:style>
  <w:style w:type="paragraph" w:customStyle="1" w:styleId="xl71">
    <w:name w:val="xl71"/>
    <w:basedOn w:val="Normal"/>
    <w:rsid w:val="008B4713"/>
    <w:pPr>
      <w:pBdr>
        <w:left w:val="single" w:sz="4" w:space="0" w:color="auto"/>
        <w:right w:val="single" w:sz="4" w:space="0" w:color="auto"/>
      </w:pBdr>
      <w:shd w:val="clear" w:color="000000" w:fill="00B050"/>
      <w:spacing w:before="100" w:beforeAutospacing="1" w:after="100" w:afterAutospacing="1" w:line="240" w:lineRule="auto"/>
      <w:textAlignment w:val="center"/>
    </w:pPr>
    <w:rPr>
      <w:rFonts w:eastAsia="Times New Roman"/>
      <w:color w:val="0563C1"/>
      <w:sz w:val="24"/>
      <w:szCs w:val="24"/>
      <w:u w:val="single"/>
      <w:lang w:eastAsia="en-GB"/>
    </w:rPr>
  </w:style>
  <w:style w:type="paragraph" w:customStyle="1" w:styleId="xl72">
    <w:name w:val="xl72"/>
    <w:basedOn w:val="Normal"/>
    <w:rsid w:val="008B4713"/>
    <w:pPr>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olor w:val="0563C1"/>
      <w:sz w:val="24"/>
      <w:szCs w:val="24"/>
      <w:u w:val="single"/>
      <w:lang w:eastAsia="en-GB"/>
    </w:rPr>
  </w:style>
  <w:style w:type="paragraph" w:customStyle="1" w:styleId="xl73">
    <w:name w:val="xl73"/>
    <w:basedOn w:val="Normal"/>
    <w:rsid w:val="008B4713"/>
    <w:pPr>
      <w:pBdr>
        <w:left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olor w:val="0563C1"/>
      <w:sz w:val="24"/>
      <w:szCs w:val="24"/>
      <w:u w:val="single"/>
      <w:lang w:eastAsia="en-GB"/>
    </w:rPr>
  </w:style>
  <w:style w:type="paragraph" w:customStyle="1" w:styleId="xl74">
    <w:name w:val="xl74"/>
    <w:basedOn w:val="Normal"/>
    <w:rsid w:val="008B4713"/>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en-GB"/>
    </w:rPr>
  </w:style>
  <w:style w:type="paragraph" w:customStyle="1" w:styleId="xl75">
    <w:name w:val="xl75"/>
    <w:basedOn w:val="Normal"/>
    <w:rsid w:val="008B471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en-GB"/>
    </w:rPr>
  </w:style>
  <w:style w:type="paragraph" w:customStyle="1" w:styleId="xl76">
    <w:name w:val="xl76"/>
    <w:basedOn w:val="Normal"/>
    <w:rsid w:val="008B4713"/>
    <w:pPr>
      <w:pBdr>
        <w:left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sz w:val="24"/>
      <w:szCs w:val="24"/>
      <w:lang w:eastAsia="en-GB"/>
    </w:rPr>
  </w:style>
  <w:style w:type="paragraph" w:customStyle="1" w:styleId="xl77">
    <w:name w:val="xl77"/>
    <w:basedOn w:val="Normal"/>
    <w:rsid w:val="008B4713"/>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sz w:val="24"/>
      <w:szCs w:val="24"/>
      <w:lang w:eastAsia="en-GB"/>
    </w:rPr>
  </w:style>
  <w:style w:type="paragraph" w:customStyle="1" w:styleId="xl78">
    <w:name w:val="xl78"/>
    <w:basedOn w:val="Normal"/>
    <w:rsid w:val="008B4713"/>
    <w:pPr>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sz w:val="24"/>
      <w:szCs w:val="24"/>
      <w:lang w:eastAsia="en-GB"/>
    </w:rPr>
  </w:style>
  <w:style w:type="paragraph" w:customStyle="1" w:styleId="xl79">
    <w:name w:val="xl79"/>
    <w:basedOn w:val="Normal"/>
    <w:rsid w:val="008B4713"/>
    <w:pPr>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sz w:val="24"/>
      <w:szCs w:val="24"/>
      <w:lang w:eastAsia="en-GB"/>
    </w:rPr>
  </w:style>
  <w:style w:type="paragraph" w:customStyle="1" w:styleId="xl80">
    <w:name w:val="xl80"/>
    <w:basedOn w:val="Normal"/>
    <w:rsid w:val="008B4713"/>
    <w:pPr>
      <w:pBdr>
        <w:left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sz w:val="24"/>
      <w:szCs w:val="24"/>
      <w:lang w:eastAsia="en-GB"/>
    </w:rPr>
  </w:style>
  <w:style w:type="paragraph" w:customStyle="1" w:styleId="xl81">
    <w:name w:val="xl81"/>
    <w:basedOn w:val="Normal"/>
    <w:rsid w:val="008B4713"/>
    <w:pPr>
      <w:pBdr>
        <w:left w:val="single" w:sz="4" w:space="0" w:color="auto"/>
        <w:right w:val="single" w:sz="4" w:space="0" w:color="auto"/>
      </w:pBdr>
      <w:spacing w:before="100" w:beforeAutospacing="1" w:after="100" w:afterAutospacing="1" w:line="240" w:lineRule="auto"/>
      <w:textAlignment w:val="center"/>
    </w:pPr>
    <w:rPr>
      <w:rFonts w:eastAsia="Times New Roman"/>
      <w:i/>
      <w:iCs/>
      <w:sz w:val="24"/>
      <w:szCs w:val="24"/>
      <w:lang w:eastAsia="en-GB"/>
    </w:rPr>
  </w:style>
  <w:style w:type="paragraph" w:customStyle="1" w:styleId="xl82">
    <w:name w:val="xl82"/>
    <w:basedOn w:val="Normal"/>
    <w:rsid w:val="008B4713"/>
    <w:pPr>
      <w:pBdr>
        <w:right w:val="single" w:sz="4" w:space="0" w:color="auto"/>
      </w:pBdr>
      <w:spacing w:before="100" w:beforeAutospacing="1" w:after="100" w:afterAutospacing="1" w:line="240" w:lineRule="auto"/>
      <w:textAlignment w:val="center"/>
    </w:pPr>
    <w:rPr>
      <w:rFonts w:eastAsia="Times New Roman"/>
      <w:sz w:val="24"/>
      <w:szCs w:val="24"/>
      <w:lang w:eastAsia="en-GB"/>
    </w:rPr>
  </w:style>
  <w:style w:type="paragraph" w:customStyle="1" w:styleId="xl83">
    <w:name w:val="xl83"/>
    <w:basedOn w:val="Normal"/>
    <w:rsid w:val="008B4713"/>
    <w:pPr>
      <w:spacing w:before="100" w:beforeAutospacing="1" w:after="100" w:afterAutospacing="1" w:line="240" w:lineRule="auto"/>
      <w:textAlignment w:val="center"/>
    </w:pPr>
    <w:rPr>
      <w:rFonts w:eastAsia="Times New Roman"/>
      <w:sz w:val="24"/>
      <w:szCs w:val="24"/>
      <w:lang w:eastAsia="en-GB"/>
    </w:rPr>
  </w:style>
  <w:style w:type="paragraph" w:customStyle="1" w:styleId="xl84">
    <w:name w:val="xl84"/>
    <w:basedOn w:val="Normal"/>
    <w:rsid w:val="008B471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lang w:eastAsia="en-GB"/>
    </w:rPr>
  </w:style>
  <w:style w:type="paragraph" w:customStyle="1" w:styleId="xl85">
    <w:name w:val="xl85"/>
    <w:basedOn w:val="Normal"/>
    <w:rsid w:val="008B47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en-GB"/>
    </w:rPr>
  </w:style>
  <w:style w:type="paragraph" w:customStyle="1" w:styleId="xl86">
    <w:name w:val="xl86"/>
    <w:basedOn w:val="Normal"/>
    <w:rsid w:val="008B471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lang w:eastAsia="en-GB"/>
    </w:rPr>
  </w:style>
  <w:style w:type="paragraph" w:customStyle="1" w:styleId="xl87">
    <w:name w:val="xl87"/>
    <w:basedOn w:val="Normal"/>
    <w:rsid w:val="008B47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en-GB"/>
    </w:rPr>
  </w:style>
  <w:style w:type="paragraph" w:customStyle="1" w:styleId="xl88">
    <w:name w:val="xl88"/>
    <w:basedOn w:val="Normal"/>
    <w:rsid w:val="008B4713"/>
    <w:pPr>
      <w:pBdr>
        <w:left w:val="single" w:sz="4" w:space="0" w:color="auto"/>
      </w:pBdr>
      <w:spacing w:before="100" w:beforeAutospacing="1" w:after="100" w:afterAutospacing="1" w:line="240" w:lineRule="auto"/>
      <w:textAlignment w:val="center"/>
    </w:pPr>
    <w:rPr>
      <w:rFonts w:eastAsia="Times New Roman"/>
      <w:sz w:val="24"/>
      <w:szCs w:val="24"/>
      <w:lang w:eastAsia="en-GB"/>
    </w:rPr>
  </w:style>
  <w:style w:type="paragraph" w:customStyle="1" w:styleId="xl89">
    <w:name w:val="xl89"/>
    <w:basedOn w:val="Normal"/>
    <w:rsid w:val="008B4713"/>
    <w:pPr>
      <w:pBdr>
        <w:left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90">
    <w:name w:val="xl90"/>
    <w:basedOn w:val="Normal"/>
    <w:rsid w:val="008B4713"/>
    <w:pPr>
      <w:pBdr>
        <w:right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91">
    <w:name w:val="xl91"/>
    <w:basedOn w:val="Normal"/>
    <w:rsid w:val="008B4713"/>
    <w:pPr>
      <w:pBdr>
        <w:left w:val="single" w:sz="4" w:space="0" w:color="auto"/>
      </w:pBdr>
      <w:shd w:val="clear" w:color="000000" w:fill="FF0000"/>
      <w:spacing w:before="100" w:beforeAutospacing="1" w:after="100" w:afterAutospacing="1" w:line="240" w:lineRule="auto"/>
      <w:textAlignment w:val="center"/>
    </w:pPr>
    <w:rPr>
      <w:rFonts w:eastAsia="Times New Roman"/>
      <w:sz w:val="24"/>
      <w:szCs w:val="24"/>
      <w:lang w:eastAsia="en-GB"/>
    </w:rPr>
  </w:style>
  <w:style w:type="paragraph" w:customStyle="1" w:styleId="xl92">
    <w:name w:val="xl92"/>
    <w:basedOn w:val="Normal"/>
    <w:rsid w:val="008B4713"/>
    <w:pPr>
      <w:pBdr>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en-GB"/>
    </w:rPr>
  </w:style>
  <w:style w:type="paragraph" w:customStyle="1" w:styleId="xl93">
    <w:name w:val="xl93"/>
    <w:basedOn w:val="Normal"/>
    <w:rsid w:val="008B4713"/>
    <w:pPr>
      <w:pBdr>
        <w:top w:val="single" w:sz="4" w:space="0" w:color="auto"/>
        <w:left w:val="single" w:sz="4" w:space="0" w:color="auto"/>
      </w:pBdr>
      <w:spacing w:before="100" w:beforeAutospacing="1" w:after="100" w:afterAutospacing="1" w:line="240" w:lineRule="auto"/>
      <w:textAlignment w:val="center"/>
    </w:pPr>
    <w:rPr>
      <w:rFonts w:eastAsia="Times New Roman"/>
      <w:sz w:val="24"/>
      <w:szCs w:val="24"/>
      <w:lang w:eastAsia="en-GB"/>
    </w:rPr>
  </w:style>
  <w:style w:type="paragraph" w:customStyle="1" w:styleId="xl94">
    <w:name w:val="xl94"/>
    <w:basedOn w:val="Normal"/>
    <w:rsid w:val="008B471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95">
    <w:name w:val="xl95"/>
    <w:basedOn w:val="Normal"/>
    <w:rsid w:val="008B47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96">
    <w:name w:val="xl96"/>
    <w:basedOn w:val="Normal"/>
    <w:rsid w:val="008B471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en-GB"/>
    </w:rPr>
  </w:style>
  <w:style w:type="paragraph" w:customStyle="1" w:styleId="xl97">
    <w:name w:val="xl97"/>
    <w:basedOn w:val="Normal"/>
    <w:rsid w:val="008B471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98">
    <w:name w:val="xl98"/>
    <w:basedOn w:val="Normal"/>
    <w:rsid w:val="008B47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99">
    <w:name w:val="xl99"/>
    <w:basedOn w:val="Normal"/>
    <w:rsid w:val="008B471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100">
    <w:name w:val="xl100"/>
    <w:basedOn w:val="Normal"/>
    <w:rsid w:val="008B47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101">
    <w:name w:val="xl101"/>
    <w:basedOn w:val="Normal"/>
    <w:rsid w:val="008B471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b/>
      <w:bCs/>
      <w:sz w:val="24"/>
      <w:szCs w:val="24"/>
      <w:lang w:eastAsia="en-GB"/>
    </w:rPr>
  </w:style>
  <w:style w:type="paragraph" w:customStyle="1" w:styleId="xl102">
    <w:name w:val="xl102"/>
    <w:basedOn w:val="Normal"/>
    <w:rsid w:val="008B4713"/>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103">
    <w:name w:val="xl103"/>
    <w:basedOn w:val="Normal"/>
    <w:rsid w:val="008B4713"/>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104">
    <w:name w:val="xl104"/>
    <w:basedOn w:val="Normal"/>
    <w:rsid w:val="008B4713"/>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b/>
      <w:bCs/>
      <w:sz w:val="24"/>
      <w:szCs w:val="24"/>
      <w:lang w:eastAsia="en-GB"/>
    </w:rPr>
  </w:style>
  <w:style w:type="paragraph" w:customStyle="1" w:styleId="xl105">
    <w:name w:val="xl105"/>
    <w:basedOn w:val="Normal"/>
    <w:rsid w:val="008B4713"/>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b/>
      <w:bCs/>
      <w:sz w:val="24"/>
      <w:szCs w:val="24"/>
      <w:lang w:eastAsia="en-GB"/>
    </w:rPr>
  </w:style>
  <w:style w:type="paragraph" w:customStyle="1" w:styleId="xl106">
    <w:name w:val="xl106"/>
    <w:basedOn w:val="Normal"/>
    <w:rsid w:val="008B471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customStyle="1" w:styleId="xl107">
    <w:name w:val="xl107"/>
    <w:basedOn w:val="Normal"/>
    <w:rsid w:val="008B47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 w:val="24"/>
      <w:szCs w:val="24"/>
      <w:lang w:eastAsia="en-GB"/>
    </w:rPr>
  </w:style>
  <w:style w:type="paragraph" w:styleId="Date">
    <w:name w:val="Date"/>
    <w:basedOn w:val="Normal"/>
    <w:next w:val="Normal"/>
    <w:link w:val="DateChar"/>
    <w:uiPriority w:val="99"/>
    <w:semiHidden/>
    <w:unhideWhenUsed/>
    <w:rsid w:val="00286DF4"/>
  </w:style>
  <w:style w:type="character" w:customStyle="1" w:styleId="DateChar">
    <w:name w:val="Date Char"/>
    <w:basedOn w:val="DefaultParagraphFont"/>
    <w:link w:val="Date"/>
    <w:uiPriority w:val="99"/>
    <w:semiHidden/>
    <w:rsid w:val="00286DF4"/>
    <w:rPr>
      <w:rFonts w:ascii="Times New Roman" w:eastAsiaTheme="minorHAnsi"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22704">
      <w:bodyDiv w:val="1"/>
      <w:marLeft w:val="0"/>
      <w:marRight w:val="0"/>
      <w:marTop w:val="0"/>
      <w:marBottom w:val="0"/>
      <w:divBdr>
        <w:top w:val="none" w:sz="0" w:space="0" w:color="auto"/>
        <w:left w:val="none" w:sz="0" w:space="0" w:color="auto"/>
        <w:bottom w:val="none" w:sz="0" w:space="0" w:color="auto"/>
        <w:right w:val="none" w:sz="0" w:space="0" w:color="auto"/>
      </w:divBdr>
    </w:div>
    <w:div w:id="225385399">
      <w:bodyDiv w:val="1"/>
      <w:marLeft w:val="0"/>
      <w:marRight w:val="0"/>
      <w:marTop w:val="0"/>
      <w:marBottom w:val="0"/>
      <w:divBdr>
        <w:top w:val="none" w:sz="0" w:space="0" w:color="auto"/>
        <w:left w:val="none" w:sz="0" w:space="0" w:color="auto"/>
        <w:bottom w:val="none" w:sz="0" w:space="0" w:color="auto"/>
        <w:right w:val="none" w:sz="0" w:space="0" w:color="auto"/>
      </w:divBdr>
      <w:divsChild>
        <w:div w:id="368771136">
          <w:marLeft w:val="0"/>
          <w:marRight w:val="0"/>
          <w:marTop w:val="0"/>
          <w:marBottom w:val="0"/>
          <w:divBdr>
            <w:top w:val="none" w:sz="0" w:space="0" w:color="auto"/>
            <w:left w:val="none" w:sz="0" w:space="0" w:color="auto"/>
            <w:bottom w:val="none" w:sz="0" w:space="0" w:color="auto"/>
            <w:right w:val="none" w:sz="0" w:space="0" w:color="auto"/>
          </w:divBdr>
          <w:divsChild>
            <w:div w:id="6793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9885">
      <w:bodyDiv w:val="1"/>
      <w:marLeft w:val="0"/>
      <w:marRight w:val="0"/>
      <w:marTop w:val="0"/>
      <w:marBottom w:val="0"/>
      <w:divBdr>
        <w:top w:val="none" w:sz="0" w:space="0" w:color="auto"/>
        <w:left w:val="none" w:sz="0" w:space="0" w:color="auto"/>
        <w:bottom w:val="none" w:sz="0" w:space="0" w:color="auto"/>
        <w:right w:val="none" w:sz="0" w:space="0" w:color="auto"/>
      </w:divBdr>
    </w:div>
    <w:div w:id="512186656">
      <w:bodyDiv w:val="1"/>
      <w:marLeft w:val="0"/>
      <w:marRight w:val="0"/>
      <w:marTop w:val="0"/>
      <w:marBottom w:val="0"/>
      <w:divBdr>
        <w:top w:val="none" w:sz="0" w:space="0" w:color="auto"/>
        <w:left w:val="none" w:sz="0" w:space="0" w:color="auto"/>
        <w:bottom w:val="none" w:sz="0" w:space="0" w:color="auto"/>
        <w:right w:val="none" w:sz="0" w:space="0" w:color="auto"/>
      </w:divBdr>
    </w:div>
    <w:div w:id="716007142">
      <w:bodyDiv w:val="1"/>
      <w:marLeft w:val="0"/>
      <w:marRight w:val="0"/>
      <w:marTop w:val="0"/>
      <w:marBottom w:val="0"/>
      <w:divBdr>
        <w:top w:val="none" w:sz="0" w:space="0" w:color="auto"/>
        <w:left w:val="none" w:sz="0" w:space="0" w:color="auto"/>
        <w:bottom w:val="none" w:sz="0" w:space="0" w:color="auto"/>
        <w:right w:val="none" w:sz="0" w:space="0" w:color="auto"/>
      </w:divBdr>
    </w:div>
    <w:div w:id="736899800">
      <w:bodyDiv w:val="1"/>
      <w:marLeft w:val="0"/>
      <w:marRight w:val="0"/>
      <w:marTop w:val="0"/>
      <w:marBottom w:val="0"/>
      <w:divBdr>
        <w:top w:val="none" w:sz="0" w:space="0" w:color="auto"/>
        <w:left w:val="none" w:sz="0" w:space="0" w:color="auto"/>
        <w:bottom w:val="none" w:sz="0" w:space="0" w:color="auto"/>
        <w:right w:val="none" w:sz="0" w:space="0" w:color="auto"/>
      </w:divBdr>
    </w:div>
    <w:div w:id="843521168">
      <w:bodyDiv w:val="1"/>
      <w:marLeft w:val="0"/>
      <w:marRight w:val="0"/>
      <w:marTop w:val="0"/>
      <w:marBottom w:val="0"/>
      <w:divBdr>
        <w:top w:val="none" w:sz="0" w:space="0" w:color="auto"/>
        <w:left w:val="none" w:sz="0" w:space="0" w:color="auto"/>
        <w:bottom w:val="none" w:sz="0" w:space="0" w:color="auto"/>
        <w:right w:val="none" w:sz="0" w:space="0" w:color="auto"/>
      </w:divBdr>
    </w:div>
    <w:div w:id="1269585285">
      <w:bodyDiv w:val="1"/>
      <w:marLeft w:val="0"/>
      <w:marRight w:val="0"/>
      <w:marTop w:val="0"/>
      <w:marBottom w:val="0"/>
      <w:divBdr>
        <w:top w:val="none" w:sz="0" w:space="0" w:color="auto"/>
        <w:left w:val="none" w:sz="0" w:space="0" w:color="auto"/>
        <w:bottom w:val="none" w:sz="0" w:space="0" w:color="auto"/>
        <w:right w:val="none" w:sz="0" w:space="0" w:color="auto"/>
      </w:divBdr>
      <w:divsChild>
        <w:div w:id="618226592">
          <w:marLeft w:val="0"/>
          <w:marRight w:val="0"/>
          <w:marTop w:val="0"/>
          <w:marBottom w:val="0"/>
          <w:divBdr>
            <w:top w:val="none" w:sz="0" w:space="0" w:color="auto"/>
            <w:left w:val="none" w:sz="0" w:space="0" w:color="auto"/>
            <w:bottom w:val="none" w:sz="0" w:space="0" w:color="auto"/>
            <w:right w:val="none" w:sz="0" w:space="0" w:color="auto"/>
          </w:divBdr>
          <w:divsChild>
            <w:div w:id="13910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08859">
      <w:bodyDiv w:val="1"/>
      <w:marLeft w:val="0"/>
      <w:marRight w:val="0"/>
      <w:marTop w:val="0"/>
      <w:marBottom w:val="0"/>
      <w:divBdr>
        <w:top w:val="none" w:sz="0" w:space="0" w:color="auto"/>
        <w:left w:val="none" w:sz="0" w:space="0" w:color="auto"/>
        <w:bottom w:val="none" w:sz="0" w:space="0" w:color="auto"/>
        <w:right w:val="none" w:sz="0" w:space="0" w:color="auto"/>
      </w:divBdr>
    </w:div>
    <w:div w:id="203838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da.go.ke/kcdp/" TargetMode="External"/><Relationship Id="rId21" Type="http://schemas.openxmlformats.org/officeDocument/2006/relationships/hyperlink" Target="http://www.smokefreeaction.org.uk/consultation-response/responses/ASH_DH_Consultation_tobacco_control_final.pdf" TargetMode="External"/><Relationship Id="rId42" Type="http://schemas.openxmlformats.org/officeDocument/2006/relationships/hyperlink" Target="http://www.researchcghe.org/publications/university-governance-in-flux-the-impact-of-external-and-internal-pressures-on-the-distribution-of-authority-within-british-universities-a-synoptic-view/" TargetMode="External"/><Relationship Id="rId63" Type="http://schemas.openxmlformats.org/officeDocument/2006/relationships/hyperlink" Target="http://www.uniqure.com/about/about-management-team-steve-zelenkofske.php" TargetMode="External"/><Relationship Id="rId84" Type="http://schemas.openxmlformats.org/officeDocument/2006/relationships/hyperlink" Target="https://results.ref.ac.uk/(S(5mhsdcrlek45dkop3v4uw5gx))/Submissions/Impact/1642" TargetMode="External"/><Relationship Id="rId138" Type="http://schemas.openxmlformats.org/officeDocument/2006/relationships/hyperlink" Target="https://greenlizardtechnologies.com" TargetMode="External"/><Relationship Id="rId159" Type="http://schemas.openxmlformats.org/officeDocument/2006/relationships/hyperlink" Target="https://gtr.ukri.org/projects?ref=PP%2FD001048%2F1" TargetMode="External"/><Relationship Id="rId170" Type="http://schemas.openxmlformats.org/officeDocument/2006/relationships/hyperlink" Target="https://www.gla.ac.uk/researchinstitutes/healthwellbeing/research/robertsoncentreforbiostatistics/" TargetMode="External"/><Relationship Id="rId191" Type="http://schemas.openxmlformats.org/officeDocument/2006/relationships/hyperlink" Target="https://results.ref.ac.uk/(S(5mhsdcrlek45dkop3v4uw5gx))/Submissions/Environment/517" TargetMode="External"/><Relationship Id="rId205" Type="http://schemas.openxmlformats.org/officeDocument/2006/relationships/hyperlink" Target="http://www.woundmarketconsulting.com/" TargetMode="External"/><Relationship Id="rId226" Type="http://schemas.openxmlformats.org/officeDocument/2006/relationships/hyperlink" Target="https://results.ref.ac.uk/(S(5mhsdcrlek45dkop3v4uw5gx))/Submissions/Impact/70" TargetMode="External"/><Relationship Id="rId107" Type="http://schemas.openxmlformats.org/officeDocument/2006/relationships/hyperlink" Target="https://results.ref.ac.uk/(S(5mhsdcrlek45dkop3v4uw5gx))/Submissions/Impact/451" TargetMode="External"/><Relationship Id="rId11" Type="http://schemas.openxmlformats.org/officeDocument/2006/relationships/image" Target="media/image2.png"/><Relationship Id="rId32" Type="http://schemas.openxmlformats.org/officeDocument/2006/relationships/hyperlink" Target="http://www.ncub.co.uk/reports/national-survey-of-academics.html" TargetMode="External"/><Relationship Id="rId53" Type="http://schemas.openxmlformats.org/officeDocument/2006/relationships/image" Target="media/image5.jpeg"/><Relationship Id="rId74" Type="http://schemas.openxmlformats.org/officeDocument/2006/relationships/hyperlink" Target="https://results.ref.ac.uk/(S(5mhsdcrlek45dkop3v4uw5gx))/Submissions/Impact/752" TargetMode="External"/><Relationship Id="rId128" Type="http://schemas.openxmlformats.org/officeDocument/2006/relationships/hyperlink" Target="https://pure.qub.ac.uk/portal/en/clippings/dna-of-innovation-volume-1(e3fc59c2-041f-4922-8e0a-aa945ebb41c6).html" TargetMode="External"/><Relationship Id="rId149" Type="http://schemas.openxmlformats.org/officeDocument/2006/relationships/hyperlink" Target="https://spie.org/" TargetMode="External"/><Relationship Id="rId5" Type="http://schemas.openxmlformats.org/officeDocument/2006/relationships/webSettings" Target="webSettings.xml"/><Relationship Id="rId95" Type="http://schemas.openxmlformats.org/officeDocument/2006/relationships/hyperlink" Target="https://zslpublications.onlinelibrary.wiley.com/journal/14697998" TargetMode="External"/><Relationship Id="rId160" Type="http://schemas.openxmlformats.org/officeDocument/2006/relationships/hyperlink" Target="https://www.linkedin.com/in/george-ford-2aa04383/" TargetMode="External"/><Relationship Id="rId181" Type="http://schemas.openxmlformats.org/officeDocument/2006/relationships/hyperlink" Target="https://results.ref.ac.uk/(S(5mhsdcrlek45dkop3v4uw5gx))/Submissions/Impact/265" TargetMode="External"/><Relationship Id="rId216" Type="http://schemas.openxmlformats.org/officeDocument/2006/relationships/hyperlink" Target="http://gow.epsrc.ac.uk/NGBOViewGrant.aspx?GrantRef=EP/P020690/1" TargetMode="External"/><Relationship Id="rId22" Type="http://schemas.openxmlformats.org/officeDocument/2006/relationships/hyperlink" Target="https://eric.ed.gov/?id=ED299902" TargetMode="External"/><Relationship Id="rId27" Type="http://schemas.openxmlformats.org/officeDocument/2006/relationships/hyperlink" Target="http://dera.ioe.ac.uk/6140/" TargetMode="External"/><Relationship Id="rId43" Type="http://schemas.openxmlformats.org/officeDocument/2006/relationships/hyperlink" Target="https://www.gov.uk/government/uploads/system/uploads/attachment_data/file/541338/ind-16-9-ref-stern-review.pdf" TargetMode="External"/><Relationship Id="rId48" Type="http://schemas.openxmlformats.org/officeDocument/2006/relationships/hyperlink" Target="http://www.leru.org/files/publications/LERU_Position_Paper_Societal_Impact.pdf" TargetMode="External"/><Relationship Id="rId64" Type="http://schemas.openxmlformats.org/officeDocument/2006/relationships/hyperlink" Target="https://globenewswire.com/news-release/2017/06/06/1008503/0/en/uniQure-Announces-Appointment-of-Steven-L-Zelenkofske-as-Chief-Medical-Officer.html" TargetMode="External"/><Relationship Id="rId69" Type="http://schemas.openxmlformats.org/officeDocument/2006/relationships/hyperlink" Target="https://results.ref.ac.uk/(S(5mhsdcrlek45dkop3v4uw5gx))/Submissions/Environment/752" TargetMode="External"/><Relationship Id="rId113" Type="http://schemas.openxmlformats.org/officeDocument/2006/relationships/hyperlink" Target="https://oatd.org/oatd/record?record=oai%5C%3Aethos.bl.uk%5C%3A534023" TargetMode="External"/><Relationship Id="rId118" Type="http://schemas.openxmlformats.org/officeDocument/2006/relationships/hyperlink" Target="https://www.researchgate.net/profile/Edward_Kimani2" TargetMode="External"/><Relationship Id="rId134" Type="http://schemas.openxmlformats.org/officeDocument/2006/relationships/hyperlink" Target="https://uk.linkedin.com/in/john-malone-a6b2a945" TargetMode="External"/><Relationship Id="rId139" Type="http://schemas.openxmlformats.org/officeDocument/2006/relationships/hyperlink" Target="https://results.ref.ac.uk/(S(5mhsdcrlek45dkop3v4uw5gx))/Submissions/Impact/1519" TargetMode="External"/><Relationship Id="rId80" Type="http://schemas.openxmlformats.org/officeDocument/2006/relationships/hyperlink" Target="http://www.smru.st-andrews.ac.uk/Instrumentation/Overview/" TargetMode="External"/><Relationship Id="rId85" Type="http://schemas.openxmlformats.org/officeDocument/2006/relationships/hyperlink" Target="https://results.ref.ac.uk/(S(5mhsdcrlek45dkop3v4uw5gx))/Submissions/Impact/1642" TargetMode="External"/><Relationship Id="rId150" Type="http://schemas.openxmlformats.org/officeDocument/2006/relationships/hyperlink" Target="https://www.osapublishing.org/ao/home.cfm" TargetMode="External"/><Relationship Id="rId155" Type="http://schemas.openxmlformats.org/officeDocument/2006/relationships/hyperlink" Target="https://gtr.ukri.org/person/AC6D77BC-8430-4ECA-A5A6-B17027410E71/" TargetMode="External"/><Relationship Id="rId171" Type="http://schemas.openxmlformats.org/officeDocument/2006/relationships/hyperlink" Target="https://results.ref.ac.uk/(S(5mhsdcrlek45dkop3v4uw5gx))/Submissions/Impact/567" TargetMode="External"/><Relationship Id="rId176" Type="http://schemas.openxmlformats.org/officeDocument/2006/relationships/hyperlink" Target="http://www.scot-ship.ac.uk/professor-ian-ford.html" TargetMode="External"/><Relationship Id="rId192" Type="http://schemas.openxmlformats.org/officeDocument/2006/relationships/hyperlink" Target="https://www.msm.cam.ac.uk/" TargetMode="External"/><Relationship Id="rId197" Type="http://schemas.openxmlformats.org/officeDocument/2006/relationships/hyperlink" Target="https://gow.epsrc.ukri.org/NGBOViewGrant.aspx?GrantRef=GR/N14620/01" TargetMode="External"/><Relationship Id="rId206" Type="http://schemas.openxmlformats.org/officeDocument/2006/relationships/hyperlink" Target="https://www.natroxwoundcare.com/" TargetMode="External"/><Relationship Id="rId227" Type="http://schemas.openxmlformats.org/officeDocument/2006/relationships/hyperlink" Target="https://podds.group.shef.ac.uk/" TargetMode="External"/><Relationship Id="rId201" Type="http://schemas.openxmlformats.org/officeDocument/2006/relationships/hyperlink" Target="https://www.journals.elsevier.com/solid-state-ionics" TargetMode="External"/><Relationship Id="rId222" Type="http://schemas.openxmlformats.org/officeDocument/2006/relationships/hyperlink" Target="http://gow.epsrc.ac.uk/NGBOViewGrant.aspx?GrantRef=GR/S14924/01" TargetMode="External"/><Relationship Id="rId12" Type="http://schemas.openxmlformats.org/officeDocument/2006/relationships/image" Target="media/image3.png"/><Relationship Id="rId17" Type="http://schemas.openxmlformats.org/officeDocument/2006/relationships/chart" Target="charts/chart4.xml"/><Relationship Id="rId33" Type="http://schemas.openxmlformats.org/officeDocument/2006/relationships/hyperlink" Target="http://www.ncub.co.uk/impact" TargetMode="External"/><Relationship Id="rId38" Type="http://schemas.openxmlformats.org/officeDocument/2006/relationships/hyperlink" Target="http://www.rcuk.ac.uk/Publications/archive/Increasingei/" TargetMode="External"/><Relationship Id="rId59" Type="http://schemas.openxmlformats.org/officeDocument/2006/relationships/hyperlink" Target="https://results.ref.ac.uk/(S(5mhsdcrlek45dkop3v4uw5gx))/Submissions/Impact/394" TargetMode="External"/><Relationship Id="rId103" Type="http://schemas.openxmlformats.org/officeDocument/2006/relationships/hyperlink" Target="https://www.bodc.ac.uk/projects/data_management/european/provess/" TargetMode="External"/><Relationship Id="rId108" Type="http://schemas.openxmlformats.org/officeDocument/2006/relationships/hyperlink" Target="http://staff.napier.ac.uk/services/dlte/meettheteam/Pages/MarkHuxham.aspx" TargetMode="External"/><Relationship Id="rId124" Type="http://schemas.openxmlformats.org/officeDocument/2006/relationships/hyperlink" Target="https://www.qub.ac.uk/Research/" TargetMode="External"/><Relationship Id="rId129" Type="http://schemas.openxmlformats.org/officeDocument/2006/relationships/hyperlink" Target="https://results.ref.ac.uk/(S(5mhsdcrlek45dkop3v4uw5gx))/Submissions/Impact/1519" TargetMode="External"/><Relationship Id="rId54" Type="http://schemas.openxmlformats.org/officeDocument/2006/relationships/hyperlink" Target="https://www.sheffield.ac.uk/rs/ethicsandintegrity/ethicspolicy/approval-procedure" TargetMode="External"/><Relationship Id="rId70" Type="http://schemas.openxmlformats.org/officeDocument/2006/relationships/hyperlink" Target="https://www.uel.ac.uk/research/drugs-and-addictive-behaviour" TargetMode="External"/><Relationship Id="rId75" Type="http://schemas.openxmlformats.org/officeDocument/2006/relationships/hyperlink" Target="https://results.ref.ac.uk/(S(5mhsdcrlek45dkop3v4uw5gx))/Submissions/Impact/752" TargetMode="External"/><Relationship Id="rId91" Type="http://schemas.openxmlformats.org/officeDocument/2006/relationships/hyperlink" Target="https://academic.oup.com/bioscience" TargetMode="External"/><Relationship Id="rId96" Type="http://schemas.openxmlformats.org/officeDocument/2006/relationships/hyperlink" Target="https://zslpublications.onlinelibrary.wiley.com/journal/14691795" TargetMode="External"/><Relationship Id="rId140" Type="http://schemas.openxmlformats.org/officeDocument/2006/relationships/hyperlink" Target="http://profiles.murdoch.edu.au/myprofile/james-speers/" TargetMode="External"/><Relationship Id="rId145" Type="http://schemas.openxmlformats.org/officeDocument/2006/relationships/hyperlink" Target="https://results.ref.ac.uk/(S(5mhsdcrlek45dkop3v4uw5gx))/Submissions/Impact/1638" TargetMode="External"/><Relationship Id="rId161" Type="http://schemas.openxmlformats.org/officeDocument/2006/relationships/hyperlink" Target="https://www.linkedin.com/in/robbie-auld-9958a340/" TargetMode="External"/><Relationship Id="rId166" Type="http://schemas.openxmlformats.org/officeDocument/2006/relationships/hyperlink" Target="http://www.astro.caltech.edu/~moncelsi/" TargetMode="External"/><Relationship Id="rId182" Type="http://schemas.openxmlformats.org/officeDocument/2006/relationships/hyperlink" Target="https://www.resuscitationjournal.com/" TargetMode="External"/><Relationship Id="rId187" Type="http://schemas.openxmlformats.org/officeDocument/2006/relationships/hyperlink" Target="https://www.chf.org.uk/research-projects.html" TargetMode="External"/><Relationship Id="rId217" Type="http://schemas.openxmlformats.org/officeDocument/2006/relationships/hyperlink" Target="http://gow.epsrc.ac.uk/NGBOViewGrant.aspx?GrantRef=EP/P020704/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icevirtuallibrary.com/toc/jcien/current" TargetMode="External"/><Relationship Id="rId23" Type="http://schemas.openxmlformats.org/officeDocument/2006/relationships/hyperlink" Target="http://www.educationengland.org.uk/documents/jarratt1985/index.html" TargetMode="External"/><Relationship Id="rId28" Type="http://schemas.openxmlformats.org/officeDocument/2006/relationships/hyperlink" Target="http://www.rcuk.ac.uk/publications/reports/impact-of-doctoral-careers/" TargetMode="External"/><Relationship Id="rId49" Type="http://schemas.openxmlformats.org/officeDocument/2006/relationships/hyperlink" Target="mailto:ECOHEN1@SHEFFIELD.AC.UK" TargetMode="External"/><Relationship Id="rId114" Type="http://schemas.openxmlformats.org/officeDocument/2006/relationships/hyperlink" Target="https://www.researchgate.net/profile/Julian_Augley" TargetMode="External"/><Relationship Id="rId119" Type="http://schemas.openxmlformats.org/officeDocument/2006/relationships/hyperlink" Target="http://www.ocu.ac.lk/FacultyTangalle/Lecturers.aspx" TargetMode="External"/><Relationship Id="rId44" Type="http://schemas.openxmlformats.org/officeDocument/2006/relationships/hyperlink" Target="https://blogcheps.wordpress.com/2015/08/07/bridging-gaps-in-higher-education-studies-internal-structure-and-demand-conditions-mediating-university-third-mission-performance/" TargetMode="External"/><Relationship Id="rId60" Type="http://schemas.openxmlformats.org/officeDocument/2006/relationships/hyperlink" Target="https://results.ref.ac.uk/(S(5mhsdcrlek45dkop3v4uw5gx))/Submissions/Impact/394" TargetMode="External"/><Relationship Id="rId65" Type="http://schemas.openxmlformats.org/officeDocument/2006/relationships/hyperlink" Target="http://theconferenceforum.org/conferences/chief-medical-officer-summit/speakers/steven-zelenkofske-do-facc/" TargetMode="External"/><Relationship Id="rId81" Type="http://schemas.openxmlformats.org/officeDocument/2006/relationships/hyperlink" Target="https://synergy.st-andrews.ac.uk/soi/files/2017/07/SOIbrochure.pdf" TargetMode="External"/><Relationship Id="rId86" Type="http://schemas.openxmlformats.org/officeDocument/2006/relationships/hyperlink" Target="https://results.ref.ac.uk/(S(5mhsdcrlek45dkop3v4uw5gx))/Submissions/Impact/1642" TargetMode="External"/><Relationship Id="rId130" Type="http://schemas.openxmlformats.org/officeDocument/2006/relationships/hyperlink" Target="https://www.researchgate.net/scientific-contributions/39833505_Narain_D_Sharma" TargetMode="External"/><Relationship Id="rId135" Type="http://schemas.openxmlformats.org/officeDocument/2006/relationships/hyperlink" Target="https://results.ref.ac.uk/(S(5mhsdcrlek45dkop3v4uw5gx))/Submissions/Impact/1519" TargetMode="External"/><Relationship Id="rId151" Type="http://schemas.openxmlformats.org/officeDocument/2006/relationships/hyperlink" Target="http://www.irmmw-thz.org/" TargetMode="External"/><Relationship Id="rId156" Type="http://schemas.openxmlformats.org/officeDocument/2006/relationships/hyperlink" Target="https://gtr.ukri.org/projects?ref=ST%2FJ001538%2F1" TargetMode="External"/><Relationship Id="rId177" Type="http://schemas.openxmlformats.org/officeDocument/2006/relationships/hyperlink" Target="https://results.ref.ac.uk/(S(5mhsdcrlek45dkop3v4uw5gx))/Submissions/Impact/265" TargetMode="External"/><Relationship Id="rId198" Type="http://schemas.openxmlformats.org/officeDocument/2006/relationships/hyperlink" Target="https://gow.epsrc.ukri.org/NGBOViewPerson.aspx?PersonId=1352" TargetMode="External"/><Relationship Id="rId172" Type="http://schemas.openxmlformats.org/officeDocument/2006/relationships/hyperlink" Target="https://www.linkedin.com/in/mike-spence-3a26a260/" TargetMode="External"/><Relationship Id="rId193" Type="http://schemas.openxmlformats.org/officeDocument/2006/relationships/hyperlink" Target="https://results.ref.ac.uk/(S(5mhsdcrlek45dkop3v4uw5gx))/Submissions/Impact/517" TargetMode="External"/><Relationship Id="rId202" Type="http://schemas.openxmlformats.org/officeDocument/2006/relationships/hyperlink" Target="http://sinc.co.uk/article/innovate-uk-smart-awards-what-are-they-and-how-do-i-apply" TargetMode="External"/><Relationship Id="rId207" Type="http://schemas.openxmlformats.org/officeDocument/2006/relationships/hyperlink" Target="https://results.ref.ac.uk/(S(5mhsdcrlek45dkop3v4uw5gx))/Submissions/Impact/70" TargetMode="External"/><Relationship Id="rId223" Type="http://schemas.openxmlformats.org/officeDocument/2006/relationships/hyperlink" Target="http://gow.epsrc.ac.uk/NGBOViewGrant.aspx?GrantRef=GR/N38176/01" TargetMode="External"/><Relationship Id="rId228" Type="http://schemas.openxmlformats.org/officeDocument/2006/relationships/image" Target="media/image6.emf"/><Relationship Id="rId13" Type="http://schemas.openxmlformats.org/officeDocument/2006/relationships/image" Target="media/image4.png"/><Relationship Id="rId18" Type="http://schemas.openxmlformats.org/officeDocument/2006/relationships/chart" Target="charts/chart5.xml"/><Relationship Id="rId39" Type="http://schemas.openxmlformats.org/officeDocument/2006/relationships/hyperlink" Target="https://royalsociety.org/~/media/Royal_Society_Content/policy/publications/2010/4294970126.pdf" TargetMode="External"/><Relationship Id="rId109" Type="http://schemas.openxmlformats.org/officeDocument/2006/relationships/hyperlink" Target="http://gotw.nerc.ac.uk/list_med_pi.asp?sb=sd&amp;AZ.x=9&amp;AZ.y=6&amp;AZ=Ascending+%28A-Z%29&amp;pi=-245" TargetMode="External"/><Relationship Id="rId34" Type="http://schemas.openxmlformats.org/officeDocument/2006/relationships/hyperlink" Target="http://www.kcl.ac.uk/sspp/policy-institute/publications/Analysis-of-REF-impact.pdf" TargetMode="External"/><Relationship Id="rId50" Type="http://schemas.openxmlformats.org/officeDocument/2006/relationships/hyperlink" Target="mailto:ECOHEN1@SHEFFIELD.AC.UK" TargetMode="External"/><Relationship Id="rId55" Type="http://schemas.openxmlformats.org/officeDocument/2006/relationships/hyperlink" Target="https://results.ref.ac.uk/(S(5mhsdcrlek45dkop3v4uw5gx))/Submissions/Impact/394" TargetMode="External"/><Relationship Id="rId76" Type="http://schemas.openxmlformats.org/officeDocument/2006/relationships/hyperlink" Target="https://results.ref.ac.uk/(S(5mhsdcrlek45dkop3v4uw5gx))/Submissions/Impact/1642" TargetMode="External"/><Relationship Id="rId97" Type="http://schemas.openxmlformats.org/officeDocument/2006/relationships/hyperlink" Target="https://results.ref.ac.uk/(S(5mhsdcrlek45dkop3v4uw5gx))/Submissions/Impact/451" TargetMode="External"/><Relationship Id="rId104" Type="http://schemas.openxmlformats.org/officeDocument/2006/relationships/hyperlink" Target="http://cordis.europa.eu/project/rcn/52313" TargetMode="External"/><Relationship Id="rId120" Type="http://schemas.openxmlformats.org/officeDocument/2006/relationships/hyperlink" Target="http://www.aces-org.co.uk/about-aces/" TargetMode="External"/><Relationship Id="rId125" Type="http://schemas.openxmlformats.org/officeDocument/2006/relationships/hyperlink" Target="https://www.qub.ac.uk/Business/" TargetMode="External"/><Relationship Id="rId141" Type="http://schemas.openxmlformats.org/officeDocument/2006/relationships/hyperlink" Target="https://results.ref.ac.uk/(S(5mhsdcrlek45dkop3v4uw5gx))/Submissions/Impact/1638" TargetMode="External"/><Relationship Id="rId146" Type="http://schemas.openxmlformats.org/officeDocument/2006/relationships/hyperlink" Target="https://results.ref.ac.uk/(S(5mhsdcrlek45dkop3v4uw5gx))/Submissions/Impact/1638" TargetMode="External"/><Relationship Id="rId167" Type="http://schemas.openxmlformats.org/officeDocument/2006/relationships/hyperlink" Target="https://results.ref.ac.uk/(S(5mhsdcrlek45dkop3v4uw5gx))/Submissions/Impact/567" TargetMode="External"/><Relationship Id="rId188" Type="http://schemas.openxmlformats.org/officeDocument/2006/relationships/hyperlink" Target="https://docs.google.com/document/d/1f5TyWbq7DmYm9Tr_EqGmfmcK_END12fhmht4b66tpR8/preview" TargetMode="External"/><Relationship Id="rId7" Type="http://schemas.openxmlformats.org/officeDocument/2006/relationships/endnotes" Target="endnotes.xml"/><Relationship Id="rId71" Type="http://schemas.openxmlformats.org/officeDocument/2006/relationships/hyperlink" Target="https://sumresearchuel.wordpress.com/" TargetMode="External"/><Relationship Id="rId92" Type="http://schemas.openxmlformats.org/officeDocument/2006/relationships/hyperlink" Target="https://onlinelibrary.wiley.com/journal/15410420" TargetMode="External"/><Relationship Id="rId162" Type="http://schemas.openxmlformats.org/officeDocument/2006/relationships/hyperlink" Target="https://www.linkedin.com/in/naylon/" TargetMode="External"/><Relationship Id="rId183" Type="http://schemas.openxmlformats.org/officeDocument/2006/relationships/hyperlink" Target="http://vitalpac.com/about-us/" TargetMode="External"/><Relationship Id="rId213" Type="http://schemas.openxmlformats.org/officeDocument/2006/relationships/hyperlink" Target="https://www.journals.elsevier.com/advanced-engineering-informatics" TargetMode="External"/><Relationship Id="rId218" Type="http://schemas.openxmlformats.org/officeDocument/2006/relationships/hyperlink" Target="http://gow.epsrc.ac.uk/NGBOViewGrant.aspx?GrantRef=EP/G061130/1" TargetMode="External"/><Relationship Id="rId2" Type="http://schemas.openxmlformats.org/officeDocument/2006/relationships/numbering" Target="numbering.xml"/><Relationship Id="rId29" Type="http://schemas.openxmlformats.org/officeDocument/2006/relationships/hyperlink" Target="https://www.utwente.nl/bms/cheps/phdportal/CHEPS%20Alumni%20and%20Their%20Theses/thesisgornitzka.pdf" TargetMode="External"/><Relationship Id="rId24" Type="http://schemas.openxmlformats.org/officeDocument/2006/relationships/hyperlink" Target="https://www.gov.uk/government/publications/global-challenges-research-fund/global-challenges-research-fund-gcrf-how-the-fund-works" TargetMode="External"/><Relationship Id="rId40" Type="http://schemas.openxmlformats.org/officeDocument/2006/relationships/hyperlink" Target="http://www.researchcghe.org/publications/performance-assessment-in-science-and-academia-effects-of-the-raeref-on-academic-life/" TargetMode="External"/><Relationship Id="rId45" Type="http://schemas.openxmlformats.org/officeDocument/2006/relationships/hyperlink" Target="https://www.timeshighereducation.com/sites/default/files/Attachments/2014/12/17/g/o/l/sub-14-01.pdf" TargetMode="External"/><Relationship Id="rId66" Type="http://schemas.openxmlformats.org/officeDocument/2006/relationships/hyperlink" Target="https://www.linkedin.com/in/susan-watkins-34613323/" TargetMode="External"/><Relationship Id="rId87" Type="http://schemas.openxmlformats.org/officeDocument/2006/relationships/hyperlink" Target="https://www.comnap.aq/Members/SPR/SitePages/Home.aspx" TargetMode="External"/><Relationship Id="rId110" Type="http://schemas.openxmlformats.org/officeDocument/2006/relationships/hyperlink" Target="http://www.planvivo.org/project-network/mikoko-pamoja-kenya/" TargetMode="External"/><Relationship Id="rId115" Type="http://schemas.openxmlformats.org/officeDocument/2006/relationships/hyperlink" Target="http://www.polyomics.gla.ac.uk/biog-julesaugley.html" TargetMode="External"/><Relationship Id="rId131" Type="http://schemas.openxmlformats.org/officeDocument/2006/relationships/hyperlink" Target="https://www.almacgroup.com/subject-matter-excellence-tom-moody/" TargetMode="External"/><Relationship Id="rId136" Type="http://schemas.openxmlformats.org/officeDocument/2006/relationships/hyperlink" Target="https://www.almacgroup.com/news/almac-group-drives-biocatalysisleadership-7m-investment." TargetMode="External"/><Relationship Id="rId157" Type="http://schemas.openxmlformats.org/officeDocument/2006/relationships/hyperlink" Target="https://gtr.ukri.org/person/E687B953-614E-4FAA-BF68-6692A1038016" TargetMode="External"/><Relationship Id="rId178" Type="http://schemas.openxmlformats.org/officeDocument/2006/relationships/hyperlink" Target="https://results.ref.ac.uk/(S(5mhsdcrlek45dkop3v4uw5gx))/Submissions/Environment/265" TargetMode="External"/><Relationship Id="rId61" Type="http://schemas.openxmlformats.org/officeDocument/2006/relationships/hyperlink" Target="https://results.ref.ac.uk/(S(5mhsdcrlek45dkop3v4uw5gx))/Submissions/Impact/394" TargetMode="External"/><Relationship Id="rId82" Type="http://schemas.openxmlformats.org/officeDocument/2006/relationships/hyperlink" Target="https://soi.st-andrews.ac.uk/about/" TargetMode="External"/><Relationship Id="rId152" Type="http://schemas.openxmlformats.org/officeDocument/2006/relationships/hyperlink" Target="https://academic.oup.com/mnras" TargetMode="External"/><Relationship Id="rId173" Type="http://schemas.openxmlformats.org/officeDocument/2006/relationships/hyperlink" Target="https://www.linkedin.com/in/waynerjones/" TargetMode="External"/><Relationship Id="rId194" Type="http://schemas.openxmlformats.org/officeDocument/2006/relationships/hyperlink" Target="https://iopscience.iop.org/journal/1468-6996" TargetMode="External"/><Relationship Id="rId199" Type="http://schemas.openxmlformats.org/officeDocument/2006/relationships/hyperlink" Target="https://www.qinetiq.com/about-us/our-history" TargetMode="External"/><Relationship Id="rId203" Type="http://schemas.openxmlformats.org/officeDocument/2006/relationships/hyperlink" Target="http://www.ionscience.com/" TargetMode="External"/><Relationship Id="rId208" Type="http://schemas.openxmlformats.org/officeDocument/2006/relationships/hyperlink" Target="https://results.ref.ac.uk/(S(5mhsdcrlek45dkop3v4uw5gx))/Submissions/Environment/70" TargetMode="External"/><Relationship Id="rId229" Type="http://schemas.openxmlformats.org/officeDocument/2006/relationships/footer" Target="footer1.xml"/><Relationship Id="rId19" Type="http://schemas.openxmlformats.org/officeDocument/2006/relationships/hyperlink" Target="https://www.jbs.cam.ac.uk/fileadmin/user_upload/centre-for-business-research/downloads/special-reports/specialreport-knowledgeexchangeacademics.pdf" TargetMode="External"/><Relationship Id="rId224" Type="http://schemas.openxmlformats.org/officeDocument/2006/relationships/hyperlink" Target="http://www.exeter.ac.uk/news/featurednews/title_574555_en.html" TargetMode="External"/><Relationship Id="rId14" Type="http://schemas.openxmlformats.org/officeDocument/2006/relationships/chart" Target="charts/chart1.xml"/><Relationship Id="rId30" Type="http://schemas.openxmlformats.org/officeDocument/2006/relationships/hyperlink" Target="http://www.rhgraham.org/RHG/Recent_publications_files/MIT%3ASkoltech%20entrepreneurial%20ecosystems%20report%202014%20_1.pdf" TargetMode="External"/><Relationship Id="rId35" Type="http://schemas.openxmlformats.org/officeDocument/2006/relationships/hyperlink" Target="http://ahero.uwc.ac.za/index.php?module=cshe&amp;action=downloadfile&amp;fileid=18409092513365623383047" TargetMode="External"/><Relationship Id="rId56" Type="http://schemas.openxmlformats.org/officeDocument/2006/relationships/hyperlink" Target="https://results.ref.ac.uk/(S(5mhsdcrlek45dkop3v4uw5gx))/Submissions/Environment/394" TargetMode="External"/><Relationship Id="rId77" Type="http://schemas.openxmlformats.org/officeDocument/2006/relationships/hyperlink" Target="https://results.ref.ac.uk/(S(5mhsdcrlek45dkop3v4uw5gx))/Submissions/Environment/1642" TargetMode="External"/><Relationship Id="rId100" Type="http://schemas.openxmlformats.org/officeDocument/2006/relationships/hyperlink" Target="https://www.napier.ac.uk/research-and-innovation/research-search/centres/animal-and-plant-science-research-group" TargetMode="External"/><Relationship Id="rId105" Type="http://schemas.openxmlformats.org/officeDocument/2006/relationships/hyperlink" Target="http://www.npolar.no/en/projects/details?pid=851a0d2d-0f0f-5ab9-8675-4fe79340ab17" TargetMode="External"/><Relationship Id="rId126" Type="http://schemas.openxmlformats.org/officeDocument/2006/relationships/hyperlink" Target="https://www.qub.ac.uk/schools/SchoolofChemistryandChemicalEngineering/" TargetMode="External"/><Relationship Id="rId147" Type="http://schemas.openxmlformats.org/officeDocument/2006/relationships/hyperlink" Target="http://www.terahertz.co.uk/qmc-instruments-ltd" TargetMode="External"/><Relationship Id="rId168" Type="http://schemas.openxmlformats.org/officeDocument/2006/relationships/hyperlink" Target="https://results.ref.ac.uk/(S(5mhsdcrlek45dkop3v4uw5gx))/Submissions/Environment/567" TargetMode="External"/><Relationship Id="rId8" Type="http://schemas.openxmlformats.org/officeDocument/2006/relationships/image" Target="media/image1.png"/><Relationship Id="rId51" Type="http://schemas.openxmlformats.org/officeDocument/2006/relationships/hyperlink" Target="mailto:V.PAPATSIBA@SHEFFIELD.AC.UK" TargetMode="External"/><Relationship Id="rId72" Type="http://schemas.openxmlformats.org/officeDocument/2006/relationships/hyperlink" Target="https://www.drugabuse.gov/about-nida/organization/divisions/division-neuroscience-behavior-dnb" TargetMode="External"/><Relationship Id="rId93" Type="http://schemas.openxmlformats.org/officeDocument/2006/relationships/hyperlink" Target="https://esajournals.onlinelibrary.wiley.com/journal/19399170" TargetMode="External"/><Relationship Id="rId98" Type="http://schemas.openxmlformats.org/officeDocument/2006/relationships/hyperlink" Target="https://results.ref.ac.uk/(S(5mhsdcrlek45dkop3v4uw5gx))/Submissions/Environment/451" TargetMode="External"/><Relationship Id="rId121" Type="http://schemas.openxmlformats.org/officeDocument/2006/relationships/hyperlink" Target="https://www.espa.ac.uk/" TargetMode="External"/><Relationship Id="rId142" Type="http://schemas.openxmlformats.org/officeDocument/2006/relationships/hyperlink" Target="https://results.ref.ac.uk/(S(5mhsdcrlek45dkop3v4uw5gx))/Submissions/Environment/1638" TargetMode="External"/><Relationship Id="rId163" Type="http://schemas.openxmlformats.org/officeDocument/2006/relationships/hyperlink" Target="https://www.linkedin.com/in/tim-waskett-b55284102/" TargetMode="External"/><Relationship Id="rId184" Type="http://schemas.openxmlformats.org/officeDocument/2006/relationships/hyperlink" Target="https://www.porthosp.nhs.uk/PHTNEWS/researcherswinfuntohelp.htm" TargetMode="External"/><Relationship Id="rId189" Type="http://schemas.openxmlformats.org/officeDocument/2006/relationships/hyperlink" Target="https://www.emerald.com/insight/publication/issn/0143-991x" TargetMode="External"/><Relationship Id="rId219" Type="http://schemas.openxmlformats.org/officeDocument/2006/relationships/hyperlink" Target="http://gow.epsrc.ac.uk/NGBOViewGrant.aspx?GrantRef=EP/E018734/1" TargetMode="External"/><Relationship Id="rId3" Type="http://schemas.openxmlformats.org/officeDocument/2006/relationships/styles" Target="styles.xml"/><Relationship Id="rId214" Type="http://schemas.openxmlformats.org/officeDocument/2006/relationships/hyperlink" Target="https://www.journals.elsevier.com/journal-of-sound-and-vibration" TargetMode="External"/><Relationship Id="rId230" Type="http://schemas.openxmlformats.org/officeDocument/2006/relationships/fontTable" Target="fontTable.xml"/><Relationship Id="rId25" Type="http://schemas.openxmlformats.org/officeDocument/2006/relationships/hyperlink" Target="https://www.gov.uk/government/publications/uk-research-council-system-overview-of-economic-impact" TargetMode="External"/><Relationship Id="rId46" Type="http://schemas.openxmlformats.org/officeDocument/2006/relationships/hyperlink" Target="https://www.ucl.ac.uk/grand-challenges/the-grand-challenges-approach" TargetMode="External"/><Relationship Id="rId67" Type="http://schemas.openxmlformats.org/officeDocument/2006/relationships/hyperlink" Target="https://clinicaltrials.gov/ct2/show/NCT00412984" TargetMode="External"/><Relationship Id="rId116" Type="http://schemas.openxmlformats.org/officeDocument/2006/relationships/hyperlink" Target="http://www.kmfri.co.ke/index.php/divisions/marine-and-coastal-systems" TargetMode="External"/><Relationship Id="rId137" Type="http://schemas.openxmlformats.org/officeDocument/2006/relationships/hyperlink" Target="https://www.qub.ac.uk/schools/SchoolofChemistryandChemicalEngineering/Research/QUILL/" TargetMode="External"/><Relationship Id="rId158" Type="http://schemas.openxmlformats.org/officeDocument/2006/relationships/hyperlink" Target="https://gtr.ukri.org/person/2A5E4786-2B17-44FA-ABC8-9F0223F188DA" TargetMode="External"/><Relationship Id="rId20" Type="http://schemas.openxmlformats.org/officeDocument/2006/relationships/hyperlink" Target="http://www.leru.org/files/publications/LERU_Position_Paper_Societal_Impact.pdf" TargetMode="External"/><Relationship Id="rId41" Type="http://schemas.openxmlformats.org/officeDocument/2006/relationships/hyperlink" Target="http://www.publications.parliament.uk/pa/cm201213/cmselect/cmsctech/348/34802.htm" TargetMode="External"/><Relationship Id="rId62" Type="http://schemas.openxmlformats.org/officeDocument/2006/relationships/hyperlink" Target="https://www.linkedin.com/in/marc-henis-a171b716/" TargetMode="External"/><Relationship Id="rId83" Type="http://schemas.openxmlformats.org/officeDocument/2006/relationships/hyperlink" Target="https://results.ref.ac.uk/(S(5mhsdcrlek45dkop3v4uw5gx))/Submissions/Impact/1642" TargetMode="External"/><Relationship Id="rId88" Type="http://schemas.openxmlformats.org/officeDocument/2006/relationships/hyperlink" Target="https://www.journals.elsevier.com/biological-conservation" TargetMode="External"/><Relationship Id="rId111" Type="http://schemas.openxmlformats.org/officeDocument/2006/relationships/hyperlink" Target="https://www.researchgate.net/profile/Mp_Kumara" TargetMode="External"/><Relationship Id="rId132" Type="http://schemas.openxmlformats.org/officeDocument/2006/relationships/hyperlink" Target="https://uk.linkedin.com/in/acaru-carmen-31881249" TargetMode="External"/><Relationship Id="rId153" Type="http://schemas.openxmlformats.org/officeDocument/2006/relationships/hyperlink" Target="https://gtr.ukri.org/projects?ref=ST%2FH000453%2F1" TargetMode="External"/><Relationship Id="rId174" Type="http://schemas.openxmlformats.org/officeDocument/2006/relationships/hyperlink" Target="https://www.linkedin.com/in/dr-marco-giannitrapani-a9357aa/" TargetMode="External"/><Relationship Id="rId179" Type="http://schemas.openxmlformats.org/officeDocument/2006/relationships/hyperlink" Target="http://www.chmi.port.ac.uk/" TargetMode="External"/><Relationship Id="rId195" Type="http://schemas.openxmlformats.org/officeDocument/2006/relationships/hyperlink" Target="https://www.jstage.jst.go.jp/browse/isijinternational" TargetMode="External"/><Relationship Id="rId209" Type="http://schemas.openxmlformats.org/officeDocument/2006/relationships/hyperlink" Target="https://results.ref.ac.uk/(S(5mhsdcrlek45dkop3v4uw5gx))/Submissions/Impact/70" TargetMode="External"/><Relationship Id="rId190" Type="http://schemas.openxmlformats.org/officeDocument/2006/relationships/hyperlink" Target="https://results.ref.ac.uk/(S(5mhsdcrlek45dkop3v4uw5gx))/Submissions/Impact/517" TargetMode="External"/><Relationship Id="rId204" Type="http://schemas.openxmlformats.org/officeDocument/2006/relationships/hyperlink" Target="https://www.welding-alloys.com/" TargetMode="External"/><Relationship Id="rId220" Type="http://schemas.openxmlformats.org/officeDocument/2006/relationships/hyperlink" Target="http://gow.epsrc.ac.uk/NGBOViewGrant.aspx?GrantRef=EP/P020690/1" TargetMode="External"/><Relationship Id="rId225" Type="http://schemas.openxmlformats.org/officeDocument/2006/relationships/hyperlink" Target="http://gow.epsrc.ac.uk/NGBOViewGrant.aspx?GrantRef=GR/T03000/01" TargetMode="External"/><Relationship Id="rId15" Type="http://schemas.openxmlformats.org/officeDocument/2006/relationships/chart" Target="charts/chart2.xml"/><Relationship Id="rId36" Type="http://schemas.openxmlformats.org/officeDocument/2006/relationships/hyperlink" Target="http://www.educationengland.org.uk/documents/dearing1997/dearing1997.html" TargetMode="External"/><Relationship Id="rId57" Type="http://schemas.openxmlformats.org/officeDocument/2006/relationships/hyperlink" Target="https://results.ref.ac.uk/(S(5mhsdcrlek45dkop3v4uw5gx))/Submissions/Impact/394" TargetMode="External"/><Relationship Id="rId106" Type="http://schemas.openxmlformats.org/officeDocument/2006/relationships/hyperlink" Target="https://www.sams.ac.uk/people/researchers/tett-professor-paul/" TargetMode="External"/><Relationship Id="rId127" Type="http://schemas.openxmlformats.org/officeDocument/2006/relationships/hyperlink" Target="http://www.qub.ac.uk/home/media/Media,680809,en.pdf" TargetMode="External"/><Relationship Id="rId10" Type="http://schemas.openxmlformats.org/officeDocument/2006/relationships/hyperlink" Target="https://impact.ref.ac.uk/casestudies/t" TargetMode="External"/><Relationship Id="rId31" Type="http://schemas.openxmlformats.org/officeDocument/2006/relationships/hyperlink" Target="http://dera.ioe.ac.uk/9288/" TargetMode="External"/><Relationship Id="rId52" Type="http://schemas.openxmlformats.org/officeDocument/2006/relationships/hyperlink" Target="mailto:E.A.WOOD@SHEFFIELD.AC.UK" TargetMode="External"/><Relationship Id="rId73" Type="http://schemas.openxmlformats.org/officeDocument/2006/relationships/hyperlink" Target="https://us.sagepub.com/en-us/nam/journal/journal-psychopharmacology" TargetMode="External"/><Relationship Id="rId78" Type="http://schemas.openxmlformats.org/officeDocument/2006/relationships/hyperlink" Target="http://www.smru.st-andrews.ac.uk/" TargetMode="External"/><Relationship Id="rId94" Type="http://schemas.openxmlformats.org/officeDocument/2006/relationships/hyperlink" Target="http://www.ecography.org/" TargetMode="External"/><Relationship Id="rId99" Type="http://schemas.openxmlformats.org/officeDocument/2006/relationships/hyperlink" Target="https://www.napier.ac.uk/about-us/our-schools/school-of-applied-sciences" TargetMode="External"/><Relationship Id="rId101" Type="http://schemas.openxmlformats.org/officeDocument/2006/relationships/hyperlink" Target="https://www.napier.ac.uk/research-and-innovation/research-search/centres/animal-and-plant-science-research-group" TargetMode="External"/><Relationship Id="rId122" Type="http://schemas.openxmlformats.org/officeDocument/2006/relationships/hyperlink" Target="https://results.ref.ac.uk/(S(5mhsdcrlek45dkop3v4uw5gx))/Submissions/Impact/1519" TargetMode="External"/><Relationship Id="rId143" Type="http://schemas.openxmlformats.org/officeDocument/2006/relationships/hyperlink" Target="https://www.cardiff.ac.uk/physics-astronomy/" TargetMode="External"/><Relationship Id="rId148" Type="http://schemas.openxmlformats.org/officeDocument/2006/relationships/hyperlink" Target="https://www.aanda.org/" TargetMode="External"/><Relationship Id="rId164" Type="http://schemas.openxmlformats.org/officeDocument/2006/relationships/hyperlink" Target="https://www.cardiff.ac.uk/people/view/913900-dunscombe-christopher" TargetMode="External"/><Relationship Id="rId169" Type="http://schemas.openxmlformats.org/officeDocument/2006/relationships/hyperlink" Target="https://www.gla.ac.uk/schools/mathematicsstatistics/" TargetMode="External"/><Relationship Id="rId185" Type="http://schemas.openxmlformats.org/officeDocument/2006/relationships/hyperlink" Target="http://gow.epsrc.ac.uk/NGBOViewGrant.aspx?GrantRef=EP/F058845/1" TargetMode="External"/><Relationship Id="rId4" Type="http://schemas.openxmlformats.org/officeDocument/2006/relationships/settings" Target="settings.xml"/><Relationship Id="rId9" Type="http://schemas.openxmlformats.org/officeDocument/2006/relationships/hyperlink" Target="https://impact.ref.ac.uk/casestudies/" TargetMode="External"/><Relationship Id="rId180" Type="http://schemas.openxmlformats.org/officeDocument/2006/relationships/hyperlink" Target="http://www2.port.ac.uk/school-of-engineering/research/intelligent-and-networked-systems-research-group/" TargetMode="External"/><Relationship Id="rId210" Type="http://schemas.openxmlformats.org/officeDocument/2006/relationships/hyperlink" Target="http://fullscaledynamics.com/" TargetMode="External"/><Relationship Id="rId215" Type="http://schemas.openxmlformats.org/officeDocument/2006/relationships/hyperlink" Target="https://www.journals.elsevier.com/mechanical-systems-and-signal-processing" TargetMode="External"/><Relationship Id="rId26" Type="http://schemas.openxmlformats.org/officeDocument/2006/relationships/hyperlink" Target="https://www.gov.uk/government/publications/our-plan-for-growth-science-and-innovation-evidence" TargetMode="External"/><Relationship Id="rId231" Type="http://schemas.openxmlformats.org/officeDocument/2006/relationships/theme" Target="theme/theme1.xml"/><Relationship Id="rId47" Type="http://schemas.openxmlformats.org/officeDocument/2006/relationships/hyperlink" Target="http://impact.ref.ac.uk/CaseStudies/CaseStudy.aspx?Id=41149" TargetMode="External"/><Relationship Id="rId68" Type="http://schemas.openxmlformats.org/officeDocument/2006/relationships/hyperlink" Target="https://results.ref.ac.uk/(S(5mhsdcrlek45dkop3v4uw5gx))/Submissions/Impact/752" TargetMode="External"/><Relationship Id="rId89" Type="http://schemas.openxmlformats.org/officeDocument/2006/relationships/hyperlink" Target="https://academic.oup.com/icb" TargetMode="External"/><Relationship Id="rId112" Type="http://schemas.openxmlformats.org/officeDocument/2006/relationships/hyperlink" Target="http://mppkumara.blogspot.co.uk/" TargetMode="External"/><Relationship Id="rId133" Type="http://schemas.openxmlformats.org/officeDocument/2006/relationships/hyperlink" Target="https://www.linkedin.com/in/tayeb-belhocine-b210b440?originalSubdomain=uk" TargetMode="External"/><Relationship Id="rId154" Type="http://schemas.openxmlformats.org/officeDocument/2006/relationships/hyperlink" Target="http://herschel.cf.ac.uk/" TargetMode="External"/><Relationship Id="rId175" Type="http://schemas.openxmlformats.org/officeDocument/2006/relationships/hyperlink" Target="https://results.ref.ac.uk/(S(5mhsdcrlek45dkop3v4uw5gx))/Submissions/Impact/567" TargetMode="External"/><Relationship Id="rId196" Type="http://schemas.openxmlformats.org/officeDocument/2006/relationships/hyperlink" Target="https://www.tandfonline.com/loi/ymst20" TargetMode="External"/><Relationship Id="rId200" Type="http://schemas.openxmlformats.org/officeDocument/2006/relationships/hyperlink" Target="https://results.ref.ac.uk/(S(5mhsdcrlek45dkop3v4uw5gx))/Submissions/Impact/517" TargetMode="External"/><Relationship Id="rId16" Type="http://schemas.openxmlformats.org/officeDocument/2006/relationships/chart" Target="charts/chart3.xml"/><Relationship Id="rId221" Type="http://schemas.openxmlformats.org/officeDocument/2006/relationships/hyperlink" Target="http://gow.epsrc.ac.uk/NGBOViewGrant.aspx?GrantRef=GR/L68742/01" TargetMode="External"/><Relationship Id="rId37" Type="http://schemas.openxmlformats.org/officeDocument/2006/relationships/hyperlink" Target="https://www.gov.uk/government/publications/realising-our-potential-a-strategy-for-science-engineering-and-technology" TargetMode="External"/><Relationship Id="rId58" Type="http://schemas.openxmlformats.org/officeDocument/2006/relationships/hyperlink" Target="https://results.ref.ac.uk/(S(5mhsdcrlek45dkop3v4uw5gx))/Submissions/Impact/394" TargetMode="External"/><Relationship Id="rId79" Type="http://schemas.openxmlformats.org/officeDocument/2006/relationships/hyperlink" Target="https://risweb.st-andrews.ac.uk/portal/en/organisations/smru-consulting(01e7e9bd-c04f-4e6d-bd8d-7dd5023f404e).html" TargetMode="External"/><Relationship Id="rId102" Type="http://schemas.openxmlformats.org/officeDocument/2006/relationships/hyperlink" Target="https://results.ref.ac.uk/(S(5mhsdcrlek45dkop3v4uw5gx))/Submissions/Impact/451" TargetMode="External"/><Relationship Id="rId123" Type="http://schemas.openxmlformats.org/officeDocument/2006/relationships/hyperlink" Target="https://results.ref.ac.uk/(S(5mhsdcrlek45dkop3v4uw5gx))/Submissions/Environment/1519" TargetMode="External"/><Relationship Id="rId144" Type="http://schemas.openxmlformats.org/officeDocument/2006/relationships/hyperlink" Target="https://www.cardiff.ac.uk/research/impact-and-innovation/research-impact/seeing-the-science-in-space" TargetMode="External"/><Relationship Id="rId90" Type="http://schemas.openxmlformats.org/officeDocument/2006/relationships/hyperlink" Target="https://besjournals.onlinelibrary.wiley.com/journal/13652664" TargetMode="External"/><Relationship Id="rId165" Type="http://schemas.openxmlformats.org/officeDocument/2006/relationships/hyperlink" Target="http://scholar.ulethbridge.ca/lspencer/home" TargetMode="External"/><Relationship Id="rId186" Type="http://schemas.openxmlformats.org/officeDocument/2006/relationships/hyperlink" Target="https://results.ref.ac.uk/(S(5mhsdcrlek45dkop3v4uw5gx))/Submissions/Impact/265" TargetMode="External"/><Relationship Id="rId211" Type="http://schemas.openxmlformats.org/officeDocument/2006/relationships/hyperlink" Target="https://emps.exeter.ac.uk/engineering/research/ves/abou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hromoscope.net/" TargetMode="External"/><Relationship Id="rId2" Type="http://schemas.openxmlformats.org/officeDocument/2006/relationships/hyperlink" Target="https://www.qub.ac.uk/schools/SchoolofChemistryandChemicalEngineering/Research/QUILL/" TargetMode="External"/><Relationship Id="rId1" Type="http://schemas.openxmlformats.org/officeDocument/2006/relationships/hyperlink" Target="https://www.nhs.uk/conditions/ssri-antidepressants/side-effects/" TargetMode="External"/><Relationship Id="rId5" Type="http://schemas.openxmlformats.org/officeDocument/2006/relationships/hyperlink" Target="https://www.theguardian.com/commentisfree/2019/sep/14/how-mit-was-complicit-in-allowing-jeffrey-epstein-to-launder-his-reputation" TargetMode="External"/><Relationship Id="rId4" Type="http://schemas.openxmlformats.org/officeDocument/2006/relationships/hyperlink" Target="http://herschel.cf.ac.u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Phase 1</c:v>
                </c:pt>
              </c:strCache>
            </c:strRef>
          </c:tx>
          <c:spPr>
            <a:pattFill prst="ltUpDiag">
              <a:fgClr>
                <a:schemeClr val="tx1"/>
              </a:fgClr>
              <a:bgClr>
                <a:schemeClr val="bg1"/>
              </a:bgClr>
            </a:pattFill>
            <a:ln>
              <a:solidFill>
                <a:schemeClr val="tx1"/>
              </a:solidFill>
            </a:ln>
            <a:effectLst/>
          </c:spPr>
          <c:invertIfNegative val="0"/>
          <c:cat>
            <c:strRef>
              <c:f>Sheet1!$A$2:$A$3</c:f>
              <c:strCache>
                <c:ptCount val="2"/>
                <c:pt idx="0">
                  <c:v>Frequency of 'collaboration'</c:v>
                </c:pt>
                <c:pt idx="1">
                  <c:v>Frequency of 'use-focused outputs'</c:v>
                </c:pt>
              </c:strCache>
            </c:strRef>
          </c:cat>
          <c:val>
            <c:numRef>
              <c:f>Sheet1!$B$2:$B$3</c:f>
              <c:numCache>
                <c:formatCode>General</c:formatCode>
                <c:ptCount val="2"/>
                <c:pt idx="0">
                  <c:v>8</c:v>
                </c:pt>
                <c:pt idx="1">
                  <c:v>6</c:v>
                </c:pt>
              </c:numCache>
            </c:numRef>
          </c:val>
          <c:extLst>
            <c:ext xmlns:c16="http://schemas.microsoft.com/office/drawing/2014/chart" uri="{C3380CC4-5D6E-409C-BE32-E72D297353CC}">
              <c16:uniqueId val="{00000000-75AE-4064-8AB2-169E0FA5C150}"/>
            </c:ext>
          </c:extLst>
        </c:ser>
        <c:ser>
          <c:idx val="1"/>
          <c:order val="1"/>
          <c:tx>
            <c:strRef>
              <c:f>Sheet1!$C$1</c:f>
              <c:strCache>
                <c:ptCount val="1"/>
                <c:pt idx="0">
                  <c:v>Phase 2</c:v>
                </c:pt>
              </c:strCache>
            </c:strRef>
          </c:tx>
          <c:spPr>
            <a:pattFill prst="pct50">
              <a:fgClr>
                <a:schemeClr val="tx1"/>
              </a:fgClr>
              <a:bgClr>
                <a:schemeClr val="bg1"/>
              </a:bgClr>
            </a:pattFill>
            <a:ln>
              <a:solidFill>
                <a:schemeClr val="tx1"/>
              </a:solidFill>
            </a:ln>
            <a:effectLst/>
          </c:spPr>
          <c:invertIfNegative val="0"/>
          <c:cat>
            <c:strRef>
              <c:f>Sheet1!$A$2:$A$3</c:f>
              <c:strCache>
                <c:ptCount val="2"/>
                <c:pt idx="0">
                  <c:v>Frequency of 'collaboration'</c:v>
                </c:pt>
                <c:pt idx="1">
                  <c:v>Frequency of 'use-focused outputs'</c:v>
                </c:pt>
              </c:strCache>
            </c:strRef>
          </c:cat>
          <c:val>
            <c:numRef>
              <c:f>Sheet1!$C$2:$C$3</c:f>
              <c:numCache>
                <c:formatCode>General</c:formatCode>
                <c:ptCount val="2"/>
                <c:pt idx="0">
                  <c:v>8</c:v>
                </c:pt>
                <c:pt idx="1">
                  <c:v>6</c:v>
                </c:pt>
              </c:numCache>
            </c:numRef>
          </c:val>
          <c:extLst>
            <c:ext xmlns:c16="http://schemas.microsoft.com/office/drawing/2014/chart" uri="{C3380CC4-5D6E-409C-BE32-E72D297353CC}">
              <c16:uniqueId val="{00000001-75AE-4064-8AB2-169E0FA5C150}"/>
            </c:ext>
          </c:extLst>
        </c:ser>
        <c:ser>
          <c:idx val="2"/>
          <c:order val="2"/>
          <c:tx>
            <c:strRef>
              <c:f>Sheet1!$D$1</c:f>
              <c:strCache>
                <c:ptCount val="1"/>
                <c:pt idx="0">
                  <c:v>Phase 3</c:v>
                </c:pt>
              </c:strCache>
            </c:strRef>
          </c:tx>
          <c:spPr>
            <a:solidFill>
              <a:schemeClr val="accent3"/>
            </a:solidFill>
            <a:ln>
              <a:solidFill>
                <a:schemeClr val="tx1"/>
              </a:solidFill>
            </a:ln>
            <a:effectLst/>
          </c:spPr>
          <c:invertIfNegative val="0"/>
          <c:cat>
            <c:strRef>
              <c:f>Sheet1!$A$2:$A$3</c:f>
              <c:strCache>
                <c:ptCount val="2"/>
                <c:pt idx="0">
                  <c:v>Frequency of 'collaboration'</c:v>
                </c:pt>
                <c:pt idx="1">
                  <c:v>Frequency of 'use-focused outputs'</c:v>
                </c:pt>
              </c:strCache>
            </c:strRef>
          </c:cat>
          <c:val>
            <c:numRef>
              <c:f>Sheet1!$D$2:$D$3</c:f>
              <c:numCache>
                <c:formatCode>General</c:formatCode>
                <c:ptCount val="2"/>
                <c:pt idx="0">
                  <c:v>9</c:v>
                </c:pt>
                <c:pt idx="1">
                  <c:v>7</c:v>
                </c:pt>
              </c:numCache>
            </c:numRef>
          </c:val>
          <c:extLst>
            <c:ext xmlns:c16="http://schemas.microsoft.com/office/drawing/2014/chart" uri="{C3380CC4-5D6E-409C-BE32-E72D297353CC}">
              <c16:uniqueId val="{00000002-75AE-4064-8AB2-169E0FA5C150}"/>
            </c:ext>
          </c:extLst>
        </c:ser>
        <c:dLbls>
          <c:showLegendKey val="0"/>
          <c:showVal val="0"/>
          <c:showCatName val="0"/>
          <c:showSerName val="0"/>
          <c:showPercent val="0"/>
          <c:showBubbleSize val="0"/>
        </c:dLbls>
        <c:gapWidth val="219"/>
        <c:overlap val="-27"/>
        <c:axId val="428657416"/>
        <c:axId val="428657744"/>
      </c:barChart>
      <c:catAx>
        <c:axId val="42865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57744"/>
        <c:crosses val="autoZero"/>
        <c:auto val="1"/>
        <c:lblAlgn val="ctr"/>
        <c:lblOffset val="100"/>
        <c:noMultiLvlLbl val="0"/>
      </c:catAx>
      <c:valAx>
        <c:axId val="42865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57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Advanced core research mission</c:v>
                </c:pt>
              </c:strCache>
            </c:strRef>
          </c:tx>
          <c:spPr>
            <a:pattFill prst="ltUpDiag">
              <a:fgClr>
                <a:schemeClr val="tx1"/>
              </a:fgClr>
              <a:bgClr>
                <a:schemeClr val="bg1"/>
              </a:bgClr>
            </a:pattFill>
            <a:ln>
              <a:solidFill>
                <a:schemeClr val="tx1"/>
              </a:solidFill>
            </a:ln>
            <a:effectLst/>
          </c:spPr>
          <c:invertIfNegative val="0"/>
          <c:cat>
            <c:strRef>
              <c:f>Sheet1!$A$2:$A$4</c:f>
              <c:strCache>
                <c:ptCount val="3"/>
                <c:pt idx="0">
                  <c:v>Boundary structure</c:v>
                </c:pt>
                <c:pt idx="1">
                  <c:v>Boundary-spanner</c:v>
                </c:pt>
                <c:pt idx="2">
                  <c:v>Outreach</c:v>
                </c:pt>
              </c:strCache>
            </c:strRef>
          </c:cat>
          <c:val>
            <c:numRef>
              <c:f>Sheet1!$B$2:$B$4</c:f>
              <c:numCache>
                <c:formatCode>General</c:formatCode>
                <c:ptCount val="3"/>
                <c:pt idx="0">
                  <c:v>78.900000000000006</c:v>
                </c:pt>
                <c:pt idx="1">
                  <c:v>47.8</c:v>
                </c:pt>
                <c:pt idx="2">
                  <c:v>44</c:v>
                </c:pt>
              </c:numCache>
            </c:numRef>
          </c:val>
          <c:extLst>
            <c:ext xmlns:c16="http://schemas.microsoft.com/office/drawing/2014/chart" uri="{C3380CC4-5D6E-409C-BE32-E72D297353CC}">
              <c16:uniqueId val="{00000000-FE5E-4B43-AC44-179E2324F26D}"/>
            </c:ext>
          </c:extLst>
        </c:ser>
        <c:ser>
          <c:idx val="1"/>
          <c:order val="1"/>
          <c:tx>
            <c:strRef>
              <c:f>Sheet1!$C$1</c:f>
              <c:strCache>
                <c:ptCount val="1"/>
                <c:pt idx="0">
                  <c:v>Advanced teaching/training mission</c:v>
                </c:pt>
              </c:strCache>
            </c:strRef>
          </c:tx>
          <c:spPr>
            <a:pattFill prst="pct50">
              <a:fgClr>
                <a:schemeClr val="tx1"/>
              </a:fgClr>
              <a:bgClr>
                <a:schemeClr val="bg1"/>
              </a:bgClr>
            </a:pattFill>
            <a:ln>
              <a:solidFill>
                <a:schemeClr val="tx1"/>
              </a:solidFill>
            </a:ln>
            <a:effectLst/>
          </c:spPr>
          <c:invertIfNegative val="0"/>
          <c:cat>
            <c:strRef>
              <c:f>Sheet1!$A$2:$A$4</c:f>
              <c:strCache>
                <c:ptCount val="3"/>
                <c:pt idx="0">
                  <c:v>Boundary structure</c:v>
                </c:pt>
                <c:pt idx="1">
                  <c:v>Boundary-spanner</c:v>
                </c:pt>
                <c:pt idx="2">
                  <c:v>Outreach</c:v>
                </c:pt>
              </c:strCache>
            </c:strRef>
          </c:cat>
          <c:val>
            <c:numRef>
              <c:f>Sheet1!$C$2:$C$4</c:f>
              <c:numCache>
                <c:formatCode>General</c:formatCode>
                <c:ptCount val="3"/>
                <c:pt idx="0">
                  <c:v>42.1</c:v>
                </c:pt>
                <c:pt idx="1">
                  <c:v>30.4</c:v>
                </c:pt>
                <c:pt idx="2">
                  <c:v>12</c:v>
                </c:pt>
              </c:numCache>
            </c:numRef>
          </c:val>
          <c:extLst>
            <c:ext xmlns:c16="http://schemas.microsoft.com/office/drawing/2014/chart" uri="{C3380CC4-5D6E-409C-BE32-E72D297353CC}">
              <c16:uniqueId val="{00000001-FE5E-4B43-AC44-179E2324F26D}"/>
            </c:ext>
          </c:extLst>
        </c:ser>
        <c:ser>
          <c:idx val="2"/>
          <c:order val="2"/>
          <c:tx>
            <c:strRef>
              <c:f>Sheet1!$D$1</c:f>
              <c:strCache>
                <c:ptCount val="1"/>
                <c:pt idx="0">
                  <c:v>Focused on 'third' mission</c:v>
                </c:pt>
              </c:strCache>
            </c:strRef>
          </c:tx>
          <c:spPr>
            <a:solidFill>
              <a:schemeClr val="accent3"/>
            </a:solidFill>
            <a:ln>
              <a:solidFill>
                <a:schemeClr val="tx1"/>
              </a:solidFill>
            </a:ln>
            <a:effectLst/>
          </c:spPr>
          <c:invertIfNegative val="0"/>
          <c:cat>
            <c:strRef>
              <c:f>Sheet1!$A$2:$A$4</c:f>
              <c:strCache>
                <c:ptCount val="3"/>
                <c:pt idx="0">
                  <c:v>Boundary structure</c:v>
                </c:pt>
                <c:pt idx="1">
                  <c:v>Boundary-spanner</c:v>
                </c:pt>
                <c:pt idx="2">
                  <c:v>Outreach</c:v>
                </c:pt>
              </c:strCache>
            </c:strRef>
          </c:cat>
          <c:val>
            <c:numRef>
              <c:f>Sheet1!$D$2:$D$4</c:f>
              <c:numCache>
                <c:formatCode>General</c:formatCode>
                <c:ptCount val="3"/>
                <c:pt idx="0">
                  <c:v>10.5</c:v>
                </c:pt>
                <c:pt idx="1">
                  <c:v>21.7</c:v>
                </c:pt>
                <c:pt idx="2">
                  <c:v>52</c:v>
                </c:pt>
              </c:numCache>
            </c:numRef>
          </c:val>
          <c:extLst>
            <c:ext xmlns:c16="http://schemas.microsoft.com/office/drawing/2014/chart" uri="{C3380CC4-5D6E-409C-BE32-E72D297353CC}">
              <c16:uniqueId val="{00000002-FE5E-4B43-AC44-179E2324F26D}"/>
            </c:ext>
          </c:extLst>
        </c:ser>
        <c:dLbls>
          <c:showLegendKey val="0"/>
          <c:showVal val="0"/>
          <c:showCatName val="0"/>
          <c:showSerName val="0"/>
          <c:showPercent val="0"/>
          <c:showBubbleSize val="0"/>
        </c:dLbls>
        <c:gapWidth val="219"/>
        <c:overlap val="-27"/>
        <c:axId val="45223440"/>
        <c:axId val="325588312"/>
      </c:barChart>
      <c:catAx>
        <c:axId val="4522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588312"/>
        <c:crosses val="autoZero"/>
        <c:auto val="1"/>
        <c:lblAlgn val="ctr"/>
        <c:lblOffset val="100"/>
        <c:noMultiLvlLbl val="0"/>
      </c:catAx>
      <c:valAx>
        <c:axId val="3255883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all in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2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Collaboration</c:v>
                </c:pt>
              </c:strCache>
            </c:strRef>
          </c:tx>
          <c:spPr>
            <a:pattFill prst="ltUpDiag">
              <a:fgClr>
                <a:sysClr val="windowText" lastClr="000000"/>
              </a:fgClr>
              <a:bgClr>
                <a:schemeClr val="bg1"/>
              </a:bgClr>
            </a:pattFill>
            <a:ln>
              <a:solidFill>
                <a:schemeClr val="tx1"/>
              </a:solidFill>
            </a:ln>
            <a:effectLst/>
          </c:spPr>
          <c:invertIfNegative val="0"/>
          <c:cat>
            <c:strRef>
              <c:f>Sheet1!$A$2:$A$4</c:f>
              <c:strCache>
                <c:ptCount val="3"/>
                <c:pt idx="0">
                  <c:v> 'Less prestigious' dept.</c:v>
                </c:pt>
                <c:pt idx="1">
                  <c:v> 'More prestigious' dept.</c:v>
                </c:pt>
                <c:pt idx="2">
                  <c:v> 'Elite' dept.</c:v>
                </c:pt>
              </c:strCache>
            </c:strRef>
          </c:cat>
          <c:val>
            <c:numRef>
              <c:f>Sheet1!$B$2:$B$4</c:f>
              <c:numCache>
                <c:formatCode>General</c:formatCode>
                <c:ptCount val="3"/>
                <c:pt idx="0">
                  <c:v>50</c:v>
                </c:pt>
                <c:pt idx="1">
                  <c:v>75</c:v>
                </c:pt>
                <c:pt idx="2">
                  <c:v>25</c:v>
                </c:pt>
              </c:numCache>
            </c:numRef>
          </c:val>
          <c:extLst>
            <c:ext xmlns:c16="http://schemas.microsoft.com/office/drawing/2014/chart" uri="{C3380CC4-5D6E-409C-BE32-E72D297353CC}">
              <c16:uniqueId val="{00000000-078F-440B-B946-1783303600C4}"/>
            </c:ext>
          </c:extLst>
        </c:ser>
        <c:ser>
          <c:idx val="1"/>
          <c:order val="1"/>
          <c:tx>
            <c:strRef>
              <c:f>Sheet1!$C$1</c:f>
              <c:strCache>
                <c:ptCount val="1"/>
                <c:pt idx="0">
                  <c:v>Use-focused outputs</c:v>
                </c:pt>
              </c:strCache>
            </c:strRef>
          </c:tx>
          <c:spPr>
            <a:pattFill prst="pct50">
              <a:fgClr>
                <a:sysClr val="windowText" lastClr="000000"/>
              </a:fgClr>
              <a:bgClr>
                <a:schemeClr val="bg1"/>
              </a:bgClr>
            </a:pattFill>
            <a:ln>
              <a:solidFill>
                <a:schemeClr val="tx1"/>
              </a:solidFill>
            </a:ln>
            <a:effectLst/>
          </c:spPr>
          <c:invertIfNegative val="0"/>
          <c:cat>
            <c:strRef>
              <c:f>Sheet1!$A$2:$A$4</c:f>
              <c:strCache>
                <c:ptCount val="3"/>
                <c:pt idx="0">
                  <c:v> 'Less prestigious' dept.</c:v>
                </c:pt>
                <c:pt idx="1">
                  <c:v> 'More prestigious' dept.</c:v>
                </c:pt>
                <c:pt idx="2">
                  <c:v> 'Elite' dept.</c:v>
                </c:pt>
              </c:strCache>
            </c:strRef>
          </c:cat>
          <c:val>
            <c:numRef>
              <c:f>Sheet1!$C$2:$C$4</c:f>
              <c:numCache>
                <c:formatCode>General</c:formatCode>
                <c:ptCount val="3"/>
                <c:pt idx="0">
                  <c:v>50</c:v>
                </c:pt>
                <c:pt idx="1">
                  <c:v>38</c:v>
                </c:pt>
                <c:pt idx="2">
                  <c:v>100</c:v>
                </c:pt>
              </c:numCache>
            </c:numRef>
          </c:val>
          <c:extLst>
            <c:ext xmlns:c16="http://schemas.microsoft.com/office/drawing/2014/chart" uri="{C3380CC4-5D6E-409C-BE32-E72D297353CC}">
              <c16:uniqueId val="{00000001-078F-440B-B946-1783303600C4}"/>
            </c:ext>
          </c:extLst>
        </c:ser>
        <c:dLbls>
          <c:showLegendKey val="0"/>
          <c:showVal val="0"/>
          <c:showCatName val="0"/>
          <c:showSerName val="0"/>
          <c:showPercent val="0"/>
          <c:showBubbleSize val="0"/>
        </c:dLbls>
        <c:gapWidth val="219"/>
        <c:overlap val="-27"/>
        <c:axId val="340463112"/>
        <c:axId val="340460160"/>
      </c:barChart>
      <c:catAx>
        <c:axId val="34046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60160"/>
        <c:crosses val="autoZero"/>
        <c:auto val="1"/>
        <c:lblAlgn val="ctr"/>
        <c:lblOffset val="100"/>
        <c:noMultiLvlLbl val="0"/>
      </c:catAx>
      <c:valAx>
        <c:axId val="3404601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all</a:t>
                </a:r>
                <a:r>
                  <a:rPr lang="en-GB" baseline="0"/>
                  <a:t> values in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6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Collaborators include only doctorate holders</c:v>
                </c:pt>
              </c:strCache>
            </c:strRef>
          </c:tx>
          <c:spPr>
            <a:pattFill prst="lgCheck">
              <a:fgClr>
                <a:sysClr val="windowText" lastClr="000000"/>
              </a:fgClr>
              <a:bgClr>
                <a:schemeClr val="bg1"/>
              </a:bgClr>
            </a:pattFill>
            <a:ln>
              <a:solidFill>
                <a:schemeClr val="tx1"/>
              </a:solidFill>
            </a:ln>
            <a:effectLst/>
          </c:spPr>
          <c:invertIfNegative val="0"/>
          <c:cat>
            <c:strRef>
              <c:f>Sheet1!$A$2:$A$4</c:f>
              <c:strCache>
                <c:ptCount val="3"/>
                <c:pt idx="0">
                  <c:v>Life</c:v>
                </c:pt>
                <c:pt idx="1">
                  <c:v>Natural</c:v>
                </c:pt>
                <c:pt idx="2">
                  <c:v>Formal</c:v>
                </c:pt>
              </c:strCache>
            </c:strRef>
          </c:cat>
          <c:val>
            <c:numRef>
              <c:f>Sheet1!$B$2:$B$4</c:f>
              <c:numCache>
                <c:formatCode>General</c:formatCode>
                <c:ptCount val="3"/>
                <c:pt idx="0">
                  <c:v>3</c:v>
                </c:pt>
                <c:pt idx="1">
                  <c:v>5</c:v>
                </c:pt>
                <c:pt idx="2">
                  <c:v>7</c:v>
                </c:pt>
              </c:numCache>
            </c:numRef>
          </c:val>
          <c:extLst>
            <c:ext xmlns:c16="http://schemas.microsoft.com/office/drawing/2014/chart" uri="{C3380CC4-5D6E-409C-BE32-E72D297353CC}">
              <c16:uniqueId val="{00000000-3FB9-4E29-91C2-F056338122A2}"/>
            </c:ext>
          </c:extLst>
        </c:ser>
        <c:ser>
          <c:idx val="1"/>
          <c:order val="1"/>
          <c:tx>
            <c:strRef>
              <c:f>Sheet1!$C$1</c:f>
              <c:strCache>
                <c:ptCount val="1"/>
                <c:pt idx="0">
                  <c:v>Collaborators include non-doctorate holders</c:v>
                </c:pt>
              </c:strCache>
            </c:strRef>
          </c:tx>
          <c:spPr>
            <a:pattFill prst="ltHorz">
              <a:fgClr>
                <a:sysClr val="windowText" lastClr="000000"/>
              </a:fgClr>
              <a:bgClr>
                <a:schemeClr val="bg1"/>
              </a:bgClr>
            </a:pattFill>
            <a:ln>
              <a:solidFill>
                <a:schemeClr val="tx1"/>
              </a:solidFill>
            </a:ln>
            <a:effectLst/>
          </c:spPr>
          <c:invertIfNegative val="0"/>
          <c:cat>
            <c:strRef>
              <c:f>Sheet1!$A$2:$A$4</c:f>
              <c:strCache>
                <c:ptCount val="3"/>
                <c:pt idx="0">
                  <c:v>Life</c:v>
                </c:pt>
                <c:pt idx="1">
                  <c:v>Natural</c:v>
                </c:pt>
                <c:pt idx="2">
                  <c:v>Formal</c:v>
                </c:pt>
              </c:strCache>
            </c:strRef>
          </c:cat>
          <c:val>
            <c:numRef>
              <c:f>Sheet1!$C$2:$C$4</c:f>
              <c:numCache>
                <c:formatCode>General</c:formatCode>
                <c:ptCount val="3"/>
                <c:pt idx="0">
                  <c:v>4</c:v>
                </c:pt>
                <c:pt idx="1">
                  <c:v>3</c:v>
                </c:pt>
                <c:pt idx="2">
                  <c:v>1</c:v>
                </c:pt>
              </c:numCache>
            </c:numRef>
          </c:val>
          <c:extLst>
            <c:ext xmlns:c16="http://schemas.microsoft.com/office/drawing/2014/chart" uri="{C3380CC4-5D6E-409C-BE32-E72D297353CC}">
              <c16:uniqueId val="{00000001-3FB9-4E29-91C2-F056338122A2}"/>
            </c:ext>
          </c:extLst>
        </c:ser>
        <c:dLbls>
          <c:showLegendKey val="0"/>
          <c:showVal val="0"/>
          <c:showCatName val="0"/>
          <c:showSerName val="0"/>
          <c:showPercent val="0"/>
          <c:showBubbleSize val="0"/>
        </c:dLbls>
        <c:gapWidth val="150"/>
        <c:overlap val="100"/>
        <c:axId val="76255616"/>
        <c:axId val="76257152"/>
      </c:barChart>
      <c:catAx>
        <c:axId val="7625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57152"/>
        <c:crosses val="autoZero"/>
        <c:auto val="1"/>
        <c:lblAlgn val="ctr"/>
        <c:lblOffset val="100"/>
        <c:noMultiLvlLbl val="0"/>
      </c:catAx>
      <c:valAx>
        <c:axId val="7625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5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Boundary-spanner</c:v>
                </c:pt>
              </c:strCache>
            </c:strRef>
          </c:tx>
          <c:spPr>
            <a:pattFill prst="ltUpDiag">
              <a:fgClr>
                <a:schemeClr val="tx1"/>
              </a:fgClr>
              <a:bgClr>
                <a:schemeClr val="bg1"/>
              </a:bgClr>
            </a:pattFill>
            <a:ln>
              <a:solidFill>
                <a:schemeClr val="tx1"/>
              </a:solidFill>
            </a:ln>
            <a:effectLst/>
          </c:spPr>
          <c:invertIfNegative val="0"/>
          <c:cat>
            <c:strRef>
              <c:f>Sheet1!$A$2:$A$4</c:f>
              <c:strCache>
                <c:ptCount val="3"/>
                <c:pt idx="0">
                  <c:v>Basic</c:v>
                </c:pt>
                <c:pt idx="1">
                  <c:v>Applied</c:v>
                </c:pt>
                <c:pt idx="2">
                  <c:v>Basic/Applied</c:v>
                </c:pt>
              </c:strCache>
            </c:strRef>
          </c:cat>
          <c:val>
            <c:numRef>
              <c:f>Sheet1!$B$2:$B$4</c:f>
              <c:numCache>
                <c:formatCode>General</c:formatCode>
                <c:ptCount val="3"/>
                <c:pt idx="0">
                  <c:v>100</c:v>
                </c:pt>
                <c:pt idx="1">
                  <c:v>50</c:v>
                </c:pt>
                <c:pt idx="2">
                  <c:v>50</c:v>
                </c:pt>
              </c:numCache>
            </c:numRef>
          </c:val>
          <c:extLst>
            <c:ext xmlns:c16="http://schemas.microsoft.com/office/drawing/2014/chart" uri="{C3380CC4-5D6E-409C-BE32-E72D297353CC}">
              <c16:uniqueId val="{00000000-01D5-40A4-9ABE-5D263EF253F2}"/>
            </c:ext>
          </c:extLst>
        </c:ser>
        <c:ser>
          <c:idx val="1"/>
          <c:order val="1"/>
          <c:tx>
            <c:strRef>
              <c:f>Sheet1!$C$1</c:f>
              <c:strCache>
                <c:ptCount val="1"/>
                <c:pt idx="0">
                  <c:v>Outreach</c:v>
                </c:pt>
              </c:strCache>
            </c:strRef>
          </c:tx>
          <c:spPr>
            <a:pattFill prst="pct50">
              <a:fgClr>
                <a:schemeClr val="tx1"/>
              </a:fgClr>
              <a:bgClr>
                <a:schemeClr val="bg1"/>
              </a:bgClr>
            </a:pattFill>
            <a:ln>
              <a:solidFill>
                <a:schemeClr val="tx1"/>
              </a:solidFill>
            </a:ln>
            <a:effectLst/>
          </c:spPr>
          <c:invertIfNegative val="0"/>
          <c:cat>
            <c:strRef>
              <c:f>Sheet1!$A$2:$A$4</c:f>
              <c:strCache>
                <c:ptCount val="3"/>
                <c:pt idx="0">
                  <c:v>Basic</c:v>
                </c:pt>
                <c:pt idx="1">
                  <c:v>Applied</c:v>
                </c:pt>
                <c:pt idx="2">
                  <c:v>Basic/Applied</c:v>
                </c:pt>
              </c:strCache>
            </c:strRef>
          </c:cat>
          <c:val>
            <c:numRef>
              <c:f>Sheet1!$C$2:$C$4</c:f>
              <c:numCache>
                <c:formatCode>General</c:formatCode>
                <c:ptCount val="3"/>
                <c:pt idx="0">
                  <c:v>38</c:v>
                </c:pt>
                <c:pt idx="1">
                  <c:v>63</c:v>
                </c:pt>
                <c:pt idx="2">
                  <c:v>100</c:v>
                </c:pt>
              </c:numCache>
            </c:numRef>
          </c:val>
          <c:extLst>
            <c:ext xmlns:c16="http://schemas.microsoft.com/office/drawing/2014/chart" uri="{C3380CC4-5D6E-409C-BE32-E72D297353CC}">
              <c16:uniqueId val="{00000001-01D5-40A4-9ABE-5D263EF253F2}"/>
            </c:ext>
          </c:extLst>
        </c:ser>
        <c:dLbls>
          <c:showLegendKey val="0"/>
          <c:showVal val="0"/>
          <c:showCatName val="0"/>
          <c:showSerName val="0"/>
          <c:showPercent val="0"/>
          <c:showBubbleSize val="0"/>
        </c:dLbls>
        <c:gapWidth val="219"/>
        <c:overlap val="-27"/>
        <c:axId val="246678664"/>
        <c:axId val="246668496"/>
      </c:barChart>
      <c:catAx>
        <c:axId val="24667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68496"/>
        <c:crosses val="autoZero"/>
        <c:auto val="1"/>
        <c:lblAlgn val="ctr"/>
        <c:lblOffset val="100"/>
        <c:noMultiLvlLbl val="0"/>
      </c:catAx>
      <c:valAx>
        <c:axId val="2466684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all values in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7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0D2FB29-20F1-41F5-9860-A86160DF0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264</Pages>
  <Words>156899</Words>
  <Characters>894326</Characters>
  <Application>Microsoft Office Word</Application>
  <DocSecurity>0</DocSecurity>
  <Lines>7452</Lines>
  <Paragraphs>2098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Cohen</dc:creator>
  <cp:keywords/>
  <dc:description/>
  <cp:lastModifiedBy>Cohen, Eliel</cp:lastModifiedBy>
  <cp:revision>20</cp:revision>
  <cp:lastPrinted>2019-09-19T12:43:00Z</cp:lastPrinted>
  <dcterms:created xsi:type="dcterms:W3CDTF">2020-01-31T12:43:00Z</dcterms:created>
  <dcterms:modified xsi:type="dcterms:W3CDTF">2020-02-04T09:47:00Z</dcterms:modified>
</cp:coreProperties>
</file>